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8C9A1AB">
      <w:pPr>
        <w:jc w:val="center"/>
        <w:rPr>
          <w:rFonts w:ascii="宋体" w:hAnsi="宋体" w:cs="宋体"/>
          <w:b/>
          <w:bCs/>
          <w:color w:val="auto"/>
          <w:sz w:val="44"/>
          <w:szCs w:val="44"/>
          <w:highlight w:val="none"/>
        </w:rPr>
      </w:pPr>
      <w:bookmarkStart w:id="0" w:name="_Toc10319"/>
      <w:bookmarkStart w:id="1" w:name="_Toc7014_WPSOffice_Level1"/>
      <w:r>
        <w:rPr>
          <w:rFonts w:hint="eastAsia" w:ascii="宋体" w:hAnsi="宋体" w:cs="宋体"/>
          <w:b/>
          <w:color w:val="auto"/>
          <w:sz w:val="52"/>
          <w:highlight w:val="none"/>
        </w:rPr>
        <w:t xml:space="preserve"> </w:t>
      </w:r>
      <w:r>
        <w:rPr>
          <w:rFonts w:hint="eastAsia" w:ascii="宋体" w:hAnsi="宋体" w:cs="宋体"/>
          <w:b/>
          <w:color w:val="auto"/>
          <w:sz w:val="56"/>
          <w:szCs w:val="56"/>
          <w:highlight w:val="none"/>
        </w:rPr>
        <w:t>广西天罡工程项目管理有限公司</w:t>
      </w:r>
    </w:p>
    <w:p w14:paraId="77CCFC73">
      <w:pPr>
        <w:pStyle w:val="16"/>
        <w:rPr>
          <w:rFonts w:ascii="宋体" w:hAnsi="宋体" w:cs="宋体"/>
          <w:b/>
          <w:bCs/>
          <w:color w:val="auto"/>
          <w:sz w:val="52"/>
          <w:szCs w:val="52"/>
          <w:highlight w:val="none"/>
        </w:rPr>
      </w:pPr>
    </w:p>
    <w:p w14:paraId="14762EF9">
      <w:pPr>
        <w:pStyle w:val="16"/>
        <w:rPr>
          <w:rFonts w:ascii="宋体" w:hAnsi="宋体" w:cs="宋体"/>
          <w:b/>
          <w:bCs/>
          <w:color w:val="auto"/>
          <w:sz w:val="52"/>
          <w:szCs w:val="52"/>
          <w:highlight w:val="none"/>
        </w:rPr>
      </w:pPr>
    </w:p>
    <w:p w14:paraId="0AA9507A">
      <w:pPr>
        <w:pStyle w:val="16"/>
        <w:rPr>
          <w:rFonts w:ascii="宋体" w:hAnsi="宋体" w:cs="宋体"/>
          <w:b/>
          <w:bCs/>
          <w:color w:val="auto"/>
          <w:sz w:val="52"/>
          <w:szCs w:val="52"/>
          <w:highlight w:val="none"/>
        </w:rPr>
      </w:pPr>
    </w:p>
    <w:p w14:paraId="77BCB801">
      <w:pPr>
        <w:ind w:left="558" w:right="683"/>
        <w:jc w:val="center"/>
        <w:rPr>
          <w:rFonts w:ascii="宋体" w:hAnsi="宋体" w:cs="宋体"/>
          <w:b/>
          <w:color w:val="auto"/>
          <w:sz w:val="56"/>
          <w:szCs w:val="56"/>
          <w:highlight w:val="none"/>
        </w:rPr>
      </w:pPr>
      <w:r>
        <w:rPr>
          <w:rFonts w:hint="eastAsia" w:ascii="宋体" w:hAnsi="宋体" w:cs="宋体"/>
          <w:b/>
          <w:color w:val="auto"/>
          <w:spacing w:val="93"/>
          <w:sz w:val="56"/>
          <w:szCs w:val="56"/>
          <w:highlight w:val="none"/>
        </w:rPr>
        <w:t>竞争性磋商文件</w:t>
      </w:r>
    </w:p>
    <w:p w14:paraId="58DCB4D8">
      <w:pPr>
        <w:jc w:val="center"/>
        <w:rPr>
          <w:rFonts w:ascii="宋体" w:hAnsi="宋体" w:cs="宋体"/>
          <w:b/>
          <w:bCs/>
          <w:color w:val="auto"/>
          <w:sz w:val="52"/>
          <w:szCs w:val="52"/>
          <w:highlight w:val="none"/>
        </w:rPr>
      </w:pPr>
    </w:p>
    <w:p w14:paraId="478293F9">
      <w:pPr>
        <w:jc w:val="center"/>
        <w:rPr>
          <w:rFonts w:ascii="宋体" w:hAnsi="宋体" w:cs="宋体"/>
          <w:b/>
          <w:bCs/>
          <w:color w:val="auto"/>
          <w:sz w:val="52"/>
          <w:szCs w:val="52"/>
          <w:highlight w:val="none"/>
        </w:rPr>
      </w:pPr>
    </w:p>
    <w:p w14:paraId="2A57FC87">
      <w:pPr>
        <w:jc w:val="center"/>
        <w:rPr>
          <w:rFonts w:ascii="宋体" w:hAnsi="宋体" w:cs="宋体"/>
          <w:b/>
          <w:bCs/>
          <w:color w:val="auto"/>
          <w:sz w:val="52"/>
          <w:szCs w:val="52"/>
          <w:highlight w:val="none"/>
        </w:rPr>
      </w:pPr>
    </w:p>
    <w:p w14:paraId="4DE4B048">
      <w:pPr>
        <w:ind w:left="3200" w:hanging="3200" w:hangingChars="1000"/>
        <w:jc w:val="center"/>
        <w:rPr>
          <w:rFonts w:hint="eastAsia" w:ascii="宋体" w:hAnsi="宋体" w:eastAsia="宋体" w:cs="宋体"/>
          <w:color w:val="auto"/>
          <w:sz w:val="32"/>
          <w:szCs w:val="32"/>
          <w:highlight w:val="none"/>
          <w:lang w:eastAsia="zh-CN"/>
        </w:rPr>
      </w:pPr>
      <w:r>
        <w:rPr>
          <w:rFonts w:hint="eastAsia" w:ascii="宋体" w:hAnsi="宋体" w:cs="宋体"/>
          <w:color w:val="auto"/>
          <w:sz w:val="32"/>
          <w:szCs w:val="32"/>
          <w:highlight w:val="none"/>
        </w:rPr>
        <w:t xml:space="preserve">         项 目 名 称：</w:t>
      </w:r>
      <w:r>
        <w:rPr>
          <w:rFonts w:hint="eastAsia" w:ascii="宋体" w:hAnsi="宋体" w:cs="宋体"/>
          <w:color w:val="auto"/>
          <w:sz w:val="32"/>
          <w:szCs w:val="32"/>
          <w:highlight w:val="none"/>
          <w:lang w:eastAsia="zh-CN"/>
        </w:rPr>
        <w:t>广西花坪国家级自然保护区特种救护、宣传（资料）视频制作、标本养护及古树名木资源普查项目A分标（重）</w:t>
      </w:r>
    </w:p>
    <w:p w14:paraId="3DAC8F61">
      <w:pPr>
        <w:rPr>
          <w:rFonts w:ascii="宋体" w:hAnsi="宋体" w:cs="宋体"/>
          <w:color w:val="auto"/>
          <w:sz w:val="32"/>
          <w:szCs w:val="32"/>
          <w:highlight w:val="none"/>
        </w:rPr>
      </w:pPr>
      <w:r>
        <w:rPr>
          <w:rFonts w:hint="eastAsia" w:ascii="宋体" w:hAnsi="宋体" w:cs="宋体"/>
          <w:color w:val="auto"/>
          <w:sz w:val="32"/>
          <w:szCs w:val="32"/>
          <w:highlight w:val="none"/>
        </w:rPr>
        <w:t xml:space="preserve">         项 目 编 号：</w:t>
      </w:r>
      <w:r>
        <w:rPr>
          <w:rFonts w:hint="eastAsia" w:ascii="宋体" w:hAnsi="宋体" w:cs="宋体"/>
          <w:color w:val="auto"/>
          <w:sz w:val="32"/>
          <w:szCs w:val="32"/>
          <w:highlight w:val="none"/>
          <w:lang w:eastAsia="zh-CN"/>
        </w:rPr>
        <w:t>GLZC2026-C3-990456-GXTG</w:t>
      </w:r>
    </w:p>
    <w:p w14:paraId="333291BD">
      <w:pPr>
        <w:ind w:firstLine="1600" w:firstLineChars="500"/>
        <w:rPr>
          <w:rFonts w:ascii="宋体" w:hAnsi="宋体" w:cs="宋体"/>
          <w:color w:val="auto"/>
          <w:sz w:val="32"/>
          <w:szCs w:val="32"/>
          <w:highlight w:val="none"/>
        </w:rPr>
      </w:pPr>
    </w:p>
    <w:p w14:paraId="74A2D754">
      <w:pPr>
        <w:jc w:val="center"/>
        <w:rPr>
          <w:rFonts w:ascii="宋体" w:hAnsi="宋体" w:cs="宋体"/>
          <w:color w:val="auto"/>
          <w:sz w:val="32"/>
          <w:szCs w:val="32"/>
          <w:highlight w:val="none"/>
        </w:rPr>
      </w:pPr>
    </w:p>
    <w:p w14:paraId="18E1CE9C">
      <w:pPr>
        <w:rPr>
          <w:rFonts w:ascii="宋体" w:hAnsi="宋体" w:cs="宋体"/>
          <w:color w:val="auto"/>
          <w:sz w:val="32"/>
          <w:szCs w:val="32"/>
          <w:highlight w:val="none"/>
        </w:rPr>
      </w:pPr>
    </w:p>
    <w:p w14:paraId="483050FC">
      <w:pPr>
        <w:pStyle w:val="16"/>
        <w:rPr>
          <w:color w:val="auto"/>
          <w:highlight w:val="none"/>
        </w:rPr>
      </w:pPr>
    </w:p>
    <w:p w14:paraId="1149816D">
      <w:pPr>
        <w:rPr>
          <w:rFonts w:ascii="宋体" w:hAnsi="宋体" w:cs="宋体"/>
          <w:color w:val="auto"/>
          <w:sz w:val="32"/>
          <w:szCs w:val="32"/>
          <w:highlight w:val="none"/>
        </w:rPr>
      </w:pPr>
    </w:p>
    <w:p w14:paraId="07C13263">
      <w:pPr>
        <w:ind w:firstLine="1600" w:firstLineChars="500"/>
        <w:rPr>
          <w:rFonts w:ascii="宋体" w:hAnsi="宋体" w:cs="宋体"/>
          <w:color w:val="auto"/>
          <w:sz w:val="32"/>
          <w:szCs w:val="32"/>
          <w:highlight w:val="none"/>
        </w:rPr>
      </w:pPr>
      <w:r>
        <w:rPr>
          <w:rFonts w:hint="eastAsia" w:ascii="宋体" w:hAnsi="宋体" w:cs="宋体"/>
          <w:color w:val="auto"/>
          <w:sz w:val="32"/>
          <w:szCs w:val="32"/>
          <w:highlight w:val="none"/>
        </w:rPr>
        <w:t>采购代理机构：广西天罡工程项目管理有限公司</w:t>
      </w:r>
    </w:p>
    <w:p w14:paraId="31EE975D">
      <w:pPr>
        <w:pStyle w:val="10"/>
        <w:rPr>
          <w:rFonts w:ascii="宋体" w:hAnsi="宋体" w:cs="宋体"/>
          <w:color w:val="auto"/>
          <w:highlight w:val="none"/>
        </w:rPr>
      </w:pPr>
    </w:p>
    <w:p w14:paraId="627D6C97">
      <w:pPr>
        <w:ind w:firstLine="3840" w:firstLineChars="1200"/>
        <w:rPr>
          <w:rFonts w:ascii="宋体" w:hAnsi="宋体" w:cs="宋体"/>
          <w:color w:val="auto"/>
          <w:sz w:val="48"/>
          <w:szCs w:val="48"/>
          <w:highlight w:val="none"/>
        </w:rPr>
        <w:sectPr>
          <w:pgSz w:w="11906" w:h="16838"/>
          <w:pgMar w:top="1440" w:right="935" w:bottom="1440" w:left="777" w:header="851" w:footer="992" w:gutter="0"/>
          <w:pgNumType w:start="1"/>
          <w:cols w:space="720" w:num="1"/>
          <w:docGrid w:type="linesAndChars" w:linePitch="312" w:charSpace="0"/>
        </w:sectPr>
      </w:pPr>
      <w:r>
        <w:rPr>
          <w:rFonts w:hint="eastAsia" w:ascii="宋体" w:hAnsi="宋体" w:cs="宋体"/>
          <w:color w:val="auto"/>
          <w:sz w:val="32"/>
          <w:szCs w:val="32"/>
          <w:highlight w:val="none"/>
        </w:rPr>
        <w:t>202</w:t>
      </w:r>
      <w:r>
        <w:rPr>
          <w:rFonts w:hint="eastAsia" w:ascii="宋体" w:hAnsi="宋体" w:cs="宋体"/>
          <w:color w:val="auto"/>
          <w:sz w:val="32"/>
          <w:szCs w:val="32"/>
          <w:highlight w:val="none"/>
          <w:lang w:val="en-US" w:eastAsia="zh-CN"/>
        </w:rPr>
        <w:t>6</w:t>
      </w:r>
      <w:r>
        <w:rPr>
          <w:rFonts w:hint="eastAsia" w:ascii="宋体" w:hAnsi="宋体" w:cs="宋体"/>
          <w:color w:val="auto"/>
          <w:sz w:val="32"/>
          <w:szCs w:val="32"/>
          <w:highlight w:val="none"/>
        </w:rPr>
        <w:t>年</w:t>
      </w:r>
      <w:r>
        <w:rPr>
          <w:rFonts w:hint="eastAsia" w:ascii="宋体" w:hAnsi="宋体" w:cs="宋体"/>
          <w:color w:val="auto"/>
          <w:sz w:val="32"/>
          <w:szCs w:val="32"/>
          <w:highlight w:val="none"/>
          <w:lang w:val="en-US" w:eastAsia="zh-CN"/>
        </w:rPr>
        <w:t>10</w:t>
      </w:r>
      <w:r>
        <w:rPr>
          <w:rFonts w:hint="eastAsia" w:ascii="宋体" w:hAnsi="宋体" w:cs="宋体"/>
          <w:color w:val="auto"/>
          <w:sz w:val="32"/>
          <w:szCs w:val="32"/>
          <w:highlight w:val="none"/>
        </w:rPr>
        <w:t>月</w:t>
      </w:r>
    </w:p>
    <w:p w14:paraId="0C05C3D6">
      <w:pPr>
        <w:jc w:val="center"/>
        <w:rPr>
          <w:rFonts w:ascii="宋体" w:hAnsi="宋体" w:cs="宋体"/>
          <w:b/>
          <w:bCs/>
          <w:color w:val="auto"/>
          <w:sz w:val="36"/>
          <w:szCs w:val="36"/>
          <w:highlight w:val="none"/>
        </w:rPr>
      </w:pPr>
      <w:r>
        <w:rPr>
          <w:rFonts w:hint="eastAsia" w:ascii="宋体" w:hAnsi="宋体" w:cs="宋体"/>
          <w:b/>
          <w:bCs/>
          <w:color w:val="auto"/>
          <w:sz w:val="36"/>
          <w:szCs w:val="36"/>
          <w:highlight w:val="none"/>
          <w:lang w:val="zh-CN"/>
        </w:rPr>
        <w:t>目</w:t>
      </w:r>
      <w:r>
        <w:rPr>
          <w:rFonts w:hint="eastAsia" w:ascii="宋体" w:hAnsi="宋体" w:cs="宋体"/>
          <w:b/>
          <w:bCs/>
          <w:color w:val="auto"/>
          <w:sz w:val="36"/>
          <w:szCs w:val="36"/>
          <w:highlight w:val="none"/>
        </w:rPr>
        <w:t xml:space="preserve">  </w:t>
      </w:r>
      <w:r>
        <w:rPr>
          <w:rFonts w:hint="eastAsia" w:ascii="宋体" w:hAnsi="宋体" w:cs="宋体"/>
          <w:b/>
          <w:bCs/>
          <w:color w:val="auto"/>
          <w:sz w:val="36"/>
          <w:szCs w:val="36"/>
          <w:highlight w:val="none"/>
          <w:lang w:val="zh-CN"/>
        </w:rPr>
        <w:t>录</w:t>
      </w:r>
    </w:p>
    <w:p w14:paraId="0D3C65BA">
      <w:pPr>
        <w:pStyle w:val="18"/>
        <w:tabs>
          <w:tab w:val="right" w:leader="dot" w:pos="10194"/>
        </w:tabs>
        <w:rPr>
          <w:rFonts w:ascii="宋体" w:hAnsi="宋体" w:cs="宋体"/>
          <w:color w:val="auto"/>
          <w:sz w:val="30"/>
          <w:szCs w:val="30"/>
          <w:highlight w:val="none"/>
        </w:rPr>
      </w:pPr>
      <w:r>
        <w:rPr>
          <w:rFonts w:hint="eastAsia" w:ascii="宋体" w:hAnsi="宋体" w:cs="宋体"/>
          <w:b/>
          <w:bCs/>
          <w:color w:val="auto"/>
          <w:sz w:val="30"/>
          <w:szCs w:val="30"/>
          <w:highlight w:val="none"/>
        </w:rPr>
        <w:fldChar w:fldCharType="begin"/>
      </w:r>
      <w:r>
        <w:rPr>
          <w:rFonts w:hint="eastAsia" w:ascii="宋体" w:hAnsi="宋体" w:cs="宋体"/>
          <w:b/>
          <w:bCs/>
          <w:color w:val="auto"/>
          <w:sz w:val="30"/>
          <w:szCs w:val="30"/>
          <w:highlight w:val="none"/>
        </w:rPr>
        <w:instrText xml:space="preserve">TOC \o "1-1" \h \u </w:instrText>
      </w:r>
      <w:r>
        <w:rPr>
          <w:rFonts w:hint="eastAsia" w:ascii="宋体" w:hAnsi="宋体" w:cs="宋体"/>
          <w:b/>
          <w:bCs/>
          <w:color w:val="auto"/>
          <w:sz w:val="30"/>
          <w:szCs w:val="30"/>
          <w:highlight w:val="none"/>
        </w:rPr>
        <w:fldChar w:fldCharType="separate"/>
      </w:r>
      <w:r>
        <w:rPr>
          <w:color w:val="auto"/>
          <w:highlight w:val="none"/>
        </w:rPr>
        <w:fldChar w:fldCharType="begin"/>
      </w:r>
      <w:r>
        <w:rPr>
          <w:color w:val="auto"/>
          <w:highlight w:val="none"/>
        </w:rPr>
        <w:instrText xml:space="preserve"> HYPERLINK \l "_Toc17502" </w:instrText>
      </w:r>
      <w:r>
        <w:rPr>
          <w:color w:val="auto"/>
          <w:highlight w:val="none"/>
        </w:rPr>
        <w:fldChar w:fldCharType="separate"/>
      </w:r>
      <w:r>
        <w:rPr>
          <w:rFonts w:hint="eastAsia" w:ascii="宋体" w:hAnsi="宋体" w:cs="宋体"/>
          <w:color w:val="auto"/>
          <w:sz w:val="30"/>
          <w:szCs w:val="30"/>
          <w:highlight w:val="none"/>
        </w:rPr>
        <w:t>第一章 竞争性磋商公告</w:t>
      </w:r>
      <w:r>
        <w:rPr>
          <w:rFonts w:hint="eastAsia" w:ascii="宋体" w:hAnsi="宋体" w:cs="宋体"/>
          <w:color w:val="auto"/>
          <w:sz w:val="30"/>
          <w:szCs w:val="30"/>
          <w:highlight w:val="none"/>
        </w:rPr>
        <w:tab/>
      </w: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 PAGEREF _Toc17502 \h </w:instrText>
      </w:r>
      <w:r>
        <w:rPr>
          <w:rFonts w:hint="eastAsia" w:ascii="宋体" w:hAnsi="宋体" w:cs="宋体"/>
          <w:color w:val="auto"/>
          <w:sz w:val="30"/>
          <w:szCs w:val="30"/>
          <w:highlight w:val="none"/>
        </w:rPr>
        <w:fldChar w:fldCharType="separate"/>
      </w:r>
      <w:r>
        <w:rPr>
          <w:rFonts w:hint="eastAsia" w:ascii="宋体" w:hAnsi="宋体" w:cs="宋体"/>
          <w:color w:val="auto"/>
          <w:sz w:val="30"/>
          <w:szCs w:val="30"/>
          <w:highlight w:val="none"/>
        </w:rPr>
        <w:t>3</w:t>
      </w:r>
      <w:r>
        <w:rPr>
          <w:rFonts w:hint="eastAsia" w:ascii="宋体" w:hAnsi="宋体" w:cs="宋体"/>
          <w:color w:val="auto"/>
          <w:sz w:val="30"/>
          <w:szCs w:val="30"/>
          <w:highlight w:val="none"/>
        </w:rPr>
        <w:fldChar w:fldCharType="end"/>
      </w:r>
      <w:r>
        <w:rPr>
          <w:rFonts w:hint="eastAsia" w:ascii="宋体" w:hAnsi="宋体" w:cs="宋体"/>
          <w:color w:val="auto"/>
          <w:sz w:val="30"/>
          <w:szCs w:val="30"/>
          <w:highlight w:val="none"/>
        </w:rPr>
        <w:fldChar w:fldCharType="end"/>
      </w:r>
    </w:p>
    <w:p w14:paraId="4CEF8AE0">
      <w:pPr>
        <w:pStyle w:val="18"/>
        <w:tabs>
          <w:tab w:val="right" w:leader="dot" w:pos="10194"/>
        </w:tabs>
        <w:rPr>
          <w:rFonts w:ascii="宋体" w:hAnsi="宋体" w:cs="宋体"/>
          <w:color w:val="auto"/>
          <w:sz w:val="30"/>
          <w:szCs w:val="30"/>
          <w:highlight w:val="none"/>
        </w:rPr>
      </w:pPr>
      <w:r>
        <w:rPr>
          <w:color w:val="auto"/>
          <w:highlight w:val="none"/>
        </w:rPr>
        <w:fldChar w:fldCharType="begin"/>
      </w:r>
      <w:r>
        <w:rPr>
          <w:color w:val="auto"/>
          <w:highlight w:val="none"/>
        </w:rPr>
        <w:instrText xml:space="preserve"> HYPERLINK \l "_Toc8849" </w:instrText>
      </w:r>
      <w:r>
        <w:rPr>
          <w:color w:val="auto"/>
          <w:highlight w:val="none"/>
        </w:rPr>
        <w:fldChar w:fldCharType="separate"/>
      </w:r>
      <w:r>
        <w:rPr>
          <w:rFonts w:hint="eastAsia" w:ascii="宋体" w:hAnsi="宋体" w:cs="宋体"/>
          <w:color w:val="auto"/>
          <w:sz w:val="30"/>
          <w:szCs w:val="30"/>
          <w:highlight w:val="none"/>
        </w:rPr>
        <w:t>第二章 供应商须知</w:t>
      </w:r>
      <w:r>
        <w:rPr>
          <w:rFonts w:hint="eastAsia" w:ascii="宋体" w:hAnsi="宋体" w:cs="宋体"/>
          <w:color w:val="auto"/>
          <w:sz w:val="30"/>
          <w:szCs w:val="30"/>
          <w:highlight w:val="none"/>
        </w:rPr>
        <w:tab/>
      </w: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 PAGEREF _Toc8849 \h </w:instrText>
      </w:r>
      <w:r>
        <w:rPr>
          <w:rFonts w:hint="eastAsia" w:ascii="宋体" w:hAnsi="宋体" w:cs="宋体"/>
          <w:color w:val="auto"/>
          <w:sz w:val="30"/>
          <w:szCs w:val="30"/>
          <w:highlight w:val="none"/>
        </w:rPr>
        <w:fldChar w:fldCharType="separate"/>
      </w:r>
      <w:r>
        <w:rPr>
          <w:rFonts w:hint="eastAsia" w:ascii="宋体" w:hAnsi="宋体" w:cs="宋体"/>
          <w:color w:val="auto"/>
          <w:sz w:val="30"/>
          <w:szCs w:val="30"/>
          <w:highlight w:val="none"/>
        </w:rPr>
        <w:t>6</w:t>
      </w:r>
      <w:r>
        <w:rPr>
          <w:rFonts w:hint="eastAsia" w:ascii="宋体" w:hAnsi="宋体" w:cs="宋体"/>
          <w:color w:val="auto"/>
          <w:sz w:val="30"/>
          <w:szCs w:val="30"/>
          <w:highlight w:val="none"/>
        </w:rPr>
        <w:fldChar w:fldCharType="end"/>
      </w:r>
      <w:r>
        <w:rPr>
          <w:rFonts w:hint="eastAsia" w:ascii="宋体" w:hAnsi="宋体" w:cs="宋体"/>
          <w:color w:val="auto"/>
          <w:sz w:val="30"/>
          <w:szCs w:val="30"/>
          <w:highlight w:val="none"/>
        </w:rPr>
        <w:fldChar w:fldCharType="end"/>
      </w:r>
    </w:p>
    <w:p w14:paraId="783053D3">
      <w:pPr>
        <w:pStyle w:val="18"/>
        <w:tabs>
          <w:tab w:val="right" w:leader="dot" w:pos="10194"/>
        </w:tabs>
        <w:rPr>
          <w:rFonts w:ascii="宋体" w:hAnsi="宋体" w:cs="宋体"/>
          <w:color w:val="auto"/>
          <w:sz w:val="30"/>
          <w:szCs w:val="30"/>
          <w:highlight w:val="none"/>
        </w:rPr>
      </w:pPr>
      <w:r>
        <w:rPr>
          <w:color w:val="auto"/>
          <w:highlight w:val="none"/>
        </w:rPr>
        <w:fldChar w:fldCharType="begin"/>
      </w:r>
      <w:r>
        <w:rPr>
          <w:color w:val="auto"/>
          <w:highlight w:val="none"/>
        </w:rPr>
        <w:instrText xml:space="preserve"> HYPERLINK \l "_Toc10892" </w:instrText>
      </w:r>
      <w:r>
        <w:rPr>
          <w:color w:val="auto"/>
          <w:highlight w:val="none"/>
        </w:rPr>
        <w:fldChar w:fldCharType="separate"/>
      </w:r>
      <w:r>
        <w:rPr>
          <w:rFonts w:hint="eastAsia" w:ascii="宋体" w:hAnsi="宋体" w:cs="宋体"/>
          <w:color w:val="auto"/>
          <w:sz w:val="30"/>
          <w:szCs w:val="30"/>
          <w:highlight w:val="none"/>
        </w:rPr>
        <w:t>第三章 采购需求</w:t>
      </w:r>
      <w:r>
        <w:rPr>
          <w:rFonts w:hint="eastAsia" w:ascii="宋体" w:hAnsi="宋体" w:cs="宋体"/>
          <w:color w:val="auto"/>
          <w:sz w:val="30"/>
          <w:szCs w:val="30"/>
          <w:highlight w:val="none"/>
        </w:rPr>
        <w:tab/>
      </w: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 PAGEREF _Toc10892 \h </w:instrText>
      </w:r>
      <w:r>
        <w:rPr>
          <w:rFonts w:hint="eastAsia" w:ascii="宋体" w:hAnsi="宋体" w:cs="宋体"/>
          <w:color w:val="auto"/>
          <w:sz w:val="30"/>
          <w:szCs w:val="30"/>
          <w:highlight w:val="none"/>
        </w:rPr>
        <w:fldChar w:fldCharType="separate"/>
      </w:r>
      <w:r>
        <w:rPr>
          <w:rFonts w:hint="eastAsia" w:ascii="宋体" w:hAnsi="宋体" w:cs="宋体"/>
          <w:color w:val="auto"/>
          <w:sz w:val="30"/>
          <w:szCs w:val="30"/>
          <w:highlight w:val="none"/>
        </w:rPr>
        <w:t>23</w:t>
      </w:r>
      <w:r>
        <w:rPr>
          <w:rFonts w:hint="eastAsia" w:ascii="宋体" w:hAnsi="宋体" w:cs="宋体"/>
          <w:color w:val="auto"/>
          <w:sz w:val="30"/>
          <w:szCs w:val="30"/>
          <w:highlight w:val="none"/>
        </w:rPr>
        <w:fldChar w:fldCharType="end"/>
      </w:r>
      <w:r>
        <w:rPr>
          <w:rFonts w:hint="eastAsia" w:ascii="宋体" w:hAnsi="宋体" w:cs="宋体"/>
          <w:color w:val="auto"/>
          <w:sz w:val="30"/>
          <w:szCs w:val="30"/>
          <w:highlight w:val="none"/>
        </w:rPr>
        <w:fldChar w:fldCharType="end"/>
      </w:r>
    </w:p>
    <w:p w14:paraId="53B7E36D">
      <w:pPr>
        <w:pStyle w:val="18"/>
        <w:tabs>
          <w:tab w:val="right" w:leader="dot" w:pos="10194"/>
        </w:tabs>
        <w:rPr>
          <w:rFonts w:ascii="宋体" w:hAnsi="宋体" w:cs="宋体"/>
          <w:color w:val="auto"/>
          <w:sz w:val="30"/>
          <w:szCs w:val="30"/>
          <w:highlight w:val="none"/>
        </w:rPr>
      </w:pPr>
      <w:r>
        <w:rPr>
          <w:color w:val="auto"/>
          <w:highlight w:val="none"/>
        </w:rPr>
        <w:fldChar w:fldCharType="begin"/>
      </w:r>
      <w:r>
        <w:rPr>
          <w:color w:val="auto"/>
          <w:highlight w:val="none"/>
        </w:rPr>
        <w:instrText xml:space="preserve"> HYPERLINK \l "_Toc24716" </w:instrText>
      </w:r>
      <w:r>
        <w:rPr>
          <w:color w:val="auto"/>
          <w:highlight w:val="none"/>
        </w:rPr>
        <w:fldChar w:fldCharType="separate"/>
      </w:r>
      <w:r>
        <w:rPr>
          <w:rFonts w:hint="eastAsia" w:ascii="宋体" w:hAnsi="宋体" w:cs="宋体"/>
          <w:color w:val="auto"/>
          <w:sz w:val="30"/>
          <w:szCs w:val="30"/>
          <w:highlight w:val="none"/>
        </w:rPr>
        <w:t>第四章 评审办法</w:t>
      </w:r>
      <w:r>
        <w:rPr>
          <w:rFonts w:hint="eastAsia" w:ascii="宋体" w:hAnsi="宋体" w:cs="宋体"/>
          <w:color w:val="auto"/>
          <w:sz w:val="30"/>
          <w:szCs w:val="30"/>
          <w:highlight w:val="none"/>
        </w:rPr>
        <w:tab/>
      </w: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 PAGEREF _Toc24716 \h </w:instrText>
      </w:r>
      <w:r>
        <w:rPr>
          <w:rFonts w:hint="eastAsia" w:ascii="宋体" w:hAnsi="宋体" w:cs="宋体"/>
          <w:color w:val="auto"/>
          <w:sz w:val="30"/>
          <w:szCs w:val="30"/>
          <w:highlight w:val="none"/>
        </w:rPr>
        <w:fldChar w:fldCharType="separate"/>
      </w:r>
      <w:r>
        <w:rPr>
          <w:rFonts w:hint="eastAsia" w:ascii="宋体" w:hAnsi="宋体" w:cs="宋体"/>
          <w:color w:val="auto"/>
          <w:sz w:val="30"/>
          <w:szCs w:val="30"/>
          <w:highlight w:val="none"/>
        </w:rPr>
        <w:t>25</w:t>
      </w:r>
      <w:r>
        <w:rPr>
          <w:rFonts w:hint="eastAsia" w:ascii="宋体" w:hAnsi="宋体" w:cs="宋体"/>
          <w:color w:val="auto"/>
          <w:sz w:val="30"/>
          <w:szCs w:val="30"/>
          <w:highlight w:val="none"/>
        </w:rPr>
        <w:fldChar w:fldCharType="end"/>
      </w:r>
      <w:r>
        <w:rPr>
          <w:rFonts w:hint="eastAsia" w:ascii="宋体" w:hAnsi="宋体" w:cs="宋体"/>
          <w:color w:val="auto"/>
          <w:sz w:val="30"/>
          <w:szCs w:val="30"/>
          <w:highlight w:val="none"/>
        </w:rPr>
        <w:fldChar w:fldCharType="end"/>
      </w:r>
    </w:p>
    <w:p w14:paraId="2F4AF788">
      <w:pPr>
        <w:pStyle w:val="18"/>
        <w:tabs>
          <w:tab w:val="right" w:leader="dot" w:pos="10194"/>
        </w:tabs>
        <w:rPr>
          <w:rFonts w:ascii="宋体" w:hAnsi="宋体" w:cs="宋体"/>
          <w:color w:val="auto"/>
          <w:sz w:val="30"/>
          <w:szCs w:val="30"/>
          <w:highlight w:val="none"/>
        </w:rPr>
      </w:pPr>
      <w:r>
        <w:rPr>
          <w:color w:val="auto"/>
          <w:highlight w:val="none"/>
        </w:rPr>
        <w:fldChar w:fldCharType="begin"/>
      </w:r>
      <w:r>
        <w:rPr>
          <w:color w:val="auto"/>
          <w:highlight w:val="none"/>
        </w:rPr>
        <w:instrText xml:space="preserve"> HYPERLINK \l "_Toc25360" </w:instrText>
      </w:r>
      <w:r>
        <w:rPr>
          <w:color w:val="auto"/>
          <w:highlight w:val="none"/>
        </w:rPr>
        <w:fldChar w:fldCharType="separate"/>
      </w:r>
      <w:r>
        <w:rPr>
          <w:rFonts w:hint="eastAsia" w:ascii="宋体" w:hAnsi="宋体" w:cs="宋体"/>
          <w:color w:val="auto"/>
          <w:sz w:val="30"/>
          <w:szCs w:val="30"/>
          <w:highlight w:val="none"/>
        </w:rPr>
        <w:t>第五章 采购合同（合同主要条款及格式）</w:t>
      </w:r>
      <w:r>
        <w:rPr>
          <w:rFonts w:hint="eastAsia" w:ascii="宋体" w:hAnsi="宋体" w:cs="宋体"/>
          <w:color w:val="auto"/>
          <w:sz w:val="30"/>
          <w:szCs w:val="30"/>
          <w:highlight w:val="none"/>
        </w:rPr>
        <w:tab/>
      </w: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 PAGEREF _Toc25360 \h </w:instrText>
      </w:r>
      <w:r>
        <w:rPr>
          <w:rFonts w:hint="eastAsia" w:ascii="宋体" w:hAnsi="宋体" w:cs="宋体"/>
          <w:color w:val="auto"/>
          <w:sz w:val="30"/>
          <w:szCs w:val="30"/>
          <w:highlight w:val="none"/>
        </w:rPr>
        <w:fldChar w:fldCharType="separate"/>
      </w:r>
      <w:r>
        <w:rPr>
          <w:rFonts w:hint="eastAsia" w:ascii="宋体" w:hAnsi="宋体" w:cs="宋体"/>
          <w:color w:val="auto"/>
          <w:sz w:val="30"/>
          <w:szCs w:val="30"/>
          <w:highlight w:val="none"/>
        </w:rPr>
        <w:t>41</w:t>
      </w:r>
      <w:r>
        <w:rPr>
          <w:rFonts w:hint="eastAsia" w:ascii="宋体" w:hAnsi="宋体" w:cs="宋体"/>
          <w:color w:val="auto"/>
          <w:sz w:val="30"/>
          <w:szCs w:val="30"/>
          <w:highlight w:val="none"/>
        </w:rPr>
        <w:fldChar w:fldCharType="end"/>
      </w:r>
      <w:r>
        <w:rPr>
          <w:rFonts w:hint="eastAsia" w:ascii="宋体" w:hAnsi="宋体" w:cs="宋体"/>
          <w:color w:val="auto"/>
          <w:sz w:val="30"/>
          <w:szCs w:val="30"/>
          <w:highlight w:val="none"/>
        </w:rPr>
        <w:fldChar w:fldCharType="end"/>
      </w:r>
    </w:p>
    <w:p w14:paraId="6FB0CAB7">
      <w:pPr>
        <w:pStyle w:val="18"/>
        <w:tabs>
          <w:tab w:val="right" w:leader="dot" w:pos="10194"/>
        </w:tabs>
        <w:rPr>
          <w:rFonts w:ascii="宋体" w:hAnsi="宋体" w:cs="宋体"/>
          <w:color w:val="auto"/>
          <w:sz w:val="30"/>
          <w:szCs w:val="30"/>
          <w:highlight w:val="none"/>
        </w:rPr>
      </w:pPr>
      <w:r>
        <w:rPr>
          <w:color w:val="auto"/>
          <w:highlight w:val="none"/>
        </w:rPr>
        <w:fldChar w:fldCharType="begin"/>
      </w:r>
      <w:r>
        <w:rPr>
          <w:color w:val="auto"/>
          <w:highlight w:val="none"/>
        </w:rPr>
        <w:instrText xml:space="preserve"> HYPERLINK \l "_Toc16171" </w:instrText>
      </w:r>
      <w:r>
        <w:rPr>
          <w:color w:val="auto"/>
          <w:highlight w:val="none"/>
        </w:rPr>
        <w:fldChar w:fldCharType="separate"/>
      </w:r>
      <w:r>
        <w:rPr>
          <w:rFonts w:hint="eastAsia" w:ascii="宋体" w:hAnsi="宋体" w:cs="宋体"/>
          <w:color w:val="auto"/>
          <w:sz w:val="30"/>
          <w:szCs w:val="30"/>
          <w:highlight w:val="none"/>
        </w:rPr>
        <w:t>第六章 响应文件（格式）</w:t>
      </w:r>
      <w:r>
        <w:rPr>
          <w:rFonts w:hint="eastAsia" w:ascii="宋体" w:hAnsi="宋体" w:cs="宋体"/>
          <w:color w:val="auto"/>
          <w:sz w:val="30"/>
          <w:szCs w:val="30"/>
          <w:highlight w:val="none"/>
        </w:rPr>
        <w:tab/>
      </w: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 PAGEREF _Toc16171 \h </w:instrText>
      </w:r>
      <w:r>
        <w:rPr>
          <w:rFonts w:hint="eastAsia" w:ascii="宋体" w:hAnsi="宋体" w:cs="宋体"/>
          <w:color w:val="auto"/>
          <w:sz w:val="30"/>
          <w:szCs w:val="30"/>
          <w:highlight w:val="none"/>
        </w:rPr>
        <w:fldChar w:fldCharType="separate"/>
      </w:r>
      <w:r>
        <w:rPr>
          <w:rFonts w:hint="eastAsia" w:ascii="宋体" w:hAnsi="宋体" w:cs="宋体"/>
          <w:color w:val="auto"/>
          <w:sz w:val="30"/>
          <w:szCs w:val="30"/>
          <w:highlight w:val="none"/>
        </w:rPr>
        <w:t>46</w:t>
      </w:r>
      <w:r>
        <w:rPr>
          <w:rFonts w:hint="eastAsia" w:ascii="宋体" w:hAnsi="宋体" w:cs="宋体"/>
          <w:color w:val="auto"/>
          <w:sz w:val="30"/>
          <w:szCs w:val="30"/>
          <w:highlight w:val="none"/>
        </w:rPr>
        <w:fldChar w:fldCharType="end"/>
      </w:r>
      <w:r>
        <w:rPr>
          <w:rFonts w:hint="eastAsia" w:ascii="宋体" w:hAnsi="宋体" w:cs="宋体"/>
          <w:color w:val="auto"/>
          <w:sz w:val="30"/>
          <w:szCs w:val="30"/>
          <w:highlight w:val="none"/>
        </w:rPr>
        <w:fldChar w:fldCharType="end"/>
      </w:r>
    </w:p>
    <w:p w14:paraId="77CC900D">
      <w:pPr>
        <w:jc w:val="center"/>
        <w:rPr>
          <w:rFonts w:ascii="宋体" w:hAnsi="宋体" w:cs="宋体"/>
          <w:b/>
          <w:bCs/>
          <w:color w:val="auto"/>
          <w:sz w:val="32"/>
          <w:szCs w:val="32"/>
          <w:highlight w:val="none"/>
        </w:rPr>
      </w:pPr>
      <w:r>
        <w:rPr>
          <w:rFonts w:hint="eastAsia" w:ascii="宋体" w:hAnsi="宋体" w:cs="宋体"/>
          <w:bCs/>
          <w:color w:val="auto"/>
          <w:sz w:val="30"/>
          <w:szCs w:val="30"/>
          <w:highlight w:val="none"/>
        </w:rPr>
        <w:fldChar w:fldCharType="end"/>
      </w:r>
    </w:p>
    <w:p w14:paraId="077701CE">
      <w:pPr>
        <w:rPr>
          <w:rFonts w:ascii="宋体" w:hAnsi="宋体" w:cs="宋体"/>
          <w:b/>
          <w:bCs/>
          <w:color w:val="auto"/>
          <w:sz w:val="32"/>
          <w:szCs w:val="32"/>
          <w:highlight w:val="none"/>
        </w:rPr>
        <w:sectPr>
          <w:pgSz w:w="11906" w:h="16838"/>
          <w:pgMar w:top="1440" w:right="935" w:bottom="1440" w:left="777" w:header="851" w:footer="992" w:gutter="0"/>
          <w:cols w:space="720" w:num="1"/>
          <w:docGrid w:type="linesAndChars" w:linePitch="312" w:charSpace="0"/>
        </w:sectPr>
      </w:pPr>
    </w:p>
    <w:p w14:paraId="4A30A335">
      <w:pPr>
        <w:pStyle w:val="2"/>
        <w:numPr>
          <w:ilvl w:val="0"/>
          <w:numId w:val="1"/>
        </w:numPr>
        <w:spacing w:line="360" w:lineRule="exact"/>
        <w:rPr>
          <w:rFonts w:ascii="宋体" w:hAnsi="宋体" w:cs="宋体"/>
          <w:color w:val="auto"/>
          <w:highlight w:val="none"/>
        </w:rPr>
      </w:pPr>
      <w:bookmarkStart w:id="2" w:name="_Toc28359011"/>
      <w:bookmarkStart w:id="3" w:name="_Toc17502"/>
      <w:bookmarkStart w:id="4" w:name="_Toc30170"/>
      <w:bookmarkStart w:id="5" w:name="_Toc29067"/>
      <w:bookmarkStart w:id="6" w:name="_Toc35393797"/>
      <w:bookmarkStart w:id="7" w:name="_Toc26809"/>
      <w:r>
        <w:rPr>
          <w:rFonts w:hint="eastAsia"/>
          <w:color w:val="auto"/>
          <w:highlight w:val="none"/>
        </w:rPr>
        <w:t>竞争性磋商公告</w:t>
      </w:r>
      <w:bookmarkEnd w:id="2"/>
      <w:bookmarkEnd w:id="3"/>
      <w:bookmarkEnd w:id="4"/>
      <w:bookmarkEnd w:id="5"/>
      <w:bookmarkEnd w:id="6"/>
      <w:bookmarkEnd w:id="7"/>
    </w:p>
    <w:tbl>
      <w:tblPr>
        <w:tblStyle w:val="25"/>
        <w:tblpPr w:leftFromText="180" w:rightFromText="180" w:vertAnchor="text" w:tblpX="38" w:tblpY="134"/>
        <w:tblOverlap w:val="never"/>
        <w:tblW w:w="97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2"/>
      </w:tblGrid>
      <w:tr w14:paraId="4EC4A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2" w:hRule="atLeast"/>
        </w:trPr>
        <w:tc>
          <w:tcPr>
            <w:tcW w:w="9702" w:type="dxa"/>
          </w:tcPr>
          <w:p w14:paraId="4C321A39">
            <w:pPr>
              <w:keepNext w:val="0"/>
              <w:keepLines w:val="0"/>
              <w:pageBreakBefore w:val="0"/>
              <w:suppressLineNumbers w:val="0"/>
              <w:kinsoku/>
              <w:wordWrap/>
              <w:overflowPunct/>
              <w:topLinePunct w:val="0"/>
              <w:bidi w:val="0"/>
              <w:spacing w:before="0" w:beforeAutospacing="0" w:after="0" w:afterAutospacing="0" w:line="360" w:lineRule="auto"/>
              <w:ind w:left="0" w:leftChars="0" w:right="0"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项目概况</w:t>
            </w:r>
          </w:p>
          <w:p w14:paraId="10A238FD">
            <w:pPr>
              <w:keepNext w:val="0"/>
              <w:keepLines w:val="0"/>
              <w:pageBreakBefore w:val="0"/>
              <w:suppressLineNumbers w:val="0"/>
              <w:kinsoku/>
              <w:wordWrap/>
              <w:overflowPunct/>
              <w:topLinePunct w:val="0"/>
              <w:bidi w:val="0"/>
              <w:spacing w:before="0" w:beforeAutospacing="0" w:after="0" w:afterAutospacing="0" w:line="360" w:lineRule="auto"/>
              <w:ind w:left="0" w:leftChars="0" w:right="0"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u w:val="single"/>
                <w:lang w:eastAsia="zh-CN"/>
              </w:rPr>
              <w:t>广西花坪国家级自然保护区特种救护、宣传（资料）视频制作、标本养护及古树名木资源普查项目A分标（重）</w:t>
            </w:r>
            <w:r>
              <w:rPr>
                <w:rFonts w:hint="eastAsia" w:ascii="宋体" w:hAnsi="宋体" w:cs="宋体"/>
                <w:color w:val="auto"/>
                <w:szCs w:val="21"/>
                <w:highlight w:val="none"/>
              </w:rPr>
              <w:t>的潜在供应商应在广西政府采购云平台（https://www.gcy.zfcg.gxzf.gov.cn/）获取磋商文件，并于</w:t>
            </w:r>
            <w:r>
              <w:rPr>
                <w:rFonts w:hint="eastAsia" w:ascii="宋体" w:hAnsi="宋体" w:cs="宋体"/>
                <w:color w:val="0000FF"/>
                <w:szCs w:val="21"/>
                <w:highlight w:val="none"/>
                <w:u w:val="single"/>
                <w:lang w:eastAsia="zh-CN"/>
              </w:rPr>
              <w:t>2026年10月22日</w:t>
            </w:r>
            <w:r>
              <w:rPr>
                <w:rFonts w:hint="eastAsia" w:ascii="宋体" w:hAnsi="宋体" w:cs="宋体"/>
                <w:bCs/>
                <w:color w:val="auto"/>
                <w:szCs w:val="21"/>
                <w:highlight w:val="none"/>
                <w:u w:val="single"/>
              </w:rPr>
              <w:t>9时30分</w:t>
            </w:r>
            <w:r>
              <w:rPr>
                <w:rFonts w:hint="eastAsia" w:ascii="宋体" w:hAnsi="宋体" w:cs="宋体"/>
                <w:bCs/>
                <w:color w:val="auto"/>
                <w:szCs w:val="21"/>
                <w:highlight w:val="none"/>
              </w:rPr>
              <w:t>（北京时间）前提交响应文件</w:t>
            </w:r>
            <w:r>
              <w:rPr>
                <w:rFonts w:hint="eastAsia" w:ascii="宋体" w:hAnsi="宋体" w:cs="宋体"/>
                <w:color w:val="auto"/>
                <w:szCs w:val="21"/>
                <w:highlight w:val="none"/>
              </w:rPr>
              <w:t>。</w:t>
            </w:r>
          </w:p>
        </w:tc>
      </w:tr>
    </w:tbl>
    <w:p w14:paraId="51BEB3D9">
      <w:pPr>
        <w:keepNext w:val="0"/>
        <w:keepLines w:val="0"/>
        <w:pageBreakBefore w:val="0"/>
        <w:kinsoku/>
        <w:wordWrap/>
        <w:overflowPunct/>
        <w:topLinePunct w:val="0"/>
        <w:bidi w:val="0"/>
        <w:spacing w:line="360" w:lineRule="auto"/>
        <w:ind w:left="0" w:leftChars="0"/>
        <w:textAlignment w:val="auto"/>
        <w:rPr>
          <w:rFonts w:ascii="宋体" w:hAnsi="宋体" w:cs="宋体"/>
          <w:color w:val="auto"/>
          <w:szCs w:val="21"/>
          <w:highlight w:val="none"/>
        </w:rPr>
      </w:pPr>
      <w:bookmarkStart w:id="8" w:name="_Toc35393629"/>
      <w:bookmarkStart w:id="9" w:name="_Toc28359089"/>
      <w:bookmarkStart w:id="10" w:name="_Toc35393798"/>
      <w:bookmarkStart w:id="11" w:name="_Toc28359012"/>
      <w:r>
        <w:rPr>
          <w:rFonts w:hint="eastAsia" w:ascii="宋体" w:hAnsi="宋体" w:cs="宋体"/>
          <w:color w:val="auto"/>
          <w:szCs w:val="21"/>
          <w:highlight w:val="none"/>
        </w:rPr>
        <w:t>一、项目基本情况</w:t>
      </w:r>
      <w:bookmarkEnd w:id="8"/>
      <w:bookmarkEnd w:id="9"/>
      <w:bookmarkEnd w:id="10"/>
      <w:bookmarkEnd w:id="11"/>
    </w:p>
    <w:p w14:paraId="2C25B0DA">
      <w:pPr>
        <w:keepNext w:val="0"/>
        <w:keepLines w:val="0"/>
        <w:pageBreakBefore w:val="0"/>
        <w:kinsoku/>
        <w:wordWrap/>
        <w:overflowPunct/>
        <w:topLinePunct w:val="0"/>
        <w:bidi w:val="0"/>
        <w:spacing w:line="360" w:lineRule="auto"/>
        <w:ind w:left="0" w:leftChars="0" w:firstLine="420" w:firstLineChars="200"/>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项目编号：</w:t>
      </w:r>
      <w:r>
        <w:rPr>
          <w:rFonts w:hint="eastAsia" w:ascii="宋体" w:hAnsi="宋体" w:cs="宋体"/>
          <w:color w:val="auto"/>
          <w:szCs w:val="21"/>
          <w:highlight w:val="none"/>
          <w:lang w:eastAsia="zh-CN"/>
        </w:rPr>
        <w:t>GLZC2026-C3-990456-GXTG</w:t>
      </w:r>
    </w:p>
    <w:p w14:paraId="456A4FB3">
      <w:pPr>
        <w:keepNext w:val="0"/>
        <w:keepLines w:val="0"/>
        <w:pageBreakBefore w:val="0"/>
        <w:kinsoku/>
        <w:wordWrap/>
        <w:overflowPunct/>
        <w:topLinePunct w:val="0"/>
        <w:bidi w:val="0"/>
        <w:spacing w:line="360" w:lineRule="auto"/>
        <w:ind w:left="0" w:leftChars="0" w:firstLine="420" w:firstLineChars="200"/>
        <w:textAlignment w:val="auto"/>
        <w:rPr>
          <w:rFonts w:ascii="宋体" w:hAnsi="宋体" w:cs="宋体"/>
          <w:color w:val="auto"/>
          <w:szCs w:val="21"/>
          <w:highlight w:val="none"/>
          <w:u w:val="single"/>
        </w:rPr>
      </w:pPr>
      <w:r>
        <w:rPr>
          <w:rFonts w:hint="eastAsia" w:ascii="宋体" w:hAnsi="宋体" w:cs="宋体"/>
          <w:color w:val="auto"/>
          <w:szCs w:val="21"/>
          <w:highlight w:val="none"/>
        </w:rPr>
        <w:t>项目名称：</w:t>
      </w:r>
      <w:r>
        <w:rPr>
          <w:rFonts w:hint="eastAsia" w:ascii="宋体" w:hAnsi="宋体" w:cs="宋体"/>
          <w:color w:val="auto"/>
          <w:szCs w:val="21"/>
          <w:highlight w:val="none"/>
          <w:lang w:eastAsia="zh-CN"/>
        </w:rPr>
        <w:t>广西花坪国家级自然保护区特种救护、宣传（资料）视频制作、标本养护及古树名木资源普查项目A分标（重）</w:t>
      </w:r>
      <w:r>
        <w:rPr>
          <w:rFonts w:hint="eastAsia" w:ascii="宋体" w:hAnsi="宋体" w:cs="宋体"/>
          <w:color w:val="auto"/>
          <w:szCs w:val="21"/>
          <w:highlight w:val="none"/>
        </w:rPr>
        <w:t xml:space="preserve"> </w:t>
      </w:r>
    </w:p>
    <w:p w14:paraId="073448EC">
      <w:pPr>
        <w:keepNext w:val="0"/>
        <w:keepLines w:val="0"/>
        <w:pageBreakBefore w:val="0"/>
        <w:kinsoku/>
        <w:wordWrap/>
        <w:overflowPunct/>
        <w:topLinePunct w:val="0"/>
        <w:bidi w:val="0"/>
        <w:spacing w:line="360" w:lineRule="auto"/>
        <w:ind w:left="0" w:leftChars="0"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采购方式：竞争性磋商</w:t>
      </w:r>
    </w:p>
    <w:p w14:paraId="69A9FAAC">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val="0"/>
          <w:color w:val="auto"/>
          <w:szCs w:val="21"/>
          <w:highlight w:val="none"/>
          <w:lang w:val="en-US" w:eastAsia="zh-CN"/>
        </w:rPr>
      </w:pPr>
      <w:r>
        <w:rPr>
          <w:rFonts w:hint="eastAsia" w:ascii="宋体" w:hAnsi="宋体" w:cs="宋体"/>
          <w:b/>
          <w:bCs w:val="0"/>
          <w:color w:val="auto"/>
          <w:szCs w:val="21"/>
          <w:highlight w:val="none"/>
          <w:lang w:val="en-US" w:eastAsia="zh-CN"/>
        </w:rPr>
        <w:t>A分标预算金额：人民币伍拾壹万捌仟肆佰元整‌（¥518400.00元）</w:t>
      </w:r>
    </w:p>
    <w:p w14:paraId="45D42BAB">
      <w:pPr>
        <w:keepNext w:val="0"/>
        <w:keepLines w:val="0"/>
        <w:pageBreakBefore w:val="0"/>
        <w:kinsoku/>
        <w:wordWrap/>
        <w:overflowPunct/>
        <w:topLinePunct w:val="0"/>
        <w:bidi w:val="0"/>
        <w:spacing w:line="360" w:lineRule="auto"/>
        <w:ind w:left="0" w:leftChars="0" w:firstLine="422" w:firstLineChars="200"/>
        <w:textAlignment w:val="auto"/>
        <w:rPr>
          <w:rFonts w:ascii="宋体" w:hAnsi="宋体" w:cs="宋体"/>
          <w:color w:val="auto"/>
          <w:szCs w:val="21"/>
          <w:highlight w:val="none"/>
          <w:u w:val="single"/>
        </w:rPr>
      </w:pPr>
      <w:r>
        <w:rPr>
          <w:rFonts w:hint="eastAsia" w:ascii="宋体" w:hAnsi="宋体" w:cs="宋体"/>
          <w:b/>
          <w:bCs/>
          <w:color w:val="auto"/>
          <w:szCs w:val="21"/>
          <w:highlight w:val="none"/>
        </w:rPr>
        <w:t>采购需求</w:t>
      </w:r>
      <w:r>
        <w:rPr>
          <w:rFonts w:hint="eastAsia" w:ascii="宋体" w:hAnsi="宋体" w:cs="宋体"/>
          <w:color w:val="auto"/>
          <w:szCs w:val="21"/>
          <w:highlight w:val="none"/>
        </w:rPr>
        <w:t>：</w:t>
      </w:r>
    </w:p>
    <w:tbl>
      <w:tblPr>
        <w:tblStyle w:val="24"/>
        <w:tblW w:w="9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9"/>
        <w:gridCol w:w="2593"/>
        <w:gridCol w:w="1039"/>
        <w:gridCol w:w="1114"/>
        <w:gridCol w:w="3239"/>
      </w:tblGrid>
      <w:tr w14:paraId="50947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189" w:type="dxa"/>
            <w:tcBorders>
              <w:top w:val="single" w:color="auto" w:sz="4" w:space="0"/>
              <w:left w:val="single" w:color="auto" w:sz="4" w:space="0"/>
              <w:bottom w:val="single" w:color="auto" w:sz="4" w:space="0"/>
              <w:right w:val="single" w:color="auto" w:sz="4" w:space="0"/>
            </w:tcBorders>
            <w:vAlign w:val="center"/>
          </w:tcPr>
          <w:p w14:paraId="559A8846">
            <w:pPr>
              <w:keepNext w:val="0"/>
              <w:keepLines w:val="0"/>
              <w:pageBreakBefore w:val="0"/>
              <w:suppressLineNumbers w:val="0"/>
              <w:kinsoku/>
              <w:wordWrap/>
              <w:overflowPunct/>
              <w:topLinePunct w:val="0"/>
              <w:bidi w:val="0"/>
              <w:spacing w:before="0" w:beforeAutospacing="0" w:after="0" w:afterAutospacing="0" w:line="360" w:lineRule="auto"/>
              <w:ind w:left="0" w:leftChars="0" w:right="0" w:rightChars="0"/>
              <w:jc w:val="center"/>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分标</w:t>
            </w:r>
            <w:r>
              <w:rPr>
                <w:rFonts w:hint="eastAsia" w:ascii="宋体" w:hAnsi="宋体" w:cs="宋体"/>
                <w:color w:val="auto"/>
                <w:szCs w:val="21"/>
                <w:highlight w:val="none"/>
              </w:rPr>
              <w:t>号</w:t>
            </w:r>
          </w:p>
        </w:tc>
        <w:tc>
          <w:tcPr>
            <w:tcW w:w="2593" w:type="dxa"/>
            <w:tcBorders>
              <w:top w:val="single" w:color="auto" w:sz="4" w:space="0"/>
              <w:left w:val="nil"/>
              <w:bottom w:val="single" w:color="auto" w:sz="4" w:space="0"/>
              <w:right w:val="single" w:color="auto" w:sz="4" w:space="0"/>
            </w:tcBorders>
            <w:vAlign w:val="center"/>
          </w:tcPr>
          <w:p w14:paraId="2C1F7064">
            <w:pPr>
              <w:keepNext w:val="0"/>
              <w:keepLines w:val="0"/>
              <w:pageBreakBefore w:val="0"/>
              <w:suppressLineNumbers w:val="0"/>
              <w:kinsoku/>
              <w:wordWrap/>
              <w:overflowPunct/>
              <w:topLinePunct w:val="0"/>
              <w:bidi w:val="0"/>
              <w:spacing w:before="0" w:beforeAutospacing="0" w:after="0" w:afterAutospacing="0" w:line="360" w:lineRule="auto"/>
              <w:ind w:left="0" w:leftChars="0" w:right="0"/>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服务名称</w:t>
            </w:r>
          </w:p>
        </w:tc>
        <w:tc>
          <w:tcPr>
            <w:tcW w:w="1039" w:type="dxa"/>
            <w:tcBorders>
              <w:top w:val="single" w:color="auto" w:sz="4" w:space="0"/>
              <w:left w:val="nil"/>
              <w:bottom w:val="single" w:color="auto" w:sz="4" w:space="0"/>
              <w:right w:val="single" w:color="auto" w:sz="4" w:space="0"/>
            </w:tcBorders>
            <w:vAlign w:val="center"/>
          </w:tcPr>
          <w:p w14:paraId="37DAA19F">
            <w:pPr>
              <w:keepNext w:val="0"/>
              <w:keepLines w:val="0"/>
              <w:pageBreakBefore w:val="0"/>
              <w:suppressLineNumbers w:val="0"/>
              <w:kinsoku/>
              <w:wordWrap/>
              <w:overflowPunct/>
              <w:topLinePunct w:val="0"/>
              <w:bidi w:val="0"/>
              <w:spacing w:before="0" w:beforeAutospacing="0" w:after="0" w:afterAutospacing="0" w:line="360" w:lineRule="auto"/>
              <w:ind w:left="0" w:leftChars="0" w:right="0"/>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1114" w:type="dxa"/>
            <w:tcBorders>
              <w:top w:val="single" w:color="auto" w:sz="4" w:space="0"/>
              <w:left w:val="nil"/>
              <w:bottom w:val="single" w:color="auto" w:sz="4" w:space="0"/>
              <w:right w:val="single" w:color="auto" w:sz="4" w:space="0"/>
            </w:tcBorders>
            <w:vAlign w:val="center"/>
          </w:tcPr>
          <w:p w14:paraId="7C6E4598">
            <w:pPr>
              <w:keepNext w:val="0"/>
              <w:keepLines w:val="0"/>
              <w:pageBreakBefore w:val="0"/>
              <w:suppressLineNumbers w:val="0"/>
              <w:kinsoku/>
              <w:wordWrap/>
              <w:overflowPunct/>
              <w:topLinePunct w:val="0"/>
              <w:bidi w:val="0"/>
              <w:spacing w:before="0" w:beforeAutospacing="0" w:after="0" w:afterAutospacing="0" w:line="360" w:lineRule="auto"/>
              <w:ind w:left="0" w:leftChars="0" w:right="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  单位</w:t>
            </w:r>
          </w:p>
        </w:tc>
        <w:tc>
          <w:tcPr>
            <w:tcW w:w="3239" w:type="dxa"/>
            <w:tcBorders>
              <w:top w:val="single" w:color="auto" w:sz="4" w:space="0"/>
              <w:left w:val="nil"/>
              <w:bottom w:val="single" w:color="auto" w:sz="4" w:space="0"/>
              <w:right w:val="single" w:color="auto" w:sz="4" w:space="0"/>
            </w:tcBorders>
            <w:vAlign w:val="center"/>
          </w:tcPr>
          <w:p w14:paraId="0C9E39C1">
            <w:pPr>
              <w:keepNext w:val="0"/>
              <w:keepLines w:val="0"/>
              <w:pageBreakBefore w:val="0"/>
              <w:suppressLineNumbers w:val="0"/>
              <w:kinsoku/>
              <w:wordWrap/>
              <w:overflowPunct/>
              <w:topLinePunct w:val="0"/>
              <w:bidi w:val="0"/>
              <w:spacing w:before="0" w:beforeAutospacing="0" w:after="0" w:afterAutospacing="0" w:line="360" w:lineRule="auto"/>
              <w:ind w:left="0" w:leftChars="0" w:right="0"/>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简要规格描述或项目基本概况</w:t>
            </w:r>
          </w:p>
          <w:p w14:paraId="440542B3">
            <w:pPr>
              <w:keepNext w:val="0"/>
              <w:keepLines w:val="0"/>
              <w:pageBreakBefore w:val="0"/>
              <w:suppressLineNumbers w:val="0"/>
              <w:kinsoku/>
              <w:wordWrap/>
              <w:overflowPunct/>
              <w:topLinePunct w:val="0"/>
              <w:bidi w:val="0"/>
              <w:spacing w:before="0" w:beforeAutospacing="0" w:after="0" w:afterAutospacing="0" w:line="360" w:lineRule="auto"/>
              <w:ind w:left="0" w:leftChars="0" w:right="0"/>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介绍、用途</w:t>
            </w:r>
          </w:p>
        </w:tc>
      </w:tr>
      <w:tr w14:paraId="050C1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0" w:hRule="exact"/>
          <w:jc w:val="center"/>
        </w:trPr>
        <w:tc>
          <w:tcPr>
            <w:tcW w:w="1189" w:type="dxa"/>
            <w:tcBorders>
              <w:top w:val="single" w:color="auto" w:sz="4" w:space="0"/>
              <w:left w:val="single" w:color="auto" w:sz="4" w:space="0"/>
              <w:bottom w:val="single" w:color="auto" w:sz="4" w:space="0"/>
              <w:right w:val="single" w:color="auto" w:sz="4" w:space="0"/>
            </w:tcBorders>
            <w:vAlign w:val="center"/>
          </w:tcPr>
          <w:p w14:paraId="11A6207A">
            <w:pPr>
              <w:keepNext w:val="0"/>
              <w:keepLines w:val="0"/>
              <w:pageBreakBefore w:val="0"/>
              <w:suppressLineNumbers w:val="0"/>
              <w:kinsoku/>
              <w:wordWrap/>
              <w:overflowPunct/>
              <w:topLinePunct w:val="0"/>
              <w:bidi w:val="0"/>
              <w:spacing w:before="0" w:beforeAutospacing="0" w:after="0" w:afterAutospacing="0" w:line="360" w:lineRule="auto"/>
              <w:ind w:left="0" w:leftChars="0" w:right="0" w:rightChars="0" w:firstLine="210" w:firstLineChars="100"/>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A分标</w:t>
            </w:r>
          </w:p>
        </w:tc>
        <w:tc>
          <w:tcPr>
            <w:tcW w:w="2593" w:type="dxa"/>
            <w:tcBorders>
              <w:top w:val="single" w:color="auto" w:sz="4" w:space="0"/>
              <w:left w:val="nil"/>
              <w:bottom w:val="single" w:color="auto" w:sz="4" w:space="0"/>
              <w:right w:val="single" w:color="auto" w:sz="4" w:space="0"/>
            </w:tcBorders>
            <w:vAlign w:val="center"/>
          </w:tcPr>
          <w:p w14:paraId="3D585C92">
            <w:pPr>
              <w:keepNext w:val="0"/>
              <w:keepLines w:val="0"/>
              <w:pageBreakBefore w:val="0"/>
              <w:suppressLineNumbers w:val="0"/>
              <w:kinsoku/>
              <w:wordWrap/>
              <w:overflowPunct/>
              <w:topLinePunct w:val="0"/>
              <w:bidi w:val="0"/>
              <w:spacing w:before="0" w:beforeAutospacing="0" w:after="0" w:afterAutospacing="0" w:line="360" w:lineRule="auto"/>
              <w:ind w:left="0" w:leftChars="0" w:right="0"/>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特种救护、宣传（资料）视频制作、标本养护</w:t>
            </w:r>
          </w:p>
        </w:tc>
        <w:tc>
          <w:tcPr>
            <w:tcW w:w="1039" w:type="dxa"/>
            <w:tcBorders>
              <w:top w:val="single" w:color="auto" w:sz="4" w:space="0"/>
              <w:left w:val="nil"/>
              <w:bottom w:val="single" w:color="auto" w:sz="4" w:space="0"/>
              <w:right w:val="single" w:color="auto" w:sz="4" w:space="0"/>
            </w:tcBorders>
            <w:vAlign w:val="center"/>
          </w:tcPr>
          <w:p w14:paraId="766194E2">
            <w:pPr>
              <w:keepNext w:val="0"/>
              <w:keepLines w:val="0"/>
              <w:pageBreakBefore w:val="0"/>
              <w:suppressLineNumbers w:val="0"/>
              <w:kinsoku/>
              <w:wordWrap/>
              <w:overflowPunct/>
              <w:topLinePunct w:val="0"/>
              <w:bidi w:val="0"/>
              <w:spacing w:before="0" w:beforeAutospacing="0" w:after="0" w:afterAutospacing="0" w:line="360" w:lineRule="auto"/>
              <w:ind w:left="0" w:leftChars="0" w:right="0"/>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1</w:t>
            </w:r>
          </w:p>
        </w:tc>
        <w:tc>
          <w:tcPr>
            <w:tcW w:w="1114" w:type="dxa"/>
            <w:tcBorders>
              <w:top w:val="single" w:color="auto" w:sz="4" w:space="0"/>
              <w:left w:val="nil"/>
              <w:bottom w:val="single" w:color="auto" w:sz="4" w:space="0"/>
              <w:right w:val="single" w:color="auto" w:sz="4" w:space="0"/>
            </w:tcBorders>
            <w:vAlign w:val="center"/>
          </w:tcPr>
          <w:p w14:paraId="4B47E426">
            <w:pPr>
              <w:keepNext w:val="0"/>
              <w:keepLines w:val="0"/>
              <w:pageBreakBefore w:val="0"/>
              <w:suppressLineNumbers w:val="0"/>
              <w:kinsoku/>
              <w:wordWrap/>
              <w:overflowPunct/>
              <w:topLinePunct w:val="0"/>
              <w:bidi w:val="0"/>
              <w:spacing w:before="0" w:beforeAutospacing="0" w:after="0" w:afterAutospacing="0" w:line="360" w:lineRule="auto"/>
              <w:ind w:left="0" w:leftChars="0" w:right="0"/>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项</w:t>
            </w:r>
          </w:p>
        </w:tc>
        <w:tc>
          <w:tcPr>
            <w:tcW w:w="3239" w:type="dxa"/>
            <w:tcBorders>
              <w:top w:val="single" w:color="auto" w:sz="4" w:space="0"/>
              <w:left w:val="nil"/>
              <w:bottom w:val="single" w:color="auto" w:sz="4" w:space="0"/>
              <w:right w:val="single" w:color="auto" w:sz="4" w:space="0"/>
            </w:tcBorders>
            <w:vAlign w:val="center"/>
          </w:tcPr>
          <w:p w14:paraId="2AB5F8A0">
            <w:pPr>
              <w:keepNext w:val="0"/>
              <w:keepLines w:val="0"/>
              <w:pageBreakBefore w:val="0"/>
              <w:suppressLineNumbers w:val="0"/>
              <w:kinsoku/>
              <w:wordWrap/>
              <w:overflowPunct/>
              <w:topLinePunct w:val="0"/>
              <w:bidi w:val="0"/>
              <w:spacing w:before="0" w:beforeAutospacing="0" w:after="0" w:afterAutospacing="0" w:line="360" w:lineRule="auto"/>
              <w:ind w:left="0" w:leftChars="0" w:right="0"/>
              <w:textAlignment w:val="auto"/>
              <w:rPr>
                <w:rFonts w:hint="eastAsia" w:ascii="宋体" w:hAnsi="宋体" w:cs="宋体"/>
                <w:color w:val="auto"/>
                <w:szCs w:val="21"/>
                <w:highlight w:val="none"/>
              </w:rPr>
            </w:pPr>
            <w:r>
              <w:rPr>
                <w:rFonts w:hint="eastAsia" w:ascii="宋体" w:hAnsi="宋体" w:cs="宋体"/>
                <w:color w:val="auto"/>
                <w:szCs w:val="21"/>
                <w:highlight w:val="none"/>
              </w:rPr>
              <w:t>如需进一步了解详细内容，详见竞争性磋商文件。</w:t>
            </w:r>
          </w:p>
        </w:tc>
      </w:tr>
    </w:tbl>
    <w:p w14:paraId="0A402B7A">
      <w:pPr>
        <w:keepNext w:val="0"/>
        <w:keepLines w:val="0"/>
        <w:pageBreakBefore w:val="0"/>
        <w:widowControl/>
        <w:kinsoku/>
        <w:wordWrap/>
        <w:overflowPunct/>
        <w:topLinePunct w:val="0"/>
        <w:bidi w:val="0"/>
        <w:snapToGrid w:val="0"/>
        <w:spacing w:line="360" w:lineRule="auto"/>
        <w:ind w:left="0" w:leftChars="0" w:firstLine="420" w:firstLineChars="0"/>
        <w:jc w:val="left"/>
        <w:textAlignment w:val="auto"/>
        <w:rPr>
          <w:rFonts w:hint="default" w:eastAsia="宋体"/>
          <w:color w:val="auto"/>
          <w:highlight w:val="none"/>
          <w:lang w:val="en-US" w:eastAsia="zh-CN"/>
        </w:rPr>
      </w:pPr>
      <w:r>
        <w:rPr>
          <w:rFonts w:hint="eastAsia" w:ascii="宋体" w:hAnsi="宋体" w:cs="宋体"/>
          <w:color w:val="auto"/>
          <w:szCs w:val="21"/>
          <w:highlight w:val="none"/>
        </w:rPr>
        <w:t>合同履行期限：自合同签订之日起至2026年12月31日完成全部工作，提交成果并通过采购人内部验收。</w:t>
      </w:r>
    </w:p>
    <w:p w14:paraId="5AAFC7EA">
      <w:pPr>
        <w:keepNext w:val="0"/>
        <w:keepLines w:val="0"/>
        <w:pageBreakBefore w:val="0"/>
        <w:kinsoku/>
        <w:wordWrap/>
        <w:overflowPunct/>
        <w:topLinePunct w:val="0"/>
        <w:bidi w:val="0"/>
        <w:spacing w:line="360" w:lineRule="auto"/>
        <w:ind w:left="0" w:leftChars="0" w:firstLine="422" w:firstLineChars="200"/>
        <w:textAlignment w:val="auto"/>
        <w:rPr>
          <w:rFonts w:ascii="宋体" w:hAnsi="宋体" w:cs="宋体"/>
          <w:b/>
          <w:bCs/>
          <w:color w:val="auto"/>
          <w:szCs w:val="21"/>
          <w:highlight w:val="none"/>
        </w:rPr>
      </w:pPr>
      <w:r>
        <w:rPr>
          <w:rFonts w:hint="eastAsia" w:ascii="宋体" w:hAnsi="宋体" w:cs="宋体"/>
          <w:b/>
          <w:bCs/>
          <w:color w:val="auto"/>
          <w:szCs w:val="21"/>
          <w:highlight w:val="none"/>
        </w:rPr>
        <w:t>本项目</w:t>
      </w:r>
      <w:r>
        <w:rPr>
          <w:rFonts w:hint="eastAsia" w:ascii="宋体" w:hAnsi="宋体" w:cs="宋体"/>
          <w:b/>
          <w:bCs/>
          <w:color w:val="auto"/>
          <w:szCs w:val="21"/>
          <w:highlight w:val="none"/>
          <w:lang w:val="en-US" w:eastAsia="zh-CN"/>
        </w:rPr>
        <w:t>A分标</w:t>
      </w:r>
      <w:r>
        <w:rPr>
          <w:rFonts w:hint="eastAsia" w:ascii="宋体" w:hAnsi="宋体" w:cs="宋体"/>
          <w:b/>
          <w:bCs/>
          <w:color w:val="auto"/>
          <w:szCs w:val="21"/>
          <w:highlight w:val="none"/>
        </w:rPr>
        <w:t>接受联合体参与磋商。</w:t>
      </w:r>
    </w:p>
    <w:p w14:paraId="43E4B246">
      <w:pPr>
        <w:keepNext w:val="0"/>
        <w:keepLines w:val="0"/>
        <w:pageBreakBefore w:val="0"/>
        <w:kinsoku/>
        <w:wordWrap/>
        <w:overflowPunct/>
        <w:topLinePunct w:val="0"/>
        <w:bidi w:val="0"/>
        <w:spacing w:line="360" w:lineRule="auto"/>
        <w:ind w:left="0" w:leftChars="0"/>
        <w:textAlignment w:val="auto"/>
        <w:rPr>
          <w:rFonts w:ascii="宋体" w:hAnsi="宋体" w:cs="宋体"/>
          <w:color w:val="auto"/>
          <w:szCs w:val="21"/>
          <w:highlight w:val="none"/>
        </w:rPr>
      </w:pPr>
      <w:bookmarkStart w:id="12" w:name="_Toc28359090"/>
      <w:bookmarkStart w:id="13" w:name="_Toc35393799"/>
      <w:bookmarkStart w:id="14" w:name="_Toc28359013"/>
      <w:bookmarkStart w:id="15" w:name="_Toc35393630"/>
      <w:r>
        <w:rPr>
          <w:rFonts w:hint="eastAsia" w:ascii="宋体" w:hAnsi="宋体" w:cs="宋体"/>
          <w:color w:val="auto"/>
          <w:szCs w:val="21"/>
          <w:highlight w:val="none"/>
        </w:rPr>
        <w:t>二、申请人的资格要求：</w:t>
      </w:r>
      <w:bookmarkEnd w:id="12"/>
      <w:bookmarkEnd w:id="13"/>
      <w:bookmarkEnd w:id="14"/>
      <w:bookmarkEnd w:id="15"/>
    </w:p>
    <w:p w14:paraId="4EEC7B1B">
      <w:pPr>
        <w:keepNext w:val="0"/>
        <w:keepLines w:val="0"/>
        <w:pageBreakBefore w:val="0"/>
        <w:kinsoku/>
        <w:wordWrap/>
        <w:overflowPunct/>
        <w:topLinePunct w:val="0"/>
        <w:bidi w:val="0"/>
        <w:spacing w:line="360" w:lineRule="auto"/>
        <w:ind w:left="0" w:leftChars="0"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1.满足《中华人民共和国政府采购法》第二十二条规定；</w:t>
      </w:r>
    </w:p>
    <w:p w14:paraId="4275E477">
      <w:pPr>
        <w:keepNext w:val="0"/>
        <w:keepLines w:val="0"/>
        <w:pageBreakBefore w:val="0"/>
        <w:kinsoku/>
        <w:wordWrap/>
        <w:overflowPunct/>
        <w:topLinePunct w:val="0"/>
        <w:bidi w:val="0"/>
        <w:spacing w:line="360" w:lineRule="auto"/>
        <w:ind w:left="0" w:leftChars="0" w:firstLine="420" w:firstLineChars="200"/>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r>
        <w:rPr>
          <w:rFonts w:hint="eastAsia" w:ascii="宋体" w:hAnsi="宋体" w:eastAsia="宋体" w:cs="宋体"/>
          <w:color w:val="auto"/>
          <w:sz w:val="21"/>
          <w:szCs w:val="21"/>
          <w:highlight w:val="none"/>
        </w:rPr>
        <w:t>对在“信用中国”网站</w:t>
      </w:r>
      <w:r>
        <w:rPr>
          <w:rFonts w:hint="eastAsia" w:ascii="宋体" w:hAnsi="宋体" w:eastAsia="宋体" w:cs="宋体"/>
          <w:color w:val="auto"/>
          <w:sz w:val="21"/>
          <w:szCs w:val="21"/>
          <w:highlight w:val="none"/>
          <w:lang w:eastAsia="zh-CN"/>
        </w:rPr>
        <w:t>（www.creditchina.gov.cn）</w:t>
      </w:r>
      <w:r>
        <w:rPr>
          <w:rFonts w:hint="eastAsia" w:ascii="宋体" w:hAnsi="宋体" w:eastAsia="宋体" w:cs="宋体"/>
          <w:color w:val="auto"/>
          <w:sz w:val="21"/>
          <w:szCs w:val="21"/>
          <w:highlight w:val="none"/>
        </w:rPr>
        <w:t>、中国政府采购网</w:t>
      </w:r>
      <w:r>
        <w:rPr>
          <w:rFonts w:hint="eastAsia" w:ascii="宋体" w:hAnsi="宋体" w:eastAsia="宋体" w:cs="宋体"/>
          <w:color w:val="auto"/>
          <w:sz w:val="21"/>
          <w:szCs w:val="21"/>
          <w:highlight w:val="none"/>
          <w:lang w:eastAsia="zh-CN"/>
        </w:rPr>
        <w:t>（www.ccgp.gov.cn）</w:t>
      </w:r>
      <w:r>
        <w:rPr>
          <w:rFonts w:hint="eastAsia" w:ascii="宋体" w:hAnsi="宋体" w:eastAsia="宋体" w:cs="宋体"/>
          <w:color w:val="auto"/>
          <w:sz w:val="21"/>
          <w:szCs w:val="21"/>
          <w:highlight w:val="none"/>
        </w:rPr>
        <w:t>等渠道列入失信被执行人、重大税收违法失信主体、政府采购严重违法失信行为记录名单及其他不符合《中华人民共和国政府采购法》第二十二条规定条件的供应商，不得参与政府采购活动</w:t>
      </w:r>
      <w:r>
        <w:rPr>
          <w:rFonts w:hint="eastAsia" w:ascii="宋体" w:hAnsi="宋体" w:eastAsia="宋体" w:cs="宋体"/>
          <w:color w:val="auto"/>
          <w:sz w:val="21"/>
          <w:szCs w:val="21"/>
          <w:highlight w:val="none"/>
          <w:lang w:eastAsia="zh-CN"/>
        </w:rPr>
        <w:t>；</w:t>
      </w:r>
    </w:p>
    <w:p w14:paraId="14241146">
      <w:pPr>
        <w:keepNext w:val="0"/>
        <w:keepLines w:val="0"/>
        <w:pageBreakBefore w:val="0"/>
        <w:kinsoku/>
        <w:wordWrap/>
        <w:overflowPunct/>
        <w:topLinePunct w:val="0"/>
        <w:bidi w:val="0"/>
        <w:spacing w:line="360" w:lineRule="auto"/>
        <w:ind w:left="0" w:leftChars="0" w:firstLine="420" w:firstLineChars="200"/>
        <w:textAlignment w:val="auto"/>
        <w:rPr>
          <w:rFonts w:ascii="宋体" w:hAnsi="宋体" w:cs="宋体"/>
          <w:b/>
          <w:bCs/>
          <w:color w:val="auto"/>
          <w:szCs w:val="21"/>
          <w:highlight w:val="none"/>
        </w:rPr>
      </w:pPr>
      <w:bookmarkStart w:id="16" w:name="_Toc28359091"/>
      <w:bookmarkStart w:id="17" w:name="_Toc28359014"/>
      <w:r>
        <w:rPr>
          <w:rFonts w:hint="eastAsia" w:ascii="宋体" w:hAnsi="宋体" w:cs="宋体"/>
          <w:color w:val="auto"/>
          <w:szCs w:val="21"/>
          <w:highlight w:val="none"/>
        </w:rPr>
        <w:t>3.落实政府采购政策需满足的资格要求：</w:t>
      </w:r>
      <w:r>
        <w:rPr>
          <w:rFonts w:hint="eastAsia" w:ascii="宋体" w:hAnsi="宋体" w:cs="宋体"/>
          <w:color w:val="auto"/>
          <w:szCs w:val="21"/>
          <w:highlight w:val="none"/>
          <w:lang w:eastAsia="zh-CN"/>
        </w:rPr>
        <w:t>无</w:t>
      </w:r>
      <w:r>
        <w:rPr>
          <w:rFonts w:hint="eastAsia" w:ascii="宋体" w:hAnsi="宋体" w:cs="宋体"/>
          <w:color w:val="auto"/>
          <w:szCs w:val="21"/>
          <w:highlight w:val="none"/>
        </w:rPr>
        <w:t>。</w:t>
      </w:r>
    </w:p>
    <w:p w14:paraId="13E6F240">
      <w:pPr>
        <w:keepNext w:val="0"/>
        <w:keepLines w:val="0"/>
        <w:pageBreakBefore w:val="0"/>
        <w:kinsoku/>
        <w:wordWrap/>
        <w:overflowPunct/>
        <w:topLinePunct w:val="0"/>
        <w:bidi w:val="0"/>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4.本项目的特定资格要求：</w:t>
      </w:r>
      <w:bookmarkStart w:id="18" w:name="_Toc35393800"/>
      <w:bookmarkStart w:id="19" w:name="_Toc35393631"/>
    </w:p>
    <w:p w14:paraId="08BBD44E">
      <w:pPr>
        <w:keepNext w:val="0"/>
        <w:keepLines w:val="0"/>
        <w:pageBreakBefore w:val="0"/>
        <w:kinsoku/>
        <w:wordWrap/>
        <w:overflowPunct/>
        <w:topLinePunct w:val="0"/>
        <w:bidi w:val="0"/>
        <w:spacing w:line="360" w:lineRule="auto"/>
        <w:ind w:firstLine="420" w:firstLineChars="200"/>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A分标：无。</w:t>
      </w:r>
    </w:p>
    <w:p w14:paraId="5D7A3E94">
      <w:pPr>
        <w:keepNext w:val="0"/>
        <w:keepLines w:val="0"/>
        <w:pageBreakBefore w:val="0"/>
        <w:kinsoku/>
        <w:wordWrap/>
        <w:overflowPunct/>
        <w:topLinePunct w:val="0"/>
        <w:bidi w:val="0"/>
        <w:spacing w:line="360" w:lineRule="auto"/>
        <w:ind w:left="0" w:leftChars="0" w:firstLine="420" w:firstLineChars="200"/>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.单位负责人为同一人或者存在直接控股、管理关系的不同供应商，不得参加同一合同项下的政府采购活动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为本项目提供过整体设计、规范编制或者项目管理、监理、检测等服务的供应商，不得再参加本项目上述服务以外的其他采购活动。</w:t>
      </w:r>
    </w:p>
    <w:bookmarkEnd w:id="16"/>
    <w:bookmarkEnd w:id="17"/>
    <w:bookmarkEnd w:id="18"/>
    <w:bookmarkEnd w:id="19"/>
    <w:p w14:paraId="3739F969">
      <w:pPr>
        <w:keepNext w:val="0"/>
        <w:keepLines w:val="0"/>
        <w:pageBreakBefore w:val="0"/>
        <w:kinsoku/>
        <w:wordWrap/>
        <w:overflowPunct/>
        <w:topLinePunct w:val="0"/>
        <w:bidi w:val="0"/>
        <w:spacing w:line="360" w:lineRule="auto"/>
        <w:ind w:left="0" w:leftChars="0"/>
        <w:textAlignment w:val="auto"/>
        <w:rPr>
          <w:rFonts w:ascii="宋体" w:hAnsi="宋体" w:cs="宋体"/>
          <w:color w:val="auto"/>
          <w:szCs w:val="21"/>
          <w:highlight w:val="none"/>
        </w:rPr>
      </w:pPr>
      <w:bookmarkStart w:id="20" w:name="_Toc35393792"/>
      <w:bookmarkStart w:id="21" w:name="_Toc35393623"/>
      <w:bookmarkStart w:id="22" w:name="_Toc28359018"/>
      <w:bookmarkStart w:id="23" w:name="_Toc35393636"/>
      <w:bookmarkStart w:id="24" w:name="_Toc35393805"/>
      <w:bookmarkStart w:id="25" w:name="_Toc28359095"/>
      <w:r>
        <w:rPr>
          <w:rFonts w:hint="eastAsia" w:ascii="宋体" w:hAnsi="宋体" w:cs="宋体"/>
          <w:color w:val="auto"/>
          <w:szCs w:val="21"/>
          <w:highlight w:val="none"/>
        </w:rPr>
        <w:t>三、获取采购文件</w:t>
      </w:r>
      <w:bookmarkEnd w:id="20"/>
      <w:bookmarkEnd w:id="21"/>
    </w:p>
    <w:p w14:paraId="52FEBC3A">
      <w:pPr>
        <w:keepNext w:val="0"/>
        <w:keepLines w:val="0"/>
        <w:pageBreakBefore w:val="0"/>
        <w:kinsoku/>
        <w:wordWrap/>
        <w:overflowPunct/>
        <w:topLinePunct w:val="0"/>
        <w:bidi w:val="0"/>
        <w:spacing w:line="360" w:lineRule="auto"/>
        <w:ind w:left="0" w:leftChars="0"/>
        <w:textAlignment w:val="auto"/>
        <w:rPr>
          <w:rFonts w:ascii="宋体" w:hAnsi="宋体" w:cs="宋体"/>
          <w:color w:val="auto"/>
          <w:szCs w:val="21"/>
          <w:highlight w:val="none"/>
        </w:rPr>
      </w:pPr>
      <w:r>
        <w:rPr>
          <w:rFonts w:hint="eastAsia" w:ascii="宋体" w:hAnsi="宋体" w:cs="宋体"/>
          <w:color w:val="auto"/>
          <w:szCs w:val="21"/>
          <w:highlight w:val="none"/>
        </w:rPr>
        <w:t xml:space="preserve">    1.采购文件获取时间：</w:t>
      </w:r>
      <w:r>
        <w:rPr>
          <w:rFonts w:hint="eastAsia" w:ascii="宋体" w:hAnsi="宋体"/>
          <w:bCs/>
          <w:color w:val="auto"/>
          <w:szCs w:val="21"/>
          <w:highlight w:val="none"/>
          <w:shd w:val="clear" w:color="auto" w:fill="auto"/>
        </w:rPr>
        <w:t>/</w:t>
      </w:r>
      <w:r>
        <w:rPr>
          <w:rFonts w:ascii="宋体" w:hAnsi="宋体"/>
          <w:color w:val="auto"/>
          <w:szCs w:val="21"/>
          <w:highlight w:val="none"/>
          <w:shd w:val="clear" w:color="auto" w:fill="auto"/>
        </w:rPr>
        <w:t>至</w:t>
      </w:r>
      <w:r>
        <w:rPr>
          <w:rFonts w:hint="eastAsia" w:asciiTheme="majorEastAsia" w:hAnsiTheme="majorEastAsia" w:eastAsiaTheme="majorEastAsia"/>
          <w:color w:val="0000FF"/>
          <w:highlight w:val="none"/>
          <w:shd w:val="clear" w:color="auto" w:fill="auto"/>
          <w:lang w:eastAsia="zh-CN"/>
        </w:rPr>
        <w:t>2026年10月22日</w:t>
      </w:r>
      <w:r>
        <w:rPr>
          <w:rFonts w:ascii="宋体" w:hAnsi="宋体"/>
          <w:color w:val="auto"/>
          <w:szCs w:val="21"/>
          <w:highlight w:val="none"/>
          <w:shd w:val="clear" w:color="auto" w:fill="auto"/>
        </w:rPr>
        <w:t>，每天上午00:00至12:00，下午12:0</w:t>
      </w:r>
      <w:r>
        <w:rPr>
          <w:rFonts w:hint="eastAsia" w:ascii="宋体" w:hAnsi="宋体"/>
          <w:color w:val="auto"/>
          <w:szCs w:val="21"/>
          <w:highlight w:val="none"/>
          <w:shd w:val="clear" w:color="auto" w:fill="auto"/>
        </w:rPr>
        <w:t>1</w:t>
      </w:r>
      <w:r>
        <w:rPr>
          <w:rFonts w:ascii="宋体" w:hAnsi="宋体"/>
          <w:color w:val="auto"/>
          <w:szCs w:val="21"/>
          <w:highlight w:val="none"/>
          <w:shd w:val="clear" w:color="auto" w:fill="auto"/>
        </w:rPr>
        <w:t>至23:59（北京时间，法定节假日除外）</w:t>
      </w:r>
      <w:r>
        <w:rPr>
          <w:rFonts w:hint="eastAsia" w:ascii="宋体" w:hAnsi="宋体"/>
          <w:color w:val="auto"/>
          <w:szCs w:val="21"/>
          <w:highlight w:val="none"/>
          <w:shd w:val="clear" w:color="auto" w:fill="auto"/>
        </w:rPr>
        <w:t>。</w:t>
      </w:r>
    </w:p>
    <w:p w14:paraId="74241E0B">
      <w:pPr>
        <w:keepNext w:val="0"/>
        <w:keepLines w:val="0"/>
        <w:pageBreakBefore w:val="0"/>
        <w:kinsoku/>
        <w:wordWrap/>
        <w:overflowPunct/>
        <w:topLinePunct w:val="0"/>
        <w:bidi w:val="0"/>
        <w:spacing w:line="360" w:lineRule="auto"/>
        <w:ind w:left="0" w:leftChars="0"/>
        <w:textAlignment w:val="auto"/>
        <w:rPr>
          <w:rFonts w:ascii="宋体" w:hAnsi="宋体" w:cs="宋体"/>
          <w:color w:val="auto"/>
          <w:szCs w:val="21"/>
          <w:highlight w:val="none"/>
        </w:rPr>
      </w:pPr>
      <w:bookmarkStart w:id="26" w:name="_Toc28359005"/>
      <w:bookmarkStart w:id="27" w:name="_Toc28359082"/>
      <w:bookmarkStart w:id="28" w:name="_Toc35393793"/>
      <w:bookmarkStart w:id="29" w:name="_Toc35393624"/>
      <w:r>
        <w:rPr>
          <w:rFonts w:hint="eastAsia" w:ascii="宋体" w:hAnsi="宋体" w:cs="宋体"/>
          <w:color w:val="auto"/>
          <w:szCs w:val="21"/>
          <w:highlight w:val="none"/>
        </w:rPr>
        <w:t xml:space="preserve">    2.地点（网址）：广西政府采购云平台（www.zcygov.cn） </w:t>
      </w:r>
    </w:p>
    <w:p w14:paraId="592974A9">
      <w:pPr>
        <w:keepNext w:val="0"/>
        <w:keepLines w:val="0"/>
        <w:pageBreakBefore w:val="0"/>
        <w:kinsoku/>
        <w:wordWrap/>
        <w:overflowPunct/>
        <w:topLinePunct w:val="0"/>
        <w:bidi w:val="0"/>
        <w:spacing w:line="360" w:lineRule="auto"/>
        <w:ind w:left="0" w:leftChars="0"/>
        <w:textAlignment w:val="auto"/>
        <w:rPr>
          <w:rFonts w:ascii="宋体" w:hAnsi="宋体" w:cs="宋体"/>
          <w:color w:val="auto"/>
          <w:szCs w:val="21"/>
          <w:highlight w:val="none"/>
        </w:rPr>
      </w:pPr>
      <w:r>
        <w:rPr>
          <w:rFonts w:hint="eastAsia" w:ascii="宋体" w:hAnsi="宋体" w:cs="宋体"/>
          <w:color w:val="auto"/>
          <w:szCs w:val="21"/>
          <w:highlight w:val="none"/>
        </w:rPr>
        <w:t>   3.方式：潜在供应商登录广西政府采购云平台（www.zcygov.cn）免费获取竞争性磋商文件电子版。供应商应在广西政府采购云平台进行“申请获取采购文件”操作，否则，将导致无法在线编制响应文件并参与竞标，其不利后果由供应商自行承担。 </w:t>
      </w:r>
    </w:p>
    <w:p w14:paraId="07F7274A">
      <w:pPr>
        <w:keepNext w:val="0"/>
        <w:keepLines w:val="0"/>
        <w:pageBreakBefore w:val="0"/>
        <w:kinsoku/>
        <w:wordWrap/>
        <w:overflowPunct/>
        <w:topLinePunct w:val="0"/>
        <w:bidi w:val="0"/>
        <w:spacing w:line="360" w:lineRule="auto"/>
        <w:ind w:left="0" w:leftChars="0"/>
        <w:textAlignment w:val="auto"/>
        <w:rPr>
          <w:rFonts w:ascii="宋体" w:hAnsi="宋体" w:cs="宋体"/>
          <w:color w:val="auto"/>
          <w:szCs w:val="21"/>
          <w:highlight w:val="none"/>
        </w:rPr>
      </w:pPr>
      <w:r>
        <w:rPr>
          <w:rFonts w:hint="eastAsia" w:ascii="宋体" w:hAnsi="宋体" w:cs="宋体"/>
          <w:color w:val="auto"/>
          <w:szCs w:val="21"/>
          <w:highlight w:val="none"/>
        </w:rPr>
        <w:t>   4.售价（元）：0 </w:t>
      </w:r>
    </w:p>
    <w:p w14:paraId="6CBD8323">
      <w:pPr>
        <w:keepNext w:val="0"/>
        <w:keepLines w:val="0"/>
        <w:pageBreakBefore w:val="0"/>
        <w:kinsoku/>
        <w:wordWrap/>
        <w:overflowPunct/>
        <w:topLinePunct w:val="0"/>
        <w:bidi w:val="0"/>
        <w:spacing w:line="360" w:lineRule="auto"/>
        <w:ind w:left="0" w:leftChars="0"/>
        <w:textAlignment w:val="auto"/>
        <w:rPr>
          <w:rFonts w:ascii="宋体" w:hAnsi="宋体" w:cs="宋体"/>
          <w:color w:val="auto"/>
          <w:szCs w:val="21"/>
          <w:highlight w:val="none"/>
        </w:rPr>
      </w:pPr>
      <w:r>
        <w:rPr>
          <w:rFonts w:hint="eastAsia" w:ascii="宋体" w:hAnsi="宋体" w:cs="宋体"/>
          <w:color w:val="auto"/>
          <w:szCs w:val="21"/>
          <w:highlight w:val="none"/>
        </w:rPr>
        <w:t>四、响应文件</w:t>
      </w:r>
      <w:bookmarkEnd w:id="26"/>
      <w:bookmarkEnd w:id="27"/>
      <w:r>
        <w:rPr>
          <w:rFonts w:hint="eastAsia" w:ascii="宋体" w:hAnsi="宋体" w:cs="宋体"/>
          <w:color w:val="auto"/>
          <w:szCs w:val="21"/>
          <w:highlight w:val="none"/>
        </w:rPr>
        <w:t>提交时间和地点</w:t>
      </w:r>
      <w:bookmarkEnd w:id="28"/>
      <w:bookmarkEnd w:id="29"/>
    </w:p>
    <w:p w14:paraId="400FDA07">
      <w:pPr>
        <w:keepNext w:val="0"/>
        <w:keepLines w:val="0"/>
        <w:pageBreakBefore w:val="0"/>
        <w:kinsoku/>
        <w:wordWrap/>
        <w:overflowPunct/>
        <w:topLinePunct w:val="0"/>
        <w:bidi w:val="0"/>
        <w:spacing w:line="360" w:lineRule="auto"/>
        <w:ind w:left="0" w:leftChars="0" w:firstLine="420" w:firstLineChars="200"/>
        <w:textAlignment w:val="auto"/>
        <w:rPr>
          <w:rFonts w:ascii="宋体" w:hAnsi="宋体" w:cs="宋体"/>
          <w:bCs/>
          <w:color w:val="auto"/>
          <w:szCs w:val="21"/>
          <w:highlight w:val="none"/>
        </w:rPr>
      </w:pPr>
      <w:r>
        <w:rPr>
          <w:rFonts w:hint="eastAsia" w:ascii="宋体" w:hAnsi="宋体" w:cs="宋体"/>
          <w:bCs/>
          <w:color w:val="auto"/>
          <w:szCs w:val="21"/>
          <w:highlight w:val="none"/>
        </w:rPr>
        <w:t>截止时间：</w:t>
      </w:r>
      <w:r>
        <w:rPr>
          <w:rFonts w:hint="eastAsia" w:ascii="宋体" w:hAnsi="宋体" w:cs="宋体"/>
          <w:color w:val="0000FF"/>
          <w:szCs w:val="21"/>
          <w:highlight w:val="none"/>
          <w:lang w:eastAsia="zh-CN"/>
        </w:rPr>
        <w:t>2026年10月22日</w:t>
      </w:r>
      <w:r>
        <w:rPr>
          <w:rFonts w:hint="eastAsia" w:ascii="宋体" w:hAnsi="宋体" w:cs="宋体"/>
          <w:color w:val="auto"/>
          <w:szCs w:val="21"/>
          <w:highlight w:val="none"/>
        </w:rPr>
        <w:t>09时30分(</w:t>
      </w:r>
      <w:r>
        <w:rPr>
          <w:rFonts w:hint="eastAsia" w:ascii="宋体" w:hAnsi="宋体" w:cs="宋体"/>
          <w:bCs/>
          <w:color w:val="auto"/>
          <w:szCs w:val="21"/>
          <w:highlight w:val="none"/>
        </w:rPr>
        <w:t>北京时间）。</w:t>
      </w:r>
    </w:p>
    <w:p w14:paraId="557E17BA">
      <w:pPr>
        <w:keepNext w:val="0"/>
        <w:keepLines w:val="0"/>
        <w:pageBreakBefore w:val="0"/>
        <w:kinsoku/>
        <w:wordWrap/>
        <w:overflowPunct/>
        <w:topLinePunct w:val="0"/>
        <w:bidi w:val="0"/>
        <w:spacing w:line="360" w:lineRule="auto"/>
        <w:ind w:left="0" w:leftChars="0"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地    点：通过广西政府采购云平台实行在线响应。</w:t>
      </w:r>
    </w:p>
    <w:p w14:paraId="52FA5558">
      <w:pPr>
        <w:keepNext w:val="0"/>
        <w:keepLines w:val="0"/>
        <w:pageBreakBefore w:val="0"/>
        <w:kinsoku/>
        <w:wordWrap/>
        <w:overflowPunct/>
        <w:topLinePunct w:val="0"/>
        <w:bidi w:val="0"/>
        <w:spacing w:line="360" w:lineRule="auto"/>
        <w:ind w:left="0" w:leftChars="0"/>
        <w:textAlignment w:val="auto"/>
        <w:rPr>
          <w:rFonts w:ascii="宋体" w:hAnsi="宋体" w:cs="宋体"/>
          <w:color w:val="auto"/>
          <w:szCs w:val="21"/>
          <w:highlight w:val="none"/>
        </w:rPr>
      </w:pPr>
      <w:r>
        <w:rPr>
          <w:rFonts w:hint="eastAsia" w:ascii="宋体" w:hAnsi="宋体" w:cs="宋体"/>
          <w:color w:val="auto"/>
          <w:szCs w:val="21"/>
          <w:highlight w:val="none"/>
        </w:rPr>
        <w:t>五、开启</w:t>
      </w:r>
    </w:p>
    <w:p w14:paraId="46140B33">
      <w:pPr>
        <w:keepNext w:val="0"/>
        <w:keepLines w:val="0"/>
        <w:pageBreakBefore w:val="0"/>
        <w:kinsoku/>
        <w:wordWrap/>
        <w:overflowPunct/>
        <w:topLinePunct w:val="0"/>
        <w:bidi w:val="0"/>
        <w:spacing w:line="360" w:lineRule="auto"/>
        <w:ind w:left="0" w:leftChars="0"/>
        <w:textAlignment w:val="auto"/>
        <w:rPr>
          <w:rFonts w:ascii="宋体" w:hAnsi="宋体" w:cs="宋体"/>
          <w:color w:val="auto"/>
          <w:szCs w:val="21"/>
          <w:highlight w:val="none"/>
        </w:rPr>
      </w:pPr>
      <w:r>
        <w:rPr>
          <w:rFonts w:hint="eastAsia" w:ascii="宋体" w:hAnsi="宋体" w:cs="宋体"/>
          <w:color w:val="auto"/>
          <w:szCs w:val="21"/>
          <w:highlight w:val="none"/>
        </w:rPr>
        <w:t xml:space="preserve">    时间：</w:t>
      </w:r>
      <w:r>
        <w:rPr>
          <w:rFonts w:hint="eastAsia" w:ascii="宋体" w:hAnsi="宋体" w:cs="宋体"/>
          <w:color w:val="0000FF"/>
          <w:szCs w:val="21"/>
          <w:highlight w:val="none"/>
          <w:lang w:eastAsia="zh-CN"/>
        </w:rPr>
        <w:t>2026年10月22日</w:t>
      </w:r>
      <w:r>
        <w:rPr>
          <w:rFonts w:hint="eastAsia" w:ascii="宋体" w:hAnsi="宋体" w:cs="宋体"/>
          <w:color w:val="auto"/>
          <w:szCs w:val="21"/>
          <w:highlight w:val="none"/>
        </w:rPr>
        <w:t>09时30分(北京时间）截标后。</w:t>
      </w:r>
    </w:p>
    <w:p w14:paraId="7D336439">
      <w:pPr>
        <w:keepNext w:val="0"/>
        <w:keepLines w:val="0"/>
        <w:pageBreakBefore w:val="0"/>
        <w:kinsoku/>
        <w:wordWrap/>
        <w:overflowPunct/>
        <w:topLinePunct w:val="0"/>
        <w:bidi w:val="0"/>
        <w:spacing w:line="360" w:lineRule="auto"/>
        <w:ind w:left="0" w:leftChars="0"/>
        <w:textAlignment w:val="auto"/>
        <w:rPr>
          <w:rFonts w:ascii="宋体" w:hAnsi="宋体" w:cs="宋体"/>
          <w:color w:val="auto"/>
          <w:szCs w:val="21"/>
          <w:highlight w:val="none"/>
        </w:rPr>
      </w:pPr>
      <w:r>
        <w:rPr>
          <w:rFonts w:hint="eastAsia" w:ascii="宋体" w:hAnsi="宋体" w:cs="宋体"/>
          <w:color w:val="auto"/>
          <w:szCs w:val="21"/>
          <w:highlight w:val="none"/>
        </w:rPr>
        <w:t xml:space="preserve">    地点：通过广西政府采购云平台实行在线解密开启。</w:t>
      </w:r>
    </w:p>
    <w:p w14:paraId="48D808A6">
      <w:pPr>
        <w:keepNext w:val="0"/>
        <w:keepLines w:val="0"/>
        <w:pageBreakBefore w:val="0"/>
        <w:kinsoku/>
        <w:wordWrap/>
        <w:overflowPunct/>
        <w:topLinePunct w:val="0"/>
        <w:bidi w:val="0"/>
        <w:spacing w:line="360" w:lineRule="auto"/>
        <w:ind w:left="0" w:leftChars="0"/>
        <w:textAlignment w:val="auto"/>
        <w:rPr>
          <w:rFonts w:ascii="宋体" w:hAnsi="宋体" w:cs="宋体"/>
          <w:color w:val="auto"/>
          <w:szCs w:val="21"/>
          <w:highlight w:val="none"/>
        </w:rPr>
      </w:pPr>
      <w:bookmarkStart w:id="30" w:name="_Toc35393794"/>
      <w:bookmarkStart w:id="31" w:name="_Toc28359084"/>
      <w:bookmarkStart w:id="32" w:name="_Toc28359007"/>
      <w:bookmarkStart w:id="33" w:name="_Toc35393625"/>
      <w:r>
        <w:rPr>
          <w:rFonts w:hint="eastAsia" w:ascii="宋体" w:hAnsi="宋体" w:cs="宋体"/>
          <w:color w:val="auto"/>
          <w:szCs w:val="21"/>
          <w:highlight w:val="none"/>
        </w:rPr>
        <w:t>六、公告期限</w:t>
      </w:r>
      <w:bookmarkEnd w:id="30"/>
      <w:bookmarkEnd w:id="31"/>
      <w:bookmarkEnd w:id="32"/>
      <w:bookmarkEnd w:id="33"/>
    </w:p>
    <w:p w14:paraId="4C0AF235">
      <w:pPr>
        <w:keepNext w:val="0"/>
        <w:keepLines w:val="0"/>
        <w:pageBreakBefore w:val="0"/>
        <w:kinsoku/>
        <w:wordWrap/>
        <w:overflowPunct/>
        <w:topLinePunct w:val="0"/>
        <w:bidi w:val="0"/>
        <w:spacing w:line="360" w:lineRule="auto"/>
        <w:ind w:left="0" w:leftChars="0" w:firstLine="420" w:firstLineChars="200"/>
        <w:textAlignment w:val="auto"/>
        <w:rPr>
          <w:rFonts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229DFDEA">
      <w:pPr>
        <w:keepNext w:val="0"/>
        <w:keepLines w:val="0"/>
        <w:pageBreakBefore w:val="0"/>
        <w:kinsoku/>
        <w:wordWrap/>
        <w:overflowPunct/>
        <w:topLinePunct w:val="0"/>
        <w:bidi w:val="0"/>
        <w:spacing w:line="360" w:lineRule="auto"/>
        <w:ind w:left="0" w:leftChars="0"/>
        <w:textAlignment w:val="auto"/>
        <w:rPr>
          <w:rFonts w:ascii="宋体" w:hAnsi="宋体" w:cs="宋体"/>
          <w:color w:val="auto"/>
          <w:szCs w:val="21"/>
          <w:highlight w:val="none"/>
        </w:rPr>
      </w:pPr>
      <w:bookmarkStart w:id="34" w:name="_Toc35393626"/>
      <w:bookmarkStart w:id="35" w:name="_Toc35393795"/>
      <w:r>
        <w:rPr>
          <w:rFonts w:hint="eastAsia" w:ascii="宋体" w:hAnsi="宋体" w:cs="宋体"/>
          <w:color w:val="auto"/>
          <w:szCs w:val="21"/>
          <w:highlight w:val="none"/>
        </w:rPr>
        <w:t>七、其他补充事宜</w:t>
      </w:r>
      <w:bookmarkEnd w:id="34"/>
      <w:bookmarkEnd w:id="35"/>
    </w:p>
    <w:p w14:paraId="104656E1">
      <w:pPr>
        <w:keepNext w:val="0"/>
        <w:keepLines w:val="0"/>
        <w:pageBreakBefore w:val="0"/>
        <w:kinsoku/>
        <w:wordWrap/>
        <w:overflowPunct/>
        <w:topLinePunct w:val="0"/>
        <w:bidi w:val="0"/>
        <w:spacing w:line="360" w:lineRule="auto"/>
        <w:ind w:left="0" w:leftChars="0" w:firstLine="422" w:firstLineChars="200"/>
        <w:textAlignment w:val="auto"/>
        <w:rPr>
          <w:rFonts w:ascii="宋体" w:hAnsi="宋体" w:cs="宋体"/>
          <w:color w:val="auto"/>
          <w:szCs w:val="21"/>
          <w:highlight w:val="none"/>
        </w:rPr>
      </w:pPr>
      <w:r>
        <w:rPr>
          <w:rFonts w:hint="eastAsia" w:ascii="宋体" w:hAnsi="宋体" w:cs="宋体"/>
          <w:b/>
          <w:bCs/>
          <w:color w:val="auto"/>
          <w:szCs w:val="21"/>
          <w:highlight w:val="none"/>
        </w:rPr>
        <w:t>1.本项目无需缴纳磋商保证金。</w:t>
      </w:r>
    </w:p>
    <w:p w14:paraId="6AA7BAFB">
      <w:pPr>
        <w:keepNext w:val="0"/>
        <w:keepLines w:val="0"/>
        <w:pageBreakBefore w:val="0"/>
        <w:kinsoku/>
        <w:wordWrap/>
        <w:overflowPunct/>
        <w:topLinePunct w:val="0"/>
        <w:bidi w:val="0"/>
        <w:spacing w:line="360" w:lineRule="auto"/>
        <w:ind w:left="0" w:leftChars="0"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2.本项目信息发布媒体：</w:t>
      </w:r>
    </w:p>
    <w:p w14:paraId="7F578DAF">
      <w:pPr>
        <w:keepNext w:val="0"/>
        <w:keepLines w:val="0"/>
        <w:pageBreakBefore w:val="0"/>
        <w:kinsoku/>
        <w:wordWrap/>
        <w:overflowPunct/>
        <w:topLinePunct w:val="0"/>
        <w:bidi w:val="0"/>
        <w:spacing w:line="360" w:lineRule="auto"/>
        <w:ind w:left="0" w:leftChars="0"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中国政府采购网（http://www.ccgp.gov.cn）</w:t>
      </w:r>
    </w:p>
    <w:p w14:paraId="79399894">
      <w:pPr>
        <w:keepNext w:val="0"/>
        <w:keepLines w:val="0"/>
        <w:pageBreakBefore w:val="0"/>
        <w:kinsoku/>
        <w:wordWrap/>
        <w:overflowPunct/>
        <w:topLinePunct w:val="0"/>
        <w:bidi w:val="0"/>
        <w:spacing w:line="360" w:lineRule="auto"/>
        <w:ind w:left="0" w:leftChars="0"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广西壮族自治区政府采购网（http://www.ccgp-guangxi.gov.cn/）</w:t>
      </w:r>
    </w:p>
    <w:p w14:paraId="462B74F3">
      <w:pPr>
        <w:keepNext w:val="0"/>
        <w:keepLines w:val="0"/>
        <w:pageBreakBefore w:val="0"/>
        <w:kinsoku/>
        <w:wordWrap/>
        <w:overflowPunct/>
        <w:topLinePunct w:val="0"/>
        <w:bidi w:val="0"/>
        <w:spacing w:line="360" w:lineRule="auto"/>
        <w:ind w:left="0" w:leftChars="0"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桂林市政府采购网（zfcg.czj.guilin.gov.cn）</w:t>
      </w:r>
    </w:p>
    <w:p w14:paraId="3AE6B2F6">
      <w:pPr>
        <w:keepNext w:val="0"/>
        <w:keepLines w:val="0"/>
        <w:pageBreakBefore w:val="0"/>
        <w:kinsoku/>
        <w:wordWrap/>
        <w:overflowPunct/>
        <w:topLinePunct w:val="0"/>
        <w:bidi w:val="0"/>
        <w:spacing w:line="360" w:lineRule="auto"/>
        <w:ind w:left="0" w:leftChars="0"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全国公共资源交易平台(广西•桂林)（http://ggzy.jgswj.gxzf.gov.cn/glggzy/）</w:t>
      </w:r>
    </w:p>
    <w:p w14:paraId="1F42A10F">
      <w:pPr>
        <w:pStyle w:val="40"/>
        <w:keepNext w:val="0"/>
        <w:keepLines w:val="0"/>
        <w:pageBreakBefore w:val="0"/>
        <w:numPr>
          <w:ilvl w:val="0"/>
          <w:numId w:val="2"/>
        </w:numPr>
        <w:kinsoku/>
        <w:wordWrap/>
        <w:overflowPunct/>
        <w:topLinePunct w:val="0"/>
        <w:bidi w:val="0"/>
        <w:spacing w:line="360" w:lineRule="auto"/>
        <w:ind w:left="0" w:leftChars="0" w:firstLine="480"/>
        <w:textAlignment w:val="auto"/>
        <w:rPr>
          <w:rFonts w:ascii="宋体" w:hAnsi="宋体" w:cs="宋体"/>
          <w:color w:val="auto"/>
          <w:sz w:val="21"/>
          <w:szCs w:val="21"/>
          <w:highlight w:val="none"/>
        </w:rPr>
      </w:pPr>
      <w:r>
        <w:rPr>
          <w:rFonts w:hint="eastAsia" w:ascii="宋体" w:hAnsi="宋体" w:cs="宋体"/>
          <w:color w:val="auto"/>
          <w:sz w:val="21"/>
          <w:szCs w:val="21"/>
          <w:highlight w:val="none"/>
        </w:rPr>
        <w:t>磋商响应文件解密时间：截标时间后</w:t>
      </w:r>
      <w:r>
        <w:rPr>
          <w:rFonts w:hint="eastAsia" w:ascii="宋体" w:hAnsi="宋体" w:cs="宋体"/>
          <w:color w:val="auto"/>
          <w:sz w:val="21"/>
          <w:szCs w:val="21"/>
          <w:highlight w:val="none"/>
          <w:u w:val="single"/>
        </w:rPr>
        <w:t>30</w:t>
      </w:r>
      <w:r>
        <w:rPr>
          <w:rFonts w:hint="eastAsia" w:ascii="宋体" w:hAnsi="宋体" w:cs="宋体"/>
          <w:color w:val="auto"/>
          <w:sz w:val="21"/>
          <w:szCs w:val="21"/>
          <w:highlight w:val="none"/>
        </w:rPr>
        <w:t>分钟内（</w:t>
      </w:r>
      <w:r>
        <w:rPr>
          <w:rFonts w:hint="eastAsia" w:ascii="宋体" w:hAnsi="宋体" w:cs="宋体"/>
          <w:color w:val="0000FF"/>
          <w:sz w:val="21"/>
          <w:szCs w:val="21"/>
          <w:highlight w:val="none"/>
          <w:u w:val="single"/>
          <w:lang w:eastAsia="zh-CN"/>
        </w:rPr>
        <w:t>2026年10月22日</w:t>
      </w:r>
      <w:r>
        <w:rPr>
          <w:rFonts w:hint="eastAsia" w:ascii="宋体" w:hAnsi="宋体" w:cs="宋体"/>
          <w:color w:val="0000FF"/>
          <w:sz w:val="21"/>
          <w:szCs w:val="21"/>
          <w:highlight w:val="none"/>
          <w:u w:val="single"/>
        </w:rPr>
        <w:t>上午9时30分至10时00分</w:t>
      </w:r>
      <w:r>
        <w:rPr>
          <w:rFonts w:hint="eastAsia" w:ascii="宋体" w:hAnsi="宋体" w:cs="宋体"/>
          <w:color w:val="auto"/>
          <w:sz w:val="21"/>
          <w:szCs w:val="21"/>
          <w:highlight w:val="none"/>
        </w:rPr>
        <w:t>)磋商供应商可以登录广西政府采购云平台，用“项目采购-开标评标”功能进行解密电子磋商响应文件。</w:t>
      </w:r>
    </w:p>
    <w:p w14:paraId="29CDD904">
      <w:pPr>
        <w:keepNext w:val="0"/>
        <w:keepLines w:val="0"/>
        <w:pageBreakBefore w:val="0"/>
        <w:kinsoku/>
        <w:wordWrap/>
        <w:overflowPunct/>
        <w:topLinePunct w:val="0"/>
        <w:bidi w:val="0"/>
        <w:spacing w:line="360" w:lineRule="auto"/>
        <w:ind w:left="0" w:leftChars="0" w:firstLine="420" w:firstLineChars="200"/>
        <w:textAlignment w:val="auto"/>
        <w:rPr>
          <w:rFonts w:ascii="宋体" w:hAnsi="宋体" w:cs="宋体"/>
          <w:color w:val="auto"/>
          <w:kern w:val="0"/>
          <w:szCs w:val="21"/>
          <w:highlight w:val="none"/>
        </w:rPr>
      </w:pPr>
      <w:r>
        <w:rPr>
          <w:rFonts w:hint="eastAsia" w:ascii="宋体" w:hAnsi="宋体" w:cs="宋体"/>
          <w:color w:val="auto"/>
          <w:kern w:val="0"/>
          <w:szCs w:val="21"/>
          <w:highlight w:val="none"/>
        </w:rPr>
        <w:t>4.本项目需要落实的政府采购政策：</w:t>
      </w:r>
    </w:p>
    <w:p w14:paraId="18F31E4F">
      <w:pPr>
        <w:keepNext w:val="0"/>
        <w:keepLines w:val="0"/>
        <w:pageBreakBefore w:val="0"/>
        <w:kinsoku/>
        <w:wordWrap/>
        <w:overflowPunct/>
        <w:topLinePunct w:val="0"/>
        <w:bidi w:val="0"/>
        <w:spacing w:line="360" w:lineRule="auto"/>
        <w:ind w:left="0" w:leftChars="0" w:firstLine="420" w:firstLineChars="200"/>
        <w:textAlignment w:val="auto"/>
        <w:rPr>
          <w:rFonts w:ascii="宋体" w:hAnsi="宋体" w:cs="宋体"/>
          <w:color w:val="auto"/>
          <w:kern w:val="0"/>
          <w:szCs w:val="21"/>
          <w:highlight w:val="none"/>
        </w:rPr>
      </w:pPr>
      <w:r>
        <w:rPr>
          <w:rFonts w:hint="eastAsia" w:ascii="宋体" w:hAnsi="宋体" w:cs="宋体"/>
          <w:color w:val="auto"/>
          <w:kern w:val="0"/>
          <w:szCs w:val="21"/>
          <w:highlight w:val="none"/>
        </w:rPr>
        <w:t>4.1《政府采购促进中小企业发展管理办法》（财库[2020]46号）。</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 xml:space="preserve">    4.2《关于政府采购支持监狱企业发展有关问题的通知》（财库[2014]68号）。 </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 xml:space="preserve">    4.3《关于促进残疾人就业政府采购政策的通知》（财库[2017]141号）。</w:t>
      </w:r>
    </w:p>
    <w:p w14:paraId="593CB9E7">
      <w:pPr>
        <w:pStyle w:val="16"/>
        <w:keepNext w:val="0"/>
        <w:keepLines w:val="0"/>
        <w:pageBreakBefore w:val="0"/>
        <w:kinsoku/>
        <w:wordWrap/>
        <w:overflowPunct/>
        <w:topLinePunct w:val="0"/>
        <w:bidi w:val="0"/>
        <w:spacing w:line="360" w:lineRule="auto"/>
        <w:ind w:left="0" w:leftChars="0"/>
        <w:textAlignment w:val="auto"/>
        <w:rPr>
          <w:rFonts w:ascii="宋体" w:hAnsi="宋体" w:cs="宋体"/>
          <w:color w:val="auto"/>
          <w:kern w:val="0"/>
          <w:sz w:val="21"/>
          <w:szCs w:val="21"/>
          <w:highlight w:val="none"/>
        </w:rPr>
      </w:pPr>
      <w:r>
        <w:rPr>
          <w:rFonts w:hint="eastAsia" w:ascii="宋体" w:hAnsi="宋体" w:cs="宋体"/>
          <w:color w:val="auto"/>
          <w:kern w:val="0"/>
          <w:sz w:val="21"/>
          <w:szCs w:val="21"/>
          <w:highlight w:val="none"/>
        </w:rPr>
        <w:t xml:space="preserve">    5.本项目所属行业为“</w:t>
      </w:r>
      <w:r>
        <w:rPr>
          <w:rFonts w:hint="eastAsia" w:ascii="宋体" w:hAnsi="宋体" w:cs="宋体"/>
          <w:color w:val="auto"/>
          <w:kern w:val="0"/>
          <w:sz w:val="21"/>
          <w:szCs w:val="21"/>
          <w:highlight w:val="none"/>
          <w:lang w:eastAsia="zh-CN"/>
        </w:rPr>
        <w:t>其他未列明行业</w:t>
      </w:r>
      <w:r>
        <w:rPr>
          <w:rFonts w:hint="eastAsia" w:ascii="宋体" w:hAnsi="宋体" w:cs="宋体"/>
          <w:color w:val="auto"/>
          <w:kern w:val="0"/>
          <w:sz w:val="21"/>
          <w:szCs w:val="21"/>
          <w:highlight w:val="none"/>
        </w:rPr>
        <w:t>”。</w:t>
      </w:r>
    </w:p>
    <w:p w14:paraId="1198CD0C">
      <w:pPr>
        <w:keepNext w:val="0"/>
        <w:keepLines w:val="0"/>
        <w:pageBreakBefore w:val="0"/>
        <w:kinsoku/>
        <w:wordWrap/>
        <w:overflowPunct/>
        <w:topLinePunct w:val="0"/>
        <w:bidi w:val="0"/>
        <w:spacing w:line="360" w:lineRule="auto"/>
        <w:ind w:left="0" w:leftChars="0" w:firstLine="420"/>
        <w:textAlignment w:val="auto"/>
        <w:rPr>
          <w:rFonts w:hint="eastAsia" w:ascii="宋体" w:hAnsi="宋体" w:cs="宋体"/>
          <w:color w:val="auto"/>
          <w:szCs w:val="21"/>
          <w:highlight w:val="none"/>
        </w:rPr>
      </w:pPr>
      <w:r>
        <w:rPr>
          <w:rStyle w:val="58"/>
          <w:rFonts w:hint="eastAsia" w:ascii="仿宋" w:hAnsi="仿宋" w:cs="Arial"/>
          <w:color w:val="auto"/>
          <w:kern w:val="2"/>
          <w:sz w:val="21"/>
          <w:szCs w:val="24"/>
          <w:highlight w:val="none"/>
          <w:shd w:val="clear" w:color="auto" w:fill="auto"/>
          <w:lang w:val="en-US" w:eastAsia="zh-CN" w:bidi="ar-SA"/>
        </w:rPr>
        <w:t>6</w:t>
      </w:r>
      <w:r>
        <w:rPr>
          <w:rStyle w:val="58"/>
          <w:rFonts w:hint="eastAsia" w:ascii="仿宋" w:hAnsi="仿宋" w:eastAsia="宋体" w:cs="Arial"/>
          <w:color w:val="auto"/>
          <w:kern w:val="2"/>
          <w:sz w:val="21"/>
          <w:szCs w:val="24"/>
          <w:highlight w:val="none"/>
          <w:shd w:val="clear" w:color="auto" w:fill="auto"/>
          <w:lang w:val="en-US" w:eastAsia="zh-CN" w:bidi="ar-SA"/>
        </w:rPr>
        <w:t>.监督管理机构：桂林市政府采购管理办公室</w:t>
      </w:r>
      <w:r>
        <w:rPr>
          <w:rStyle w:val="58"/>
          <w:rFonts w:hint="eastAsia" w:ascii="仿宋" w:hAnsi="仿宋" w:cs="Arial"/>
          <w:color w:val="auto"/>
          <w:kern w:val="2"/>
          <w:sz w:val="21"/>
          <w:szCs w:val="24"/>
          <w:highlight w:val="none"/>
          <w:shd w:val="clear" w:color="auto" w:fill="auto"/>
          <w:lang w:val="en-US" w:eastAsia="zh-CN" w:bidi="ar-SA"/>
        </w:rPr>
        <w:t xml:space="preserve">    </w:t>
      </w:r>
      <w:r>
        <w:rPr>
          <w:rStyle w:val="58"/>
          <w:rFonts w:hint="eastAsia" w:ascii="仿宋" w:hAnsi="仿宋" w:eastAsia="宋体" w:cs="Arial"/>
          <w:color w:val="auto"/>
          <w:kern w:val="2"/>
          <w:sz w:val="21"/>
          <w:szCs w:val="24"/>
          <w:highlight w:val="none"/>
          <w:shd w:val="clear" w:color="auto" w:fill="auto"/>
          <w:lang w:val="en-US" w:eastAsia="zh-CN" w:bidi="ar-SA"/>
        </w:rPr>
        <w:t>电话：0773-2862142</w:t>
      </w:r>
    </w:p>
    <w:p w14:paraId="713E9E26">
      <w:pPr>
        <w:keepNext w:val="0"/>
        <w:keepLines w:val="0"/>
        <w:pageBreakBefore w:val="0"/>
        <w:kinsoku/>
        <w:wordWrap/>
        <w:overflowPunct/>
        <w:topLinePunct w:val="0"/>
        <w:bidi w:val="0"/>
        <w:spacing w:line="360" w:lineRule="auto"/>
        <w:ind w:left="0" w:leftChars="0" w:firstLine="420"/>
        <w:textAlignment w:val="auto"/>
        <w:rPr>
          <w:rFonts w:ascii="宋体" w:hAnsi="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.资格条件特别说明：</w:t>
      </w:r>
    </w:p>
    <w:p w14:paraId="5197A50D">
      <w:pPr>
        <w:keepNext w:val="0"/>
        <w:keepLines w:val="0"/>
        <w:pageBreakBefore w:val="0"/>
        <w:kinsoku/>
        <w:wordWrap/>
        <w:overflowPunct/>
        <w:topLinePunct w:val="0"/>
        <w:bidi w:val="0"/>
        <w:spacing w:line="360" w:lineRule="auto"/>
        <w:ind w:left="0" w:leftChars="0" w:firstLine="420"/>
        <w:textAlignment w:val="auto"/>
        <w:rPr>
          <w:rFonts w:ascii="宋体" w:hAnsi="宋体" w:cs="宋体"/>
          <w:color w:val="auto"/>
          <w:szCs w:val="21"/>
          <w:highlight w:val="none"/>
        </w:rPr>
      </w:pPr>
      <w:r>
        <w:rPr>
          <w:rFonts w:hint="eastAsia" w:ascii="宋体" w:hAnsi="宋体" w:cs="宋体"/>
          <w:color w:val="auto"/>
          <w:szCs w:val="21"/>
          <w:highlight w:val="none"/>
        </w:rPr>
        <w:t>（1）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3D1BA962">
      <w:pPr>
        <w:keepNext w:val="0"/>
        <w:keepLines w:val="0"/>
        <w:pageBreakBefore w:val="0"/>
        <w:kinsoku/>
        <w:wordWrap/>
        <w:overflowPunct/>
        <w:topLinePunct w:val="0"/>
        <w:bidi w:val="0"/>
        <w:spacing w:line="360" w:lineRule="auto"/>
        <w:ind w:left="0" w:leftChars="0" w:firstLine="420"/>
        <w:textAlignment w:val="auto"/>
        <w:rPr>
          <w:rFonts w:ascii="宋体" w:hAnsi="宋体" w:cs="宋体"/>
          <w:color w:val="auto"/>
          <w:highlight w:val="none"/>
        </w:rPr>
      </w:pPr>
      <w:r>
        <w:rPr>
          <w:rFonts w:hint="eastAsia" w:ascii="宋体" w:hAnsi="宋体" w:cs="宋体"/>
          <w:color w:val="auto"/>
          <w:highlight w:val="none"/>
        </w:rPr>
        <w:t>（2）对在“信用中国”网站(www.creditchina.gov.cn)、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28F1C45D">
      <w:pPr>
        <w:keepNext w:val="0"/>
        <w:keepLines w:val="0"/>
        <w:pageBreakBefore w:val="0"/>
        <w:kinsoku/>
        <w:wordWrap/>
        <w:overflowPunct/>
        <w:topLinePunct w:val="0"/>
        <w:bidi w:val="0"/>
        <w:spacing w:line="360" w:lineRule="auto"/>
        <w:ind w:left="0" w:leftChars="0"/>
        <w:textAlignment w:val="auto"/>
        <w:rPr>
          <w:rFonts w:ascii="宋体" w:hAnsi="宋体" w:cs="宋体"/>
          <w:bCs/>
          <w:color w:val="auto"/>
          <w:szCs w:val="21"/>
          <w:highlight w:val="none"/>
        </w:rPr>
      </w:pPr>
      <w:r>
        <w:rPr>
          <w:rFonts w:hint="eastAsia" w:ascii="宋体" w:hAnsi="宋体" w:cs="宋体"/>
          <w:bCs/>
          <w:color w:val="auto"/>
          <w:szCs w:val="21"/>
          <w:highlight w:val="none"/>
          <w:lang w:val="en-US" w:eastAsia="zh-CN"/>
        </w:rPr>
        <w:t>8</w:t>
      </w:r>
      <w:bookmarkStart w:id="236" w:name="_GoBack"/>
      <w:bookmarkEnd w:id="236"/>
      <w:r>
        <w:rPr>
          <w:rFonts w:hint="eastAsia" w:ascii="宋体" w:hAnsi="宋体" w:cs="宋体"/>
          <w:bCs/>
          <w:color w:val="auto"/>
          <w:szCs w:val="21"/>
          <w:highlight w:val="none"/>
        </w:rPr>
        <w:t>.广西政府采购云平台电子竞标相关事宜：</w:t>
      </w:r>
    </w:p>
    <w:p w14:paraId="2923D4AA">
      <w:pPr>
        <w:keepNext w:val="0"/>
        <w:keepLines w:val="0"/>
        <w:pageBreakBefore w:val="0"/>
        <w:kinsoku/>
        <w:wordWrap/>
        <w:overflowPunct/>
        <w:topLinePunct w:val="0"/>
        <w:bidi w:val="0"/>
        <w:adjustRightInd w:val="0"/>
        <w:snapToGrid w:val="0"/>
        <w:spacing w:line="360" w:lineRule="auto"/>
        <w:ind w:left="0" w:leftChars="0" w:firstLine="420"/>
        <w:textAlignment w:val="auto"/>
        <w:rPr>
          <w:rFonts w:ascii="宋体" w:hAnsi="宋体" w:cs="宋体"/>
          <w:bCs/>
          <w:color w:val="auto"/>
          <w:szCs w:val="21"/>
          <w:highlight w:val="none"/>
        </w:rPr>
      </w:pPr>
      <w:r>
        <w:rPr>
          <w:rFonts w:hint="eastAsia" w:ascii="宋体" w:hAnsi="宋体" w:cs="宋体"/>
          <w:bCs/>
          <w:color w:val="auto"/>
          <w:szCs w:val="21"/>
          <w:highlight w:val="none"/>
        </w:rPr>
        <w:t>（1）本项目实行全流程电子化采购，供应商通过广西政府采购云平台参与电子竞标，并应做好以下相关准备工作：①在广西政府采购云平台注册成为正式供应商（操作方法详见广西壮族自治区政府采购网—办事服务—办事指南）；②完成CA证书申领和绑定（费用由供应商自行承担，办理流程详见广西壮族自治区政府采购网—办事服务—下载专区，完成CA证书办理预计一周左右，建议供应商尽快办理），以便供应商采用CA证书对其响应文件电子签章或电子签名；③下载“广西壮族自治区全流程电子招投标项目管理系统--供应商客户端”（操作方法详见广西壮族自治区政府采购网—办事服务—下载专区，以下称“政采云电子投标客户端”）并安装成功，供应商应当在响应文件提交截止时间前在广西政府采购云平台完成的身份认证，确保能够对相关数据电文进行加密和使用电子签章；④自备计算机和网络设备并确保能接入互联网（费用由供应商自行承担，设备确保可进行视频通话和读取政采云CA证书）。因供应商未做好相关准备工作等自身原因导致无法参加本项目电子竞标或竞标失败的，造成的一切后果，由供应商自行承担。</w:t>
      </w:r>
    </w:p>
    <w:p w14:paraId="086B06D6">
      <w:pPr>
        <w:keepNext w:val="0"/>
        <w:keepLines w:val="0"/>
        <w:pageBreakBefore w:val="0"/>
        <w:kinsoku/>
        <w:wordWrap/>
        <w:overflowPunct/>
        <w:topLinePunct w:val="0"/>
        <w:bidi w:val="0"/>
        <w:adjustRightInd w:val="0"/>
        <w:snapToGrid w:val="0"/>
        <w:spacing w:line="360" w:lineRule="auto"/>
        <w:ind w:left="0" w:leftChars="0" w:firstLine="420"/>
        <w:textAlignment w:val="auto"/>
        <w:rPr>
          <w:rFonts w:ascii="宋体" w:hAnsi="宋体" w:cs="宋体"/>
          <w:bCs/>
          <w:color w:val="auto"/>
          <w:szCs w:val="21"/>
          <w:highlight w:val="none"/>
        </w:rPr>
      </w:pPr>
      <w:r>
        <w:rPr>
          <w:rFonts w:hint="eastAsia" w:ascii="宋体" w:hAnsi="宋体" w:cs="宋体"/>
          <w:bCs/>
          <w:color w:val="auto"/>
          <w:szCs w:val="21"/>
          <w:highlight w:val="none"/>
        </w:rPr>
        <w:t>（2）电子竞标具体操作流程参考《政府采购项目电子交易管理操作指南-供应商》（详见桂林市政府采购网—采购资讯—重要通知）；如遇平台技术问题详询95763。</w:t>
      </w:r>
    </w:p>
    <w:p w14:paraId="06C66F18">
      <w:pPr>
        <w:keepNext w:val="0"/>
        <w:keepLines w:val="0"/>
        <w:pageBreakBefore w:val="0"/>
        <w:kinsoku/>
        <w:wordWrap/>
        <w:overflowPunct/>
        <w:topLinePunct w:val="0"/>
        <w:bidi w:val="0"/>
        <w:adjustRightInd w:val="0"/>
        <w:snapToGrid w:val="0"/>
        <w:spacing w:line="360" w:lineRule="auto"/>
        <w:ind w:left="0" w:leftChars="0" w:firstLine="420"/>
        <w:textAlignment w:val="auto"/>
        <w:rPr>
          <w:color w:val="auto"/>
          <w:highlight w:val="none"/>
        </w:rPr>
      </w:pPr>
      <w:r>
        <w:rPr>
          <w:rFonts w:hint="eastAsia" w:ascii="宋体" w:hAnsi="宋体" w:cs="宋体"/>
          <w:bCs/>
          <w:color w:val="auto"/>
          <w:szCs w:val="21"/>
          <w:highlight w:val="none"/>
        </w:rPr>
        <w:t>（3）</w:t>
      </w:r>
      <w:r>
        <w:rPr>
          <w:rFonts w:hint="eastAsia" w:ascii="宋体" w:hAnsi="宋体" w:cs="宋体"/>
          <w:color w:val="auto"/>
          <w:kern w:val="0"/>
          <w:szCs w:val="21"/>
          <w:highlight w:val="none"/>
        </w:rPr>
        <w:t>电子响应文件的制作、加密、</w:t>
      </w:r>
      <w:r>
        <w:rPr>
          <w:rFonts w:hint="eastAsia" w:ascii="宋体" w:hAnsi="宋体" w:cs="宋体"/>
          <w:color w:val="auto"/>
          <w:szCs w:val="21"/>
          <w:highlight w:val="none"/>
        </w:rPr>
        <w:t>提交、解密等相关事宜详见第二章 “供应商须知”。</w:t>
      </w:r>
    </w:p>
    <w:p w14:paraId="0B74B089">
      <w:pPr>
        <w:keepNext w:val="0"/>
        <w:keepLines w:val="0"/>
        <w:pageBreakBefore w:val="0"/>
        <w:kinsoku/>
        <w:wordWrap/>
        <w:overflowPunct/>
        <w:topLinePunct w:val="0"/>
        <w:bidi w:val="0"/>
        <w:spacing w:line="360" w:lineRule="auto"/>
        <w:ind w:left="0" w:leftChars="0"/>
        <w:textAlignment w:val="auto"/>
        <w:rPr>
          <w:rFonts w:ascii="宋体" w:hAnsi="宋体" w:cs="宋体"/>
          <w:b/>
          <w:color w:val="auto"/>
          <w:szCs w:val="21"/>
          <w:highlight w:val="none"/>
        </w:rPr>
      </w:pPr>
      <w:r>
        <w:rPr>
          <w:rFonts w:hint="eastAsia" w:ascii="宋体" w:hAnsi="宋体" w:cs="宋体"/>
          <w:b/>
          <w:color w:val="auto"/>
          <w:szCs w:val="21"/>
          <w:highlight w:val="none"/>
        </w:rPr>
        <w:t>八、</w:t>
      </w:r>
      <w:bookmarkEnd w:id="22"/>
      <w:bookmarkEnd w:id="23"/>
      <w:bookmarkEnd w:id="24"/>
      <w:bookmarkEnd w:id="25"/>
      <w:r>
        <w:rPr>
          <w:rFonts w:hint="eastAsia" w:ascii="宋体" w:hAnsi="宋体" w:cs="宋体"/>
          <w:b/>
          <w:color w:val="auto"/>
          <w:szCs w:val="21"/>
          <w:highlight w:val="none"/>
        </w:rPr>
        <w:t>凡对本次采购提出询问，请按以下方式联系。</w:t>
      </w:r>
      <w:bookmarkStart w:id="36" w:name="_Toc35393637"/>
      <w:bookmarkStart w:id="37" w:name="_Toc35393806"/>
      <w:bookmarkStart w:id="38" w:name="_Toc28359096"/>
      <w:bookmarkStart w:id="39" w:name="_Toc28359019"/>
    </w:p>
    <w:p w14:paraId="5C829FA8">
      <w:pPr>
        <w:keepNext w:val="0"/>
        <w:keepLines w:val="0"/>
        <w:pageBreakBefore w:val="0"/>
        <w:kinsoku/>
        <w:wordWrap/>
        <w:overflowPunct/>
        <w:topLinePunct w:val="0"/>
        <w:bidi w:val="0"/>
        <w:spacing w:line="360" w:lineRule="auto"/>
        <w:ind w:left="0" w:leftChars="0" w:firstLine="420" w:firstLineChars="200"/>
        <w:textAlignment w:val="auto"/>
        <w:rPr>
          <w:rFonts w:ascii="宋体" w:hAnsi="宋体" w:cs="宋体"/>
          <w:color w:val="auto"/>
          <w:szCs w:val="21"/>
          <w:highlight w:val="none"/>
        </w:rPr>
      </w:pPr>
      <w:r>
        <w:rPr>
          <w:rFonts w:hint="eastAsia" w:ascii="宋体" w:hAnsi="宋体" w:cs="宋体"/>
          <w:bCs/>
          <w:color w:val="auto"/>
          <w:szCs w:val="21"/>
          <w:highlight w:val="none"/>
        </w:rPr>
        <w:t>1.采购人信息</w:t>
      </w:r>
      <w:bookmarkEnd w:id="36"/>
      <w:bookmarkEnd w:id="37"/>
      <w:bookmarkEnd w:id="38"/>
      <w:bookmarkEnd w:id="39"/>
    </w:p>
    <w:p w14:paraId="53933188">
      <w:pPr>
        <w:keepNext w:val="0"/>
        <w:keepLines w:val="0"/>
        <w:pageBreakBefore w:val="0"/>
        <w:kinsoku/>
        <w:wordWrap/>
        <w:overflowPunct/>
        <w:topLinePunct w:val="0"/>
        <w:bidi w:val="0"/>
        <w:spacing w:line="360" w:lineRule="auto"/>
        <w:ind w:left="0" w:leftChars="0" w:firstLine="420" w:firstLineChars="200"/>
        <w:jc w:val="left"/>
        <w:textAlignment w:val="auto"/>
        <w:rPr>
          <w:rFonts w:ascii="宋体" w:hAnsi="宋体" w:cs="宋体"/>
          <w:color w:val="auto"/>
          <w:szCs w:val="21"/>
          <w:highlight w:val="none"/>
        </w:rPr>
      </w:pPr>
      <w:bookmarkStart w:id="40" w:name="_Toc35393638"/>
      <w:bookmarkStart w:id="41" w:name="_Toc28359097"/>
      <w:bookmarkStart w:id="42" w:name="_Toc28359020"/>
      <w:bookmarkStart w:id="43" w:name="_Toc35393807"/>
      <w:r>
        <w:rPr>
          <w:rFonts w:hint="eastAsia" w:ascii="宋体" w:hAnsi="宋体" w:cs="宋体"/>
          <w:color w:val="auto"/>
          <w:szCs w:val="21"/>
          <w:highlight w:val="none"/>
        </w:rPr>
        <w:t>名  称：广西桂林花坪国家级自然保护区管理处 </w:t>
      </w:r>
    </w:p>
    <w:p w14:paraId="3A096672">
      <w:pPr>
        <w:keepNext w:val="0"/>
        <w:keepLines w:val="0"/>
        <w:pageBreakBefore w:val="0"/>
        <w:kinsoku/>
        <w:wordWrap/>
        <w:overflowPunct/>
        <w:topLinePunct w:val="0"/>
        <w:bidi w:val="0"/>
        <w:spacing w:line="360" w:lineRule="auto"/>
        <w:ind w:left="0" w:leftChars="0"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地  址：广西桂林市临桂区世纪东路32号 </w:t>
      </w:r>
    </w:p>
    <w:p w14:paraId="6CF6D98F">
      <w:pPr>
        <w:keepNext w:val="0"/>
        <w:keepLines w:val="0"/>
        <w:pageBreakBefore w:val="0"/>
        <w:kinsoku/>
        <w:wordWrap/>
        <w:overflowPunct/>
        <w:topLinePunct w:val="0"/>
        <w:bidi w:val="0"/>
        <w:spacing w:line="360" w:lineRule="auto"/>
        <w:ind w:left="0" w:leftChars="0"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联系方式：</w:t>
      </w:r>
      <w:r>
        <w:rPr>
          <w:rFonts w:hint="eastAsia" w:ascii="宋体" w:hAnsi="宋体"/>
          <w:color w:val="auto"/>
          <w:highlight w:val="none"/>
          <w:shd w:val="clear" w:color="auto" w:fill="auto"/>
          <w:lang w:val="en-US" w:eastAsia="zh-CN"/>
        </w:rPr>
        <w:t>0773-5593550</w:t>
      </w:r>
    </w:p>
    <w:p w14:paraId="151FD122">
      <w:pPr>
        <w:keepNext w:val="0"/>
        <w:keepLines w:val="0"/>
        <w:pageBreakBefore w:val="0"/>
        <w:kinsoku/>
        <w:wordWrap/>
        <w:overflowPunct/>
        <w:topLinePunct w:val="0"/>
        <w:bidi w:val="0"/>
        <w:spacing w:line="360" w:lineRule="auto"/>
        <w:ind w:left="0" w:leftChars="0"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2.采购代理机构信息</w:t>
      </w:r>
      <w:bookmarkEnd w:id="40"/>
      <w:bookmarkEnd w:id="41"/>
      <w:bookmarkEnd w:id="42"/>
      <w:bookmarkEnd w:id="43"/>
    </w:p>
    <w:p w14:paraId="56A030DA">
      <w:pPr>
        <w:keepNext w:val="0"/>
        <w:keepLines w:val="0"/>
        <w:pageBreakBefore w:val="0"/>
        <w:kinsoku/>
        <w:wordWrap/>
        <w:overflowPunct/>
        <w:topLinePunct w:val="0"/>
        <w:bidi w:val="0"/>
        <w:spacing w:line="360" w:lineRule="auto"/>
        <w:ind w:left="0" w:leftChars="0"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名    称：广西天罡工程项目管理有限公司</w:t>
      </w:r>
    </w:p>
    <w:p w14:paraId="4723C9D2">
      <w:pPr>
        <w:keepNext w:val="0"/>
        <w:keepLines w:val="0"/>
        <w:pageBreakBefore w:val="0"/>
        <w:kinsoku/>
        <w:wordWrap/>
        <w:overflowPunct/>
        <w:topLinePunct w:val="0"/>
        <w:bidi w:val="0"/>
        <w:spacing w:line="360" w:lineRule="auto"/>
        <w:ind w:left="0" w:leftChars="0"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地　　址：桂林市七星区七里店路108号桂林国家大学科技园2栋2单元5楼</w:t>
      </w:r>
    </w:p>
    <w:p w14:paraId="4E2F83A3">
      <w:pPr>
        <w:keepNext w:val="0"/>
        <w:keepLines w:val="0"/>
        <w:pageBreakBefore w:val="0"/>
        <w:kinsoku/>
        <w:wordWrap/>
        <w:overflowPunct/>
        <w:topLinePunct w:val="0"/>
        <w:bidi w:val="0"/>
        <w:spacing w:line="360" w:lineRule="auto"/>
        <w:ind w:left="0" w:leftChars="0"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联系方式：0773-5896688</w:t>
      </w:r>
    </w:p>
    <w:p w14:paraId="4F1402D7">
      <w:pPr>
        <w:keepNext w:val="0"/>
        <w:keepLines w:val="0"/>
        <w:pageBreakBefore w:val="0"/>
        <w:kinsoku/>
        <w:wordWrap/>
        <w:overflowPunct/>
        <w:topLinePunct w:val="0"/>
        <w:bidi w:val="0"/>
        <w:spacing w:line="360" w:lineRule="auto"/>
        <w:ind w:left="0" w:leftChars="0" w:firstLine="420" w:firstLineChars="200"/>
        <w:jc w:val="left"/>
        <w:textAlignment w:val="auto"/>
        <w:rPr>
          <w:rFonts w:ascii="宋体" w:hAnsi="宋体" w:cs="宋体"/>
          <w:color w:val="auto"/>
          <w:szCs w:val="21"/>
          <w:highlight w:val="none"/>
        </w:rPr>
      </w:pPr>
      <w:bookmarkStart w:id="44" w:name="_Toc35393639"/>
      <w:bookmarkStart w:id="45" w:name="_Toc28359021"/>
      <w:bookmarkStart w:id="46" w:name="_Toc28359098"/>
      <w:bookmarkStart w:id="47" w:name="_Toc35393808"/>
      <w:r>
        <w:rPr>
          <w:rFonts w:hint="eastAsia" w:ascii="宋体" w:hAnsi="宋体" w:cs="宋体"/>
          <w:color w:val="auto"/>
          <w:szCs w:val="21"/>
          <w:highlight w:val="none"/>
        </w:rPr>
        <w:t>3.项目联系方式</w:t>
      </w:r>
      <w:bookmarkEnd w:id="44"/>
      <w:bookmarkEnd w:id="45"/>
      <w:bookmarkEnd w:id="46"/>
      <w:bookmarkEnd w:id="47"/>
    </w:p>
    <w:p w14:paraId="7341FB8A">
      <w:pPr>
        <w:keepNext w:val="0"/>
        <w:keepLines w:val="0"/>
        <w:pageBreakBefore w:val="0"/>
        <w:kinsoku/>
        <w:wordWrap/>
        <w:overflowPunct/>
        <w:topLinePunct w:val="0"/>
        <w:bidi w:val="0"/>
        <w:spacing w:line="360" w:lineRule="auto"/>
        <w:ind w:left="0" w:leftChars="0" w:firstLine="420" w:firstLineChars="200"/>
        <w:jc w:val="left"/>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项目联系人：</w:t>
      </w:r>
      <w:r>
        <w:rPr>
          <w:rFonts w:hint="eastAsia" w:ascii="宋体" w:hAnsi="宋体" w:cs="宋体"/>
          <w:color w:val="auto"/>
          <w:szCs w:val="21"/>
          <w:highlight w:val="none"/>
          <w:lang w:eastAsia="zh-CN"/>
        </w:rPr>
        <w:t>滕工、徐工</w:t>
      </w:r>
    </w:p>
    <w:p w14:paraId="72F5036C">
      <w:pPr>
        <w:keepNext w:val="0"/>
        <w:keepLines w:val="0"/>
        <w:pageBreakBefore w:val="0"/>
        <w:kinsoku/>
        <w:wordWrap/>
        <w:overflowPunct/>
        <w:topLinePunct w:val="0"/>
        <w:bidi w:val="0"/>
        <w:spacing w:line="360" w:lineRule="auto"/>
        <w:ind w:left="0" w:leftChars="0"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电　　 话：0773-5896688</w:t>
      </w:r>
    </w:p>
    <w:p w14:paraId="5C658688">
      <w:pPr>
        <w:rPr>
          <w:rFonts w:hint="eastAsia"/>
          <w:color w:val="auto"/>
          <w:highlight w:val="none"/>
        </w:rPr>
      </w:pPr>
      <w:bookmarkStart w:id="48" w:name="_Toc8849"/>
      <w:bookmarkStart w:id="49" w:name="_Toc10668"/>
      <w:r>
        <w:rPr>
          <w:rFonts w:hint="eastAsia"/>
          <w:color w:val="auto"/>
          <w:highlight w:val="none"/>
        </w:rPr>
        <w:br w:type="page"/>
      </w:r>
    </w:p>
    <w:bookmarkEnd w:id="0"/>
    <w:bookmarkEnd w:id="1"/>
    <w:bookmarkEnd w:id="48"/>
    <w:bookmarkEnd w:id="49"/>
    <w:p w14:paraId="06CD6573">
      <w:pPr>
        <w:pStyle w:val="2"/>
        <w:rPr>
          <w:color w:val="auto"/>
          <w:highlight w:val="none"/>
        </w:rPr>
      </w:pPr>
      <w:bookmarkStart w:id="50" w:name="_Toc25063"/>
      <w:bookmarkStart w:id="51" w:name="_Toc13547"/>
      <w:bookmarkStart w:id="52" w:name="_Toc9508"/>
      <w:bookmarkStart w:id="53" w:name="_Toc15488"/>
      <w:r>
        <w:rPr>
          <w:rFonts w:hint="eastAsia"/>
          <w:color w:val="auto"/>
          <w:highlight w:val="none"/>
        </w:rPr>
        <w:t>第二章  供应商须知</w:t>
      </w:r>
    </w:p>
    <w:p w14:paraId="33BFE4F1">
      <w:pPr>
        <w:pStyle w:val="2"/>
        <w:spacing w:line="400" w:lineRule="exact"/>
        <w:ind w:left="425"/>
        <w:rPr>
          <w:rFonts w:ascii="宋体" w:hAnsi="宋体" w:cs="宋体"/>
          <w:bCs w:val="0"/>
          <w:color w:val="auto"/>
          <w:sz w:val="24"/>
          <w:szCs w:val="24"/>
          <w:highlight w:val="none"/>
        </w:rPr>
      </w:pPr>
      <w:r>
        <w:rPr>
          <w:rFonts w:hint="eastAsia" w:ascii="宋体" w:hAnsi="宋体" w:cs="宋体"/>
          <w:bCs w:val="0"/>
          <w:color w:val="auto"/>
          <w:sz w:val="24"/>
          <w:szCs w:val="24"/>
          <w:highlight w:val="none"/>
        </w:rPr>
        <w:t>供 应 商 须 知 前 附 表</w:t>
      </w:r>
      <w:bookmarkEnd w:id="50"/>
      <w:bookmarkEnd w:id="51"/>
      <w:bookmarkEnd w:id="52"/>
      <w:bookmarkEnd w:id="53"/>
    </w:p>
    <w:tbl>
      <w:tblPr>
        <w:tblStyle w:val="24"/>
        <w:tblW w:w="102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942"/>
        <w:gridCol w:w="1652"/>
        <w:gridCol w:w="7035"/>
      </w:tblGrid>
      <w:tr w14:paraId="1B7E3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2" w:type="dxa"/>
            <w:vAlign w:val="center"/>
          </w:tcPr>
          <w:p w14:paraId="1C6D909E">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942" w:type="dxa"/>
            <w:vAlign w:val="center"/>
          </w:tcPr>
          <w:p w14:paraId="5ABDB5AD">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条款号</w:t>
            </w:r>
          </w:p>
        </w:tc>
        <w:tc>
          <w:tcPr>
            <w:tcW w:w="1652" w:type="dxa"/>
            <w:vAlign w:val="center"/>
          </w:tcPr>
          <w:p w14:paraId="1C47A1A5">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条款名称</w:t>
            </w:r>
          </w:p>
        </w:tc>
        <w:tc>
          <w:tcPr>
            <w:tcW w:w="7035" w:type="dxa"/>
            <w:vAlign w:val="center"/>
          </w:tcPr>
          <w:p w14:paraId="47576658">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内容、要求</w:t>
            </w:r>
          </w:p>
        </w:tc>
      </w:tr>
      <w:tr w14:paraId="53CB5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662" w:type="dxa"/>
            <w:vAlign w:val="center"/>
          </w:tcPr>
          <w:p w14:paraId="02C783E4">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942" w:type="dxa"/>
            <w:vAlign w:val="center"/>
          </w:tcPr>
          <w:p w14:paraId="35C1CAA7">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1.1</w:t>
            </w:r>
          </w:p>
        </w:tc>
        <w:tc>
          <w:tcPr>
            <w:tcW w:w="1652" w:type="dxa"/>
            <w:vAlign w:val="center"/>
          </w:tcPr>
          <w:p w14:paraId="5411BF16">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项目名称及项目编号</w:t>
            </w:r>
          </w:p>
        </w:tc>
        <w:tc>
          <w:tcPr>
            <w:tcW w:w="7035" w:type="dxa"/>
          </w:tcPr>
          <w:p w14:paraId="1A1D88D4">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项目名称：</w:t>
            </w:r>
            <w:r>
              <w:rPr>
                <w:rFonts w:hint="eastAsia" w:ascii="宋体" w:hAnsi="宋体" w:cs="宋体"/>
                <w:color w:val="auto"/>
                <w:szCs w:val="21"/>
                <w:highlight w:val="none"/>
                <w:lang w:eastAsia="zh-CN"/>
              </w:rPr>
              <w:t>广西花坪国家级自然保护区特种救护、宣传（资料）视频制作、标本养护及古树名木资源普查项目A分标（重）</w:t>
            </w:r>
          </w:p>
          <w:p w14:paraId="15A9F54B">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highlight w:val="none"/>
                <w:lang w:eastAsia="zh-CN"/>
              </w:rPr>
            </w:pPr>
            <w:r>
              <w:rPr>
                <w:rFonts w:hint="eastAsia" w:ascii="宋体" w:hAnsi="宋体" w:cs="宋体"/>
                <w:color w:val="auto"/>
                <w:szCs w:val="21"/>
                <w:highlight w:val="none"/>
              </w:rPr>
              <w:t>项目编号：</w:t>
            </w:r>
            <w:r>
              <w:rPr>
                <w:rFonts w:hint="eastAsia" w:ascii="宋体" w:hAnsi="宋体" w:cs="宋体"/>
                <w:color w:val="auto"/>
                <w:szCs w:val="21"/>
                <w:highlight w:val="none"/>
                <w:lang w:eastAsia="zh-CN"/>
              </w:rPr>
              <w:t>GLZC2026-C3-990456-GXTG</w:t>
            </w:r>
          </w:p>
        </w:tc>
      </w:tr>
      <w:tr w14:paraId="0777A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62" w:type="dxa"/>
            <w:vAlign w:val="center"/>
          </w:tcPr>
          <w:p w14:paraId="40C31B9A">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942" w:type="dxa"/>
            <w:vAlign w:val="center"/>
          </w:tcPr>
          <w:p w14:paraId="720F2178">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1652" w:type="dxa"/>
            <w:vAlign w:val="center"/>
          </w:tcPr>
          <w:p w14:paraId="147C1B91">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供应商资格</w:t>
            </w:r>
          </w:p>
        </w:tc>
        <w:tc>
          <w:tcPr>
            <w:tcW w:w="7035" w:type="dxa"/>
            <w:vAlign w:val="center"/>
          </w:tcPr>
          <w:p w14:paraId="4692159C">
            <w:pPr>
              <w:keepNext w:val="0"/>
              <w:keepLines w:val="0"/>
              <w:suppressLineNumbers w:val="0"/>
              <w:spacing w:before="0" w:beforeAutospacing="0" w:after="0" w:afterAutospacing="0"/>
              <w:ind w:left="0" w:right="0"/>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详见竞争性磋商公告。</w:t>
            </w:r>
          </w:p>
        </w:tc>
      </w:tr>
      <w:tr w14:paraId="03294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62" w:type="dxa"/>
            <w:vAlign w:val="center"/>
          </w:tcPr>
          <w:p w14:paraId="6C847D0A">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942" w:type="dxa"/>
            <w:vAlign w:val="center"/>
          </w:tcPr>
          <w:p w14:paraId="18FEB93D">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1652" w:type="dxa"/>
            <w:vAlign w:val="center"/>
          </w:tcPr>
          <w:p w14:paraId="14E5641A">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磋商费用</w:t>
            </w:r>
          </w:p>
        </w:tc>
        <w:tc>
          <w:tcPr>
            <w:tcW w:w="7035" w:type="dxa"/>
            <w:vAlign w:val="center"/>
          </w:tcPr>
          <w:p w14:paraId="69EBA483">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 xml:space="preserve">不论磋商结果如何，供应商均应自行承担所有与磋商有关的全部费用。 </w:t>
            </w:r>
          </w:p>
        </w:tc>
      </w:tr>
      <w:tr w14:paraId="3874F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62" w:type="dxa"/>
            <w:vAlign w:val="center"/>
          </w:tcPr>
          <w:p w14:paraId="36944D57">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942" w:type="dxa"/>
            <w:vAlign w:val="center"/>
          </w:tcPr>
          <w:p w14:paraId="31BE9AD2">
            <w:pPr>
              <w:keepNext w:val="0"/>
              <w:keepLines w:val="0"/>
              <w:suppressLineNumbers w:val="0"/>
              <w:spacing w:before="0" w:beforeAutospacing="0" w:after="0" w:afterAutospacing="0" w:line="360" w:lineRule="auto"/>
              <w:ind w:left="0" w:right="0"/>
              <w:jc w:val="center"/>
              <w:rPr>
                <w:rFonts w:hint="eastAsia" w:ascii="宋体" w:hAnsi="宋体" w:cs="宋体"/>
                <w:color w:val="auto"/>
                <w:position w:val="-2"/>
                <w:szCs w:val="21"/>
                <w:highlight w:val="none"/>
              </w:rPr>
            </w:pPr>
            <w:r>
              <w:rPr>
                <w:rFonts w:hint="eastAsia" w:ascii="宋体" w:hAnsi="宋体" w:cs="宋体"/>
                <w:color w:val="auto"/>
                <w:position w:val="-2"/>
                <w:szCs w:val="21"/>
                <w:highlight w:val="none"/>
              </w:rPr>
              <w:t>13</w:t>
            </w:r>
          </w:p>
        </w:tc>
        <w:tc>
          <w:tcPr>
            <w:tcW w:w="1652" w:type="dxa"/>
            <w:vAlign w:val="center"/>
          </w:tcPr>
          <w:p w14:paraId="512D5B63">
            <w:pPr>
              <w:keepNext w:val="0"/>
              <w:keepLines w:val="0"/>
              <w:suppressLineNumbers w:val="0"/>
              <w:spacing w:before="0" w:beforeAutospacing="0" w:after="0" w:afterAutospacing="0" w:line="360" w:lineRule="auto"/>
              <w:ind w:left="0" w:right="0"/>
              <w:jc w:val="center"/>
              <w:rPr>
                <w:rFonts w:hint="eastAsia" w:ascii="宋体" w:hAnsi="宋体" w:cs="宋体"/>
                <w:color w:val="auto"/>
                <w:position w:val="-2"/>
                <w:szCs w:val="21"/>
                <w:highlight w:val="none"/>
              </w:rPr>
            </w:pPr>
            <w:r>
              <w:rPr>
                <w:rFonts w:hint="eastAsia" w:ascii="宋体" w:hAnsi="宋体" w:cs="宋体"/>
                <w:color w:val="auto"/>
                <w:szCs w:val="21"/>
                <w:highlight w:val="none"/>
              </w:rPr>
              <w:t>磋商报价及采购预算金额</w:t>
            </w:r>
          </w:p>
        </w:tc>
        <w:tc>
          <w:tcPr>
            <w:tcW w:w="7035" w:type="dxa"/>
            <w:vAlign w:val="center"/>
          </w:tcPr>
          <w:p w14:paraId="181660A8">
            <w:pPr>
              <w:keepNext w:val="0"/>
              <w:keepLines w:val="0"/>
              <w:suppressLineNumbers w:val="0"/>
              <w:spacing w:before="0" w:beforeAutospacing="0" w:after="0" w:afterAutospacing="0"/>
              <w:ind w:left="0" w:right="0"/>
              <w:rPr>
                <w:rFonts w:hint="eastAsia" w:ascii="宋体" w:hAnsi="宋体" w:cs="宋体"/>
                <w:color w:val="auto"/>
                <w:szCs w:val="21"/>
                <w:highlight w:val="none"/>
              </w:rPr>
            </w:pPr>
            <w:r>
              <w:rPr>
                <w:rFonts w:hint="eastAsia" w:ascii="宋体" w:hAnsi="宋体" w:cs="宋体"/>
                <w:color w:val="auto"/>
                <w:szCs w:val="21"/>
                <w:highlight w:val="none"/>
              </w:rPr>
              <w:t>13.1 磋商报价应按磋商文件中相关附表格式填写。</w:t>
            </w:r>
            <w:r>
              <w:rPr>
                <w:rFonts w:hint="eastAsia" w:ascii="宋体" w:hAnsi="宋体" w:cs="宋体"/>
                <w:b/>
                <w:bCs/>
                <w:color w:val="auto"/>
                <w:szCs w:val="21"/>
                <w:highlight w:val="none"/>
              </w:rPr>
              <w:t>采购预算</w:t>
            </w:r>
            <w:r>
              <w:rPr>
                <w:rFonts w:hint="eastAsia" w:ascii="宋体" w:hAnsi="宋体" w:cs="宋体"/>
                <w:b/>
                <w:bCs/>
                <w:color w:val="auto"/>
                <w:szCs w:val="21"/>
                <w:highlight w:val="none"/>
                <w:lang w:eastAsia="zh-CN"/>
              </w:rPr>
              <w:t>详见竞争性磋商公告</w:t>
            </w:r>
            <w:r>
              <w:rPr>
                <w:rFonts w:hint="eastAsia" w:ascii="宋体" w:hAnsi="宋体" w:cs="宋体"/>
                <w:b/>
                <w:bCs/>
                <w:color w:val="auto"/>
                <w:szCs w:val="21"/>
                <w:highlight w:val="none"/>
              </w:rPr>
              <w:t>。</w:t>
            </w:r>
            <w:r>
              <w:rPr>
                <w:rFonts w:hint="eastAsia" w:ascii="宋体" w:hAnsi="宋体" w:cs="宋体"/>
                <w:color w:val="auto"/>
                <w:szCs w:val="21"/>
                <w:highlight w:val="none"/>
              </w:rPr>
              <w:t>供应商报价</w:t>
            </w:r>
            <w:r>
              <w:rPr>
                <w:rFonts w:hint="eastAsia" w:ascii="宋体" w:hAnsi="宋体" w:cs="宋体"/>
                <w:color w:val="auto"/>
                <w:kern w:val="0"/>
                <w:szCs w:val="21"/>
                <w:highlight w:val="none"/>
              </w:rPr>
              <w:t>超出采购预算金额的，响应文件按无效处理。</w:t>
            </w:r>
          </w:p>
          <w:p w14:paraId="6D5B73E4">
            <w:pPr>
              <w:keepNext w:val="0"/>
              <w:keepLines w:val="0"/>
              <w:suppressLineNumbers w:val="0"/>
              <w:snapToGrid w:val="0"/>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13.2供应商必须就“采购需求”中所有内容作完整唯一报价，否则，其响应文件无效；响应文件只允许有一个报价，有选择的或有条件的报价将不予接受。</w:t>
            </w:r>
          </w:p>
          <w:p w14:paraId="35227EE5">
            <w:pPr>
              <w:keepNext w:val="0"/>
              <w:keepLines w:val="0"/>
              <w:suppressLineNumbers w:val="0"/>
              <w:snapToGrid w:val="0"/>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13.4</w:t>
            </w:r>
            <w:r>
              <w:rPr>
                <w:rFonts w:hint="eastAsia" w:ascii="宋体" w:hAnsi="宋体" w:cs="宋体"/>
                <w:color w:val="auto"/>
                <w:kern w:val="0"/>
                <w:szCs w:val="21"/>
                <w:highlight w:val="none"/>
              </w:rPr>
              <w:t>供应商应在规定时间内在政采云系统上提交最后报价，超出评委设定的最后报价时限或其最后报价超出采购预算导致已通过评审的响应文件无效的，按供应商在提交响应文件截止时间后撤回响应文件处理。</w:t>
            </w:r>
          </w:p>
        </w:tc>
      </w:tr>
      <w:tr w14:paraId="1318C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62" w:type="dxa"/>
            <w:vAlign w:val="center"/>
          </w:tcPr>
          <w:p w14:paraId="4ED1BE07">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5</w:t>
            </w:r>
          </w:p>
        </w:tc>
        <w:tc>
          <w:tcPr>
            <w:tcW w:w="942" w:type="dxa"/>
            <w:vAlign w:val="center"/>
          </w:tcPr>
          <w:p w14:paraId="5D2A8032">
            <w:pPr>
              <w:keepNext w:val="0"/>
              <w:keepLines w:val="0"/>
              <w:suppressLineNumbers w:val="0"/>
              <w:spacing w:before="0" w:beforeAutospacing="0" w:after="0" w:afterAutospacing="0" w:line="360" w:lineRule="auto"/>
              <w:ind w:left="0" w:right="0"/>
              <w:jc w:val="center"/>
              <w:rPr>
                <w:rFonts w:hint="eastAsia" w:ascii="宋体" w:hAnsi="宋体" w:cs="宋体"/>
                <w:color w:val="auto"/>
                <w:position w:val="-2"/>
                <w:szCs w:val="21"/>
                <w:highlight w:val="none"/>
              </w:rPr>
            </w:pPr>
            <w:r>
              <w:rPr>
                <w:rFonts w:hint="eastAsia" w:ascii="宋体" w:hAnsi="宋体" w:cs="宋体"/>
                <w:color w:val="auto"/>
                <w:position w:val="-2"/>
                <w:szCs w:val="21"/>
                <w:highlight w:val="none"/>
              </w:rPr>
              <w:t>14.1</w:t>
            </w:r>
          </w:p>
        </w:tc>
        <w:tc>
          <w:tcPr>
            <w:tcW w:w="1652" w:type="dxa"/>
            <w:vAlign w:val="center"/>
          </w:tcPr>
          <w:p w14:paraId="33FD0A87">
            <w:pPr>
              <w:keepNext w:val="0"/>
              <w:keepLines w:val="0"/>
              <w:suppressLineNumbers w:val="0"/>
              <w:spacing w:before="0" w:beforeAutospacing="0" w:after="0" w:afterAutospacing="0" w:line="360" w:lineRule="auto"/>
              <w:ind w:left="0" w:right="0"/>
              <w:jc w:val="center"/>
              <w:rPr>
                <w:rFonts w:hint="eastAsia" w:ascii="宋体" w:hAnsi="宋体" w:cs="宋体"/>
                <w:color w:val="auto"/>
                <w:position w:val="-2"/>
                <w:szCs w:val="21"/>
                <w:highlight w:val="none"/>
              </w:rPr>
            </w:pPr>
            <w:r>
              <w:rPr>
                <w:rFonts w:hint="eastAsia" w:ascii="宋体" w:hAnsi="宋体" w:cs="宋体"/>
                <w:color w:val="auto"/>
                <w:position w:val="-2"/>
                <w:szCs w:val="21"/>
                <w:highlight w:val="none"/>
              </w:rPr>
              <w:t>响应文件有效期</w:t>
            </w:r>
          </w:p>
        </w:tc>
        <w:tc>
          <w:tcPr>
            <w:tcW w:w="7035" w:type="dxa"/>
          </w:tcPr>
          <w:p w14:paraId="737E6440">
            <w:pPr>
              <w:keepNext w:val="0"/>
              <w:keepLines w:val="0"/>
              <w:suppressLineNumbers w:val="0"/>
              <w:tabs>
                <w:tab w:val="left" w:pos="1305"/>
              </w:tabs>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响应文件递交截止时间之日起90天，有效期不足的响应文件将被拒绝。</w:t>
            </w:r>
          </w:p>
        </w:tc>
      </w:tr>
      <w:tr w14:paraId="71B99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2" w:type="dxa"/>
            <w:vAlign w:val="center"/>
          </w:tcPr>
          <w:p w14:paraId="118623D1">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6</w:t>
            </w:r>
          </w:p>
        </w:tc>
        <w:tc>
          <w:tcPr>
            <w:tcW w:w="942" w:type="dxa"/>
            <w:vAlign w:val="center"/>
          </w:tcPr>
          <w:p w14:paraId="36FEF8C5">
            <w:pPr>
              <w:keepNext w:val="0"/>
              <w:keepLines w:val="0"/>
              <w:suppressLineNumbers w:val="0"/>
              <w:spacing w:before="0" w:beforeAutospacing="0" w:after="0" w:afterAutospacing="0" w:line="360" w:lineRule="auto"/>
              <w:ind w:left="0" w:right="0"/>
              <w:jc w:val="center"/>
              <w:rPr>
                <w:rFonts w:hint="eastAsia" w:ascii="宋体" w:hAnsi="宋体" w:cs="宋体"/>
                <w:color w:val="auto"/>
                <w:position w:val="-2"/>
                <w:szCs w:val="21"/>
                <w:highlight w:val="none"/>
              </w:rPr>
            </w:pPr>
            <w:r>
              <w:rPr>
                <w:rFonts w:hint="eastAsia" w:ascii="宋体" w:hAnsi="宋体" w:cs="宋体"/>
                <w:color w:val="auto"/>
                <w:position w:val="-2"/>
                <w:szCs w:val="21"/>
                <w:highlight w:val="none"/>
              </w:rPr>
              <w:t>15</w:t>
            </w:r>
          </w:p>
        </w:tc>
        <w:tc>
          <w:tcPr>
            <w:tcW w:w="1652" w:type="dxa"/>
            <w:vAlign w:val="center"/>
          </w:tcPr>
          <w:p w14:paraId="273269DB">
            <w:pPr>
              <w:keepNext w:val="0"/>
              <w:keepLines w:val="0"/>
              <w:suppressLineNumbers w:val="0"/>
              <w:spacing w:before="0" w:beforeAutospacing="0" w:after="0" w:afterAutospacing="0" w:line="360" w:lineRule="auto"/>
              <w:ind w:left="0" w:right="0"/>
              <w:jc w:val="center"/>
              <w:rPr>
                <w:rFonts w:hint="eastAsia" w:ascii="宋体" w:hAnsi="宋体" w:cs="宋体"/>
                <w:color w:val="auto"/>
                <w:position w:val="-2"/>
                <w:szCs w:val="21"/>
                <w:highlight w:val="none"/>
              </w:rPr>
            </w:pPr>
            <w:r>
              <w:rPr>
                <w:rFonts w:hint="eastAsia" w:ascii="宋体" w:hAnsi="宋体" w:cs="宋体"/>
                <w:color w:val="auto"/>
                <w:position w:val="-2"/>
                <w:szCs w:val="21"/>
                <w:highlight w:val="none"/>
              </w:rPr>
              <w:t>保证金</w:t>
            </w:r>
          </w:p>
        </w:tc>
        <w:tc>
          <w:tcPr>
            <w:tcW w:w="7035" w:type="dxa"/>
          </w:tcPr>
          <w:p w14:paraId="30973FC3">
            <w:pPr>
              <w:keepNext w:val="0"/>
              <w:keepLines w:val="0"/>
              <w:suppressLineNumbers w:val="0"/>
              <w:tabs>
                <w:tab w:val="left" w:pos="1305"/>
              </w:tabs>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本项目无需缴纳磋商保证金</w:t>
            </w:r>
          </w:p>
        </w:tc>
      </w:tr>
      <w:tr w14:paraId="5DEE7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62" w:type="dxa"/>
            <w:vAlign w:val="center"/>
          </w:tcPr>
          <w:p w14:paraId="314E6F91">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7</w:t>
            </w:r>
          </w:p>
        </w:tc>
        <w:tc>
          <w:tcPr>
            <w:tcW w:w="942" w:type="dxa"/>
            <w:vAlign w:val="center"/>
          </w:tcPr>
          <w:p w14:paraId="4E5A74EF">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16</w:t>
            </w:r>
          </w:p>
        </w:tc>
        <w:tc>
          <w:tcPr>
            <w:tcW w:w="1652" w:type="dxa"/>
            <w:vAlign w:val="center"/>
          </w:tcPr>
          <w:p w14:paraId="41882D70">
            <w:pPr>
              <w:pStyle w:val="5"/>
              <w:suppressLineNumbers w:val="0"/>
              <w:spacing w:before="0" w:beforeAutospacing="0" w:after="0" w:afterAutospacing="0" w:line="360" w:lineRule="auto"/>
              <w:ind w:left="0" w:right="0"/>
              <w:jc w:val="center"/>
              <w:rPr>
                <w:rFonts w:hint="eastAsia" w:ascii="宋体" w:hAnsi="宋体" w:cs="宋体"/>
                <w:b w:val="0"/>
                <w:bCs/>
                <w:color w:val="auto"/>
                <w:sz w:val="21"/>
                <w:szCs w:val="21"/>
                <w:highlight w:val="none"/>
              </w:rPr>
            </w:pPr>
            <w:bookmarkStart w:id="54" w:name="_Toc27452"/>
            <w:bookmarkStart w:id="55" w:name="_Toc19911"/>
            <w:r>
              <w:rPr>
                <w:rFonts w:hint="eastAsia" w:ascii="宋体" w:hAnsi="宋体" w:cs="宋体"/>
                <w:b w:val="0"/>
                <w:bCs/>
                <w:color w:val="auto"/>
                <w:sz w:val="21"/>
                <w:szCs w:val="21"/>
                <w:highlight w:val="none"/>
              </w:rPr>
              <w:t>竞争性磋商响应文件的制作</w:t>
            </w:r>
            <w:bookmarkEnd w:id="54"/>
            <w:bookmarkEnd w:id="55"/>
          </w:p>
          <w:p w14:paraId="270AF29D">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p>
        </w:tc>
        <w:tc>
          <w:tcPr>
            <w:tcW w:w="7035" w:type="dxa"/>
            <w:vAlign w:val="center"/>
          </w:tcPr>
          <w:p w14:paraId="2CDF1DCC">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16.1 电子磋商响应文件中须加盖供应商公章部分均采用 CA 证书签章，并根据“政府采购项目电子交易管理操作指南-供应商”及本磋商文件规定的格式和顺序编制电子磋商响应文件并进行关联定位，以便磋商小组在评审时，点击评分项可直接定位到该评分项内容。如对磋商文件的某项要求，供应商的电子磋商响应文件未能关联定位提供相应的内容与其对应，则磋商小组在评审时如做出对供应商不利的评审由供应商自行承担。电子磋商响应文件如内容不完整、编排混乱导致磋商响应文件被误读、漏读，或者在按采购文件规定的部位查找不到相关内容的，由供应商自行承担。</w:t>
            </w:r>
          </w:p>
          <w:p w14:paraId="7C6893E7">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16.2供应商法人（负责人）或授权代表持有政采云个人CA证书签章的，应在响应文件中涉及到签字的位置使用个人CA证书签章，没有办理政采云个人CA证书签章的可在响应文件中涉及到签字的位置手写签字后扫描或者拍照做成 PDF 的格式上传即可。</w:t>
            </w:r>
          </w:p>
          <w:p w14:paraId="4FCE8450">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16.3 磋商响应文件不得涂改，若有修改错漏处，须法定代表人（负责人）或授权委托人签字（或个人CA证书签章）。磋商响应文件因字迹潦草或表达不清所引起的后果由供应商负责。</w:t>
            </w:r>
          </w:p>
          <w:p w14:paraId="1D7F9BAA">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 xml:space="preserve">16.4磋商前准备 </w:t>
            </w:r>
          </w:p>
          <w:p w14:paraId="7BE060DD">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 xml:space="preserve">16.4.1本项目实行在线磋商，采用电子磋商响应文件。若供应商参与磋商，自行承担磋商一切费用。 </w:t>
            </w:r>
          </w:p>
          <w:p w14:paraId="5DB2AF90">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 xml:space="preserve">16.4.2各供应商应在截标前应确保成为广西政府采购云平台正式注册入库供应商，并完成 CA 数字证书申领。因未注册入库、未办理 CA 数字证书等原因造成无法磋商或磋商失败等后果由供应商自行承担。 </w:t>
            </w:r>
          </w:p>
          <w:p w14:paraId="0D873FD2">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16.4.3供应商将政采云电子交易客户端下载、安装完成后，可通过账号密码或 CA 登录客户端进行响应文件制作。客户端请至网站下载专区查看，如有问题可拨打政采云客户服务热线 95763 进行咨询。</w:t>
            </w:r>
          </w:p>
        </w:tc>
      </w:tr>
      <w:tr w14:paraId="46E3E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662" w:type="dxa"/>
            <w:vAlign w:val="center"/>
          </w:tcPr>
          <w:p w14:paraId="4C51ECD7">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8</w:t>
            </w:r>
          </w:p>
        </w:tc>
        <w:tc>
          <w:tcPr>
            <w:tcW w:w="942" w:type="dxa"/>
            <w:vAlign w:val="center"/>
          </w:tcPr>
          <w:p w14:paraId="6FEA2194">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18.1</w:t>
            </w:r>
          </w:p>
        </w:tc>
        <w:tc>
          <w:tcPr>
            <w:tcW w:w="1652" w:type="dxa"/>
            <w:vAlign w:val="center"/>
          </w:tcPr>
          <w:p w14:paraId="4B5E8B5E">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响应文件递交截止时间</w:t>
            </w:r>
          </w:p>
        </w:tc>
        <w:tc>
          <w:tcPr>
            <w:tcW w:w="7035" w:type="dxa"/>
            <w:vAlign w:val="center"/>
          </w:tcPr>
          <w:p w14:paraId="359BA30E">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响应文件递交截止时间：</w:t>
            </w:r>
            <w:r>
              <w:rPr>
                <w:rFonts w:hint="eastAsia" w:ascii="宋体" w:hAnsi="宋体" w:cs="宋体"/>
                <w:color w:val="auto"/>
                <w:szCs w:val="21"/>
                <w:highlight w:val="none"/>
                <w:u w:val="single"/>
              </w:rPr>
              <w:t>于</w:t>
            </w:r>
            <w:r>
              <w:rPr>
                <w:rFonts w:hint="eastAsia" w:ascii="宋体" w:hAnsi="宋体" w:cs="宋体"/>
                <w:color w:val="0000FF"/>
                <w:szCs w:val="21"/>
                <w:highlight w:val="none"/>
                <w:u w:val="single"/>
                <w:lang w:eastAsia="zh-CN"/>
              </w:rPr>
              <w:t>2026年10月22日</w:t>
            </w:r>
            <w:r>
              <w:rPr>
                <w:rFonts w:hint="eastAsia" w:ascii="宋体" w:hAnsi="宋体" w:cs="宋体"/>
                <w:color w:val="auto"/>
                <w:szCs w:val="21"/>
                <w:highlight w:val="none"/>
                <w:u w:val="single"/>
              </w:rPr>
              <w:t>9时30分</w:t>
            </w:r>
            <w:r>
              <w:rPr>
                <w:rFonts w:hint="eastAsia" w:ascii="宋体" w:hAnsi="宋体" w:cs="宋体"/>
                <w:color w:val="auto"/>
                <w:szCs w:val="21"/>
                <w:highlight w:val="none"/>
              </w:rPr>
              <w:t>之前将电子磋商响应文件上传到广西政府采购云平台。应按照本项目磋商文件和广西政府采购云平台的要求编制、加密传输磋商响应文件。供应商在使用系统进行投标的过程中遇到涉及平台使用的任何问题，可致电广西政府采购云平台技术支持热线咨询，联系方式：95763。</w:t>
            </w:r>
          </w:p>
        </w:tc>
      </w:tr>
      <w:tr w14:paraId="6EAFF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62" w:type="dxa"/>
            <w:vAlign w:val="center"/>
          </w:tcPr>
          <w:p w14:paraId="7CEBCF8B">
            <w:pPr>
              <w:keepNext w:val="0"/>
              <w:keepLines w:val="0"/>
              <w:suppressLineNumbers w:val="0"/>
              <w:spacing w:before="0" w:beforeAutospacing="0" w:after="0" w:afterAutospacing="0" w:line="360" w:lineRule="auto"/>
              <w:ind w:left="0" w:right="0"/>
              <w:jc w:val="center"/>
              <w:rPr>
                <w:rFonts w:hint="eastAsia" w:ascii="宋体" w:hAnsi="宋体" w:cs="宋体"/>
                <w:color w:val="auto"/>
                <w:position w:val="-2"/>
                <w:szCs w:val="21"/>
                <w:highlight w:val="none"/>
              </w:rPr>
            </w:pPr>
            <w:r>
              <w:rPr>
                <w:rFonts w:hint="eastAsia" w:ascii="宋体" w:hAnsi="宋体" w:cs="宋体"/>
                <w:color w:val="auto"/>
                <w:position w:val="-2"/>
                <w:szCs w:val="21"/>
                <w:highlight w:val="none"/>
              </w:rPr>
              <w:t>9</w:t>
            </w:r>
          </w:p>
        </w:tc>
        <w:tc>
          <w:tcPr>
            <w:tcW w:w="942" w:type="dxa"/>
            <w:vAlign w:val="center"/>
          </w:tcPr>
          <w:p w14:paraId="6688C781">
            <w:pPr>
              <w:keepNext w:val="0"/>
              <w:keepLines w:val="0"/>
              <w:suppressLineNumbers w:val="0"/>
              <w:spacing w:before="0" w:beforeAutospacing="0" w:after="0" w:afterAutospacing="0" w:line="360" w:lineRule="auto"/>
              <w:ind w:left="0" w:right="0"/>
              <w:jc w:val="center"/>
              <w:rPr>
                <w:rFonts w:hint="eastAsia" w:ascii="宋体" w:hAnsi="宋体" w:cs="宋体"/>
                <w:color w:val="auto"/>
                <w:position w:val="-2"/>
                <w:szCs w:val="21"/>
                <w:highlight w:val="none"/>
              </w:rPr>
            </w:pPr>
            <w:r>
              <w:rPr>
                <w:rFonts w:hint="eastAsia" w:ascii="宋体" w:hAnsi="宋体" w:cs="宋体"/>
                <w:color w:val="auto"/>
                <w:position w:val="-2"/>
                <w:szCs w:val="21"/>
                <w:highlight w:val="none"/>
              </w:rPr>
              <w:t>18.2</w:t>
            </w:r>
          </w:p>
        </w:tc>
        <w:tc>
          <w:tcPr>
            <w:tcW w:w="1652" w:type="dxa"/>
            <w:vAlign w:val="center"/>
          </w:tcPr>
          <w:p w14:paraId="725D8FAA">
            <w:pPr>
              <w:keepNext w:val="0"/>
              <w:keepLines w:val="0"/>
              <w:suppressLineNumbers w:val="0"/>
              <w:spacing w:before="0" w:beforeAutospacing="0" w:after="0" w:afterAutospacing="0" w:line="360" w:lineRule="auto"/>
              <w:ind w:left="0" w:right="0"/>
              <w:jc w:val="center"/>
              <w:rPr>
                <w:rFonts w:hint="eastAsia" w:ascii="宋体" w:hAnsi="宋体" w:cs="宋体"/>
                <w:color w:val="auto"/>
                <w:position w:val="-2"/>
                <w:szCs w:val="21"/>
                <w:highlight w:val="none"/>
              </w:rPr>
            </w:pPr>
            <w:r>
              <w:rPr>
                <w:rFonts w:hint="eastAsia" w:ascii="宋体" w:hAnsi="宋体" w:cs="宋体"/>
                <w:color w:val="auto"/>
                <w:szCs w:val="21"/>
                <w:highlight w:val="none"/>
              </w:rPr>
              <w:t>磋商响应文件解密时间</w:t>
            </w:r>
          </w:p>
        </w:tc>
        <w:tc>
          <w:tcPr>
            <w:tcW w:w="7035" w:type="dxa"/>
            <w:vAlign w:val="center"/>
          </w:tcPr>
          <w:p w14:paraId="56E72F4C">
            <w:pPr>
              <w:pStyle w:val="9"/>
              <w:keepNext w:val="0"/>
              <w:keepLines w:val="0"/>
              <w:suppressLineNumbers w:val="0"/>
              <w:spacing w:before="0" w:beforeAutospacing="0" w:after="0" w:afterAutospacing="0"/>
              <w:ind w:left="0" w:right="0"/>
              <w:rPr>
                <w:rFonts w:hint="eastAsia" w:ascii="宋体" w:hAnsi="宋体" w:cs="宋体"/>
                <w:color w:val="auto"/>
                <w:szCs w:val="21"/>
                <w:highlight w:val="none"/>
              </w:rPr>
            </w:pPr>
            <w:r>
              <w:rPr>
                <w:rFonts w:hint="eastAsia" w:ascii="宋体" w:hAnsi="宋体" w:cs="宋体"/>
                <w:color w:val="auto"/>
                <w:szCs w:val="21"/>
                <w:highlight w:val="none"/>
              </w:rPr>
              <w:t>磋商响应文件解密时间</w:t>
            </w:r>
            <w:r>
              <w:rPr>
                <w:rFonts w:hint="eastAsia" w:ascii="宋体" w:hAnsi="宋体" w:cs="宋体"/>
                <w:color w:val="auto"/>
                <w:highlight w:val="none"/>
              </w:rPr>
              <w:t>：截标时间后</w:t>
            </w:r>
            <w:r>
              <w:rPr>
                <w:rFonts w:hint="eastAsia" w:ascii="宋体" w:hAnsi="宋体" w:cs="宋体"/>
                <w:color w:val="auto"/>
                <w:highlight w:val="none"/>
                <w:u w:val="single"/>
              </w:rPr>
              <w:t>30</w:t>
            </w:r>
            <w:r>
              <w:rPr>
                <w:rFonts w:hint="eastAsia" w:ascii="宋体" w:hAnsi="宋体" w:cs="宋体"/>
                <w:color w:val="auto"/>
                <w:highlight w:val="none"/>
              </w:rPr>
              <w:t>分钟内（</w:t>
            </w:r>
            <w:r>
              <w:rPr>
                <w:rFonts w:hint="eastAsia" w:ascii="宋体" w:hAnsi="宋体" w:cs="宋体"/>
                <w:color w:val="0000FF"/>
                <w:szCs w:val="21"/>
                <w:highlight w:val="none"/>
                <w:u w:val="single"/>
                <w:lang w:eastAsia="zh-CN"/>
              </w:rPr>
              <w:t>2026年10月22日</w:t>
            </w:r>
            <w:r>
              <w:rPr>
                <w:rFonts w:hint="eastAsia" w:ascii="宋体" w:hAnsi="宋体" w:cs="宋体"/>
                <w:color w:val="auto"/>
                <w:szCs w:val="21"/>
                <w:highlight w:val="none"/>
                <w:u w:val="single"/>
              </w:rPr>
              <w:t>09时30分</w:t>
            </w:r>
            <w:r>
              <w:rPr>
                <w:rFonts w:hint="eastAsia" w:ascii="宋体" w:hAnsi="宋体" w:cs="宋体"/>
                <w:color w:val="auto"/>
                <w:highlight w:val="none"/>
                <w:u w:val="single"/>
              </w:rPr>
              <w:t>至10时00分</w:t>
            </w:r>
            <w:r>
              <w:rPr>
                <w:rFonts w:hint="eastAsia" w:ascii="宋体" w:hAnsi="宋体" w:cs="宋体"/>
                <w:color w:val="auto"/>
                <w:highlight w:val="none"/>
              </w:rPr>
              <w:t>)磋商供应商可以登录广西政府采购云平台，用“项目采购-开标评标”功能进行解密磋商响应文件。</w:t>
            </w:r>
            <w:r>
              <w:rPr>
                <w:rFonts w:hint="eastAsia" w:ascii="宋体" w:hAnsi="宋体" w:cs="宋体"/>
                <w:b/>
                <w:bCs/>
                <w:color w:val="auto"/>
                <w:szCs w:val="21"/>
                <w:highlight w:val="none"/>
              </w:rPr>
              <w:t>若磋商供应商在规定时间内无法解密或解密失败，</w:t>
            </w:r>
            <w:r>
              <w:rPr>
                <w:rFonts w:hint="eastAsia" w:ascii="宋体" w:hAnsi="宋体" w:cs="宋体"/>
                <w:b/>
                <w:bCs/>
                <w:color w:val="auto"/>
                <w:kern w:val="0"/>
                <w:szCs w:val="21"/>
                <w:highlight w:val="none"/>
              </w:rPr>
              <w:t>视为供应商放弃磋商</w:t>
            </w:r>
            <w:r>
              <w:rPr>
                <w:rFonts w:hint="eastAsia" w:ascii="宋体" w:hAnsi="宋体" w:cs="宋体"/>
                <w:b/>
                <w:bCs/>
                <w:color w:val="auto"/>
                <w:szCs w:val="21"/>
                <w:highlight w:val="none"/>
              </w:rPr>
              <w:t>，造成响应无效的后果由供应商自行承担。</w:t>
            </w:r>
          </w:p>
        </w:tc>
      </w:tr>
      <w:tr w14:paraId="7003B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662" w:type="dxa"/>
            <w:vAlign w:val="center"/>
          </w:tcPr>
          <w:p w14:paraId="6B305028">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10</w:t>
            </w:r>
          </w:p>
        </w:tc>
        <w:tc>
          <w:tcPr>
            <w:tcW w:w="942" w:type="dxa"/>
            <w:vAlign w:val="center"/>
          </w:tcPr>
          <w:p w14:paraId="05696E3C">
            <w:pPr>
              <w:keepNext w:val="0"/>
              <w:keepLines w:val="0"/>
              <w:suppressLineNumbers w:val="0"/>
              <w:spacing w:before="0" w:beforeAutospacing="0" w:after="0" w:afterAutospacing="0" w:line="360" w:lineRule="auto"/>
              <w:ind w:left="0" w:right="0" w:firstLine="105" w:firstLineChars="50"/>
              <w:jc w:val="center"/>
              <w:rPr>
                <w:rFonts w:hint="eastAsia" w:ascii="宋体" w:hAnsi="宋体" w:cs="宋体"/>
                <w:color w:val="auto"/>
                <w:position w:val="-2"/>
                <w:szCs w:val="21"/>
                <w:highlight w:val="none"/>
              </w:rPr>
            </w:pPr>
            <w:r>
              <w:rPr>
                <w:rFonts w:hint="eastAsia" w:ascii="宋体" w:hAnsi="宋体" w:cs="宋体"/>
                <w:color w:val="auto"/>
                <w:position w:val="-2"/>
                <w:szCs w:val="21"/>
                <w:highlight w:val="none"/>
              </w:rPr>
              <w:t>19.1</w:t>
            </w:r>
          </w:p>
        </w:tc>
        <w:tc>
          <w:tcPr>
            <w:tcW w:w="1652" w:type="dxa"/>
            <w:vAlign w:val="center"/>
          </w:tcPr>
          <w:p w14:paraId="102A3543">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磋商小组组成</w:t>
            </w:r>
          </w:p>
        </w:tc>
        <w:tc>
          <w:tcPr>
            <w:tcW w:w="7035" w:type="dxa"/>
            <w:vAlign w:val="center"/>
          </w:tcPr>
          <w:p w14:paraId="029E9BF1">
            <w:pPr>
              <w:keepNext w:val="0"/>
              <w:keepLines w:val="0"/>
              <w:suppressLineNumbers w:val="0"/>
              <w:spacing w:before="0" w:beforeAutospacing="0" w:after="0" w:afterAutospacing="0" w:line="360" w:lineRule="auto"/>
              <w:ind w:left="15" w:right="0" w:hanging="14" w:hangingChars="7"/>
              <w:rPr>
                <w:rFonts w:hint="eastAsia" w:ascii="宋体" w:hAnsi="宋体" w:cs="宋体"/>
                <w:color w:val="auto"/>
                <w:szCs w:val="21"/>
                <w:highlight w:val="none"/>
              </w:rPr>
            </w:pPr>
            <w:r>
              <w:rPr>
                <w:rFonts w:hint="eastAsia" w:ascii="宋体" w:hAnsi="宋体" w:cs="宋体"/>
                <w:color w:val="auto"/>
                <w:szCs w:val="21"/>
                <w:highlight w:val="none"/>
              </w:rPr>
              <w:t>磋商及评审工作由采购代理机构负责组织，具体磋商、评审工作由依法组建的磋商小组负责，磋商小组由采购人代表和有关方面的专家组成。磋商小组的构成：</w:t>
            </w:r>
            <w:r>
              <w:rPr>
                <w:rFonts w:hint="eastAsia" w:ascii="宋体" w:hAnsi="宋体" w:cs="宋体"/>
                <w:color w:val="auto"/>
                <w:szCs w:val="21"/>
                <w:highlight w:val="none"/>
                <w:u w:val="single"/>
              </w:rPr>
              <w:t xml:space="preserve">3 </w:t>
            </w:r>
            <w:r>
              <w:rPr>
                <w:rFonts w:hint="eastAsia" w:ascii="宋体" w:hAnsi="宋体" w:cs="宋体"/>
                <w:color w:val="auto"/>
                <w:szCs w:val="21"/>
                <w:highlight w:val="none"/>
              </w:rPr>
              <w:t>人，其中采购人代表</w:t>
            </w:r>
            <w:r>
              <w:rPr>
                <w:rFonts w:hint="eastAsia" w:ascii="宋体" w:hAnsi="宋体" w:cs="宋体"/>
                <w:color w:val="auto"/>
                <w:szCs w:val="21"/>
                <w:highlight w:val="none"/>
                <w:u w:val="single"/>
              </w:rPr>
              <w:t xml:space="preserve"> 1 </w:t>
            </w:r>
            <w:r>
              <w:rPr>
                <w:rFonts w:hint="eastAsia" w:ascii="宋体" w:hAnsi="宋体" w:cs="宋体"/>
                <w:color w:val="auto"/>
                <w:szCs w:val="21"/>
                <w:highlight w:val="none"/>
              </w:rPr>
              <w:t>人，专家</w:t>
            </w:r>
            <w:r>
              <w:rPr>
                <w:rFonts w:hint="eastAsia" w:ascii="宋体" w:hAnsi="宋体" w:cs="宋体"/>
                <w:color w:val="auto"/>
                <w:szCs w:val="21"/>
                <w:highlight w:val="none"/>
                <w:u w:val="single"/>
              </w:rPr>
              <w:t xml:space="preserve"> 2 </w:t>
            </w:r>
            <w:r>
              <w:rPr>
                <w:rFonts w:hint="eastAsia" w:ascii="宋体" w:hAnsi="宋体" w:cs="宋体"/>
                <w:color w:val="auto"/>
                <w:szCs w:val="21"/>
                <w:highlight w:val="none"/>
              </w:rPr>
              <w:t>人。</w:t>
            </w:r>
          </w:p>
        </w:tc>
      </w:tr>
      <w:tr w14:paraId="1C7DB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662" w:type="dxa"/>
            <w:vAlign w:val="center"/>
          </w:tcPr>
          <w:p w14:paraId="79863C8B">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11</w:t>
            </w:r>
          </w:p>
        </w:tc>
        <w:tc>
          <w:tcPr>
            <w:tcW w:w="942" w:type="dxa"/>
            <w:vAlign w:val="center"/>
          </w:tcPr>
          <w:p w14:paraId="345FB42F">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19.2</w:t>
            </w:r>
          </w:p>
        </w:tc>
        <w:tc>
          <w:tcPr>
            <w:tcW w:w="1652" w:type="dxa"/>
            <w:vAlign w:val="center"/>
          </w:tcPr>
          <w:p w14:paraId="629D9E30">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磋商时间、地点、人员</w:t>
            </w:r>
          </w:p>
        </w:tc>
        <w:tc>
          <w:tcPr>
            <w:tcW w:w="7035" w:type="dxa"/>
          </w:tcPr>
          <w:p w14:paraId="5096B7BB">
            <w:pPr>
              <w:keepNext w:val="0"/>
              <w:keepLines w:val="0"/>
              <w:suppressLineNumbers w:val="0"/>
              <w:spacing w:before="0" w:beforeAutospacing="0" w:after="0" w:afterAutospacing="0" w:line="360" w:lineRule="auto"/>
              <w:ind w:left="315" w:right="0" w:hanging="315" w:hangingChars="150"/>
              <w:jc w:val="left"/>
              <w:rPr>
                <w:rFonts w:hint="eastAsia" w:ascii="宋体" w:hAnsi="宋体" w:cs="宋体"/>
                <w:color w:val="auto"/>
                <w:szCs w:val="21"/>
                <w:highlight w:val="none"/>
              </w:rPr>
            </w:pPr>
            <w:r>
              <w:rPr>
                <w:rFonts w:hint="eastAsia" w:ascii="宋体" w:hAnsi="宋体" w:cs="宋体"/>
                <w:color w:val="auto"/>
                <w:szCs w:val="21"/>
                <w:highlight w:val="none"/>
              </w:rPr>
              <w:t>19.2.1磋商时间：响应文件递交截止时间后。</w:t>
            </w:r>
          </w:p>
          <w:p w14:paraId="144A6AB4">
            <w:pPr>
              <w:keepNext w:val="0"/>
              <w:keepLines w:val="0"/>
              <w:suppressLineNumbers w:val="0"/>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19.2.2磋商地点：本项目需要磋商供应商代表在截标当天截标后，按磋商小组要求及时登陆广西政府采购云平台等候在线磋商。</w:t>
            </w:r>
          </w:p>
          <w:p w14:paraId="150DE09D">
            <w:pPr>
              <w:keepNext w:val="0"/>
              <w:keepLines w:val="0"/>
              <w:suppressLineNumbers w:val="0"/>
              <w:spacing w:before="0" w:beforeAutospacing="0" w:after="0" w:afterAutospacing="0" w:line="360" w:lineRule="auto"/>
              <w:ind w:left="15" w:right="0" w:hanging="14" w:hangingChars="7"/>
              <w:jc w:val="left"/>
              <w:rPr>
                <w:rFonts w:hint="eastAsia" w:ascii="宋体" w:hAnsi="宋体" w:cs="宋体"/>
                <w:color w:val="auto"/>
                <w:szCs w:val="21"/>
                <w:highlight w:val="none"/>
              </w:rPr>
            </w:pPr>
            <w:r>
              <w:rPr>
                <w:rFonts w:hint="eastAsia" w:ascii="宋体" w:hAnsi="宋体" w:cs="宋体"/>
                <w:color w:val="auto"/>
                <w:szCs w:val="21"/>
                <w:highlight w:val="none"/>
              </w:rPr>
              <w:t>19.2.3磋商参加人员：供应商法定代表人、负责人、自然人或相应的委托代理人持有效身份证原件和供应商广西政府采购云平台CA数字证书参加磋商。请供应商按时到达指定地点等候磋商。</w:t>
            </w:r>
          </w:p>
          <w:p w14:paraId="014E467E">
            <w:pPr>
              <w:keepNext w:val="0"/>
              <w:keepLines w:val="0"/>
              <w:suppressLineNumbers w:val="0"/>
              <w:tabs>
                <w:tab w:val="left" w:pos="1140"/>
              </w:tabs>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19.2.4响应文件递交截止时间后，由磋商小组在评标室内线上开启响应文件。</w:t>
            </w:r>
          </w:p>
        </w:tc>
      </w:tr>
      <w:tr w14:paraId="1FDFE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62" w:type="dxa"/>
            <w:vAlign w:val="center"/>
          </w:tcPr>
          <w:p w14:paraId="308EB584">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kern w:val="0"/>
                <w:szCs w:val="21"/>
                <w:highlight w:val="none"/>
              </w:rPr>
              <w:t>12</w:t>
            </w:r>
          </w:p>
        </w:tc>
        <w:tc>
          <w:tcPr>
            <w:tcW w:w="942" w:type="dxa"/>
            <w:vAlign w:val="center"/>
          </w:tcPr>
          <w:p w14:paraId="7C46AB8A">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20.2</w:t>
            </w:r>
          </w:p>
        </w:tc>
        <w:tc>
          <w:tcPr>
            <w:tcW w:w="1652" w:type="dxa"/>
            <w:vAlign w:val="center"/>
          </w:tcPr>
          <w:p w14:paraId="33996879">
            <w:pPr>
              <w:pStyle w:val="15"/>
              <w:keepNext w:val="0"/>
              <w:keepLines w:val="0"/>
              <w:suppressLineNumbers w:val="0"/>
              <w:spacing w:before="0" w:beforeAutospacing="0" w:after="0" w:afterAutospacing="0" w:line="360" w:lineRule="auto"/>
              <w:ind w:left="0" w:right="0"/>
              <w:jc w:val="center"/>
              <w:rPr>
                <w:rFonts w:hint="eastAsia" w:hAnsi="宋体" w:cs="宋体"/>
                <w:color w:val="auto"/>
                <w:kern w:val="0"/>
                <w:szCs w:val="21"/>
                <w:highlight w:val="none"/>
              </w:rPr>
            </w:pPr>
            <w:r>
              <w:rPr>
                <w:rFonts w:hint="eastAsia" w:hAnsi="宋体" w:cs="宋体"/>
                <w:color w:val="auto"/>
                <w:kern w:val="0"/>
                <w:szCs w:val="21"/>
                <w:highlight w:val="none"/>
              </w:rPr>
              <w:t>评审办法</w:t>
            </w:r>
          </w:p>
        </w:tc>
        <w:tc>
          <w:tcPr>
            <w:tcW w:w="7035" w:type="dxa"/>
            <w:vAlign w:val="center"/>
          </w:tcPr>
          <w:p w14:paraId="17E8291F">
            <w:pPr>
              <w:keepNext w:val="0"/>
              <w:keepLines w:val="0"/>
              <w:suppressLineNumbers w:val="0"/>
              <w:tabs>
                <w:tab w:val="left" w:pos="1140"/>
              </w:tabs>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具体详见第四章评审办法。</w:t>
            </w:r>
          </w:p>
        </w:tc>
      </w:tr>
      <w:tr w14:paraId="1A67D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62" w:type="dxa"/>
            <w:vAlign w:val="center"/>
          </w:tcPr>
          <w:p w14:paraId="5A19F2B2">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13</w:t>
            </w:r>
          </w:p>
        </w:tc>
        <w:tc>
          <w:tcPr>
            <w:tcW w:w="942" w:type="dxa"/>
            <w:vAlign w:val="center"/>
          </w:tcPr>
          <w:p w14:paraId="65FB862C">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26</w:t>
            </w:r>
          </w:p>
        </w:tc>
        <w:tc>
          <w:tcPr>
            <w:tcW w:w="1652" w:type="dxa"/>
            <w:vAlign w:val="center"/>
          </w:tcPr>
          <w:p w14:paraId="3DFDE745">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信用查询</w:t>
            </w:r>
          </w:p>
        </w:tc>
        <w:tc>
          <w:tcPr>
            <w:tcW w:w="7035" w:type="dxa"/>
            <w:vAlign w:val="center"/>
          </w:tcPr>
          <w:p w14:paraId="615CECAE">
            <w:pPr>
              <w:keepNext w:val="0"/>
              <w:keepLines w:val="0"/>
              <w:suppressLineNumbers w:val="0"/>
              <w:spacing w:before="0" w:beforeAutospacing="0" w:after="0" w:afterAutospacing="0" w:line="360" w:lineRule="auto"/>
              <w:ind w:left="15" w:right="0" w:hanging="14" w:hangingChars="7"/>
              <w:rPr>
                <w:rFonts w:hint="eastAsia" w:ascii="宋体" w:hAnsi="宋体" w:cs="宋体"/>
                <w:color w:val="auto"/>
                <w:szCs w:val="21"/>
                <w:highlight w:val="none"/>
              </w:rPr>
            </w:pPr>
            <w:r>
              <w:rPr>
                <w:rFonts w:hint="eastAsia" w:ascii="宋体" w:hAnsi="宋体" w:cs="宋体"/>
                <w:color w:val="auto"/>
                <w:szCs w:val="21"/>
                <w:highlight w:val="none"/>
              </w:rPr>
              <w:t>根据《关于做好政府采购有关信用主体标识码登记及在政府采购活动中查询使用信用记录有关问题的通知》（桂财采〔2016〕37</w:t>
            </w:r>
            <w:r>
              <w:rPr>
                <w:rFonts w:hint="eastAsia"/>
                <w:color w:val="auto"/>
                <w:highlight w:val="none"/>
              </w:rPr>
              <w:t>号</w:t>
            </w:r>
            <w:r>
              <w:rPr>
                <w:rFonts w:hint="eastAsia" w:ascii="宋体" w:hAnsi="宋体" w:cs="宋体"/>
                <w:color w:val="auto"/>
                <w:szCs w:val="21"/>
                <w:highlight w:val="none"/>
              </w:rPr>
              <w:t>），由采购代理机构对第一成交候选人进行信用查询：</w:t>
            </w:r>
          </w:p>
          <w:p w14:paraId="53F65475">
            <w:pPr>
              <w:keepNext w:val="0"/>
              <w:keepLines w:val="0"/>
              <w:suppressLineNumbers w:val="0"/>
              <w:spacing w:before="0" w:beforeAutospacing="0" w:after="0" w:afterAutospacing="0" w:line="360" w:lineRule="auto"/>
              <w:ind w:left="15" w:right="0" w:hanging="14" w:hangingChars="7"/>
              <w:rPr>
                <w:rFonts w:hint="eastAsia" w:ascii="宋体" w:hAnsi="宋体" w:cs="宋体"/>
                <w:color w:val="auto"/>
                <w:szCs w:val="21"/>
                <w:highlight w:val="none"/>
              </w:rPr>
            </w:pPr>
            <w:r>
              <w:rPr>
                <w:rFonts w:hint="eastAsia" w:ascii="宋体" w:hAnsi="宋体" w:cs="宋体"/>
                <w:color w:val="auto"/>
                <w:szCs w:val="21"/>
                <w:highlight w:val="none"/>
              </w:rPr>
              <w:t>⑴查询渠道：“信用中国”网站(www.creditchina.gov.cn)、中国政府采购网(www.ccgp.gov.cn)等；</w:t>
            </w:r>
          </w:p>
          <w:p w14:paraId="0FAAF016">
            <w:pPr>
              <w:keepNext w:val="0"/>
              <w:keepLines w:val="0"/>
              <w:suppressLineNumbers w:val="0"/>
              <w:spacing w:before="0" w:beforeAutospacing="0" w:after="0" w:afterAutospacing="0" w:line="360" w:lineRule="auto"/>
              <w:ind w:left="315" w:right="0" w:hanging="315" w:hangingChars="150"/>
              <w:rPr>
                <w:rFonts w:hint="eastAsia" w:ascii="宋体" w:hAnsi="宋体" w:cs="宋体"/>
                <w:color w:val="auto"/>
                <w:szCs w:val="21"/>
                <w:highlight w:val="none"/>
              </w:rPr>
            </w:pPr>
            <w:r>
              <w:rPr>
                <w:rFonts w:hint="eastAsia" w:ascii="宋体" w:hAnsi="宋体" w:cs="宋体"/>
                <w:color w:val="auto"/>
                <w:szCs w:val="21"/>
                <w:highlight w:val="none"/>
              </w:rPr>
              <w:t>⑵查询时间：成交通知书发出前；</w:t>
            </w:r>
          </w:p>
          <w:p w14:paraId="3D59BDB6">
            <w:pPr>
              <w:keepNext w:val="0"/>
              <w:keepLines w:val="0"/>
              <w:suppressLineNumbers w:val="0"/>
              <w:spacing w:before="0" w:beforeAutospacing="0" w:after="0" w:afterAutospacing="0" w:line="360" w:lineRule="auto"/>
              <w:ind w:left="15" w:right="0" w:hanging="14" w:hangingChars="7"/>
              <w:rPr>
                <w:rFonts w:hint="eastAsia" w:ascii="宋体" w:hAnsi="宋体" w:cs="宋体"/>
                <w:color w:val="auto"/>
                <w:szCs w:val="21"/>
                <w:highlight w:val="none"/>
              </w:rPr>
            </w:pPr>
            <w:r>
              <w:rPr>
                <w:rFonts w:hint="eastAsia" w:ascii="宋体" w:hAnsi="宋体" w:cs="宋体"/>
                <w:color w:val="auto"/>
                <w:szCs w:val="21"/>
                <w:highlight w:val="none"/>
              </w:rPr>
              <w:t>⑶信用信息查询记录和证据留存方式：在查询网站中直接打印查询记录，打印材料作为采购活动资料保存；</w:t>
            </w:r>
          </w:p>
          <w:p w14:paraId="568E6590">
            <w:pPr>
              <w:keepNext w:val="0"/>
              <w:keepLines w:val="0"/>
              <w:suppressLineNumbers w:val="0"/>
              <w:spacing w:before="0" w:beforeAutospacing="0" w:after="0" w:afterAutospacing="0" w:line="360" w:lineRule="auto"/>
              <w:ind w:left="15" w:right="0" w:hanging="14" w:hangingChars="7"/>
              <w:rPr>
                <w:rFonts w:hint="eastAsia" w:ascii="宋体" w:hAnsi="宋体" w:cs="宋体"/>
                <w:color w:val="auto"/>
                <w:szCs w:val="21"/>
                <w:highlight w:val="none"/>
              </w:rPr>
            </w:pPr>
            <w:r>
              <w:rPr>
                <w:rFonts w:hint="eastAsia" w:ascii="宋体" w:hAnsi="宋体" w:cs="宋体"/>
                <w:color w:val="auto"/>
                <w:szCs w:val="21"/>
                <w:highlight w:val="none"/>
              </w:rPr>
              <w:t>⑷信用信息使用规则：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取消其成交候选人资格。采购人依法按照评审报告中磋商小组推荐成交候选人排序表确定排名第二的成交候选人为成交供应商或者重新组织采购。</w:t>
            </w:r>
          </w:p>
          <w:p w14:paraId="4A166F4B">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两个以上的自然人、法人或者其他组织组成一个联合体，以一个供应商的身份共同参加政府采购活动的，对所有联合体成员进行信用记录查询，联合体成员存在不良信用记录的，视同联合体存在不良信用记录。</w:t>
            </w:r>
          </w:p>
        </w:tc>
      </w:tr>
      <w:tr w14:paraId="7BB10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62" w:type="dxa"/>
            <w:vAlign w:val="center"/>
          </w:tcPr>
          <w:p w14:paraId="1F3CE865">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14</w:t>
            </w:r>
          </w:p>
        </w:tc>
        <w:tc>
          <w:tcPr>
            <w:tcW w:w="942" w:type="dxa"/>
            <w:vAlign w:val="center"/>
          </w:tcPr>
          <w:p w14:paraId="6277D94E">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27</w:t>
            </w:r>
          </w:p>
        </w:tc>
        <w:tc>
          <w:tcPr>
            <w:tcW w:w="1652" w:type="dxa"/>
            <w:vAlign w:val="center"/>
          </w:tcPr>
          <w:p w14:paraId="141A8DC2">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成交结果公告</w:t>
            </w:r>
          </w:p>
          <w:p w14:paraId="7E530676">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及成交通知书</w:t>
            </w:r>
          </w:p>
        </w:tc>
        <w:tc>
          <w:tcPr>
            <w:tcW w:w="7035" w:type="dxa"/>
          </w:tcPr>
          <w:p w14:paraId="04CDCFA7">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27.1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14:paraId="5889209B">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27.2在发布成交公告的同时，采购代理机构向成交供应商发出成交通知书。成交供应商自接到通知之日起七个工作日内，办理成交通知书领取手续。</w:t>
            </w:r>
          </w:p>
        </w:tc>
      </w:tr>
      <w:tr w14:paraId="5F540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662" w:type="dxa"/>
            <w:vAlign w:val="center"/>
          </w:tcPr>
          <w:p w14:paraId="4EED7C75">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15</w:t>
            </w:r>
          </w:p>
        </w:tc>
        <w:tc>
          <w:tcPr>
            <w:tcW w:w="942" w:type="dxa"/>
            <w:vAlign w:val="center"/>
          </w:tcPr>
          <w:p w14:paraId="4348A1CA">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28</w:t>
            </w:r>
          </w:p>
        </w:tc>
        <w:tc>
          <w:tcPr>
            <w:tcW w:w="1652" w:type="dxa"/>
            <w:vAlign w:val="center"/>
          </w:tcPr>
          <w:p w14:paraId="652465FC">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履约保证金</w:t>
            </w:r>
          </w:p>
        </w:tc>
        <w:tc>
          <w:tcPr>
            <w:tcW w:w="7035" w:type="dxa"/>
            <w:vAlign w:val="center"/>
          </w:tcPr>
          <w:p w14:paraId="1F563060">
            <w:pPr>
              <w:keepNext w:val="0"/>
              <w:keepLines w:val="0"/>
              <w:widowControl/>
              <w:suppressLineNumbers w:val="0"/>
              <w:spacing w:before="0" w:beforeAutospacing="0" w:after="0" w:afterAutospacing="0"/>
              <w:ind w:left="0" w:right="0"/>
              <w:jc w:val="left"/>
              <w:rPr>
                <w:rFonts w:hint="eastAsia" w:ascii="宋体" w:hAnsi="宋体" w:cs="宋体"/>
                <w:color w:val="auto"/>
                <w:szCs w:val="21"/>
                <w:highlight w:val="none"/>
              </w:rPr>
            </w:pPr>
            <w:r>
              <w:rPr>
                <w:rFonts w:hint="eastAsia" w:hAnsi="宋体" w:cs="宋体"/>
                <w:color w:val="auto"/>
                <w:szCs w:val="21"/>
                <w:highlight w:val="none"/>
              </w:rPr>
              <w:t>本项目无需缴纳履约保证金。</w:t>
            </w:r>
          </w:p>
        </w:tc>
      </w:tr>
      <w:tr w14:paraId="4ADE2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662" w:type="dxa"/>
            <w:vAlign w:val="center"/>
          </w:tcPr>
          <w:p w14:paraId="7AB85324">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16</w:t>
            </w:r>
          </w:p>
        </w:tc>
        <w:tc>
          <w:tcPr>
            <w:tcW w:w="942" w:type="dxa"/>
            <w:vAlign w:val="center"/>
          </w:tcPr>
          <w:p w14:paraId="67334C70">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29.1</w:t>
            </w:r>
          </w:p>
        </w:tc>
        <w:tc>
          <w:tcPr>
            <w:tcW w:w="1652" w:type="dxa"/>
            <w:vAlign w:val="center"/>
          </w:tcPr>
          <w:p w14:paraId="2248CA9D">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签订合同时间</w:t>
            </w:r>
          </w:p>
        </w:tc>
        <w:tc>
          <w:tcPr>
            <w:tcW w:w="7035" w:type="dxa"/>
          </w:tcPr>
          <w:p w14:paraId="196F6169">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bCs/>
                <w:color w:val="auto"/>
                <w:kern w:val="0"/>
                <w:szCs w:val="21"/>
                <w:highlight w:val="none"/>
              </w:rPr>
              <w:t>成交通知书发出之日起八个工作日内签订合同</w:t>
            </w:r>
            <w:r>
              <w:rPr>
                <w:rFonts w:hint="eastAsia" w:ascii="宋体" w:hAnsi="宋体" w:cs="宋体"/>
                <w:color w:val="auto"/>
                <w:highlight w:val="none"/>
              </w:rPr>
              <w:t>。</w:t>
            </w:r>
            <w:r>
              <w:rPr>
                <w:rFonts w:hint="eastAsia" w:ascii="宋体" w:hAnsi="宋体" w:cs="宋体"/>
                <w:color w:val="auto"/>
                <w:szCs w:val="21"/>
                <w:highlight w:val="none"/>
              </w:rPr>
              <w:t>成交供应商领取成交通知书后，应按规定与采购人签订合同。</w:t>
            </w:r>
          </w:p>
        </w:tc>
      </w:tr>
      <w:tr w14:paraId="7BB1D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662" w:type="dxa"/>
            <w:vAlign w:val="center"/>
          </w:tcPr>
          <w:p w14:paraId="09559E3F">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17</w:t>
            </w:r>
          </w:p>
        </w:tc>
        <w:tc>
          <w:tcPr>
            <w:tcW w:w="942" w:type="dxa"/>
            <w:vAlign w:val="center"/>
          </w:tcPr>
          <w:p w14:paraId="47F8A9B9">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29.3</w:t>
            </w:r>
          </w:p>
        </w:tc>
        <w:tc>
          <w:tcPr>
            <w:tcW w:w="1652" w:type="dxa"/>
            <w:vAlign w:val="center"/>
          </w:tcPr>
          <w:p w14:paraId="22B744A2">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合同备案存档</w:t>
            </w:r>
          </w:p>
        </w:tc>
        <w:tc>
          <w:tcPr>
            <w:tcW w:w="7035" w:type="dxa"/>
            <w:vAlign w:val="center"/>
          </w:tcPr>
          <w:p w14:paraId="1E1CA931">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highlight w:val="none"/>
              </w:rPr>
              <w:t>政府采购合同双方自签订之日起一个工作日内将合同原件一份交采购代理机构，采购代理机构将政府采购合同在省级以上人民政府财政部门指定媒体上公告。采购人于合同签订之日起七个工作日内将一份合同原件送本级财政部门备案，一份由广西天罡工程项目管理有限公司存档。</w:t>
            </w:r>
          </w:p>
        </w:tc>
      </w:tr>
      <w:tr w14:paraId="2485A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662" w:type="dxa"/>
            <w:vAlign w:val="center"/>
          </w:tcPr>
          <w:p w14:paraId="1DF0360E">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18</w:t>
            </w:r>
          </w:p>
        </w:tc>
        <w:tc>
          <w:tcPr>
            <w:tcW w:w="942" w:type="dxa"/>
            <w:vAlign w:val="center"/>
          </w:tcPr>
          <w:p w14:paraId="1501111B">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30</w:t>
            </w:r>
          </w:p>
        </w:tc>
        <w:tc>
          <w:tcPr>
            <w:tcW w:w="1652" w:type="dxa"/>
            <w:vAlign w:val="center"/>
          </w:tcPr>
          <w:p w14:paraId="32585C70">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采购代理服务费</w:t>
            </w:r>
          </w:p>
        </w:tc>
        <w:tc>
          <w:tcPr>
            <w:tcW w:w="7035" w:type="dxa"/>
          </w:tcPr>
          <w:p w14:paraId="141A1C7C">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olor w:val="auto"/>
                <w:szCs w:val="21"/>
                <w:highlight w:val="none"/>
              </w:rPr>
              <w:t>本项目代理服务费按本须知第30.2条“代理服务收费标准”中服务类收费标准计算，成交供应商在领取成交通知书前，向采购代理机构一次性支付（</w:t>
            </w:r>
            <w:r>
              <w:rPr>
                <w:rFonts w:hint="eastAsia" w:ascii="宋体" w:hAnsi="宋体"/>
                <w:color w:val="auto"/>
                <w:szCs w:val="21"/>
                <w:highlight w:val="none"/>
                <w:lang w:eastAsia="zh-CN"/>
              </w:rPr>
              <w:t>服务费</w:t>
            </w:r>
            <w:r>
              <w:rPr>
                <w:rFonts w:hint="eastAsia" w:ascii="宋体" w:hAnsi="宋体"/>
                <w:color w:val="auto"/>
                <w:szCs w:val="21"/>
                <w:highlight w:val="none"/>
              </w:rPr>
              <w:t>不足人民币</w:t>
            </w:r>
            <w:r>
              <w:rPr>
                <w:rFonts w:hint="eastAsia" w:ascii="宋体" w:hAnsi="宋体"/>
                <w:color w:val="auto"/>
                <w:szCs w:val="21"/>
                <w:highlight w:val="none"/>
                <w:lang w:eastAsia="zh-CN"/>
              </w:rPr>
              <w:t>6000</w:t>
            </w:r>
            <w:r>
              <w:rPr>
                <w:rFonts w:hint="eastAsia" w:ascii="宋体" w:hAnsi="宋体"/>
                <w:color w:val="auto"/>
                <w:szCs w:val="21"/>
                <w:highlight w:val="none"/>
              </w:rPr>
              <w:t>元的，按</w:t>
            </w:r>
            <w:r>
              <w:rPr>
                <w:rFonts w:hint="eastAsia" w:ascii="宋体" w:hAnsi="宋体"/>
                <w:color w:val="auto"/>
                <w:szCs w:val="21"/>
                <w:highlight w:val="none"/>
                <w:lang w:eastAsia="zh-CN"/>
              </w:rPr>
              <w:t>6000</w:t>
            </w:r>
            <w:r>
              <w:rPr>
                <w:rFonts w:hint="eastAsia" w:ascii="宋体" w:hAnsi="宋体"/>
                <w:color w:val="auto"/>
                <w:szCs w:val="21"/>
                <w:highlight w:val="none"/>
              </w:rPr>
              <w:t>元支付）。</w:t>
            </w:r>
          </w:p>
        </w:tc>
      </w:tr>
      <w:tr w14:paraId="0DD71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62" w:type="dxa"/>
            <w:vAlign w:val="center"/>
          </w:tcPr>
          <w:p w14:paraId="3FD9EA52">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19</w:t>
            </w:r>
          </w:p>
        </w:tc>
        <w:tc>
          <w:tcPr>
            <w:tcW w:w="942" w:type="dxa"/>
            <w:vAlign w:val="center"/>
          </w:tcPr>
          <w:p w14:paraId="7D4D825E">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31</w:t>
            </w:r>
          </w:p>
        </w:tc>
        <w:tc>
          <w:tcPr>
            <w:tcW w:w="1652" w:type="dxa"/>
            <w:vAlign w:val="center"/>
          </w:tcPr>
          <w:p w14:paraId="3C4CD5A7">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解释权</w:t>
            </w:r>
          </w:p>
        </w:tc>
        <w:tc>
          <w:tcPr>
            <w:tcW w:w="7035" w:type="dxa"/>
          </w:tcPr>
          <w:p w14:paraId="080D915D">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highlight w:val="none"/>
              </w:rPr>
              <w:t>本竞争性磋商文件是根据《中华人民共和国政府采购法》《中华人民共和国政府采购法实施条例》《政府采购竞争性磋商采购方式管理暂行办法》和政府采购管理有关规定编制，本竞争性磋商文件的解释权属于采购代理机构。</w:t>
            </w:r>
          </w:p>
        </w:tc>
      </w:tr>
      <w:tr w14:paraId="0BE09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662" w:type="dxa"/>
            <w:vAlign w:val="center"/>
          </w:tcPr>
          <w:p w14:paraId="6B7F8EAB">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20</w:t>
            </w:r>
          </w:p>
        </w:tc>
        <w:tc>
          <w:tcPr>
            <w:tcW w:w="942" w:type="dxa"/>
            <w:vAlign w:val="center"/>
          </w:tcPr>
          <w:p w14:paraId="0A5F3FF7">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32</w:t>
            </w:r>
          </w:p>
        </w:tc>
        <w:tc>
          <w:tcPr>
            <w:tcW w:w="1652" w:type="dxa"/>
            <w:vAlign w:val="center"/>
          </w:tcPr>
          <w:p w14:paraId="21B7A23F">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监督管理机构</w:t>
            </w:r>
          </w:p>
        </w:tc>
        <w:tc>
          <w:tcPr>
            <w:tcW w:w="7035" w:type="dxa"/>
            <w:vAlign w:val="center"/>
          </w:tcPr>
          <w:p w14:paraId="2B0ACF54">
            <w:pPr>
              <w:keepNext w:val="0"/>
              <w:keepLines w:val="0"/>
              <w:suppressLineNumbers w:val="0"/>
              <w:spacing w:before="0" w:beforeAutospacing="0" w:after="0" w:afterAutospacing="0" w:line="340" w:lineRule="exact"/>
              <w:ind w:left="0" w:right="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桂林市政府采购管理办公室          </w:t>
            </w:r>
          </w:p>
          <w:p w14:paraId="6878BA7C">
            <w:pPr>
              <w:keepNext w:val="0"/>
              <w:keepLines w:val="0"/>
              <w:suppressLineNumbers w:val="0"/>
              <w:spacing w:before="0" w:beforeAutospacing="0" w:after="0" w:afterAutospacing="0" w:line="340" w:lineRule="exact"/>
              <w:ind w:left="0" w:right="0"/>
              <w:rPr>
                <w:rFonts w:hint="eastAsia" w:ascii="宋体" w:hAnsi="宋体" w:cs="宋体"/>
                <w:color w:val="auto"/>
                <w:szCs w:val="21"/>
                <w:highlight w:val="none"/>
              </w:rPr>
            </w:pPr>
            <w:r>
              <w:rPr>
                <w:rFonts w:hint="eastAsia" w:ascii="宋体" w:hAnsi="宋体" w:cs="宋体"/>
                <w:color w:val="auto"/>
                <w:kern w:val="0"/>
                <w:szCs w:val="21"/>
                <w:highlight w:val="none"/>
              </w:rPr>
              <w:t>联系电话：0773-2862142</w:t>
            </w:r>
          </w:p>
        </w:tc>
      </w:tr>
    </w:tbl>
    <w:p w14:paraId="256092AB">
      <w:pPr>
        <w:rPr>
          <w:rFonts w:ascii="宋体" w:hAnsi="宋体" w:cs="宋体"/>
          <w:color w:val="auto"/>
          <w:highlight w:val="none"/>
        </w:rPr>
      </w:pPr>
    </w:p>
    <w:p w14:paraId="54060767">
      <w:pPr>
        <w:rPr>
          <w:rFonts w:hint="eastAsia" w:ascii="宋体" w:hAnsi="宋体" w:cs="宋体"/>
          <w:b/>
          <w:bCs w:val="0"/>
          <w:color w:val="auto"/>
          <w:szCs w:val="28"/>
          <w:highlight w:val="none"/>
        </w:rPr>
      </w:pPr>
      <w:bookmarkStart w:id="56" w:name="_Toc10058"/>
      <w:bookmarkStart w:id="57" w:name="_Toc22792"/>
      <w:r>
        <w:rPr>
          <w:rFonts w:hint="eastAsia" w:ascii="宋体" w:hAnsi="宋体" w:cs="宋体"/>
          <w:b/>
          <w:bCs w:val="0"/>
          <w:color w:val="auto"/>
          <w:szCs w:val="28"/>
          <w:highlight w:val="none"/>
        </w:rPr>
        <w:br w:type="page"/>
      </w:r>
    </w:p>
    <w:p w14:paraId="19E34FA7">
      <w:pPr>
        <w:pStyle w:val="3"/>
        <w:pageBreakBefore w:val="0"/>
        <w:widowControl w:val="0"/>
        <w:kinsoku/>
        <w:wordWrap/>
        <w:overflowPunct/>
        <w:topLinePunct w:val="0"/>
        <w:bidi w:val="0"/>
        <w:spacing w:line="360" w:lineRule="auto"/>
        <w:ind w:left="0" w:leftChars="0"/>
        <w:jc w:val="center"/>
        <w:rPr>
          <w:rFonts w:ascii="宋体" w:hAnsi="宋体" w:cs="宋体"/>
          <w:b/>
          <w:bCs w:val="0"/>
          <w:color w:val="auto"/>
          <w:szCs w:val="28"/>
          <w:highlight w:val="none"/>
        </w:rPr>
      </w:pPr>
      <w:r>
        <w:rPr>
          <w:rFonts w:hint="eastAsia" w:ascii="宋体" w:hAnsi="宋体" w:cs="宋体"/>
          <w:b/>
          <w:bCs w:val="0"/>
          <w:color w:val="auto"/>
          <w:szCs w:val="28"/>
          <w:highlight w:val="none"/>
        </w:rPr>
        <w:t>一、总则</w:t>
      </w:r>
      <w:bookmarkEnd w:id="56"/>
      <w:bookmarkEnd w:id="57"/>
    </w:p>
    <w:p w14:paraId="0C460A6C">
      <w:pPr>
        <w:pStyle w:val="5"/>
        <w:pageBreakBefore w:val="0"/>
        <w:widowControl w:val="0"/>
        <w:kinsoku/>
        <w:wordWrap/>
        <w:overflowPunct/>
        <w:topLinePunct w:val="0"/>
        <w:bidi w:val="0"/>
        <w:snapToGrid/>
        <w:spacing w:line="360" w:lineRule="auto"/>
        <w:ind w:left="0" w:leftChars="0" w:right="0" w:firstLine="422" w:firstLineChars="200"/>
        <w:rPr>
          <w:rFonts w:ascii="宋体" w:hAnsi="宋体" w:cs="宋体"/>
          <w:color w:val="auto"/>
          <w:sz w:val="21"/>
          <w:szCs w:val="21"/>
          <w:highlight w:val="none"/>
        </w:rPr>
      </w:pPr>
      <w:bookmarkStart w:id="58" w:name="_Toc24721"/>
      <w:bookmarkStart w:id="59" w:name="_Toc6626"/>
      <w:r>
        <w:rPr>
          <w:rFonts w:hint="eastAsia" w:ascii="宋体" w:hAnsi="宋体" w:cs="宋体"/>
          <w:color w:val="auto"/>
          <w:sz w:val="21"/>
          <w:szCs w:val="21"/>
          <w:highlight w:val="none"/>
        </w:rPr>
        <w:t>1. 适应范围</w:t>
      </w:r>
      <w:bookmarkEnd w:id="58"/>
      <w:bookmarkEnd w:id="59"/>
    </w:p>
    <w:p w14:paraId="27BB7E31">
      <w:pPr>
        <w:pageBreakBefore w:val="0"/>
        <w:widowControl w:val="0"/>
        <w:kinsoku/>
        <w:wordWrap/>
        <w:overflowPunct/>
        <w:topLinePunct w:val="0"/>
        <w:bidi w:val="0"/>
        <w:snapToGrid/>
        <w:spacing w:line="360" w:lineRule="auto"/>
        <w:ind w:left="0" w:leftChars="0" w:right="0" w:firstLine="435"/>
        <w:rPr>
          <w:rFonts w:ascii="宋体" w:hAnsi="宋体" w:cs="宋体"/>
          <w:color w:val="auto"/>
          <w:szCs w:val="21"/>
          <w:highlight w:val="none"/>
        </w:rPr>
      </w:pPr>
      <w:r>
        <w:rPr>
          <w:rFonts w:hint="eastAsia" w:ascii="宋体" w:hAnsi="宋体" w:cs="宋体"/>
          <w:color w:val="auto"/>
          <w:szCs w:val="21"/>
          <w:highlight w:val="none"/>
        </w:rPr>
        <w:t>1.1项目名称及项目编号：</w:t>
      </w:r>
    </w:p>
    <w:p w14:paraId="6125D928">
      <w:pPr>
        <w:pageBreakBefore w:val="0"/>
        <w:widowControl w:val="0"/>
        <w:kinsoku/>
        <w:wordWrap/>
        <w:overflowPunct/>
        <w:topLinePunct w:val="0"/>
        <w:bidi w:val="0"/>
        <w:snapToGrid/>
        <w:spacing w:line="360" w:lineRule="auto"/>
        <w:ind w:left="0" w:leftChars="0" w:right="0" w:firstLine="420" w:firstLineChars="200"/>
        <w:rPr>
          <w:rFonts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Cs w:val="21"/>
          <w:highlight w:val="none"/>
          <w:lang w:eastAsia="zh-CN"/>
        </w:rPr>
        <w:t>广西花坪国家级自然保护区特种救护、宣传（资料）视频制作、标本养护及古树名木资源普查项目A分标（重）</w:t>
      </w:r>
      <w:r>
        <w:rPr>
          <w:rFonts w:hint="eastAsia" w:ascii="宋体" w:hAnsi="宋体" w:cs="宋体"/>
          <w:color w:val="auto"/>
          <w:szCs w:val="21"/>
          <w:highlight w:val="none"/>
        </w:rPr>
        <w:t xml:space="preserve">  </w:t>
      </w:r>
    </w:p>
    <w:p w14:paraId="0D47A4D2">
      <w:pPr>
        <w:pageBreakBefore w:val="0"/>
        <w:widowControl w:val="0"/>
        <w:kinsoku/>
        <w:wordWrap/>
        <w:overflowPunct/>
        <w:topLinePunct w:val="0"/>
        <w:bidi w:val="0"/>
        <w:snapToGrid/>
        <w:spacing w:line="360" w:lineRule="auto"/>
        <w:ind w:left="0" w:leftChars="0" w:right="0"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项目编号：</w:t>
      </w:r>
      <w:r>
        <w:rPr>
          <w:rFonts w:hint="eastAsia" w:ascii="宋体" w:hAnsi="宋体" w:cs="宋体"/>
          <w:color w:val="auto"/>
          <w:szCs w:val="21"/>
          <w:highlight w:val="none"/>
          <w:lang w:eastAsia="zh-CN"/>
        </w:rPr>
        <w:t>GLZC2026-C3-990456-GXTG</w:t>
      </w:r>
    </w:p>
    <w:p w14:paraId="2488FA42">
      <w:pPr>
        <w:pageBreakBefore w:val="0"/>
        <w:widowControl w:val="0"/>
        <w:kinsoku/>
        <w:wordWrap/>
        <w:overflowPunct/>
        <w:topLinePunct w:val="0"/>
        <w:bidi w:val="0"/>
        <w:snapToGrid/>
        <w:spacing w:line="360" w:lineRule="auto"/>
        <w:ind w:left="0" w:leftChars="0" w:right="0" w:firstLine="411" w:firstLineChars="196"/>
        <w:rPr>
          <w:rFonts w:ascii="宋体" w:hAnsi="宋体" w:cs="宋体"/>
          <w:color w:val="auto"/>
          <w:szCs w:val="21"/>
          <w:highlight w:val="none"/>
        </w:rPr>
      </w:pPr>
      <w:r>
        <w:rPr>
          <w:rFonts w:hint="eastAsia" w:ascii="宋体" w:hAnsi="宋体" w:cs="宋体"/>
          <w:color w:val="auto"/>
          <w:szCs w:val="21"/>
          <w:highlight w:val="none"/>
        </w:rPr>
        <w:t>1.2本竞争性磋商文件（以下简称磋商文件）适用于本磋商项目的磋商、评审、合同履约、验收、付款等行为（法律、法规另有规定的，从其规定）。</w:t>
      </w:r>
    </w:p>
    <w:p w14:paraId="5AA81E66">
      <w:pPr>
        <w:pStyle w:val="5"/>
        <w:pageBreakBefore w:val="0"/>
        <w:widowControl w:val="0"/>
        <w:kinsoku/>
        <w:wordWrap/>
        <w:overflowPunct/>
        <w:topLinePunct w:val="0"/>
        <w:bidi w:val="0"/>
        <w:snapToGrid/>
        <w:spacing w:line="360" w:lineRule="auto"/>
        <w:ind w:left="0" w:leftChars="0" w:right="0" w:firstLine="422" w:firstLineChars="200"/>
        <w:rPr>
          <w:rFonts w:ascii="宋体" w:hAnsi="宋体" w:cs="宋体"/>
          <w:color w:val="auto"/>
          <w:sz w:val="21"/>
          <w:szCs w:val="21"/>
          <w:highlight w:val="none"/>
        </w:rPr>
      </w:pPr>
      <w:bookmarkStart w:id="60" w:name="_Toc3355"/>
      <w:bookmarkStart w:id="61" w:name="_Toc28336"/>
      <w:r>
        <w:rPr>
          <w:rFonts w:hint="eastAsia" w:ascii="宋体" w:hAnsi="宋体" w:cs="宋体"/>
          <w:color w:val="auto"/>
          <w:sz w:val="21"/>
          <w:szCs w:val="21"/>
          <w:highlight w:val="none"/>
        </w:rPr>
        <w:t>2. 定义</w:t>
      </w:r>
      <w:bookmarkEnd w:id="60"/>
      <w:bookmarkEnd w:id="61"/>
    </w:p>
    <w:p w14:paraId="4837BFA7">
      <w:pPr>
        <w:pageBreakBefore w:val="0"/>
        <w:widowControl w:val="0"/>
        <w:kinsoku/>
        <w:wordWrap/>
        <w:overflowPunct/>
        <w:topLinePunct w:val="0"/>
        <w:bidi w:val="0"/>
        <w:snapToGrid/>
        <w:spacing w:line="360" w:lineRule="auto"/>
        <w:ind w:left="0" w:leftChars="0" w:right="0" w:firstLine="435"/>
        <w:rPr>
          <w:rFonts w:ascii="宋体" w:hAnsi="宋体" w:cs="宋体"/>
          <w:color w:val="auto"/>
          <w:szCs w:val="21"/>
          <w:highlight w:val="none"/>
        </w:rPr>
      </w:pPr>
      <w:r>
        <w:rPr>
          <w:rFonts w:hint="eastAsia" w:ascii="宋体" w:hAnsi="宋体" w:cs="宋体"/>
          <w:color w:val="auto"/>
          <w:szCs w:val="21"/>
          <w:highlight w:val="none"/>
        </w:rPr>
        <w:t>2.1“供应商”是指符合本次采购项目的供应商资格并提交响应文件、参加磋商的供应商。如果该供应商在本次磋商中成交，即成为“成交供应商”。</w:t>
      </w:r>
    </w:p>
    <w:p w14:paraId="0E560661">
      <w:pPr>
        <w:pageBreakBefore w:val="0"/>
        <w:widowControl w:val="0"/>
        <w:kinsoku/>
        <w:wordWrap/>
        <w:overflowPunct/>
        <w:topLinePunct w:val="0"/>
        <w:bidi w:val="0"/>
        <w:snapToGrid/>
        <w:spacing w:line="360" w:lineRule="auto"/>
        <w:ind w:left="0" w:leftChars="0" w:right="0" w:firstLine="435"/>
        <w:rPr>
          <w:rFonts w:ascii="宋体" w:hAnsi="宋体" w:cs="宋体"/>
          <w:color w:val="auto"/>
          <w:szCs w:val="21"/>
          <w:highlight w:val="none"/>
        </w:rPr>
      </w:pPr>
      <w:r>
        <w:rPr>
          <w:rFonts w:hint="eastAsia" w:ascii="宋体" w:hAnsi="宋体" w:cs="宋体"/>
          <w:color w:val="auto"/>
          <w:szCs w:val="21"/>
          <w:highlight w:val="none"/>
        </w:rPr>
        <w:t>2.2“货物”系指按磋商文件规定，供应商须向采购人提供的一切设备、保险、税金、备品备件、工具、手册及其它有关技术资料和材料。</w:t>
      </w:r>
    </w:p>
    <w:p w14:paraId="46E67810">
      <w:pPr>
        <w:pageBreakBefore w:val="0"/>
        <w:widowControl w:val="0"/>
        <w:kinsoku/>
        <w:wordWrap/>
        <w:overflowPunct/>
        <w:topLinePunct w:val="0"/>
        <w:bidi w:val="0"/>
        <w:snapToGrid/>
        <w:spacing w:line="360" w:lineRule="auto"/>
        <w:ind w:left="0" w:leftChars="0" w:right="0" w:firstLine="435"/>
        <w:rPr>
          <w:rFonts w:ascii="宋体" w:hAnsi="宋体" w:cs="宋体"/>
          <w:color w:val="auto"/>
          <w:szCs w:val="21"/>
          <w:highlight w:val="none"/>
        </w:rPr>
      </w:pPr>
      <w:r>
        <w:rPr>
          <w:rFonts w:hint="eastAsia" w:ascii="宋体" w:hAnsi="宋体" w:cs="宋体"/>
          <w:color w:val="auto"/>
          <w:szCs w:val="21"/>
          <w:highlight w:val="none"/>
        </w:rPr>
        <w:t>2.3“服务”系指按磋商文件规定，供应商须承担的安装、调试、技术协助、校准、培训、技术指导以及其他类似的义务。</w:t>
      </w:r>
    </w:p>
    <w:p w14:paraId="0A8C5E94">
      <w:pPr>
        <w:pageBreakBefore w:val="0"/>
        <w:widowControl w:val="0"/>
        <w:kinsoku/>
        <w:wordWrap/>
        <w:overflowPunct/>
        <w:topLinePunct w:val="0"/>
        <w:bidi w:val="0"/>
        <w:snapToGrid/>
        <w:spacing w:line="360" w:lineRule="auto"/>
        <w:ind w:left="0" w:leftChars="0" w:right="0" w:firstLine="435"/>
        <w:rPr>
          <w:rFonts w:ascii="宋体" w:hAnsi="宋体" w:cs="宋体"/>
          <w:color w:val="auto"/>
          <w:szCs w:val="21"/>
          <w:highlight w:val="none"/>
        </w:rPr>
      </w:pPr>
      <w:r>
        <w:rPr>
          <w:rFonts w:hint="eastAsia" w:ascii="宋体" w:hAnsi="宋体" w:cs="宋体"/>
          <w:color w:val="auto"/>
          <w:szCs w:val="21"/>
          <w:highlight w:val="none"/>
        </w:rPr>
        <w:t>2.4“项目”系指供应商按磋商文件规定向采购人提供的货物和服务。</w:t>
      </w:r>
    </w:p>
    <w:p w14:paraId="317FF58D">
      <w:pPr>
        <w:pageBreakBefore w:val="0"/>
        <w:widowControl w:val="0"/>
        <w:kinsoku/>
        <w:wordWrap/>
        <w:overflowPunct/>
        <w:topLinePunct w:val="0"/>
        <w:bidi w:val="0"/>
        <w:snapToGrid/>
        <w:spacing w:line="360" w:lineRule="auto"/>
        <w:ind w:left="0" w:leftChars="0" w:right="0" w:firstLine="435"/>
        <w:rPr>
          <w:rFonts w:ascii="宋体" w:hAnsi="宋体" w:cs="宋体"/>
          <w:color w:val="auto"/>
          <w:szCs w:val="21"/>
          <w:highlight w:val="none"/>
        </w:rPr>
      </w:pPr>
      <w:r>
        <w:rPr>
          <w:rFonts w:hint="eastAsia" w:ascii="宋体" w:hAnsi="宋体" w:cs="宋体"/>
          <w:color w:val="auto"/>
          <w:szCs w:val="21"/>
          <w:highlight w:val="none"/>
        </w:rPr>
        <w:t>2.5“书面形式”包括信函、传真、电报等。</w:t>
      </w:r>
    </w:p>
    <w:p w14:paraId="395A29F8">
      <w:pPr>
        <w:pageBreakBefore w:val="0"/>
        <w:widowControl w:val="0"/>
        <w:kinsoku/>
        <w:wordWrap/>
        <w:overflowPunct/>
        <w:topLinePunct w:val="0"/>
        <w:bidi w:val="0"/>
        <w:snapToGrid/>
        <w:spacing w:line="360" w:lineRule="auto"/>
        <w:ind w:left="0" w:leftChars="0" w:right="0" w:firstLine="435"/>
        <w:rPr>
          <w:rFonts w:ascii="宋体" w:hAnsi="宋体" w:cs="宋体"/>
          <w:b/>
          <w:color w:val="auto"/>
          <w:sz w:val="24"/>
          <w:highlight w:val="none"/>
        </w:rPr>
      </w:pPr>
      <w:r>
        <w:rPr>
          <w:rFonts w:hint="eastAsia" w:ascii="宋体" w:hAnsi="宋体" w:cs="宋体"/>
          <w:b/>
          <w:color w:val="auto"/>
          <w:sz w:val="24"/>
          <w:highlight w:val="none"/>
          <w:u w:val="single"/>
        </w:rPr>
        <w:t>2.</w:t>
      </w:r>
      <w:r>
        <w:rPr>
          <w:rFonts w:hint="eastAsia" w:ascii="宋体" w:hAnsi="宋体" w:cs="宋体"/>
          <w:b/>
          <w:color w:val="auto"/>
          <w:szCs w:val="21"/>
          <w:highlight w:val="none"/>
          <w:u w:val="single"/>
        </w:rPr>
        <w:t>6实质性要求：“采购需求”中的所有内容均为实质性要求，不允许负偏离，否则响应无效。</w:t>
      </w:r>
    </w:p>
    <w:p w14:paraId="5E983BB8">
      <w:pPr>
        <w:pStyle w:val="5"/>
        <w:pageBreakBefore w:val="0"/>
        <w:widowControl w:val="0"/>
        <w:kinsoku/>
        <w:wordWrap/>
        <w:overflowPunct/>
        <w:topLinePunct w:val="0"/>
        <w:bidi w:val="0"/>
        <w:snapToGrid/>
        <w:spacing w:line="360" w:lineRule="auto"/>
        <w:ind w:left="0" w:leftChars="0" w:right="0" w:firstLine="422" w:firstLineChars="200"/>
        <w:rPr>
          <w:rFonts w:ascii="宋体" w:hAnsi="宋体" w:cs="宋体"/>
          <w:color w:val="auto"/>
          <w:sz w:val="21"/>
          <w:szCs w:val="21"/>
          <w:highlight w:val="none"/>
        </w:rPr>
      </w:pPr>
      <w:bookmarkStart w:id="62" w:name="_Toc25441"/>
      <w:bookmarkStart w:id="63" w:name="_Toc23631"/>
      <w:r>
        <w:rPr>
          <w:rFonts w:hint="eastAsia" w:ascii="宋体" w:hAnsi="宋体" w:cs="宋体"/>
          <w:color w:val="auto"/>
          <w:sz w:val="21"/>
          <w:szCs w:val="21"/>
          <w:highlight w:val="none"/>
        </w:rPr>
        <w:t>3. 供应商资格</w:t>
      </w:r>
      <w:bookmarkEnd w:id="62"/>
      <w:bookmarkEnd w:id="63"/>
    </w:p>
    <w:p w14:paraId="7163D2D3">
      <w:pPr>
        <w:pStyle w:val="13"/>
        <w:pageBreakBefore w:val="0"/>
        <w:widowControl w:val="0"/>
        <w:kinsoku/>
        <w:wordWrap/>
        <w:overflowPunct/>
        <w:topLinePunct w:val="0"/>
        <w:bidi w:val="0"/>
        <w:snapToGrid/>
        <w:spacing w:line="360" w:lineRule="auto"/>
        <w:ind w:left="0" w:leftChars="0" w:right="0"/>
        <w:rPr>
          <w:color w:val="auto"/>
          <w:highlight w:val="none"/>
        </w:rPr>
      </w:pPr>
      <w:bookmarkStart w:id="64" w:name="_Toc16496"/>
      <w:r>
        <w:rPr>
          <w:rFonts w:hint="eastAsia" w:ascii="宋体" w:hAnsi="宋体" w:cs="宋体"/>
          <w:color w:val="auto"/>
          <w:szCs w:val="21"/>
          <w:highlight w:val="none"/>
          <w:lang w:eastAsia="zh-CN"/>
        </w:rPr>
        <w:t>详见竞争性磋商公告及供应商须知前附表</w:t>
      </w:r>
      <w:r>
        <w:rPr>
          <w:rFonts w:hint="eastAsia" w:ascii="宋体" w:hAnsi="宋体" w:cs="宋体"/>
          <w:color w:val="auto"/>
          <w:szCs w:val="21"/>
          <w:highlight w:val="none"/>
        </w:rPr>
        <w:t>。</w:t>
      </w:r>
    </w:p>
    <w:p w14:paraId="51C46E4E">
      <w:pPr>
        <w:pStyle w:val="5"/>
        <w:pageBreakBefore w:val="0"/>
        <w:widowControl w:val="0"/>
        <w:kinsoku/>
        <w:wordWrap/>
        <w:overflowPunct/>
        <w:topLinePunct w:val="0"/>
        <w:bidi w:val="0"/>
        <w:snapToGrid/>
        <w:spacing w:line="360" w:lineRule="auto"/>
        <w:ind w:left="0" w:leftChars="0" w:right="0" w:firstLine="422" w:firstLineChars="200"/>
        <w:rPr>
          <w:rFonts w:ascii="宋体" w:hAnsi="宋体" w:cs="宋体"/>
          <w:color w:val="auto"/>
          <w:sz w:val="21"/>
          <w:szCs w:val="21"/>
          <w:highlight w:val="none"/>
        </w:rPr>
      </w:pPr>
      <w:bookmarkStart w:id="65" w:name="_Toc15983"/>
      <w:r>
        <w:rPr>
          <w:rFonts w:hint="eastAsia" w:ascii="宋体" w:hAnsi="宋体" w:cs="宋体"/>
          <w:color w:val="auto"/>
          <w:sz w:val="21"/>
          <w:szCs w:val="21"/>
          <w:highlight w:val="none"/>
        </w:rPr>
        <w:t>4. 磋商费用</w:t>
      </w:r>
      <w:bookmarkEnd w:id="64"/>
      <w:bookmarkEnd w:id="65"/>
    </w:p>
    <w:p w14:paraId="41BDE7A9">
      <w:pPr>
        <w:pageBreakBefore w:val="0"/>
        <w:widowControl w:val="0"/>
        <w:tabs>
          <w:tab w:val="left" w:pos="1635"/>
        </w:tabs>
        <w:kinsoku/>
        <w:wordWrap/>
        <w:overflowPunct/>
        <w:topLinePunct w:val="0"/>
        <w:bidi w:val="0"/>
        <w:snapToGrid/>
        <w:spacing w:line="360" w:lineRule="auto"/>
        <w:ind w:left="0" w:leftChars="0" w:right="0" w:firstLine="435"/>
        <w:rPr>
          <w:rFonts w:ascii="宋体" w:hAnsi="宋体" w:cs="宋体"/>
          <w:color w:val="auto"/>
          <w:szCs w:val="21"/>
          <w:highlight w:val="none"/>
        </w:rPr>
      </w:pPr>
      <w:r>
        <w:rPr>
          <w:rFonts w:hint="eastAsia" w:ascii="宋体" w:hAnsi="宋体" w:cs="宋体"/>
          <w:color w:val="auto"/>
          <w:szCs w:val="21"/>
          <w:highlight w:val="none"/>
        </w:rPr>
        <w:t>不论磋商结果如何，供应商均应自行承担所有与磋商有关的全部费用。</w:t>
      </w:r>
    </w:p>
    <w:p w14:paraId="0F2972E8">
      <w:pPr>
        <w:pStyle w:val="5"/>
        <w:pageBreakBefore w:val="0"/>
        <w:widowControl w:val="0"/>
        <w:numPr>
          <w:ilvl w:val="0"/>
          <w:numId w:val="3"/>
        </w:numPr>
        <w:kinsoku/>
        <w:wordWrap/>
        <w:overflowPunct/>
        <w:topLinePunct w:val="0"/>
        <w:bidi w:val="0"/>
        <w:snapToGrid/>
        <w:spacing w:line="360" w:lineRule="auto"/>
        <w:ind w:left="0" w:leftChars="0" w:right="0" w:firstLine="422" w:firstLineChars="200"/>
        <w:rPr>
          <w:rFonts w:ascii="宋体" w:hAnsi="宋体" w:cs="宋体"/>
          <w:color w:val="auto"/>
          <w:sz w:val="21"/>
          <w:szCs w:val="21"/>
          <w:highlight w:val="none"/>
        </w:rPr>
      </w:pPr>
      <w:bookmarkStart w:id="66" w:name="_Toc31376"/>
      <w:bookmarkStart w:id="67" w:name="_Toc6933"/>
      <w:r>
        <w:rPr>
          <w:rFonts w:hint="eastAsia" w:ascii="宋体" w:hAnsi="宋体" w:cs="宋体"/>
          <w:color w:val="auto"/>
          <w:sz w:val="21"/>
          <w:szCs w:val="21"/>
          <w:highlight w:val="none"/>
        </w:rPr>
        <w:t>联合体要求</w:t>
      </w:r>
      <w:bookmarkEnd w:id="66"/>
      <w:bookmarkEnd w:id="67"/>
    </w:p>
    <w:p w14:paraId="6CB18910">
      <w:pPr>
        <w:pageBreakBefore w:val="0"/>
        <w:widowControl w:val="0"/>
        <w:kinsoku/>
        <w:wordWrap/>
        <w:overflowPunct/>
        <w:topLinePunct w:val="0"/>
        <w:bidi w:val="0"/>
        <w:snapToGrid/>
        <w:spacing w:line="360" w:lineRule="auto"/>
        <w:ind w:left="0" w:leftChars="0" w:right="0" w:firstLine="422" w:firstLineChars="200"/>
        <w:rPr>
          <w:rFonts w:ascii="宋体" w:hAnsi="宋体" w:cs="宋体"/>
          <w:bCs/>
          <w:color w:val="auto"/>
          <w:szCs w:val="21"/>
          <w:highlight w:val="none"/>
        </w:rPr>
      </w:pPr>
      <w:r>
        <w:rPr>
          <w:rFonts w:hint="eastAsia" w:ascii="宋体" w:hAnsi="宋体" w:cs="宋体"/>
          <w:b/>
          <w:bCs/>
          <w:color w:val="auto"/>
          <w:szCs w:val="21"/>
          <w:highlight w:val="none"/>
        </w:rPr>
        <w:t>本项目</w:t>
      </w:r>
      <w:r>
        <w:rPr>
          <w:rFonts w:hint="eastAsia" w:ascii="宋体" w:hAnsi="宋体" w:cs="宋体"/>
          <w:b/>
          <w:bCs/>
          <w:color w:val="auto"/>
          <w:szCs w:val="21"/>
          <w:highlight w:val="none"/>
          <w:lang w:val="en-US" w:eastAsia="zh-CN"/>
        </w:rPr>
        <w:t>A分标</w:t>
      </w:r>
      <w:r>
        <w:rPr>
          <w:rFonts w:hint="eastAsia" w:ascii="宋体" w:hAnsi="宋体" w:cs="宋体"/>
          <w:b/>
          <w:bCs/>
          <w:color w:val="auto"/>
          <w:szCs w:val="21"/>
          <w:highlight w:val="none"/>
        </w:rPr>
        <w:t>接受联合体参与磋商</w:t>
      </w:r>
      <w:r>
        <w:rPr>
          <w:rFonts w:hint="eastAsia" w:ascii="宋体" w:hAnsi="宋体" w:cs="宋体"/>
          <w:b/>
          <w:bCs/>
          <w:color w:val="auto"/>
          <w:szCs w:val="21"/>
          <w:highlight w:val="none"/>
          <w:lang w:val="en-US" w:eastAsia="zh-CN"/>
        </w:rPr>
        <w:t>。</w:t>
      </w:r>
    </w:p>
    <w:p w14:paraId="34117A4B">
      <w:pPr>
        <w:pStyle w:val="5"/>
        <w:pageBreakBefore w:val="0"/>
        <w:widowControl w:val="0"/>
        <w:kinsoku/>
        <w:wordWrap/>
        <w:overflowPunct/>
        <w:topLinePunct w:val="0"/>
        <w:bidi w:val="0"/>
        <w:snapToGrid/>
        <w:spacing w:line="360" w:lineRule="auto"/>
        <w:ind w:left="0" w:leftChars="0" w:right="0" w:firstLine="422" w:firstLineChars="200"/>
        <w:rPr>
          <w:rFonts w:ascii="宋体" w:hAnsi="宋体" w:cs="宋体"/>
          <w:color w:val="auto"/>
          <w:sz w:val="21"/>
          <w:szCs w:val="21"/>
          <w:highlight w:val="none"/>
        </w:rPr>
      </w:pPr>
      <w:bookmarkStart w:id="68" w:name="_Toc4152"/>
      <w:bookmarkStart w:id="69" w:name="_Toc16359"/>
      <w:r>
        <w:rPr>
          <w:rFonts w:hint="eastAsia" w:ascii="宋体" w:hAnsi="宋体" w:cs="宋体"/>
          <w:color w:val="auto"/>
          <w:sz w:val="21"/>
          <w:szCs w:val="21"/>
          <w:highlight w:val="none"/>
        </w:rPr>
        <w:t>6. 质疑和投诉</w:t>
      </w:r>
      <w:bookmarkEnd w:id="68"/>
      <w:bookmarkEnd w:id="69"/>
      <w:r>
        <w:rPr>
          <w:rFonts w:hint="eastAsia" w:ascii="宋体" w:hAnsi="宋体" w:cs="宋体"/>
          <w:color w:val="auto"/>
          <w:sz w:val="21"/>
          <w:szCs w:val="21"/>
          <w:highlight w:val="none"/>
        </w:rPr>
        <w:tab/>
      </w:r>
    </w:p>
    <w:p w14:paraId="7872F0AB">
      <w:pPr>
        <w:pageBreakBefore w:val="0"/>
        <w:widowControl w:val="0"/>
        <w:tabs>
          <w:tab w:val="left" w:pos="2190"/>
        </w:tabs>
        <w:kinsoku/>
        <w:wordWrap/>
        <w:overflowPunct/>
        <w:topLinePunct w:val="0"/>
        <w:bidi w:val="0"/>
        <w:snapToGrid/>
        <w:spacing w:line="360" w:lineRule="auto"/>
        <w:ind w:left="0" w:leftChars="0" w:right="0" w:firstLine="435"/>
        <w:rPr>
          <w:rFonts w:ascii="宋体" w:hAnsi="宋体" w:cs="宋体"/>
          <w:color w:val="auto"/>
          <w:szCs w:val="21"/>
          <w:highlight w:val="none"/>
        </w:rPr>
      </w:pPr>
      <w:bookmarkStart w:id="70" w:name="_Toc26087"/>
      <w:bookmarkStart w:id="71" w:name="_Toc8195"/>
      <w:r>
        <w:rPr>
          <w:rFonts w:hint="eastAsia" w:ascii="宋体" w:hAnsi="宋体" w:cs="宋体"/>
          <w:color w:val="auto"/>
          <w:szCs w:val="21"/>
          <w:highlight w:val="none"/>
        </w:rPr>
        <w:t>6.1供应对政府采购活动事项有疑问的，可以向采购人提出询问。</w:t>
      </w:r>
    </w:p>
    <w:p w14:paraId="1902434C">
      <w:pPr>
        <w:pageBreakBefore w:val="0"/>
        <w:widowControl w:val="0"/>
        <w:tabs>
          <w:tab w:val="left" w:pos="2190"/>
        </w:tabs>
        <w:kinsoku/>
        <w:wordWrap/>
        <w:overflowPunct/>
        <w:topLinePunct w:val="0"/>
        <w:bidi w:val="0"/>
        <w:snapToGrid/>
        <w:spacing w:line="360" w:lineRule="auto"/>
        <w:ind w:left="0" w:leftChars="0" w:right="0" w:firstLine="435"/>
        <w:rPr>
          <w:rFonts w:ascii="宋体" w:hAnsi="宋体" w:cs="宋体"/>
          <w:color w:val="auto"/>
          <w:szCs w:val="21"/>
          <w:highlight w:val="none"/>
        </w:rPr>
      </w:pPr>
      <w:r>
        <w:rPr>
          <w:rFonts w:hint="eastAsia" w:ascii="宋体" w:hAnsi="宋体" w:cs="宋体"/>
          <w:color w:val="auto"/>
          <w:szCs w:val="21"/>
          <w:highlight w:val="none"/>
        </w:rPr>
        <w:t>6.2供应商认为磋商文件使自己的合法权益受到损害的，应当在竞争性磋商公告期限届满之日起七个工作日内，以书面形式向采购代理机构（广西天罡工程项目管理有限公司）提出质疑。供应商认为采购过程或成交结果使自己的合法权益受到损害的，应当在各采购程序环节结束之日起七个工作日内，以书面形式向采购代理机构（广西天罡工程项目管理有限公司）提出质疑。采购代理机构应认真做好质疑处理工作。</w:t>
      </w:r>
    </w:p>
    <w:p w14:paraId="4B8415E8">
      <w:pPr>
        <w:pageBreakBefore w:val="0"/>
        <w:widowControl w:val="0"/>
        <w:tabs>
          <w:tab w:val="left" w:pos="2190"/>
        </w:tabs>
        <w:kinsoku/>
        <w:wordWrap/>
        <w:overflowPunct/>
        <w:topLinePunct w:val="0"/>
        <w:bidi w:val="0"/>
        <w:snapToGrid/>
        <w:spacing w:line="360" w:lineRule="auto"/>
        <w:ind w:left="0" w:leftChars="0" w:right="0" w:firstLine="435"/>
        <w:rPr>
          <w:rFonts w:ascii="宋体" w:hAnsi="宋体" w:cs="宋体"/>
          <w:color w:val="auto"/>
          <w:szCs w:val="21"/>
          <w:highlight w:val="none"/>
        </w:rPr>
      </w:pPr>
      <w:r>
        <w:rPr>
          <w:rFonts w:hint="eastAsia" w:ascii="宋体" w:hAnsi="宋体" w:cs="宋体"/>
          <w:color w:val="auto"/>
          <w:szCs w:val="21"/>
          <w:highlight w:val="none"/>
        </w:rPr>
        <w:t>6.3供应商对采购代理机构的质疑答复不满意或者采购代理机构未在规定的时间内作出答复的，可以在答复期满后十五个工作日内向本级财政部门投诉。</w:t>
      </w:r>
    </w:p>
    <w:p w14:paraId="62C64973">
      <w:pPr>
        <w:pageBreakBefore w:val="0"/>
        <w:widowControl w:val="0"/>
        <w:tabs>
          <w:tab w:val="left" w:pos="2190"/>
        </w:tabs>
        <w:kinsoku/>
        <w:wordWrap/>
        <w:overflowPunct/>
        <w:topLinePunct w:val="0"/>
        <w:bidi w:val="0"/>
        <w:snapToGrid/>
        <w:spacing w:line="360" w:lineRule="auto"/>
        <w:ind w:left="0" w:leftChars="0" w:right="0" w:firstLine="435"/>
        <w:rPr>
          <w:rFonts w:ascii="宋体" w:hAnsi="宋体" w:cs="宋体"/>
          <w:color w:val="auto"/>
          <w:szCs w:val="21"/>
          <w:highlight w:val="none"/>
        </w:rPr>
      </w:pPr>
      <w:r>
        <w:rPr>
          <w:rFonts w:hint="eastAsia" w:ascii="宋体" w:hAnsi="宋体" w:cs="宋体"/>
          <w:color w:val="auto"/>
          <w:szCs w:val="21"/>
          <w:highlight w:val="none"/>
        </w:rPr>
        <w:t>6.4质疑、投诉应当采用书面形式，质疑书、投诉书实行实名制，均应明确阐述磋商文件、采购过程或成交结果中使自己合法权益受到损害的实质性内容，提供相关事实、明确的请求，并提供必要的证明材料。质疑函格式详见附件。</w:t>
      </w:r>
    </w:p>
    <w:p w14:paraId="24E5884F">
      <w:pPr>
        <w:pageBreakBefore w:val="0"/>
        <w:widowControl w:val="0"/>
        <w:tabs>
          <w:tab w:val="left" w:pos="2190"/>
        </w:tabs>
        <w:kinsoku/>
        <w:wordWrap/>
        <w:overflowPunct/>
        <w:topLinePunct w:val="0"/>
        <w:bidi w:val="0"/>
        <w:snapToGrid/>
        <w:spacing w:line="360" w:lineRule="auto"/>
        <w:ind w:left="0" w:leftChars="0" w:right="0" w:firstLine="420" w:firstLineChars="200"/>
        <w:rPr>
          <w:rFonts w:ascii="宋体" w:hAnsi="宋体" w:cs="宋体"/>
          <w:color w:val="auto"/>
          <w:szCs w:val="21"/>
          <w:highlight w:val="none"/>
        </w:rPr>
      </w:pPr>
      <w:r>
        <w:rPr>
          <w:rFonts w:hint="eastAsia" w:ascii="宋体" w:hAnsi="宋体" w:cs="宋体"/>
          <w:color w:val="auto"/>
          <w:szCs w:val="21"/>
          <w:highlight w:val="none"/>
        </w:rPr>
        <w:t>6.5质疑联系方式详见公告。</w:t>
      </w:r>
    </w:p>
    <w:p w14:paraId="239DBCD2">
      <w:pPr>
        <w:pageBreakBefore w:val="0"/>
        <w:widowControl w:val="0"/>
        <w:kinsoku/>
        <w:wordWrap/>
        <w:overflowPunct/>
        <w:topLinePunct w:val="0"/>
        <w:bidi w:val="0"/>
        <w:snapToGrid/>
        <w:spacing w:line="360" w:lineRule="auto"/>
        <w:ind w:left="0" w:leftChars="0" w:right="0" w:firstLine="420" w:firstLineChars="200"/>
        <w:rPr>
          <w:rFonts w:ascii="宋体" w:hAnsi="宋体" w:cs="宋体"/>
          <w:color w:val="auto"/>
          <w:kern w:val="0"/>
          <w:szCs w:val="21"/>
          <w:highlight w:val="none"/>
        </w:rPr>
      </w:pPr>
      <w:r>
        <w:rPr>
          <w:rFonts w:hint="eastAsia" w:ascii="宋体" w:hAnsi="宋体" w:cs="宋体"/>
          <w:color w:val="auto"/>
          <w:szCs w:val="21"/>
          <w:highlight w:val="none"/>
        </w:rPr>
        <w:t>6.6 投诉联系部门：</w:t>
      </w:r>
      <w:bookmarkEnd w:id="70"/>
      <w:bookmarkEnd w:id="71"/>
      <w:r>
        <w:rPr>
          <w:rFonts w:hint="eastAsia" w:ascii="宋体" w:hAnsi="宋体" w:cs="宋体"/>
          <w:color w:val="auto"/>
          <w:szCs w:val="21"/>
          <w:highlight w:val="none"/>
        </w:rPr>
        <w:t>桂林市政府采购管理办公室</w:t>
      </w:r>
      <w:r>
        <w:rPr>
          <w:rFonts w:hint="eastAsia" w:ascii="宋体" w:hAnsi="宋体" w:cs="宋体"/>
          <w:color w:val="auto"/>
          <w:kern w:val="0"/>
          <w:szCs w:val="21"/>
          <w:highlight w:val="none"/>
        </w:rPr>
        <w:t xml:space="preserve">   联系电话：</w:t>
      </w:r>
      <w:r>
        <w:rPr>
          <w:rFonts w:hint="eastAsia" w:ascii="宋体" w:hAnsi="宋体" w:cs="宋体"/>
          <w:color w:val="auto"/>
          <w:szCs w:val="21"/>
          <w:highlight w:val="none"/>
        </w:rPr>
        <w:t>0773-2862142</w:t>
      </w:r>
    </w:p>
    <w:p w14:paraId="1A7A0239">
      <w:pPr>
        <w:pStyle w:val="40"/>
        <w:pageBreakBefore w:val="0"/>
        <w:widowControl w:val="0"/>
        <w:kinsoku/>
        <w:wordWrap/>
        <w:overflowPunct/>
        <w:topLinePunct w:val="0"/>
        <w:bidi w:val="0"/>
        <w:snapToGrid/>
        <w:spacing w:line="360" w:lineRule="auto"/>
        <w:ind w:left="0" w:leftChars="0" w:right="0" w:firstLine="420" w:firstLineChars="200"/>
        <w:rPr>
          <w:rFonts w:ascii="宋体" w:hAnsi="宋体" w:cs="宋体"/>
          <w:color w:val="auto"/>
          <w:kern w:val="2"/>
          <w:sz w:val="21"/>
          <w:szCs w:val="21"/>
          <w:highlight w:val="none"/>
        </w:rPr>
      </w:pPr>
      <w:r>
        <w:rPr>
          <w:rFonts w:hint="eastAsia" w:ascii="宋体" w:hAnsi="宋体" w:cs="宋体"/>
          <w:color w:val="auto"/>
          <w:kern w:val="2"/>
          <w:sz w:val="21"/>
          <w:szCs w:val="21"/>
          <w:highlight w:val="none"/>
        </w:rPr>
        <w:t>6.7 供应商在法定质疑期内应当一次性提出针对同一采购程序环节的质疑。</w:t>
      </w:r>
    </w:p>
    <w:p w14:paraId="5955D708">
      <w:pPr>
        <w:pStyle w:val="40"/>
        <w:pageBreakBefore w:val="0"/>
        <w:widowControl w:val="0"/>
        <w:kinsoku/>
        <w:wordWrap/>
        <w:overflowPunct/>
        <w:topLinePunct w:val="0"/>
        <w:bidi w:val="0"/>
        <w:snapToGrid/>
        <w:spacing w:line="360" w:lineRule="auto"/>
        <w:ind w:left="0" w:leftChars="0" w:right="0" w:firstLine="420" w:firstLineChars="200"/>
        <w:rPr>
          <w:rFonts w:ascii="宋体" w:hAnsi="宋体" w:cs="宋体"/>
          <w:color w:val="auto"/>
          <w:kern w:val="2"/>
          <w:sz w:val="21"/>
          <w:szCs w:val="21"/>
          <w:highlight w:val="none"/>
        </w:rPr>
      </w:pPr>
      <w:r>
        <w:rPr>
          <w:rFonts w:hint="eastAsia" w:ascii="宋体" w:hAnsi="宋体" w:cs="宋体"/>
          <w:color w:val="auto"/>
          <w:kern w:val="2"/>
          <w:sz w:val="21"/>
          <w:szCs w:val="21"/>
          <w:highlight w:val="none"/>
        </w:rPr>
        <w:t>6.8 不在法定质疑期内提出的质疑函可以拒收。不符合要求的质疑函在法定质疑期内及时补充完整，否则作质疑不成立处理。</w:t>
      </w:r>
    </w:p>
    <w:p w14:paraId="55DFBA41">
      <w:pPr>
        <w:pStyle w:val="5"/>
        <w:pageBreakBefore w:val="0"/>
        <w:widowControl w:val="0"/>
        <w:kinsoku/>
        <w:wordWrap/>
        <w:overflowPunct/>
        <w:topLinePunct w:val="0"/>
        <w:bidi w:val="0"/>
        <w:snapToGrid/>
        <w:spacing w:line="360" w:lineRule="auto"/>
        <w:ind w:left="0" w:leftChars="0" w:right="0" w:firstLine="422" w:firstLineChars="200"/>
        <w:rPr>
          <w:rFonts w:ascii="宋体" w:hAnsi="宋体" w:cs="宋体"/>
          <w:color w:val="auto"/>
          <w:sz w:val="21"/>
          <w:szCs w:val="21"/>
          <w:highlight w:val="none"/>
        </w:rPr>
      </w:pPr>
      <w:bookmarkStart w:id="72" w:name="_Toc13910"/>
      <w:bookmarkStart w:id="73" w:name="_Toc6998"/>
      <w:r>
        <w:rPr>
          <w:rFonts w:hint="eastAsia" w:ascii="宋体" w:hAnsi="宋体" w:cs="宋体"/>
          <w:color w:val="auto"/>
          <w:sz w:val="21"/>
          <w:szCs w:val="21"/>
          <w:highlight w:val="none"/>
        </w:rPr>
        <w:t>7. 转包与分包</w:t>
      </w:r>
      <w:bookmarkEnd w:id="72"/>
      <w:bookmarkEnd w:id="73"/>
    </w:p>
    <w:p w14:paraId="5E1280D8">
      <w:pPr>
        <w:pageBreakBefore w:val="0"/>
        <w:widowControl w:val="0"/>
        <w:tabs>
          <w:tab w:val="left" w:pos="2190"/>
        </w:tabs>
        <w:kinsoku/>
        <w:wordWrap/>
        <w:overflowPunct/>
        <w:topLinePunct w:val="0"/>
        <w:bidi w:val="0"/>
        <w:snapToGrid/>
        <w:spacing w:line="360" w:lineRule="auto"/>
        <w:ind w:left="0" w:leftChars="0" w:right="0" w:firstLine="435"/>
        <w:rPr>
          <w:rFonts w:ascii="宋体" w:hAnsi="宋体" w:cs="宋体"/>
          <w:color w:val="auto"/>
          <w:szCs w:val="21"/>
          <w:highlight w:val="none"/>
        </w:rPr>
      </w:pPr>
      <w:r>
        <w:rPr>
          <w:rFonts w:hint="eastAsia" w:ascii="宋体" w:hAnsi="宋体" w:cs="宋体"/>
          <w:color w:val="auto"/>
          <w:szCs w:val="21"/>
          <w:highlight w:val="none"/>
        </w:rPr>
        <w:t>7.1 本项目不允许转包。</w:t>
      </w:r>
    </w:p>
    <w:p w14:paraId="2C4DF421">
      <w:pPr>
        <w:pageBreakBefore w:val="0"/>
        <w:widowControl w:val="0"/>
        <w:tabs>
          <w:tab w:val="left" w:pos="2190"/>
        </w:tabs>
        <w:kinsoku/>
        <w:wordWrap/>
        <w:overflowPunct/>
        <w:topLinePunct w:val="0"/>
        <w:bidi w:val="0"/>
        <w:snapToGrid/>
        <w:spacing w:line="360" w:lineRule="auto"/>
        <w:ind w:left="0" w:leftChars="0" w:right="0" w:firstLine="435"/>
        <w:rPr>
          <w:rFonts w:ascii="宋体" w:hAnsi="宋体" w:cs="宋体"/>
          <w:color w:val="auto"/>
          <w:szCs w:val="21"/>
          <w:highlight w:val="none"/>
        </w:rPr>
      </w:pPr>
      <w:r>
        <w:rPr>
          <w:rFonts w:hint="eastAsia" w:ascii="宋体" w:hAnsi="宋体" w:cs="宋体"/>
          <w:color w:val="auto"/>
          <w:szCs w:val="21"/>
          <w:highlight w:val="none"/>
        </w:rPr>
        <w:t>7.2 本项目不可以分包。</w:t>
      </w:r>
    </w:p>
    <w:p w14:paraId="633DA89D">
      <w:pPr>
        <w:pStyle w:val="5"/>
        <w:pageBreakBefore w:val="0"/>
        <w:widowControl w:val="0"/>
        <w:kinsoku/>
        <w:wordWrap/>
        <w:overflowPunct/>
        <w:topLinePunct w:val="0"/>
        <w:bidi w:val="0"/>
        <w:snapToGrid/>
        <w:spacing w:line="360" w:lineRule="auto"/>
        <w:ind w:left="0" w:leftChars="0" w:right="0" w:firstLine="422" w:firstLineChars="200"/>
        <w:rPr>
          <w:rFonts w:ascii="宋体" w:hAnsi="宋体" w:cs="宋体"/>
          <w:color w:val="auto"/>
          <w:sz w:val="21"/>
          <w:szCs w:val="21"/>
          <w:highlight w:val="none"/>
        </w:rPr>
      </w:pPr>
      <w:bookmarkStart w:id="74" w:name="_Toc9415"/>
      <w:bookmarkStart w:id="75" w:name="_Toc3368"/>
      <w:r>
        <w:rPr>
          <w:rFonts w:hint="eastAsia" w:ascii="宋体" w:hAnsi="宋体" w:cs="宋体"/>
          <w:color w:val="auto"/>
          <w:sz w:val="21"/>
          <w:szCs w:val="21"/>
          <w:highlight w:val="none"/>
        </w:rPr>
        <w:t>8. 特别说明</w:t>
      </w:r>
      <w:bookmarkEnd w:id="74"/>
      <w:bookmarkEnd w:id="75"/>
    </w:p>
    <w:p w14:paraId="3330A859">
      <w:pPr>
        <w:pageBreakBefore w:val="0"/>
        <w:widowControl w:val="0"/>
        <w:tabs>
          <w:tab w:val="left" w:pos="1635"/>
        </w:tabs>
        <w:kinsoku/>
        <w:wordWrap/>
        <w:overflowPunct/>
        <w:topLinePunct w:val="0"/>
        <w:bidi w:val="0"/>
        <w:snapToGrid/>
        <w:spacing w:line="360" w:lineRule="auto"/>
        <w:ind w:left="0" w:leftChars="0" w:right="0" w:firstLine="422" w:firstLineChars="200"/>
        <w:rPr>
          <w:rFonts w:ascii="宋体" w:hAnsi="宋体" w:cs="宋体"/>
          <w:b/>
          <w:color w:val="auto"/>
          <w:szCs w:val="21"/>
          <w:highlight w:val="none"/>
        </w:rPr>
      </w:pPr>
      <w:r>
        <w:rPr>
          <w:rFonts w:hint="eastAsia" w:ascii="宋体" w:hAnsi="宋体" w:cs="宋体"/>
          <w:b/>
          <w:color w:val="auto"/>
          <w:szCs w:val="21"/>
          <w:highlight w:val="none"/>
        </w:rPr>
        <w:t>8.1关联供应商不得参加同一合同项下政府采购活动，否则响应文件将被视为无效：</w:t>
      </w:r>
    </w:p>
    <w:p w14:paraId="1FAF6D8A">
      <w:pPr>
        <w:pageBreakBefore w:val="0"/>
        <w:widowControl w:val="0"/>
        <w:tabs>
          <w:tab w:val="left" w:pos="1635"/>
        </w:tabs>
        <w:kinsoku/>
        <w:wordWrap/>
        <w:overflowPunct/>
        <w:topLinePunct w:val="0"/>
        <w:bidi w:val="0"/>
        <w:snapToGrid/>
        <w:spacing w:line="360" w:lineRule="auto"/>
        <w:ind w:left="0" w:leftChars="0" w:right="0" w:firstLine="420" w:firstLineChars="200"/>
        <w:rPr>
          <w:rFonts w:ascii="宋体" w:hAnsi="宋体" w:cs="宋体"/>
          <w:color w:val="auto"/>
          <w:szCs w:val="21"/>
          <w:highlight w:val="none"/>
        </w:rPr>
      </w:pPr>
      <w:r>
        <w:rPr>
          <w:rFonts w:hint="eastAsia" w:ascii="宋体" w:hAnsi="宋体" w:cs="宋体"/>
          <w:color w:val="auto"/>
          <w:szCs w:val="21"/>
          <w:highlight w:val="none"/>
        </w:rPr>
        <w:t>（1）单位负责人为同一人或者存在直接控股、管理关系的，不得参加同一合同项下的政府采购活动。</w:t>
      </w:r>
    </w:p>
    <w:p w14:paraId="737B56B5">
      <w:pPr>
        <w:pageBreakBefore w:val="0"/>
        <w:widowControl w:val="0"/>
        <w:tabs>
          <w:tab w:val="left" w:pos="1635"/>
        </w:tabs>
        <w:kinsoku/>
        <w:wordWrap/>
        <w:overflowPunct/>
        <w:topLinePunct w:val="0"/>
        <w:bidi w:val="0"/>
        <w:snapToGrid/>
        <w:spacing w:line="360" w:lineRule="auto"/>
        <w:ind w:left="0" w:leftChars="0" w:right="0" w:firstLine="420" w:firstLineChars="200"/>
        <w:rPr>
          <w:rFonts w:ascii="宋体" w:hAnsi="宋体" w:cs="宋体"/>
          <w:color w:val="auto"/>
          <w:szCs w:val="21"/>
          <w:highlight w:val="none"/>
        </w:rPr>
      </w:pPr>
      <w:r>
        <w:rPr>
          <w:rFonts w:hint="eastAsia" w:ascii="宋体" w:hAnsi="宋体" w:cs="宋体"/>
          <w:color w:val="auto"/>
          <w:szCs w:val="21"/>
          <w:highlight w:val="none"/>
        </w:rPr>
        <w:t>（2）为本采购项目提供整体设计、规范编制或者项目管理、监理、检测等服务的供应商，不得再参加本次采购活动。</w:t>
      </w:r>
    </w:p>
    <w:p w14:paraId="352D7C92">
      <w:pPr>
        <w:pageBreakBefore w:val="0"/>
        <w:widowControl w:val="0"/>
        <w:tabs>
          <w:tab w:val="left" w:pos="1635"/>
        </w:tabs>
        <w:kinsoku/>
        <w:wordWrap/>
        <w:overflowPunct/>
        <w:topLinePunct w:val="0"/>
        <w:bidi w:val="0"/>
        <w:snapToGrid/>
        <w:spacing w:line="360" w:lineRule="auto"/>
        <w:ind w:left="0" w:leftChars="0" w:right="0" w:firstLine="435"/>
        <w:rPr>
          <w:rFonts w:ascii="宋体" w:hAnsi="宋体" w:cs="宋体"/>
          <w:b/>
          <w:bCs/>
          <w:color w:val="auto"/>
          <w:szCs w:val="21"/>
          <w:highlight w:val="none"/>
        </w:rPr>
      </w:pPr>
      <w:r>
        <w:rPr>
          <w:rFonts w:hint="eastAsia" w:ascii="宋体" w:hAnsi="宋体" w:cs="宋体"/>
          <w:b/>
          <w:color w:val="auto"/>
          <w:szCs w:val="21"/>
          <w:highlight w:val="none"/>
        </w:rPr>
        <w:t>8.2</w:t>
      </w:r>
      <w:r>
        <w:rPr>
          <w:rFonts w:hint="eastAsia" w:ascii="宋体" w:hAnsi="宋体" w:cs="宋体"/>
          <w:b/>
          <w:bCs/>
          <w:color w:val="auto"/>
          <w:szCs w:val="21"/>
          <w:highlight w:val="none"/>
        </w:rPr>
        <w:t>提供相同品牌产品的不同供应商参加同一合同项下磋商的，以其中通过资格审查、符合性审查且最后报价最低的参加评审，最后报价相同的，由采购人自主选择确定一个参加评审的供应商，其他报价无效。非单一产品采购项目中，多家供应商提供的核心产品品牌相同的，视为提供相同品牌产品。</w:t>
      </w:r>
    </w:p>
    <w:p w14:paraId="7E6EAFA7">
      <w:pPr>
        <w:pStyle w:val="10"/>
        <w:pageBreakBefore w:val="0"/>
        <w:widowControl w:val="0"/>
        <w:kinsoku/>
        <w:wordWrap/>
        <w:overflowPunct/>
        <w:topLinePunct w:val="0"/>
        <w:bidi w:val="0"/>
        <w:spacing w:line="360" w:lineRule="auto"/>
        <w:ind w:left="0" w:leftChars="0"/>
        <w:rPr>
          <w:rFonts w:ascii="宋体" w:hAnsi="宋体" w:cs="宋体"/>
          <w:color w:val="auto"/>
          <w:highlight w:val="none"/>
        </w:rPr>
      </w:pPr>
    </w:p>
    <w:p w14:paraId="1E48B382">
      <w:pPr>
        <w:pStyle w:val="3"/>
        <w:pageBreakBefore w:val="0"/>
        <w:widowControl w:val="0"/>
        <w:kinsoku/>
        <w:wordWrap/>
        <w:overflowPunct/>
        <w:topLinePunct w:val="0"/>
        <w:bidi w:val="0"/>
        <w:spacing w:line="360" w:lineRule="auto"/>
        <w:ind w:left="0" w:leftChars="0"/>
        <w:jc w:val="center"/>
        <w:rPr>
          <w:rFonts w:ascii="宋体" w:hAnsi="宋体" w:cs="宋体"/>
          <w:b/>
          <w:bCs w:val="0"/>
          <w:color w:val="auto"/>
          <w:szCs w:val="28"/>
          <w:highlight w:val="none"/>
        </w:rPr>
      </w:pPr>
      <w:bookmarkStart w:id="76" w:name="_Toc8933"/>
      <w:bookmarkStart w:id="77" w:name="_Toc22498"/>
      <w:r>
        <w:rPr>
          <w:rFonts w:hint="eastAsia" w:ascii="宋体" w:hAnsi="宋体" w:cs="宋体"/>
          <w:b/>
          <w:bCs w:val="0"/>
          <w:color w:val="auto"/>
          <w:szCs w:val="28"/>
          <w:highlight w:val="none"/>
        </w:rPr>
        <w:t>二、磋商文件</w:t>
      </w:r>
      <w:bookmarkEnd w:id="76"/>
      <w:bookmarkEnd w:id="77"/>
    </w:p>
    <w:p w14:paraId="4DD9B448">
      <w:pPr>
        <w:pStyle w:val="5"/>
        <w:pageBreakBefore w:val="0"/>
        <w:widowControl w:val="0"/>
        <w:kinsoku/>
        <w:wordWrap/>
        <w:overflowPunct/>
        <w:topLinePunct w:val="0"/>
        <w:autoSpaceDE/>
        <w:autoSpaceDN/>
        <w:bidi w:val="0"/>
        <w:adjustRightInd/>
        <w:snapToGrid/>
        <w:spacing w:line="360" w:lineRule="auto"/>
        <w:ind w:left="0" w:leftChars="0" w:firstLine="422" w:firstLineChars="200"/>
        <w:textAlignment w:val="auto"/>
        <w:rPr>
          <w:rFonts w:ascii="宋体" w:hAnsi="宋体" w:cs="宋体"/>
          <w:color w:val="auto"/>
          <w:sz w:val="21"/>
          <w:szCs w:val="21"/>
          <w:highlight w:val="none"/>
          <w:lang w:val="pt-BR"/>
        </w:rPr>
      </w:pPr>
      <w:bookmarkStart w:id="78" w:name="_Toc20523"/>
      <w:bookmarkStart w:id="79" w:name="_Toc18964"/>
      <w:r>
        <w:rPr>
          <w:rFonts w:hint="eastAsia" w:ascii="宋体" w:hAnsi="宋体" w:cs="宋体"/>
          <w:color w:val="auto"/>
          <w:sz w:val="21"/>
          <w:szCs w:val="21"/>
          <w:highlight w:val="none"/>
          <w:lang w:val="pt-BR"/>
        </w:rPr>
        <w:t xml:space="preserve">9. </w:t>
      </w:r>
      <w:r>
        <w:rPr>
          <w:rFonts w:hint="eastAsia" w:ascii="宋体" w:hAnsi="宋体" w:cs="宋体"/>
          <w:color w:val="auto"/>
          <w:sz w:val="21"/>
          <w:szCs w:val="21"/>
          <w:highlight w:val="none"/>
        </w:rPr>
        <w:t>磋商文件的构成</w:t>
      </w:r>
      <w:bookmarkEnd w:id="78"/>
      <w:bookmarkEnd w:id="79"/>
    </w:p>
    <w:p w14:paraId="2FFEC22B">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（1）竞争性磋商公告；</w:t>
      </w:r>
    </w:p>
    <w:p w14:paraId="45C9557B">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（2）供应商须知；</w:t>
      </w:r>
    </w:p>
    <w:p w14:paraId="12F97E63">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ascii="宋体" w:hAnsi="宋体" w:cs="宋体"/>
          <w:b/>
          <w:color w:val="auto"/>
          <w:szCs w:val="21"/>
          <w:highlight w:val="none"/>
        </w:rPr>
      </w:pPr>
      <w:r>
        <w:rPr>
          <w:rFonts w:hint="eastAsia" w:ascii="宋体" w:hAnsi="宋体" w:cs="宋体"/>
          <w:color w:val="auto"/>
          <w:szCs w:val="21"/>
          <w:highlight w:val="none"/>
        </w:rPr>
        <w:t>（3）采购需求</w:t>
      </w:r>
      <w:r>
        <w:rPr>
          <w:rFonts w:hint="eastAsia" w:ascii="宋体" w:hAnsi="宋体" w:cs="宋体"/>
          <w:bCs/>
          <w:color w:val="auto"/>
          <w:szCs w:val="21"/>
          <w:highlight w:val="none"/>
        </w:rPr>
        <w:t>；</w:t>
      </w:r>
    </w:p>
    <w:p w14:paraId="677508D6">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（4）评审办法；</w:t>
      </w:r>
    </w:p>
    <w:p w14:paraId="680E8591">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（5）采购合同（合同主要条款及格式）；</w:t>
      </w:r>
    </w:p>
    <w:p w14:paraId="177EC15D">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（6）响应文件（格式）。</w:t>
      </w:r>
    </w:p>
    <w:p w14:paraId="3EA5AA46">
      <w:pPr>
        <w:pStyle w:val="5"/>
        <w:pageBreakBefore w:val="0"/>
        <w:widowControl w:val="0"/>
        <w:kinsoku/>
        <w:wordWrap/>
        <w:overflowPunct/>
        <w:topLinePunct w:val="0"/>
        <w:autoSpaceDE/>
        <w:autoSpaceDN/>
        <w:bidi w:val="0"/>
        <w:adjustRightInd/>
        <w:snapToGrid/>
        <w:spacing w:line="360" w:lineRule="auto"/>
        <w:ind w:left="0" w:leftChars="0" w:firstLine="422" w:firstLineChars="200"/>
        <w:textAlignment w:val="auto"/>
        <w:rPr>
          <w:rFonts w:ascii="宋体" w:hAnsi="宋体" w:cs="宋体"/>
          <w:color w:val="auto"/>
          <w:sz w:val="21"/>
          <w:szCs w:val="21"/>
          <w:highlight w:val="none"/>
        </w:rPr>
      </w:pPr>
      <w:bookmarkStart w:id="80" w:name="_Toc9103"/>
      <w:bookmarkStart w:id="81" w:name="_Toc1452"/>
      <w:r>
        <w:rPr>
          <w:rFonts w:hint="eastAsia" w:ascii="宋体" w:hAnsi="宋体" w:cs="宋体"/>
          <w:color w:val="auto"/>
          <w:sz w:val="21"/>
          <w:szCs w:val="21"/>
          <w:highlight w:val="none"/>
        </w:rPr>
        <w:t>10. 磋商文件的澄清与修改</w:t>
      </w:r>
      <w:bookmarkEnd w:id="80"/>
      <w:bookmarkEnd w:id="81"/>
    </w:p>
    <w:p w14:paraId="2A44E2CE">
      <w:pPr>
        <w:pageBreakBefore w:val="0"/>
        <w:widowControl w:val="0"/>
        <w:kinsoku/>
        <w:wordWrap/>
        <w:overflowPunct/>
        <w:topLinePunct w:val="0"/>
        <w:autoSpaceDE/>
        <w:autoSpaceDN/>
        <w:bidi w:val="0"/>
        <w:adjustRightInd/>
        <w:snapToGrid/>
        <w:spacing w:line="360" w:lineRule="auto"/>
        <w:ind w:left="0" w:leftChars="0"/>
        <w:jc w:val="left"/>
        <w:textAlignment w:val="auto"/>
        <w:rPr>
          <w:rFonts w:ascii="宋体" w:hAnsi="宋体" w:cs="宋体"/>
          <w:color w:val="auto"/>
          <w:szCs w:val="21"/>
          <w:highlight w:val="none"/>
        </w:rPr>
      </w:pPr>
      <w:r>
        <w:rPr>
          <w:rFonts w:hint="eastAsia" w:ascii="宋体" w:hAnsi="宋体" w:cs="宋体"/>
          <w:color w:val="auto"/>
          <w:szCs w:val="21"/>
          <w:highlight w:val="none"/>
        </w:rPr>
        <w:t>10.1 提交首次响应文件截止之日前，采购代理机构可以对已发出的磋商文件进行必要澄清、答复、修改或补充，澄清或者修改的内容可能影响响应文件编制的，澄清或者修改的内容作为磋商文件的组成部分。采购代理机构应当在提交首次响应文件递交截止时间</w:t>
      </w:r>
      <w:r>
        <w:rPr>
          <w:rFonts w:hint="eastAsia" w:ascii="宋体" w:hAnsi="宋体" w:cs="宋体"/>
          <w:b/>
          <w:bCs/>
          <w:color w:val="auto"/>
          <w:szCs w:val="21"/>
          <w:highlight w:val="none"/>
        </w:rPr>
        <w:t>五日</w:t>
      </w:r>
      <w:r>
        <w:rPr>
          <w:rFonts w:hint="eastAsia" w:ascii="宋体" w:hAnsi="宋体" w:cs="宋体"/>
          <w:color w:val="auto"/>
          <w:szCs w:val="21"/>
          <w:highlight w:val="none"/>
        </w:rPr>
        <w:t>前在本项目竞争性磋商公告发布的同一媒体上发布更正公告，不足</w:t>
      </w:r>
      <w:r>
        <w:rPr>
          <w:rFonts w:hint="eastAsia" w:ascii="宋体" w:hAnsi="宋体" w:cs="宋体"/>
          <w:b/>
          <w:bCs/>
          <w:color w:val="auto"/>
          <w:szCs w:val="21"/>
          <w:highlight w:val="none"/>
        </w:rPr>
        <w:t>五日</w:t>
      </w:r>
      <w:r>
        <w:rPr>
          <w:rFonts w:hint="eastAsia" w:ascii="宋体" w:hAnsi="宋体" w:cs="宋体"/>
          <w:color w:val="auto"/>
          <w:szCs w:val="21"/>
          <w:highlight w:val="none"/>
        </w:rPr>
        <w:t>的，应当顺延首次响应文件递交截止时间。</w:t>
      </w:r>
    </w:p>
    <w:p w14:paraId="290D6AD3">
      <w:pPr>
        <w:pageBreakBefore w:val="0"/>
        <w:widowControl w:val="0"/>
        <w:kinsoku/>
        <w:wordWrap/>
        <w:overflowPunct/>
        <w:topLinePunct w:val="0"/>
        <w:autoSpaceDE/>
        <w:autoSpaceDN/>
        <w:bidi w:val="0"/>
        <w:adjustRightInd/>
        <w:snapToGrid/>
        <w:spacing w:line="360" w:lineRule="auto"/>
        <w:ind w:left="0" w:leftChars="0"/>
        <w:jc w:val="left"/>
        <w:textAlignment w:val="auto"/>
        <w:rPr>
          <w:rFonts w:ascii="宋体" w:hAnsi="宋体" w:cs="宋体"/>
          <w:b/>
          <w:bCs/>
          <w:color w:val="auto"/>
          <w:szCs w:val="21"/>
          <w:highlight w:val="none"/>
        </w:rPr>
      </w:pPr>
      <w:r>
        <w:rPr>
          <w:rFonts w:hint="eastAsia" w:ascii="宋体" w:hAnsi="宋体" w:cs="宋体"/>
          <w:color w:val="auto"/>
          <w:szCs w:val="21"/>
          <w:highlight w:val="none"/>
        </w:rPr>
        <w:t>10.2</w:t>
      </w:r>
      <w:r>
        <w:rPr>
          <w:rFonts w:hint="eastAsia" w:ascii="宋体" w:hAnsi="宋体" w:cs="宋体"/>
          <w:b/>
          <w:bCs/>
          <w:color w:val="auto"/>
          <w:szCs w:val="21"/>
          <w:highlight w:val="none"/>
        </w:rPr>
        <w:t>供应商应实时关注本项目信息公告发布媒体相关网站了解澄清、修改等与项目有关的内容，如因供应商未及时登录相关网站了解澄清、修改等与项目有关的内容，从而导致响应文件无效的，由供应商自行承担责任。</w:t>
      </w:r>
    </w:p>
    <w:p w14:paraId="09DE334C">
      <w:pPr>
        <w:pageBreakBefore w:val="0"/>
        <w:widowControl w:val="0"/>
        <w:kinsoku/>
        <w:wordWrap/>
        <w:overflowPunct/>
        <w:topLinePunct w:val="0"/>
        <w:autoSpaceDE/>
        <w:autoSpaceDN/>
        <w:bidi w:val="0"/>
        <w:adjustRightInd/>
        <w:snapToGrid/>
        <w:spacing w:line="360" w:lineRule="auto"/>
        <w:ind w:left="0" w:leftChars="0"/>
        <w:jc w:val="left"/>
        <w:textAlignment w:val="auto"/>
        <w:rPr>
          <w:rFonts w:ascii="宋体" w:hAnsi="宋体" w:cs="宋体"/>
          <w:color w:val="auto"/>
          <w:szCs w:val="21"/>
          <w:highlight w:val="none"/>
        </w:rPr>
      </w:pPr>
      <w:r>
        <w:rPr>
          <w:rFonts w:hint="eastAsia" w:ascii="宋体" w:hAnsi="宋体" w:cs="宋体"/>
          <w:color w:val="auto"/>
          <w:szCs w:val="21"/>
          <w:highlight w:val="none"/>
        </w:rPr>
        <w:t>10.3澄清或者修改的内容为磋商文件的组成部分。当澄清或者修改通知就同一内容的表述不一致时，以最后发出的文件为准。</w:t>
      </w:r>
    </w:p>
    <w:p w14:paraId="0335A75B">
      <w:pPr>
        <w:pageBreakBefore w:val="0"/>
        <w:widowControl w:val="0"/>
        <w:kinsoku/>
        <w:wordWrap/>
        <w:overflowPunct/>
        <w:topLinePunct w:val="0"/>
        <w:autoSpaceDE/>
        <w:autoSpaceDN/>
        <w:bidi w:val="0"/>
        <w:adjustRightInd/>
        <w:snapToGrid/>
        <w:spacing w:line="360" w:lineRule="auto"/>
        <w:ind w:left="0" w:leftChars="0"/>
        <w:jc w:val="left"/>
        <w:textAlignment w:val="auto"/>
        <w:rPr>
          <w:rFonts w:ascii="宋体" w:hAnsi="宋体" w:cs="宋体"/>
          <w:color w:val="auto"/>
          <w:szCs w:val="21"/>
          <w:highlight w:val="none"/>
        </w:rPr>
      </w:pPr>
      <w:r>
        <w:rPr>
          <w:rFonts w:hint="eastAsia" w:ascii="宋体" w:hAnsi="宋体" w:cs="宋体"/>
          <w:color w:val="auto"/>
          <w:szCs w:val="21"/>
          <w:highlight w:val="none"/>
        </w:rPr>
        <w:t>10.4 磋商文件的澄清或者修改都应该通过本项目采购代理机构以法定形式发布，采购人非通过本机构，不得擅自澄清或者修改磋商文件。</w:t>
      </w:r>
    </w:p>
    <w:p w14:paraId="0B8C94B5">
      <w:pPr>
        <w:pageBreakBefore w:val="0"/>
        <w:widowControl w:val="0"/>
        <w:kinsoku/>
        <w:wordWrap/>
        <w:overflowPunct/>
        <w:topLinePunct w:val="0"/>
        <w:autoSpaceDE/>
        <w:autoSpaceDN/>
        <w:bidi w:val="0"/>
        <w:adjustRightInd/>
        <w:snapToGrid/>
        <w:spacing w:line="360" w:lineRule="auto"/>
        <w:ind w:left="0" w:leftChars="0"/>
        <w:jc w:val="left"/>
        <w:textAlignment w:val="auto"/>
        <w:rPr>
          <w:rFonts w:ascii="宋体" w:hAnsi="宋体" w:cs="宋体"/>
          <w:color w:val="auto"/>
          <w:szCs w:val="21"/>
          <w:highlight w:val="none"/>
        </w:rPr>
      </w:pPr>
      <w:r>
        <w:rPr>
          <w:rFonts w:hint="eastAsia" w:ascii="宋体" w:hAnsi="宋体" w:cs="宋体"/>
          <w:color w:val="auto"/>
          <w:szCs w:val="21"/>
          <w:highlight w:val="none"/>
        </w:rPr>
        <w:t>10.5采购单位可以视采购具体情况，延长响应文件截止时间和磋商时间，在本项目竞争性磋商公告发布的同一媒体上发布变更公告。</w:t>
      </w:r>
    </w:p>
    <w:p w14:paraId="33EB2099">
      <w:pPr>
        <w:pStyle w:val="40"/>
        <w:pageBreakBefore w:val="0"/>
        <w:widowControl w:val="0"/>
        <w:kinsoku/>
        <w:wordWrap/>
        <w:overflowPunct/>
        <w:topLinePunct w:val="0"/>
        <w:bidi w:val="0"/>
        <w:spacing w:line="360" w:lineRule="auto"/>
        <w:ind w:left="0" w:leftChars="0"/>
        <w:rPr>
          <w:rFonts w:ascii="宋体" w:hAnsi="宋体" w:cs="宋体"/>
          <w:color w:val="auto"/>
          <w:highlight w:val="none"/>
        </w:rPr>
      </w:pPr>
    </w:p>
    <w:p w14:paraId="0A26280C">
      <w:pPr>
        <w:pStyle w:val="3"/>
        <w:pageBreakBefore w:val="0"/>
        <w:widowControl w:val="0"/>
        <w:kinsoku/>
        <w:wordWrap/>
        <w:overflowPunct/>
        <w:topLinePunct w:val="0"/>
        <w:bidi w:val="0"/>
        <w:spacing w:line="360" w:lineRule="auto"/>
        <w:ind w:left="0" w:leftChars="0"/>
        <w:jc w:val="center"/>
        <w:rPr>
          <w:rFonts w:ascii="宋体" w:hAnsi="宋体" w:cs="宋体"/>
          <w:b/>
          <w:bCs w:val="0"/>
          <w:color w:val="auto"/>
          <w:szCs w:val="28"/>
          <w:highlight w:val="none"/>
        </w:rPr>
      </w:pPr>
      <w:bookmarkStart w:id="82" w:name="_Toc20641"/>
      <w:bookmarkStart w:id="83" w:name="_Toc20830"/>
      <w:r>
        <w:rPr>
          <w:rFonts w:hint="eastAsia" w:ascii="宋体" w:hAnsi="宋体" w:cs="宋体"/>
          <w:b/>
          <w:bCs w:val="0"/>
          <w:color w:val="auto"/>
          <w:szCs w:val="28"/>
          <w:highlight w:val="none"/>
        </w:rPr>
        <w:t>三、竞争性磋商响应文件的编制</w:t>
      </w:r>
      <w:bookmarkEnd w:id="82"/>
      <w:bookmarkEnd w:id="83"/>
    </w:p>
    <w:p w14:paraId="0B1298F0">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84" w:name="_Toc772"/>
      <w:r>
        <w:rPr>
          <w:rFonts w:hint="eastAsia" w:ascii="宋体" w:hAnsi="宋体" w:cs="宋体"/>
          <w:color w:val="auto"/>
          <w:sz w:val="21"/>
          <w:szCs w:val="21"/>
          <w:highlight w:val="none"/>
        </w:rPr>
        <w:t>11.竞争性磋商响应文件编制基本要求</w:t>
      </w:r>
      <w:bookmarkEnd w:id="84"/>
    </w:p>
    <w:p w14:paraId="5862F06A">
      <w:pPr>
        <w:pageBreakBefore w:val="0"/>
        <w:widowControl w:val="0"/>
        <w:kinsoku/>
        <w:wordWrap/>
        <w:overflowPunct/>
        <w:topLinePunct w:val="0"/>
        <w:bidi w:val="0"/>
        <w:spacing w:line="360" w:lineRule="auto"/>
        <w:ind w:left="0" w:leftChars="0"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11.1 本项目实行电子投标，供应商应准备电子磋商响应文件：</w:t>
      </w:r>
    </w:p>
    <w:p w14:paraId="1A55C27D">
      <w:pPr>
        <w:pageBreakBefore w:val="0"/>
        <w:widowControl w:val="0"/>
        <w:kinsoku/>
        <w:wordWrap/>
        <w:overflowPunct/>
        <w:topLinePunct w:val="0"/>
        <w:bidi w:val="0"/>
        <w:spacing w:line="360" w:lineRule="auto"/>
        <w:ind w:left="0" w:leftChars="0"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 xml:space="preserve">11.1.1 电子响应文件按广西政府采购云平台要求及本磋商文件要求制作、加密并递交。具体操作流程可参考《政府采购项目电子交易管理操作指南-供应商》，指南可在 “http://www.ccgp-guangxi.gov.cn/PurchaseAdvisory/ImportantNotice/2866753.html”下载。 </w:t>
      </w:r>
    </w:p>
    <w:p w14:paraId="3543336E">
      <w:pPr>
        <w:pageBreakBefore w:val="0"/>
        <w:widowControl w:val="0"/>
        <w:kinsoku/>
        <w:wordWrap/>
        <w:overflowPunct/>
        <w:topLinePunct w:val="0"/>
        <w:bidi w:val="0"/>
        <w:spacing w:line="360" w:lineRule="auto"/>
        <w:ind w:left="0" w:leftChars="0"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11.2竞争性磋商响应文件（以下简称响应文件）的组成及要求</w:t>
      </w:r>
    </w:p>
    <w:p w14:paraId="79AAAB6F">
      <w:pPr>
        <w:pageBreakBefore w:val="0"/>
        <w:widowControl w:val="0"/>
        <w:kinsoku/>
        <w:wordWrap/>
        <w:overflowPunct/>
        <w:topLinePunct w:val="0"/>
        <w:bidi w:val="0"/>
        <w:spacing w:line="360" w:lineRule="auto"/>
        <w:ind w:left="0" w:leftChars="0"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11.2.1响应文件组成【格式见第六章“响应文件（格式）”】</w:t>
      </w:r>
    </w:p>
    <w:p w14:paraId="428E63D5">
      <w:pPr>
        <w:pageBreakBefore w:val="0"/>
        <w:widowControl w:val="0"/>
        <w:kinsoku/>
        <w:wordWrap/>
        <w:overflowPunct/>
        <w:topLinePunct w:val="0"/>
        <w:bidi w:val="0"/>
        <w:spacing w:line="360" w:lineRule="auto"/>
        <w:ind w:left="0" w:leftChars="0" w:firstLine="422" w:firstLineChars="200"/>
        <w:rPr>
          <w:rFonts w:ascii="宋体" w:hAnsi="宋体" w:cs="宋体"/>
          <w:color w:val="auto"/>
          <w:szCs w:val="21"/>
          <w:highlight w:val="none"/>
        </w:rPr>
      </w:pPr>
      <w:r>
        <w:rPr>
          <w:rFonts w:hint="eastAsia" w:ascii="宋体" w:hAnsi="宋体" w:cs="宋体"/>
          <w:b/>
          <w:bCs/>
          <w:color w:val="auto"/>
          <w:szCs w:val="21"/>
          <w:highlight w:val="none"/>
        </w:rPr>
        <w:t>11.2.1.1资格性响应证明材料：</w:t>
      </w:r>
    </w:p>
    <w:p w14:paraId="0D123588">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（1）供应商相应的法定代表人、负责人、自然人身份证正反两面复印件</w:t>
      </w:r>
      <w:r>
        <w:rPr>
          <w:rFonts w:hint="eastAsia" w:ascii="宋体" w:hAnsi="宋体" w:cs="宋体"/>
          <w:b/>
          <w:bCs/>
          <w:color w:val="auto"/>
          <w:szCs w:val="21"/>
          <w:highlight w:val="none"/>
        </w:rPr>
        <w:t>（必须提供）</w:t>
      </w:r>
      <w:r>
        <w:rPr>
          <w:rFonts w:hint="eastAsia" w:ascii="宋体" w:hAnsi="宋体" w:cs="宋体"/>
          <w:color w:val="auto"/>
          <w:szCs w:val="21"/>
          <w:highlight w:val="none"/>
        </w:rPr>
        <w:t>；</w:t>
      </w:r>
    </w:p>
    <w:p w14:paraId="57BFEE06">
      <w:pPr>
        <w:pageBreakBefore w:val="0"/>
        <w:widowControl w:val="0"/>
        <w:kinsoku/>
        <w:wordWrap/>
        <w:overflowPunct/>
        <w:topLinePunct w:val="0"/>
        <w:bidi w:val="0"/>
        <w:spacing w:line="360" w:lineRule="auto"/>
        <w:ind w:left="0" w:leftChars="0" w:firstLine="420" w:firstLineChars="200"/>
        <w:rPr>
          <w:rFonts w:hint="eastAsia" w:ascii="宋体" w:hAnsi="宋体" w:eastAsia="宋体" w:cs="宋体"/>
          <w:b/>
          <w:bCs/>
          <w:color w:val="auto"/>
          <w:szCs w:val="21"/>
          <w:highlight w:val="none"/>
          <w:lang w:eastAsia="zh-CN"/>
        </w:rPr>
      </w:pPr>
      <w:r>
        <w:rPr>
          <w:rFonts w:hint="eastAsia" w:ascii="宋体" w:hAnsi="宋体" w:cs="宋体"/>
          <w:color w:val="auto"/>
          <w:szCs w:val="21"/>
          <w:highlight w:val="none"/>
        </w:rPr>
        <w:t>（2）供应商的授权委托书原件、委托代理人身份证正反面复印件</w:t>
      </w:r>
      <w:r>
        <w:rPr>
          <w:rFonts w:hint="eastAsia" w:ascii="宋体" w:hAnsi="宋体" w:cs="宋体"/>
          <w:b/>
          <w:bCs/>
          <w:color w:val="auto"/>
          <w:szCs w:val="21"/>
          <w:highlight w:val="none"/>
        </w:rPr>
        <w:t>（委托代理时必须提供；如为联合体的，授权委托书原件须由牵头人出具）</w:t>
      </w:r>
      <w:r>
        <w:rPr>
          <w:rFonts w:hint="eastAsia" w:ascii="宋体" w:hAnsi="宋体" w:cs="宋体"/>
          <w:b/>
          <w:bCs/>
          <w:color w:val="auto"/>
          <w:szCs w:val="21"/>
          <w:highlight w:val="none"/>
          <w:lang w:eastAsia="zh-CN"/>
        </w:rPr>
        <w:t>；</w:t>
      </w:r>
    </w:p>
    <w:p w14:paraId="49634945">
      <w:pPr>
        <w:pageBreakBefore w:val="0"/>
        <w:widowControl w:val="0"/>
        <w:kinsoku/>
        <w:wordWrap/>
        <w:overflowPunct/>
        <w:topLinePunct w:val="0"/>
        <w:bidi w:val="0"/>
        <w:spacing w:line="360" w:lineRule="auto"/>
        <w:ind w:left="0" w:leftChars="0" w:firstLine="420" w:firstLineChars="200"/>
        <w:rPr>
          <w:rFonts w:ascii="宋体" w:hAnsi="宋体" w:cs="宋体"/>
          <w:color w:val="auto"/>
          <w:highlight w:val="none"/>
        </w:rPr>
      </w:pPr>
      <w:r>
        <w:rPr>
          <w:rFonts w:hint="eastAsia" w:ascii="宋体" w:hAnsi="宋体" w:cs="宋体"/>
          <w:color w:val="auto"/>
          <w:szCs w:val="21"/>
          <w:highlight w:val="none"/>
        </w:rPr>
        <w:t>（3）供应商参加政府采购活动前3年内在经营活动中没有重大违法记录及有关信用信息的书面声明</w:t>
      </w:r>
      <w:r>
        <w:rPr>
          <w:rFonts w:hint="eastAsia" w:ascii="宋体" w:hAnsi="宋体" w:cs="宋体"/>
          <w:b/>
          <w:bCs/>
          <w:color w:val="auto"/>
          <w:szCs w:val="21"/>
          <w:highlight w:val="none"/>
        </w:rPr>
        <w:t>（必须提供）；</w:t>
      </w:r>
    </w:p>
    <w:p w14:paraId="7529CAC7">
      <w:pPr>
        <w:pageBreakBefore w:val="0"/>
        <w:widowControl w:val="0"/>
        <w:numPr>
          <w:ilvl w:val="0"/>
          <w:numId w:val="0"/>
        </w:numPr>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ascii="宋体" w:hAnsi="宋体" w:eastAsia="宋体" w:cs="宋体"/>
          <w:color w:val="auto"/>
          <w:kern w:val="2"/>
          <w:sz w:val="21"/>
          <w:szCs w:val="21"/>
          <w:highlight w:val="none"/>
          <w:lang w:val="en-US" w:eastAsia="zh-CN" w:bidi="ar-SA"/>
        </w:rPr>
        <w:t>（4）</w:t>
      </w:r>
      <w:r>
        <w:rPr>
          <w:rFonts w:hint="eastAsia" w:ascii="宋体" w:hAnsi="宋体" w:cs="宋体"/>
          <w:color w:val="auto"/>
          <w:szCs w:val="21"/>
          <w:highlight w:val="none"/>
        </w:rPr>
        <w:t>供应商的法人或者其他组织营业执照等证明文件复印件</w:t>
      </w:r>
      <w:r>
        <w:rPr>
          <w:rFonts w:hint="eastAsia" w:ascii="宋体" w:hAnsi="宋体" w:cs="宋体"/>
          <w:b/>
          <w:bCs/>
          <w:color w:val="auto"/>
          <w:szCs w:val="21"/>
          <w:highlight w:val="none"/>
        </w:rPr>
        <w:t>（必须提供，自然人除外）；</w:t>
      </w:r>
    </w:p>
    <w:p w14:paraId="661134F6">
      <w:pPr>
        <w:pageBreakBefore w:val="0"/>
        <w:widowControl w:val="0"/>
        <w:kinsoku/>
        <w:wordWrap/>
        <w:overflowPunct/>
        <w:topLinePunct w:val="0"/>
        <w:bidi w:val="0"/>
        <w:spacing w:line="360" w:lineRule="auto"/>
        <w:ind w:left="0" w:leftChars="0"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注：①法人包括企业法人、机关法人、事业单位法人和社会团体法人；其他组织主要包括合伙企业、非企业专业服务机构、个体工商户、农村承包经营户。②如供应商为企业（包括合伙企业），应提供工商部门注册的有效“企业法人营业执照”或“营业执照”；供应商为事业单位，应提供有效的“事业单位法人证书”；供应商为非企业专业服务机构的，应提供执业许可证等证明文件；供应商为个体工商户，应提供有效的“个体工商户营业执照”。</w:t>
      </w:r>
    </w:p>
    <w:p w14:paraId="03D5864F">
      <w:pPr>
        <w:pageBreakBefore w:val="0"/>
        <w:widowControl w:val="0"/>
        <w:kinsoku/>
        <w:wordWrap/>
        <w:overflowPunct/>
        <w:topLinePunct w:val="0"/>
        <w:bidi w:val="0"/>
        <w:spacing w:line="360" w:lineRule="auto"/>
        <w:ind w:left="0" w:leftChars="0"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（5）联合体协议书</w:t>
      </w:r>
      <w:r>
        <w:rPr>
          <w:rFonts w:hint="eastAsia" w:ascii="宋体" w:hAnsi="宋体" w:cs="宋体"/>
          <w:b/>
          <w:bCs/>
          <w:color w:val="auto"/>
          <w:szCs w:val="21"/>
          <w:highlight w:val="none"/>
          <w:lang w:val="en-US" w:eastAsia="zh-CN"/>
        </w:rPr>
        <w:t>（以联合体形式参与竞争的必须提供）；</w:t>
      </w:r>
    </w:p>
    <w:p w14:paraId="50CE5A13">
      <w:pPr>
        <w:pStyle w:val="23"/>
        <w:pageBreakBefore w:val="0"/>
        <w:widowControl w:val="0"/>
        <w:kinsoku/>
        <w:wordWrap/>
        <w:overflowPunct/>
        <w:topLinePunct w:val="0"/>
        <w:bidi w:val="0"/>
        <w:spacing w:after="0" w:line="360" w:lineRule="auto"/>
        <w:ind w:left="0" w:leftChars="0" w:firstLine="422"/>
        <w:rPr>
          <w:rFonts w:ascii="宋体" w:hAnsi="宋体" w:cs="宋体"/>
          <w:color w:val="auto"/>
          <w:highlight w:val="none"/>
        </w:rPr>
      </w:pPr>
      <w:r>
        <w:rPr>
          <w:rFonts w:hint="eastAsia" w:ascii="宋体" w:hAnsi="宋体" w:cs="宋体"/>
          <w:b/>
          <w:bCs/>
          <w:color w:val="auto"/>
          <w:szCs w:val="21"/>
          <w:highlight w:val="none"/>
        </w:rPr>
        <w:t>11.2.1.2符合性响应证明材料：</w:t>
      </w:r>
    </w:p>
    <w:p w14:paraId="4C4BFF2C">
      <w:pPr>
        <w:pStyle w:val="3"/>
        <w:pageBreakBefore w:val="0"/>
        <w:widowControl w:val="0"/>
        <w:kinsoku/>
        <w:wordWrap/>
        <w:overflowPunct/>
        <w:topLinePunct w:val="0"/>
        <w:autoSpaceDE/>
        <w:autoSpaceDN/>
        <w:bidi w:val="0"/>
        <w:adjustRightInd/>
        <w:snapToGrid/>
        <w:spacing w:line="360" w:lineRule="auto"/>
        <w:ind w:left="147" w:leftChars="0" w:hanging="147" w:hangingChars="70"/>
        <w:textAlignment w:val="auto"/>
        <w:rPr>
          <w:rFonts w:ascii="宋体" w:hAnsi="宋体" w:cs="宋体"/>
          <w:color w:val="auto"/>
          <w:szCs w:val="21"/>
          <w:highlight w:val="none"/>
        </w:rPr>
      </w:pPr>
      <w:bookmarkStart w:id="85" w:name="_Toc16312"/>
      <w:bookmarkStart w:id="86" w:name="_Toc28932"/>
      <w:bookmarkStart w:id="87" w:name="_Toc2809"/>
      <w:r>
        <w:rPr>
          <w:rFonts w:hint="eastAsia" w:ascii="宋体" w:hAnsi="宋体" w:cs="宋体"/>
          <w:bCs w:val="0"/>
          <w:color w:val="auto"/>
          <w:sz w:val="21"/>
          <w:szCs w:val="21"/>
          <w:highlight w:val="none"/>
          <w:lang w:val="en-US"/>
        </w:rPr>
        <w:t>（1）响应函（格式见附件）</w:t>
      </w:r>
      <w:r>
        <w:rPr>
          <w:rFonts w:hint="eastAsia" w:ascii="宋体" w:hAnsi="宋体" w:cs="宋体"/>
          <w:b/>
          <w:color w:val="auto"/>
          <w:sz w:val="21"/>
          <w:szCs w:val="21"/>
          <w:highlight w:val="none"/>
          <w:lang w:val="en-US"/>
        </w:rPr>
        <w:t>（必须提供）</w:t>
      </w:r>
      <w:bookmarkEnd w:id="85"/>
      <w:r>
        <w:rPr>
          <w:rFonts w:hint="eastAsia" w:ascii="宋体" w:hAnsi="宋体" w:cs="宋体"/>
          <w:b/>
          <w:color w:val="auto"/>
          <w:sz w:val="21"/>
          <w:szCs w:val="21"/>
          <w:highlight w:val="none"/>
          <w:lang w:val="en-US"/>
        </w:rPr>
        <w:t>；</w:t>
      </w:r>
      <w:bookmarkEnd w:id="86"/>
      <w:bookmarkEnd w:id="87"/>
    </w:p>
    <w:p w14:paraId="232EFD16">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ascii="宋体" w:hAnsi="宋体" w:cs="宋体"/>
          <w:b/>
          <w:bCs/>
          <w:color w:val="auto"/>
          <w:szCs w:val="21"/>
          <w:highlight w:val="none"/>
        </w:rPr>
      </w:pPr>
      <w:r>
        <w:rPr>
          <w:rFonts w:hint="eastAsia" w:ascii="宋体" w:hAnsi="宋体" w:cs="宋体"/>
          <w:color w:val="auto"/>
          <w:szCs w:val="21"/>
          <w:highlight w:val="none"/>
        </w:rPr>
        <w:t>（2）磋商报价表（格式见附件）</w:t>
      </w:r>
      <w:r>
        <w:rPr>
          <w:rFonts w:hint="eastAsia" w:ascii="宋体" w:hAnsi="宋体" w:cs="宋体"/>
          <w:b/>
          <w:bCs/>
          <w:color w:val="auto"/>
          <w:szCs w:val="21"/>
          <w:highlight w:val="none"/>
        </w:rPr>
        <w:t>（必须提供）；</w:t>
      </w:r>
    </w:p>
    <w:p w14:paraId="315F87B3">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ascii="宋体" w:hAnsi="宋体" w:cs="宋体"/>
          <w:b/>
          <w:bCs/>
          <w:color w:val="auto"/>
          <w:szCs w:val="21"/>
          <w:highlight w:val="none"/>
        </w:rPr>
      </w:pPr>
      <w:r>
        <w:rPr>
          <w:rFonts w:hint="eastAsia" w:ascii="宋体" w:hAnsi="宋体" w:cs="宋体"/>
          <w:color w:val="auto"/>
          <w:szCs w:val="21"/>
          <w:highlight w:val="none"/>
        </w:rPr>
        <w:t>（3）采购需求响应说明表（格式见附件）</w:t>
      </w:r>
      <w:r>
        <w:rPr>
          <w:rFonts w:hint="eastAsia" w:ascii="宋体" w:hAnsi="宋体" w:cs="宋体"/>
          <w:b/>
          <w:bCs/>
          <w:color w:val="auto"/>
          <w:szCs w:val="21"/>
          <w:highlight w:val="none"/>
        </w:rPr>
        <w:t>(必须提供)；</w:t>
      </w:r>
    </w:p>
    <w:p w14:paraId="1E67AFE6">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bCs/>
          <w:color w:val="auto"/>
          <w:szCs w:val="21"/>
          <w:highlight w:val="none"/>
          <w:lang w:eastAsia="zh-CN"/>
        </w:rPr>
      </w:pPr>
      <w:r>
        <w:rPr>
          <w:rFonts w:hint="eastAsia" w:ascii="宋体" w:hAnsi="宋体" w:cs="宋体"/>
          <w:color w:val="auto"/>
          <w:szCs w:val="21"/>
          <w:highlight w:val="none"/>
        </w:rPr>
        <w:t>（4）售后服务承诺书（格式见附件）</w:t>
      </w:r>
      <w:r>
        <w:rPr>
          <w:rFonts w:hint="eastAsia" w:ascii="宋体" w:hAnsi="宋体" w:cs="宋体"/>
          <w:b/>
          <w:bCs/>
          <w:color w:val="auto"/>
          <w:szCs w:val="21"/>
          <w:highlight w:val="none"/>
        </w:rPr>
        <w:t>（必须提供）</w:t>
      </w:r>
      <w:r>
        <w:rPr>
          <w:rFonts w:hint="eastAsia" w:ascii="宋体" w:hAnsi="宋体" w:cs="宋体"/>
          <w:b/>
          <w:bCs/>
          <w:color w:val="auto"/>
          <w:szCs w:val="21"/>
          <w:highlight w:val="none"/>
          <w:lang w:eastAsia="zh-CN"/>
        </w:rPr>
        <w:t>；</w:t>
      </w:r>
    </w:p>
    <w:p w14:paraId="7257EED2">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bCs/>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lang w:eastAsia="zh-CN"/>
        </w:rPr>
        <w:t>）</w:t>
      </w:r>
      <w:r>
        <w:rPr>
          <w:rFonts w:hint="eastAsia" w:ascii="宋体" w:hAnsi="宋体" w:cs="宋体"/>
          <w:color w:val="auto"/>
          <w:szCs w:val="21"/>
          <w:highlight w:val="none"/>
        </w:rPr>
        <w:t>花坪保护区内（施工）作业（单位）人员安全生产承诺书</w:t>
      </w:r>
      <w:r>
        <w:rPr>
          <w:rFonts w:hint="eastAsia" w:ascii="宋体" w:hAnsi="宋体" w:cs="宋体"/>
          <w:b/>
          <w:bCs/>
          <w:color w:val="auto"/>
          <w:szCs w:val="21"/>
          <w:highlight w:val="none"/>
        </w:rPr>
        <w:t>（必须提供）</w:t>
      </w:r>
      <w:r>
        <w:rPr>
          <w:rFonts w:hint="eastAsia" w:ascii="宋体" w:hAnsi="宋体" w:cs="宋体"/>
          <w:b/>
          <w:bCs/>
          <w:color w:val="auto"/>
          <w:szCs w:val="21"/>
          <w:highlight w:val="none"/>
          <w:lang w:eastAsia="zh-CN"/>
        </w:rPr>
        <w:t>。</w:t>
      </w:r>
    </w:p>
    <w:p w14:paraId="2757C125">
      <w:pPr>
        <w:pStyle w:val="23"/>
        <w:pageBreakBefore w:val="0"/>
        <w:widowControl w:val="0"/>
        <w:kinsoku/>
        <w:wordWrap/>
        <w:overflowPunct/>
        <w:topLinePunct w:val="0"/>
        <w:bidi w:val="0"/>
        <w:spacing w:after="0" w:line="360" w:lineRule="auto"/>
        <w:ind w:left="0" w:leftChars="0" w:firstLine="422"/>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（6）</w:t>
      </w:r>
      <w:r>
        <w:rPr>
          <w:rFonts w:hint="eastAsia" w:ascii="宋体" w:hAnsi="宋体" w:eastAsia="宋体" w:cs="宋体"/>
          <w:color w:val="auto"/>
          <w:kern w:val="2"/>
          <w:sz w:val="21"/>
          <w:szCs w:val="21"/>
          <w:highlight w:val="none"/>
          <w:lang w:val="en-US" w:eastAsia="zh-CN" w:bidi="ar-SA"/>
        </w:rPr>
        <w:t>供应商结合采购需求提交其它相关证明材料</w:t>
      </w:r>
      <w:r>
        <w:rPr>
          <w:rFonts w:hint="eastAsia" w:ascii="宋体" w:hAnsi="宋体" w:eastAsia="宋体" w:cs="宋体"/>
          <w:b/>
          <w:bCs/>
          <w:color w:val="auto"/>
          <w:kern w:val="2"/>
          <w:sz w:val="21"/>
          <w:szCs w:val="21"/>
          <w:highlight w:val="none"/>
          <w:lang w:val="en-US" w:eastAsia="zh-CN" w:bidi="ar-SA"/>
        </w:rPr>
        <w:t>（如有）</w:t>
      </w:r>
      <w:r>
        <w:rPr>
          <w:rFonts w:hint="eastAsia" w:ascii="宋体" w:hAnsi="宋体" w:eastAsia="宋体" w:cs="宋体"/>
          <w:color w:val="auto"/>
          <w:kern w:val="2"/>
          <w:sz w:val="21"/>
          <w:szCs w:val="21"/>
          <w:highlight w:val="none"/>
          <w:lang w:val="en-US" w:eastAsia="zh-CN" w:bidi="ar-SA"/>
        </w:rPr>
        <w:t>。</w:t>
      </w:r>
    </w:p>
    <w:p w14:paraId="2940780B">
      <w:pPr>
        <w:pStyle w:val="23"/>
        <w:pageBreakBefore w:val="0"/>
        <w:widowControl w:val="0"/>
        <w:kinsoku/>
        <w:wordWrap/>
        <w:overflowPunct/>
        <w:topLinePunct w:val="0"/>
        <w:bidi w:val="0"/>
        <w:spacing w:after="0" w:line="360" w:lineRule="auto"/>
        <w:ind w:left="0" w:leftChars="0" w:firstLine="422"/>
        <w:rPr>
          <w:rFonts w:ascii="宋体" w:hAnsi="宋体" w:cs="宋体"/>
          <w:b/>
          <w:bCs/>
          <w:color w:val="auto"/>
          <w:szCs w:val="21"/>
          <w:highlight w:val="none"/>
        </w:rPr>
      </w:pPr>
      <w:r>
        <w:rPr>
          <w:rFonts w:hint="eastAsia" w:ascii="宋体" w:hAnsi="宋体" w:cs="宋体"/>
          <w:b/>
          <w:bCs/>
          <w:color w:val="auto"/>
          <w:szCs w:val="21"/>
          <w:highlight w:val="none"/>
        </w:rPr>
        <w:t>11.2.1.3其他有效证明材料</w:t>
      </w:r>
    </w:p>
    <w:p w14:paraId="00E929E1">
      <w:pPr>
        <w:pageBreakBefore w:val="0"/>
        <w:widowControl w:val="0"/>
        <w:kinsoku/>
        <w:wordWrap/>
        <w:overflowPunct/>
        <w:topLinePunct w:val="0"/>
        <w:bidi w:val="0"/>
        <w:spacing w:line="360" w:lineRule="auto"/>
        <w:ind w:left="0" w:leftChars="0"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项目实施方案</w:t>
      </w:r>
      <w:r>
        <w:rPr>
          <w:rFonts w:hint="eastAsia" w:ascii="宋体" w:hAnsi="宋体" w:cs="宋体"/>
          <w:b/>
          <w:bCs/>
          <w:color w:val="auto"/>
          <w:szCs w:val="21"/>
          <w:highlight w:val="none"/>
        </w:rPr>
        <w:t>（如有，请提供）</w:t>
      </w:r>
      <w:r>
        <w:rPr>
          <w:rFonts w:hint="eastAsia" w:ascii="宋体" w:hAnsi="宋体" w:cs="宋体"/>
          <w:b/>
          <w:bCs/>
          <w:color w:val="auto"/>
          <w:szCs w:val="21"/>
          <w:highlight w:val="none"/>
          <w:lang w:eastAsia="zh-CN"/>
        </w:rPr>
        <w:t>；</w:t>
      </w:r>
    </w:p>
    <w:p w14:paraId="5E069553">
      <w:pPr>
        <w:pageBreakBefore w:val="0"/>
        <w:widowControl w:val="0"/>
        <w:kinsoku/>
        <w:wordWrap/>
        <w:overflowPunct/>
        <w:topLinePunct w:val="0"/>
        <w:bidi w:val="0"/>
        <w:spacing w:line="360" w:lineRule="auto"/>
        <w:ind w:left="0" w:leftChars="0" w:firstLine="420" w:firstLineChars="200"/>
        <w:rPr>
          <w:rFonts w:ascii="宋体" w:hAnsi="宋体" w:cs="宋体"/>
          <w:b/>
          <w:bCs/>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）项目实施人员一览表（格式见附件）</w:t>
      </w:r>
      <w:r>
        <w:rPr>
          <w:rFonts w:hint="eastAsia" w:ascii="宋体" w:hAnsi="宋体" w:cs="宋体"/>
          <w:b/>
          <w:bCs/>
          <w:color w:val="auto"/>
          <w:szCs w:val="21"/>
          <w:highlight w:val="none"/>
        </w:rPr>
        <w:t>（如有，请提供）；</w:t>
      </w:r>
    </w:p>
    <w:p w14:paraId="7A4447DB">
      <w:pPr>
        <w:pageBreakBefore w:val="0"/>
        <w:widowControl w:val="0"/>
        <w:kinsoku/>
        <w:wordWrap/>
        <w:overflowPunct/>
        <w:topLinePunct w:val="0"/>
        <w:bidi w:val="0"/>
        <w:spacing w:line="360" w:lineRule="auto"/>
        <w:ind w:left="0" w:leftChars="0" w:firstLine="420" w:firstLineChars="200"/>
        <w:rPr>
          <w:rFonts w:ascii="宋体" w:hAnsi="宋体" w:cs="宋体"/>
          <w:color w:val="auto"/>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）“采购需求”需提供的有效证明文件</w:t>
      </w:r>
      <w:r>
        <w:rPr>
          <w:rFonts w:hint="eastAsia" w:ascii="宋体" w:hAnsi="宋体" w:cs="宋体"/>
          <w:b/>
          <w:bCs/>
          <w:color w:val="auto"/>
          <w:szCs w:val="21"/>
          <w:highlight w:val="none"/>
        </w:rPr>
        <w:t>（如有，请提供）；</w:t>
      </w:r>
    </w:p>
    <w:p w14:paraId="783119B3">
      <w:pPr>
        <w:pageBreakBefore w:val="0"/>
        <w:widowControl w:val="0"/>
        <w:kinsoku/>
        <w:wordWrap/>
        <w:overflowPunct/>
        <w:topLinePunct w:val="0"/>
        <w:bidi w:val="0"/>
        <w:spacing w:line="360" w:lineRule="auto"/>
        <w:ind w:left="0" w:leftChars="0" w:firstLine="420" w:firstLineChars="200"/>
        <w:rPr>
          <w:rFonts w:ascii="宋体" w:hAnsi="宋体" w:cs="宋体"/>
          <w:b/>
          <w:bCs/>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）供应商</w:t>
      </w:r>
      <w:r>
        <w:rPr>
          <w:rFonts w:hint="eastAsia" w:ascii="宋体" w:hAnsi="宋体" w:cs="宋体"/>
          <w:color w:val="auto"/>
          <w:szCs w:val="21"/>
          <w:highlight w:val="none"/>
          <w:lang w:eastAsia="zh-CN"/>
        </w:rPr>
        <w:t>2020</w:t>
      </w:r>
      <w:r>
        <w:rPr>
          <w:rFonts w:hint="eastAsia" w:ascii="宋体" w:hAnsi="宋体" w:cs="宋体"/>
          <w:color w:val="auto"/>
          <w:szCs w:val="21"/>
          <w:highlight w:val="none"/>
        </w:rPr>
        <w:t>年1月1日以来具有同类项目的业绩相关证明材料（</w:t>
      </w:r>
      <w:r>
        <w:rPr>
          <w:rFonts w:hint="eastAsia" w:ascii="宋体" w:hAnsi="宋体" w:cs="宋体"/>
          <w:color w:val="auto"/>
          <w:szCs w:val="21"/>
          <w:highlight w:val="none"/>
          <w:lang w:eastAsia="zh-CN"/>
        </w:rPr>
        <w:t>需提供项目业绩合同或中标（成交）通知书复印件并加盖供应商公章，否则不予计分</w:t>
      </w:r>
      <w:r>
        <w:rPr>
          <w:rFonts w:hint="eastAsia" w:ascii="宋体" w:hAnsi="宋体" w:cs="宋体"/>
          <w:color w:val="auto"/>
          <w:szCs w:val="21"/>
          <w:highlight w:val="none"/>
        </w:rPr>
        <w:t>）</w:t>
      </w:r>
      <w:r>
        <w:rPr>
          <w:rFonts w:hint="eastAsia" w:ascii="宋体" w:hAnsi="宋体" w:cs="宋体"/>
          <w:b/>
          <w:bCs/>
          <w:color w:val="auto"/>
          <w:szCs w:val="21"/>
          <w:highlight w:val="none"/>
        </w:rPr>
        <w:t>（如有，请提供）；</w:t>
      </w:r>
    </w:p>
    <w:p w14:paraId="3FD86FEC">
      <w:pPr>
        <w:pageBreakBefore w:val="0"/>
        <w:widowControl w:val="0"/>
        <w:kinsoku/>
        <w:wordWrap/>
        <w:overflowPunct/>
        <w:topLinePunct w:val="0"/>
        <w:bidi w:val="0"/>
        <w:spacing w:line="360" w:lineRule="auto"/>
        <w:ind w:left="0" w:leftChars="0" w:firstLine="420" w:firstLineChars="20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lang w:eastAsia="zh-CN"/>
        </w:rPr>
        <w:t>）</w:t>
      </w:r>
      <w:r>
        <w:rPr>
          <w:rFonts w:hint="eastAsia" w:ascii="宋体" w:hAnsi="宋体" w:cs="宋体"/>
          <w:color w:val="auto"/>
          <w:szCs w:val="21"/>
          <w:highlight w:val="none"/>
        </w:rPr>
        <w:t>中小企业声明函或监狱企业、残疾人福利性单位证明文件</w:t>
      </w:r>
      <w:r>
        <w:rPr>
          <w:rFonts w:hint="eastAsia" w:ascii="宋体" w:hAnsi="宋体" w:cs="宋体"/>
          <w:b/>
          <w:bCs/>
          <w:color w:val="auto"/>
          <w:szCs w:val="21"/>
          <w:highlight w:val="none"/>
        </w:rPr>
        <w:t>（如有，请提供）</w:t>
      </w:r>
      <w:r>
        <w:rPr>
          <w:rFonts w:hint="eastAsia" w:ascii="宋体" w:hAnsi="宋体" w:cs="宋体"/>
          <w:color w:val="auto"/>
          <w:szCs w:val="21"/>
          <w:highlight w:val="none"/>
        </w:rPr>
        <w:t>；</w:t>
      </w:r>
    </w:p>
    <w:p w14:paraId="1D8898A4">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）供应商可结合本项目的评审办法视自身情况自行提交其它相关证明材料。</w:t>
      </w:r>
    </w:p>
    <w:p w14:paraId="19BBFF49">
      <w:pPr>
        <w:pageBreakBefore w:val="0"/>
        <w:widowControl w:val="0"/>
        <w:kinsoku/>
        <w:wordWrap/>
        <w:overflowPunct/>
        <w:topLinePunct w:val="0"/>
        <w:bidi w:val="0"/>
        <w:spacing w:line="360" w:lineRule="auto"/>
        <w:ind w:left="0" w:leftChars="0" w:firstLine="420"/>
        <w:rPr>
          <w:rFonts w:ascii="宋体" w:hAnsi="宋体" w:cs="宋体"/>
          <w:color w:val="auto"/>
          <w:szCs w:val="21"/>
          <w:highlight w:val="none"/>
        </w:rPr>
      </w:pPr>
      <w:r>
        <w:rPr>
          <w:rFonts w:hint="eastAsia" w:ascii="宋体" w:hAnsi="宋体" w:cs="宋体"/>
          <w:b/>
          <w:bCs/>
          <w:color w:val="auto"/>
          <w:szCs w:val="21"/>
          <w:highlight w:val="none"/>
        </w:rPr>
        <w:t>供应商</w:t>
      </w:r>
      <w:r>
        <w:rPr>
          <w:rFonts w:hint="eastAsia" w:ascii="宋体" w:hAnsi="宋体" w:cs="宋体"/>
          <w:b/>
          <w:bCs/>
          <w:color w:val="auto"/>
          <w:highlight w:val="none"/>
        </w:rPr>
        <w:t>提供的以上相关证明材料属于“必须提供”的文件应加盖磋商供应商CA证书签章/自然人签字或个人CA证书签章，否则响应无效。</w:t>
      </w:r>
    </w:p>
    <w:p w14:paraId="2EE33F5B">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11.3 供应商应按竞争性磋商文件第六章“响应文件（格式）”编制响应文件。</w:t>
      </w:r>
    </w:p>
    <w:p w14:paraId="4E428BA7">
      <w:pPr>
        <w:pageBreakBefore w:val="0"/>
        <w:widowControl w:val="0"/>
        <w:kinsoku/>
        <w:wordWrap/>
        <w:overflowPunct/>
        <w:topLinePunct w:val="0"/>
        <w:bidi w:val="0"/>
        <w:spacing w:line="360" w:lineRule="auto"/>
        <w:ind w:left="0" w:leftChars="0"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特别说明：</w:t>
      </w:r>
    </w:p>
    <w:p w14:paraId="597DA7B7">
      <w:pPr>
        <w:pageBreakBefore w:val="0"/>
        <w:widowControl w:val="0"/>
        <w:kinsoku/>
        <w:wordWrap/>
        <w:overflowPunct/>
        <w:topLinePunct w:val="0"/>
        <w:bidi w:val="0"/>
        <w:spacing w:line="360" w:lineRule="auto"/>
        <w:ind w:left="0" w:leftChars="0" w:firstLine="422" w:firstLineChars="200"/>
        <w:rPr>
          <w:rFonts w:ascii="宋体" w:hAnsi="宋体" w:cs="宋体"/>
          <w:b/>
          <w:color w:val="auto"/>
          <w:szCs w:val="21"/>
          <w:highlight w:val="none"/>
        </w:rPr>
      </w:pPr>
      <w:r>
        <w:rPr>
          <w:rFonts w:hint="eastAsia" w:ascii="宋体" w:hAnsi="宋体" w:cs="宋体"/>
          <w:b/>
          <w:bCs/>
          <w:color w:val="auto"/>
          <w:szCs w:val="21"/>
          <w:highlight w:val="none"/>
        </w:rPr>
        <w:t>（1）响</w:t>
      </w:r>
      <w:r>
        <w:rPr>
          <w:rFonts w:hint="eastAsia" w:ascii="宋体" w:hAnsi="宋体" w:cs="宋体"/>
          <w:b/>
          <w:color w:val="auto"/>
          <w:szCs w:val="21"/>
          <w:highlight w:val="none"/>
        </w:rPr>
        <w:t>应文件（电子响应文件），其中电子响应文件中所须加盖公章部分均采用CA证书签章。若磋商文件中有专门标注的某关联点，并要求供应商在电子投标系统中作出磋商响应的，如供应商未对关联点进行响应或者在响应文件其它内容进行描述，造成电子评审不能查询的责任由供应商自行承担。</w:t>
      </w:r>
    </w:p>
    <w:p w14:paraId="29123AF3">
      <w:pPr>
        <w:pageBreakBefore w:val="0"/>
        <w:widowControl w:val="0"/>
        <w:numPr>
          <w:ilvl w:val="0"/>
          <w:numId w:val="4"/>
        </w:numPr>
        <w:kinsoku/>
        <w:wordWrap/>
        <w:overflowPunct/>
        <w:topLinePunct w:val="0"/>
        <w:bidi w:val="0"/>
        <w:spacing w:line="360" w:lineRule="auto"/>
        <w:ind w:left="0" w:leftChars="0" w:firstLine="422" w:firstLineChars="200"/>
        <w:rPr>
          <w:rFonts w:ascii="宋体" w:hAnsi="宋体" w:cs="宋体"/>
          <w:b/>
          <w:color w:val="auto"/>
          <w:szCs w:val="21"/>
          <w:highlight w:val="none"/>
        </w:rPr>
      </w:pPr>
      <w:r>
        <w:rPr>
          <w:rFonts w:hint="eastAsia" w:ascii="宋体" w:hAnsi="宋体" w:cs="宋体"/>
          <w:b/>
          <w:bCs/>
          <w:color w:val="auto"/>
          <w:szCs w:val="21"/>
          <w:highlight w:val="none"/>
        </w:rPr>
        <w:t>磋商文件要求法定代表人（负责人）或委托代理人签字的部分必须签字然后扫描或者拍照做成 pdf 格式上传（或加盖个人CA证书签章），无签字的视为响应无效。</w:t>
      </w:r>
    </w:p>
    <w:p w14:paraId="30C41E9A">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88" w:name="_Toc2180"/>
      <w:bookmarkStart w:id="89" w:name="_Toc6845"/>
      <w:r>
        <w:rPr>
          <w:rFonts w:hint="eastAsia" w:ascii="宋体" w:hAnsi="宋体" w:cs="宋体"/>
          <w:color w:val="auto"/>
          <w:sz w:val="21"/>
          <w:szCs w:val="21"/>
          <w:highlight w:val="none"/>
        </w:rPr>
        <w:t>12. 响应文件的语言及计量</w:t>
      </w:r>
      <w:bookmarkEnd w:id="88"/>
      <w:bookmarkEnd w:id="89"/>
    </w:p>
    <w:p w14:paraId="5FCD0638">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12.1 响应文件以及供应商与采购代理机构就有关磋商事宜的所有来往函电，均应以中文汉语书写。供应商提交的支持文件和印刷的文献可以使用别的语言，但其相应内容必须附有中文翻译文本，在解释响应文件时以中文翻译文本为主。</w:t>
      </w:r>
    </w:p>
    <w:p w14:paraId="372ACF3C">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12.2 磋商计量单位，磋商文件已有明确规定的，使用磋商文件规定的计量单位；磋商文件没有规定的，应采用中华人民共和国法定计量单位（货币单位：人民币元），否则视同未响应。</w:t>
      </w:r>
    </w:p>
    <w:p w14:paraId="179F9B51">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90" w:name="_Toc10838"/>
      <w:bookmarkStart w:id="91" w:name="_Toc30930"/>
      <w:r>
        <w:rPr>
          <w:rFonts w:hint="eastAsia" w:ascii="宋体" w:hAnsi="宋体" w:cs="宋体"/>
          <w:color w:val="auto"/>
          <w:sz w:val="21"/>
          <w:szCs w:val="21"/>
          <w:highlight w:val="none"/>
        </w:rPr>
        <w:t>13. 磋商报价及采购预算金额</w:t>
      </w:r>
      <w:bookmarkEnd w:id="90"/>
      <w:bookmarkEnd w:id="91"/>
    </w:p>
    <w:p w14:paraId="77CEFE5A">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13.1 磋商报价应按磋商文件中相关附表格式填写。采购预算金额（人民币）：</w:t>
      </w:r>
      <w:r>
        <w:rPr>
          <w:rFonts w:hint="eastAsia" w:ascii="宋体" w:hAnsi="宋体" w:cs="宋体"/>
          <w:b/>
          <w:bCs/>
          <w:color w:val="auto"/>
          <w:szCs w:val="21"/>
          <w:highlight w:val="none"/>
          <w:u w:val="single"/>
          <w:lang w:eastAsia="zh-CN"/>
        </w:rPr>
        <w:t>详见竞争性磋商公告及供应商须知前附表</w:t>
      </w:r>
      <w:r>
        <w:rPr>
          <w:rFonts w:hint="eastAsia" w:ascii="宋体" w:hAnsi="宋体" w:cs="宋体"/>
          <w:color w:val="auto"/>
          <w:szCs w:val="21"/>
          <w:highlight w:val="none"/>
        </w:rPr>
        <w:t>。报价超过采购预算金额的，响应文件按无效处理。</w:t>
      </w:r>
    </w:p>
    <w:p w14:paraId="5C52F7E3">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13.2供应商必须就“采购需求”中所竞所有内容作完整唯一报价，否则，其响应文件无效。响应文件只允许有一个报价，有选择的或有条件的报价将不予接受。</w:t>
      </w:r>
    </w:p>
    <w:p w14:paraId="1A1B2F9C">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13.3 </w:t>
      </w:r>
      <w:r>
        <w:rPr>
          <w:rFonts w:hint="eastAsia" w:ascii="宋体" w:hAnsi="宋体" w:cs="宋体"/>
          <w:color w:val="auto"/>
          <w:spacing w:val="-6"/>
          <w:szCs w:val="21"/>
          <w:highlight w:val="none"/>
        </w:rPr>
        <w:t>磋商</w:t>
      </w:r>
      <w:r>
        <w:rPr>
          <w:rFonts w:hint="eastAsia" w:ascii="宋体" w:hAnsi="宋体" w:cs="宋体"/>
          <w:color w:val="auto"/>
          <w:szCs w:val="21"/>
          <w:highlight w:val="none"/>
        </w:rPr>
        <w:t>报价指本次招标采购范围内服务价款、保险、税金及其他所有成本费用的总和；供应商综合考虑在报价中。</w:t>
      </w:r>
    </w:p>
    <w:p w14:paraId="313B163C">
      <w:pPr>
        <w:pageBreakBefore w:val="0"/>
        <w:widowControl w:val="0"/>
        <w:kinsoku/>
        <w:wordWrap/>
        <w:overflowPunct/>
        <w:topLinePunct w:val="0"/>
        <w:bidi w:val="0"/>
        <w:spacing w:line="360" w:lineRule="auto"/>
        <w:ind w:left="0" w:leftChars="0" w:firstLine="420" w:firstLineChars="200"/>
        <w:rPr>
          <w:rFonts w:ascii="宋体" w:hAnsi="宋体" w:cs="宋体"/>
          <w:b/>
          <w:bCs/>
          <w:color w:val="auto"/>
          <w:szCs w:val="21"/>
          <w:highlight w:val="none"/>
        </w:rPr>
      </w:pPr>
      <w:r>
        <w:rPr>
          <w:rFonts w:hint="eastAsia" w:ascii="宋体" w:hAnsi="宋体" w:cs="宋体"/>
          <w:color w:val="auto"/>
          <w:szCs w:val="21"/>
          <w:highlight w:val="none"/>
        </w:rPr>
        <w:t>13.4供应商应在规定时间内在政采云系统上提交最后报价，超出评委设定的最后报价时限或其最后报价超出采购预算导致已通过评审的响应文件无效的，按供应商在提交响应文件截止时间后撤回响应文件处理。</w:t>
      </w:r>
    </w:p>
    <w:p w14:paraId="6A0BE9F4">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92" w:name="_Toc27015"/>
      <w:bookmarkStart w:id="93" w:name="_Toc26881"/>
      <w:r>
        <w:rPr>
          <w:rFonts w:hint="eastAsia" w:ascii="宋体" w:hAnsi="宋体" w:cs="宋体"/>
          <w:color w:val="auto"/>
          <w:sz w:val="21"/>
          <w:szCs w:val="21"/>
          <w:highlight w:val="none"/>
        </w:rPr>
        <w:t>14. 响应文件有效期</w:t>
      </w:r>
      <w:bookmarkEnd w:id="92"/>
      <w:bookmarkEnd w:id="93"/>
    </w:p>
    <w:p w14:paraId="065E3B17">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14.1 响应文件有效期：响应文件递交截止时间之日起90天，有效期不足的响应文件将被拒绝。</w:t>
      </w:r>
    </w:p>
    <w:p w14:paraId="7ACAED75">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14.2 出现特殊情况下，需要延长响应文件有效期的，采购代理机构书面通知供应商延长响应文件有效期。供应商同意延长的，但不能修改响应文件。供应商拒绝延长的，其响应文件无效。</w:t>
      </w:r>
    </w:p>
    <w:p w14:paraId="535C6EE8">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94" w:name="_Toc22602"/>
      <w:bookmarkStart w:id="95" w:name="_Toc24706"/>
      <w:r>
        <w:rPr>
          <w:rFonts w:hint="eastAsia" w:ascii="宋体" w:hAnsi="宋体" w:cs="宋体"/>
          <w:color w:val="auto"/>
          <w:sz w:val="21"/>
          <w:szCs w:val="21"/>
          <w:highlight w:val="none"/>
        </w:rPr>
        <w:t>15. 保证金</w:t>
      </w:r>
      <w:bookmarkEnd w:id="94"/>
      <w:bookmarkEnd w:id="95"/>
    </w:p>
    <w:p w14:paraId="2338C25F">
      <w:pPr>
        <w:pageBreakBefore w:val="0"/>
        <w:widowControl w:val="0"/>
        <w:kinsoku/>
        <w:wordWrap/>
        <w:overflowPunct/>
        <w:topLinePunct w:val="0"/>
        <w:bidi w:val="0"/>
        <w:spacing w:line="360" w:lineRule="auto"/>
        <w:ind w:left="0" w:leftChars="0" w:firstLine="420" w:firstLineChars="200"/>
        <w:rPr>
          <w:rFonts w:ascii="宋体" w:hAnsi="宋体" w:cs="宋体"/>
          <w:b/>
          <w:bCs/>
          <w:color w:val="auto"/>
          <w:szCs w:val="21"/>
          <w:highlight w:val="none"/>
        </w:rPr>
      </w:pPr>
      <w:r>
        <w:rPr>
          <w:rFonts w:hint="eastAsia" w:ascii="宋体" w:hAnsi="宋体" w:cs="宋体"/>
          <w:color w:val="auto"/>
          <w:szCs w:val="21"/>
          <w:highlight w:val="none"/>
        </w:rPr>
        <w:t>本项目无需缴纳磋商保证金。</w:t>
      </w:r>
    </w:p>
    <w:p w14:paraId="07B4471C">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96" w:name="_Toc387"/>
      <w:bookmarkStart w:id="97" w:name="_Toc8815"/>
      <w:r>
        <w:rPr>
          <w:rFonts w:hint="eastAsia" w:ascii="宋体" w:hAnsi="宋体" w:cs="宋体"/>
          <w:color w:val="auto"/>
          <w:sz w:val="21"/>
          <w:szCs w:val="21"/>
          <w:highlight w:val="none"/>
        </w:rPr>
        <w:t>16. 竞争性磋商响应文件的</w:t>
      </w:r>
      <w:bookmarkEnd w:id="96"/>
      <w:r>
        <w:rPr>
          <w:rFonts w:hint="eastAsia" w:ascii="宋体" w:hAnsi="宋体" w:cs="宋体"/>
          <w:color w:val="auto"/>
          <w:sz w:val="21"/>
          <w:szCs w:val="21"/>
          <w:highlight w:val="none"/>
        </w:rPr>
        <w:t>制作</w:t>
      </w:r>
      <w:bookmarkEnd w:id="97"/>
    </w:p>
    <w:p w14:paraId="41352C43">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16.1 电子磋商响应文件中须加盖供应商公章部分均采用 CA 证书签章，并根据“政府采购项目电子交易管理操作指南-供应商” 及本磋商文件规定的格式和顺序编制电子磋商响应文件并进行关联定位，以便磋商小组在评审时，点击评分项可直接定位到该评分项内容。如对磋商文件的某项要求，供应商的电子磋商响应文件未能关联定位提供相应的内容与其对应，则磋商小组在评审时如做出对供应商不利的评审由供应商自行承担。电子磋商响应文件如内容不完整、编排混乱导致磋商响应文件被误读、 漏读，或者在按采购文件规定的部位查找不到相关内容的，由供应商自行承担。</w:t>
      </w:r>
    </w:p>
    <w:p w14:paraId="4BB02875">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16.2供应商法人（负责人）或授权代表持有政采云个人CA证书签章的，应在响应文件中涉及到签字的位置使用个人CA证书签章，没有办理政采云个人CA证书签章的可在响应文件中涉及到签字的位置手写签字后扫描或者拍照做成 PDF 的格式上传即可。</w:t>
      </w:r>
    </w:p>
    <w:p w14:paraId="1A4051EE">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16.3 磋商响应文件不得涂改，若有修改错漏处，须法定代表人（负责人）或授权委托人签字（或个人CA证书签章）。磋商响应文件因字迹潦草或表达不清所引起的后果由供应商负责。</w:t>
      </w:r>
    </w:p>
    <w:p w14:paraId="5E78E891">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16.4磋商前准备 </w:t>
      </w:r>
    </w:p>
    <w:p w14:paraId="6E3E8DDC">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16.4.1本项目实行在线磋商，采用电子磋商响应文件。若供应商参与磋商，自行承担磋商一切费用。 </w:t>
      </w:r>
    </w:p>
    <w:p w14:paraId="1ECB83F0">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16.4.2各供应商应在截标前应确保成为广西政府采购云平台正式注册入库供应商，并完成 CA 数字证书申领。因未注册入库、未办理 CA 数字证书等原因造成无法磋商或磋商失败等后果由供应商自行承担。 </w:t>
      </w:r>
    </w:p>
    <w:p w14:paraId="18E699B8">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16.4.3供应商将政采云电子交易客户端下载、安装完成后，可通过账号密码或 CA 登录客户端进行响应文件制作。客户端请至网站下载专区查看，如有问题可拨打政采云客户服务热线 95763 进行咨询。</w:t>
      </w:r>
    </w:p>
    <w:p w14:paraId="3D2ADA5E">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98" w:name="_Toc8570"/>
      <w:r>
        <w:rPr>
          <w:rFonts w:hint="eastAsia" w:ascii="宋体" w:hAnsi="宋体" w:cs="宋体"/>
          <w:color w:val="auto"/>
          <w:sz w:val="21"/>
          <w:szCs w:val="21"/>
          <w:highlight w:val="none"/>
        </w:rPr>
        <w:t>17. 响应文件的修改和撤回</w:t>
      </w:r>
      <w:bookmarkEnd w:id="98"/>
    </w:p>
    <w:p w14:paraId="1B1968B6">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17.1 响应文件递交截止时间前可以撤回电子磋商响应文件。补充或者修改电子磋商响应文件的，应当先行撤回原文件，补充、修改后重新传输递交，磋商响应文件递交截止时间前未完成传输的，视为撤回磋商响应文件。</w:t>
      </w:r>
    </w:p>
    <w:p w14:paraId="4E6395DD">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17.2 在响应文件递交截止时间后的响应文件有效期内，供应商不得撤回其响应文件。</w:t>
      </w:r>
    </w:p>
    <w:p w14:paraId="7A1B3ACB">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99" w:name="_Toc27030"/>
      <w:bookmarkStart w:id="100" w:name="_Toc30156"/>
      <w:r>
        <w:rPr>
          <w:rFonts w:hint="eastAsia" w:ascii="宋体" w:hAnsi="宋体" w:cs="宋体"/>
          <w:color w:val="auto"/>
          <w:sz w:val="21"/>
          <w:szCs w:val="21"/>
          <w:highlight w:val="none"/>
        </w:rPr>
        <w:t>18. 响应文件的递交和解密</w:t>
      </w:r>
      <w:bookmarkEnd w:id="99"/>
      <w:bookmarkEnd w:id="100"/>
    </w:p>
    <w:p w14:paraId="792611D5">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18.1响应文件递交截止时间：</w:t>
      </w:r>
      <w:r>
        <w:rPr>
          <w:rFonts w:hint="eastAsia" w:ascii="宋体" w:hAnsi="宋体" w:cs="宋体"/>
          <w:color w:val="auto"/>
          <w:szCs w:val="21"/>
          <w:highlight w:val="none"/>
          <w:lang w:eastAsia="zh-CN"/>
        </w:rPr>
        <w:t>详见供应商须知前附表</w:t>
      </w:r>
      <w:r>
        <w:rPr>
          <w:rFonts w:hint="eastAsia" w:ascii="宋体" w:hAnsi="宋体" w:cs="宋体"/>
          <w:color w:val="auto"/>
          <w:szCs w:val="21"/>
          <w:highlight w:val="none"/>
        </w:rPr>
        <w:t>。</w:t>
      </w:r>
    </w:p>
    <w:p w14:paraId="0937C702">
      <w:pPr>
        <w:pageBreakBefore w:val="0"/>
        <w:widowControl w:val="0"/>
        <w:kinsoku/>
        <w:wordWrap/>
        <w:overflowPunct/>
        <w:topLinePunct w:val="0"/>
        <w:bidi w:val="0"/>
        <w:spacing w:line="360" w:lineRule="auto"/>
        <w:ind w:left="0" w:leftChars="0" w:firstLine="420" w:firstLineChars="200"/>
        <w:rPr>
          <w:rFonts w:ascii="宋体" w:hAnsi="宋体" w:cs="宋体"/>
          <w:b/>
          <w:bCs/>
          <w:color w:val="auto"/>
          <w:szCs w:val="21"/>
          <w:highlight w:val="none"/>
        </w:rPr>
      </w:pPr>
      <w:r>
        <w:rPr>
          <w:rFonts w:hint="eastAsia" w:ascii="宋体" w:hAnsi="宋体" w:cs="宋体"/>
          <w:color w:val="auto"/>
          <w:szCs w:val="21"/>
          <w:highlight w:val="none"/>
        </w:rPr>
        <w:t>18.2磋商响应文件解密时间：</w:t>
      </w:r>
      <w:r>
        <w:rPr>
          <w:rFonts w:hint="eastAsia" w:ascii="宋体" w:hAnsi="宋体" w:cs="宋体"/>
          <w:color w:val="auto"/>
          <w:szCs w:val="21"/>
          <w:highlight w:val="none"/>
          <w:lang w:eastAsia="zh-CN"/>
        </w:rPr>
        <w:t>详见供应商须知前附表</w:t>
      </w:r>
      <w:r>
        <w:rPr>
          <w:rFonts w:hint="eastAsia" w:ascii="宋体" w:hAnsi="宋体" w:cs="宋体"/>
          <w:b w:val="0"/>
          <w:bCs w:val="0"/>
          <w:color w:val="auto"/>
          <w:szCs w:val="21"/>
          <w:highlight w:val="none"/>
        </w:rPr>
        <w:t>。</w:t>
      </w:r>
    </w:p>
    <w:p w14:paraId="7E1C78E3">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18.3 除竞争性磋商文件另有规定外，供应商所递交的响应文件不予退还。</w:t>
      </w:r>
    </w:p>
    <w:p w14:paraId="3FE7E42A">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18.4 电子响应文件的相关说明</w:t>
      </w:r>
    </w:p>
    <w:p w14:paraId="767F1255">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1）供应商进行电子投标应安装客户端软件，并按照采购文件和电子交易平台的要求编制并加密磋商响应文件。供应商未按规定加密的磋商响应文件，电子交易平台将拒收。供应商应当在磋商截止时间前完成磋商响应文件的传输递交，并可以补充、修改或者撤回磋商响应文件。补充或者修改磋商响应文件的，应当先行撤回原文件，补充、修改后重新传输递交。磋商截止时间前未完成传输的，视为撤回磋商响应文件。磋商截止时间后递交的磋商响应文件，电子交易平台将拒收。 </w:t>
      </w:r>
    </w:p>
    <w:p w14:paraId="11D9D15F">
      <w:pPr>
        <w:pageBreakBefore w:val="0"/>
        <w:widowControl w:val="0"/>
        <w:kinsoku/>
        <w:wordWrap/>
        <w:overflowPunct/>
        <w:topLinePunct w:val="0"/>
        <w:bidi w:val="0"/>
        <w:spacing w:line="360" w:lineRule="auto"/>
        <w:ind w:left="0" w:leftChars="0" w:firstLine="420" w:firstLineChars="200"/>
        <w:rPr>
          <w:rFonts w:ascii="宋体" w:hAnsi="宋体" w:cs="宋体"/>
          <w:color w:val="auto"/>
          <w:highlight w:val="none"/>
        </w:rPr>
      </w:pPr>
      <w:r>
        <w:rPr>
          <w:rFonts w:hint="eastAsia" w:ascii="宋体" w:hAnsi="宋体" w:cs="宋体"/>
          <w:color w:val="auto"/>
          <w:szCs w:val="21"/>
          <w:highlight w:val="none"/>
        </w:rPr>
        <w:t>（2）如有特殊情况，采购代理机构延长截止时间和开标时间，采购代理机构和供应商的权利和义务将受到新的截止时间和开标时间的约束。</w:t>
      </w:r>
    </w:p>
    <w:p w14:paraId="65CF810C">
      <w:pPr>
        <w:pStyle w:val="3"/>
        <w:pageBreakBefore w:val="0"/>
        <w:widowControl w:val="0"/>
        <w:kinsoku/>
        <w:wordWrap/>
        <w:overflowPunct/>
        <w:topLinePunct w:val="0"/>
        <w:bidi w:val="0"/>
        <w:spacing w:line="360" w:lineRule="auto"/>
        <w:ind w:left="0" w:leftChars="0"/>
        <w:jc w:val="center"/>
        <w:rPr>
          <w:rFonts w:ascii="宋体" w:hAnsi="宋体" w:cs="宋体"/>
          <w:b/>
          <w:bCs w:val="0"/>
          <w:color w:val="auto"/>
          <w:szCs w:val="28"/>
          <w:highlight w:val="none"/>
        </w:rPr>
      </w:pPr>
      <w:bookmarkStart w:id="101" w:name="_Toc2433"/>
      <w:bookmarkStart w:id="102" w:name="_Toc18044"/>
      <w:r>
        <w:rPr>
          <w:rFonts w:hint="eastAsia" w:ascii="宋体" w:hAnsi="宋体" w:cs="宋体"/>
          <w:b/>
          <w:bCs w:val="0"/>
          <w:color w:val="auto"/>
          <w:szCs w:val="28"/>
          <w:highlight w:val="none"/>
        </w:rPr>
        <w:t>四、竞争性磋商（简称磋商）与评审</w:t>
      </w:r>
      <w:bookmarkEnd w:id="101"/>
      <w:bookmarkEnd w:id="102"/>
    </w:p>
    <w:p w14:paraId="0D28CAFD">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103" w:name="_Toc31588"/>
      <w:bookmarkStart w:id="104" w:name="_Toc16714"/>
      <w:r>
        <w:rPr>
          <w:rFonts w:hint="eastAsia" w:ascii="宋体" w:hAnsi="宋体" w:cs="宋体"/>
          <w:color w:val="auto"/>
          <w:sz w:val="21"/>
          <w:szCs w:val="21"/>
          <w:highlight w:val="none"/>
        </w:rPr>
        <w:t>19. 磋商小组组成及磋商时间、地点、人员</w:t>
      </w:r>
      <w:bookmarkEnd w:id="103"/>
      <w:bookmarkEnd w:id="104"/>
    </w:p>
    <w:p w14:paraId="14468423">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19.1 磋商小组组成：</w:t>
      </w:r>
    </w:p>
    <w:p w14:paraId="59D58048">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磋商及评审工作由采购代理机构负责组织，具体磋商、评审工作由依法组建的磋商小组负责，磋商小组由采购人代表和有关方面的专家组成。磋商小组的构成：</w:t>
      </w:r>
      <w:r>
        <w:rPr>
          <w:rFonts w:hint="eastAsia" w:ascii="宋体" w:hAnsi="宋体" w:cs="宋体"/>
          <w:color w:val="auto"/>
          <w:szCs w:val="21"/>
          <w:highlight w:val="none"/>
          <w:u w:val="single"/>
        </w:rPr>
        <w:t xml:space="preserve"> 3 </w:t>
      </w:r>
      <w:r>
        <w:rPr>
          <w:rFonts w:hint="eastAsia" w:ascii="宋体" w:hAnsi="宋体" w:cs="宋体"/>
          <w:color w:val="auto"/>
          <w:szCs w:val="21"/>
          <w:highlight w:val="none"/>
        </w:rPr>
        <w:t>人，其中采购人代表</w:t>
      </w:r>
      <w:r>
        <w:rPr>
          <w:rFonts w:hint="eastAsia" w:ascii="宋体" w:hAnsi="宋体" w:cs="宋体"/>
          <w:color w:val="auto"/>
          <w:szCs w:val="21"/>
          <w:highlight w:val="none"/>
          <w:u w:val="single"/>
        </w:rPr>
        <w:t xml:space="preserve"> 1 </w:t>
      </w:r>
      <w:r>
        <w:rPr>
          <w:rFonts w:hint="eastAsia" w:ascii="宋体" w:hAnsi="宋体" w:cs="宋体"/>
          <w:color w:val="auto"/>
          <w:szCs w:val="21"/>
          <w:highlight w:val="none"/>
        </w:rPr>
        <w:t>人， 专家</w:t>
      </w:r>
      <w:r>
        <w:rPr>
          <w:rFonts w:hint="eastAsia" w:ascii="宋体" w:hAnsi="宋体" w:cs="宋体"/>
          <w:color w:val="auto"/>
          <w:szCs w:val="21"/>
          <w:highlight w:val="none"/>
          <w:u w:val="single"/>
        </w:rPr>
        <w:t xml:space="preserve"> 2 </w:t>
      </w:r>
      <w:r>
        <w:rPr>
          <w:rFonts w:hint="eastAsia" w:ascii="宋体" w:hAnsi="宋体" w:cs="宋体"/>
          <w:color w:val="auto"/>
          <w:szCs w:val="21"/>
          <w:highlight w:val="none"/>
        </w:rPr>
        <w:t>人。</w:t>
      </w:r>
    </w:p>
    <w:p w14:paraId="018D53A3">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19.2 磋商时间、地点、人员：</w:t>
      </w:r>
    </w:p>
    <w:p w14:paraId="467B43BD">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bookmarkStart w:id="105" w:name="_Toc9878"/>
      <w:r>
        <w:rPr>
          <w:rFonts w:hint="eastAsia" w:ascii="宋体" w:hAnsi="宋体" w:cs="宋体"/>
          <w:color w:val="auto"/>
          <w:szCs w:val="21"/>
          <w:highlight w:val="none"/>
        </w:rPr>
        <w:t>19.2.1磋商时间：响应文件递交截止时间后。</w:t>
      </w:r>
      <w:bookmarkEnd w:id="105"/>
    </w:p>
    <w:p w14:paraId="049EE494">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bookmarkStart w:id="106" w:name="_Toc29268"/>
      <w:r>
        <w:rPr>
          <w:rFonts w:hint="eastAsia" w:ascii="宋体" w:hAnsi="宋体" w:cs="宋体"/>
          <w:color w:val="auto"/>
          <w:szCs w:val="21"/>
          <w:highlight w:val="none"/>
        </w:rPr>
        <w:t>19.2.2磋商地点：</w:t>
      </w:r>
      <w:bookmarkEnd w:id="106"/>
      <w:r>
        <w:rPr>
          <w:rFonts w:hint="eastAsia" w:ascii="宋体" w:hAnsi="宋体" w:cs="宋体"/>
          <w:color w:val="auto"/>
          <w:szCs w:val="21"/>
          <w:highlight w:val="none"/>
        </w:rPr>
        <w:t>本项目需要磋商供应商代表在截标当天截标后，按磋商小组要求及时登陆广西政府采购云平台等候在线磋商。</w:t>
      </w:r>
    </w:p>
    <w:p w14:paraId="2AB30496">
      <w:pPr>
        <w:pageBreakBefore w:val="0"/>
        <w:widowControl w:val="0"/>
        <w:kinsoku/>
        <w:wordWrap/>
        <w:overflowPunct/>
        <w:topLinePunct w:val="0"/>
        <w:bidi w:val="0"/>
        <w:spacing w:line="360" w:lineRule="auto"/>
        <w:ind w:left="0" w:leftChars="0" w:firstLine="420" w:firstLineChars="200"/>
        <w:rPr>
          <w:rFonts w:ascii="宋体" w:hAnsi="宋体" w:cs="宋体"/>
          <w:bCs/>
          <w:color w:val="auto"/>
          <w:szCs w:val="21"/>
          <w:highlight w:val="none"/>
        </w:rPr>
      </w:pPr>
      <w:bookmarkStart w:id="107" w:name="_Toc21307"/>
      <w:r>
        <w:rPr>
          <w:rFonts w:hint="eastAsia" w:ascii="宋体" w:hAnsi="宋体" w:cs="宋体"/>
          <w:color w:val="auto"/>
          <w:szCs w:val="21"/>
          <w:highlight w:val="none"/>
        </w:rPr>
        <w:t>19</w:t>
      </w:r>
      <w:r>
        <w:rPr>
          <w:rFonts w:hint="eastAsia" w:ascii="宋体" w:hAnsi="宋体" w:cs="宋体"/>
          <w:bCs/>
          <w:color w:val="auto"/>
          <w:szCs w:val="21"/>
          <w:highlight w:val="none"/>
        </w:rPr>
        <w:t>.2.3磋商参加人员：供应商法定代表人、负责人、自然人或相应的委托代理人持</w:t>
      </w:r>
      <w:r>
        <w:rPr>
          <w:rFonts w:hint="eastAsia" w:ascii="宋体" w:hAnsi="宋体" w:cs="宋体"/>
          <w:bCs/>
          <w:color w:val="auto"/>
          <w:szCs w:val="21"/>
          <w:highlight w:val="none"/>
          <w:u w:val="single"/>
        </w:rPr>
        <w:t>有效身份证原件</w:t>
      </w:r>
      <w:r>
        <w:rPr>
          <w:rFonts w:hint="eastAsia" w:ascii="宋体" w:hAnsi="宋体" w:cs="宋体"/>
          <w:bCs/>
          <w:color w:val="auto"/>
          <w:szCs w:val="21"/>
          <w:highlight w:val="none"/>
        </w:rPr>
        <w:t>和供应商</w:t>
      </w:r>
      <w:r>
        <w:rPr>
          <w:rFonts w:hint="eastAsia" w:ascii="宋体" w:hAnsi="宋体" w:cs="宋体"/>
          <w:bCs/>
          <w:color w:val="auto"/>
          <w:szCs w:val="21"/>
          <w:highlight w:val="none"/>
          <w:u w:val="single"/>
        </w:rPr>
        <w:t>广西政府采购云平台CA数字证书</w:t>
      </w:r>
      <w:r>
        <w:rPr>
          <w:rFonts w:hint="eastAsia" w:ascii="宋体" w:hAnsi="宋体" w:cs="宋体"/>
          <w:bCs/>
          <w:color w:val="auto"/>
          <w:szCs w:val="21"/>
          <w:highlight w:val="none"/>
        </w:rPr>
        <w:t>参加磋商。请供应商按时到达指定地点等候磋商。</w:t>
      </w:r>
      <w:bookmarkEnd w:id="107"/>
    </w:p>
    <w:p w14:paraId="2F27EAE4">
      <w:pPr>
        <w:pageBreakBefore w:val="0"/>
        <w:widowControl w:val="0"/>
        <w:kinsoku/>
        <w:wordWrap/>
        <w:overflowPunct/>
        <w:topLinePunct w:val="0"/>
        <w:bidi w:val="0"/>
        <w:spacing w:line="360" w:lineRule="auto"/>
        <w:ind w:left="0" w:leftChars="0" w:firstLine="420" w:firstLineChars="200"/>
        <w:rPr>
          <w:rFonts w:ascii="宋体" w:hAnsi="宋体" w:cs="宋体"/>
          <w:bCs/>
          <w:color w:val="auto"/>
          <w:szCs w:val="21"/>
          <w:highlight w:val="none"/>
        </w:rPr>
      </w:pPr>
      <w:bookmarkStart w:id="108" w:name="_Toc6288"/>
      <w:r>
        <w:rPr>
          <w:rFonts w:hint="eastAsia" w:ascii="宋体" w:hAnsi="宋体" w:cs="宋体"/>
          <w:bCs/>
          <w:color w:val="auto"/>
          <w:szCs w:val="21"/>
          <w:highlight w:val="none"/>
        </w:rPr>
        <w:t>19.2.4响应文件递交截止时间后，由磋商小组在评标室内线上开启响应文件。</w:t>
      </w:r>
      <w:bookmarkEnd w:id="108"/>
    </w:p>
    <w:p w14:paraId="5CFBB909">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109" w:name="_Toc18640"/>
      <w:bookmarkStart w:id="110" w:name="_Toc25258"/>
      <w:r>
        <w:rPr>
          <w:rFonts w:hint="eastAsia" w:ascii="宋体" w:hAnsi="宋体" w:cs="宋体"/>
          <w:color w:val="auto"/>
          <w:sz w:val="21"/>
          <w:szCs w:val="21"/>
          <w:highlight w:val="none"/>
        </w:rPr>
        <w:t>20. 评审原则</w:t>
      </w:r>
      <w:bookmarkEnd w:id="109"/>
      <w:bookmarkEnd w:id="110"/>
    </w:p>
    <w:p w14:paraId="1854E000">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20.1 磋商小组必须坚持公平、公正、科学和择优的原则。</w:t>
      </w:r>
    </w:p>
    <w:p w14:paraId="3E3F14A4">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20.2 评审办法：综合评分法，具体详见第四章评审办法。</w:t>
      </w:r>
    </w:p>
    <w:p w14:paraId="2E54DDDC">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20.3 磋商小组应按磋商文件进行评审，不得擅自更改评审办法。</w:t>
      </w:r>
    </w:p>
    <w:p w14:paraId="6B76C73F">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20.4 在评审过程中，磋商小组任何人不得对某个供应商发表任何倾向性意见，不得向其他磋商小组成员明示或者暗示自己的评审意见。</w:t>
      </w:r>
    </w:p>
    <w:p w14:paraId="2A5DDBDD">
      <w:pPr>
        <w:pageBreakBefore w:val="0"/>
        <w:widowControl w:val="0"/>
        <w:kinsoku/>
        <w:wordWrap/>
        <w:overflowPunct/>
        <w:topLinePunct w:val="0"/>
        <w:bidi w:val="0"/>
        <w:spacing w:line="360" w:lineRule="auto"/>
        <w:ind w:left="0" w:leftChars="0" w:firstLine="420" w:firstLineChars="200"/>
        <w:jc w:val="left"/>
        <w:rPr>
          <w:rFonts w:ascii="宋体" w:hAnsi="宋体" w:cs="宋体"/>
          <w:color w:val="auto"/>
          <w:szCs w:val="21"/>
          <w:highlight w:val="none"/>
        </w:rPr>
      </w:pPr>
      <w:r>
        <w:rPr>
          <w:rFonts w:hint="eastAsia" w:ascii="宋体" w:hAnsi="宋体" w:cs="宋体"/>
          <w:color w:val="auto"/>
          <w:szCs w:val="21"/>
          <w:highlight w:val="none"/>
        </w:rPr>
        <w:t>20.5 磋商小组成员对需要共同认定的事项存在争议的，按照少数服从多数的原则作出结论。持不同意见的磋商小组成员应当在评审报告上签署不同意见并说明理由，否则视为同意。</w:t>
      </w:r>
    </w:p>
    <w:p w14:paraId="6FA3444A">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20.6 响应文件最后报价出现前后不一致的，除竞争性磋商文件另有规定外，按照下列规定修正：</w:t>
      </w:r>
    </w:p>
    <w:p w14:paraId="035D715D">
      <w:pPr>
        <w:pStyle w:val="41"/>
        <w:pageBreakBefore w:val="0"/>
        <w:widowControl w:val="0"/>
        <w:tabs>
          <w:tab w:val="left" w:pos="1099"/>
        </w:tabs>
        <w:kinsoku/>
        <w:wordWrap/>
        <w:overflowPunct/>
        <w:topLinePunct w:val="0"/>
        <w:bidi w:val="0"/>
        <w:spacing w:line="360" w:lineRule="auto"/>
        <w:ind w:left="0" w:leftChars="0" w:firstLine="0" w:firstLineChars="0"/>
        <w:jc w:val="left"/>
        <w:rPr>
          <w:rFonts w:ascii="宋体" w:hAnsi="宋体" w:cs="宋体"/>
          <w:color w:val="auto"/>
          <w:highlight w:val="none"/>
        </w:rPr>
      </w:pPr>
      <w:r>
        <w:rPr>
          <w:rFonts w:hint="eastAsia" w:ascii="宋体" w:hAnsi="宋体" w:cs="宋体"/>
          <w:color w:val="auto"/>
          <w:szCs w:val="21"/>
          <w:highlight w:val="none"/>
        </w:rPr>
        <w:t xml:space="preserve">(1) </w:t>
      </w:r>
      <w:r>
        <w:rPr>
          <w:rFonts w:hint="eastAsia" w:ascii="宋体" w:hAnsi="宋体" w:cs="宋体"/>
          <w:color w:val="auto"/>
          <w:highlight w:val="none"/>
        </w:rPr>
        <w:t>响应文件中磋商报价表内容与响应文件中相应内容不一致的，以最后磋商报价表为准；</w:t>
      </w:r>
    </w:p>
    <w:p w14:paraId="32AC0FB7">
      <w:pPr>
        <w:pStyle w:val="41"/>
        <w:pageBreakBefore w:val="0"/>
        <w:widowControl w:val="0"/>
        <w:tabs>
          <w:tab w:val="left" w:pos="1099"/>
        </w:tabs>
        <w:kinsoku/>
        <w:wordWrap/>
        <w:overflowPunct/>
        <w:topLinePunct w:val="0"/>
        <w:bidi w:val="0"/>
        <w:spacing w:line="360" w:lineRule="auto"/>
        <w:ind w:left="0" w:leftChars="0" w:firstLine="0" w:firstLineChars="0"/>
        <w:jc w:val="left"/>
        <w:rPr>
          <w:rFonts w:ascii="宋体" w:hAnsi="宋体" w:cs="宋体"/>
          <w:color w:val="auto"/>
          <w:highlight w:val="none"/>
        </w:rPr>
      </w:pPr>
      <w:r>
        <w:rPr>
          <w:rFonts w:hint="eastAsia" w:ascii="宋体" w:hAnsi="宋体" w:cs="宋体"/>
          <w:color w:val="auto"/>
          <w:szCs w:val="21"/>
          <w:highlight w:val="none"/>
        </w:rPr>
        <w:t>(2)</w:t>
      </w:r>
      <w:r>
        <w:rPr>
          <w:rFonts w:hint="eastAsia" w:ascii="宋体" w:hAnsi="宋体" w:cs="宋体"/>
          <w:color w:val="auto"/>
          <w:highlight w:val="none"/>
        </w:rPr>
        <w:t xml:space="preserve"> 大写金额和小写金额不一致的，以大写金额为准；</w:t>
      </w:r>
    </w:p>
    <w:p w14:paraId="72BCC7DD">
      <w:pPr>
        <w:pStyle w:val="41"/>
        <w:pageBreakBefore w:val="0"/>
        <w:widowControl w:val="0"/>
        <w:tabs>
          <w:tab w:val="left" w:pos="1099"/>
        </w:tabs>
        <w:kinsoku/>
        <w:wordWrap/>
        <w:overflowPunct/>
        <w:topLinePunct w:val="0"/>
        <w:bidi w:val="0"/>
        <w:spacing w:line="360" w:lineRule="auto"/>
        <w:ind w:left="0" w:leftChars="0" w:firstLine="0" w:firstLineChars="0"/>
        <w:jc w:val="left"/>
        <w:rPr>
          <w:rFonts w:ascii="宋体" w:hAnsi="宋体" w:cs="宋体"/>
          <w:color w:val="auto"/>
          <w:highlight w:val="none"/>
        </w:rPr>
      </w:pPr>
      <w:r>
        <w:rPr>
          <w:rFonts w:hint="eastAsia" w:ascii="宋体" w:hAnsi="宋体" w:cs="宋体"/>
          <w:color w:val="auto"/>
          <w:szCs w:val="21"/>
          <w:highlight w:val="none"/>
        </w:rPr>
        <w:t>(3)</w:t>
      </w:r>
      <w:r>
        <w:rPr>
          <w:rFonts w:hint="eastAsia" w:ascii="宋体" w:hAnsi="宋体" w:cs="宋体"/>
          <w:color w:val="auto"/>
          <w:highlight w:val="none"/>
        </w:rPr>
        <w:t xml:space="preserve"> 单价金额小数点或者百分比有明显错位的，以报价表的总价为准，并修改单价；</w:t>
      </w:r>
    </w:p>
    <w:p w14:paraId="043F509E">
      <w:pPr>
        <w:pStyle w:val="41"/>
        <w:pageBreakBefore w:val="0"/>
        <w:widowControl w:val="0"/>
        <w:tabs>
          <w:tab w:val="left" w:pos="1099"/>
        </w:tabs>
        <w:kinsoku/>
        <w:wordWrap/>
        <w:overflowPunct/>
        <w:topLinePunct w:val="0"/>
        <w:bidi w:val="0"/>
        <w:spacing w:line="360" w:lineRule="auto"/>
        <w:ind w:left="0" w:leftChars="0" w:firstLine="0" w:firstLineChars="0"/>
        <w:jc w:val="left"/>
        <w:rPr>
          <w:rFonts w:ascii="宋体" w:hAnsi="宋体" w:cs="宋体"/>
          <w:color w:val="auto"/>
          <w:highlight w:val="none"/>
        </w:rPr>
      </w:pPr>
      <w:r>
        <w:rPr>
          <w:rFonts w:hint="eastAsia" w:ascii="宋体" w:hAnsi="宋体" w:cs="宋体"/>
          <w:color w:val="auto"/>
          <w:szCs w:val="21"/>
          <w:highlight w:val="none"/>
        </w:rPr>
        <w:t xml:space="preserve">(4) </w:t>
      </w:r>
      <w:r>
        <w:rPr>
          <w:rFonts w:hint="eastAsia" w:ascii="宋体" w:hAnsi="宋体" w:cs="宋体"/>
          <w:color w:val="auto"/>
          <w:highlight w:val="none"/>
        </w:rPr>
        <w:t>总价金额与按单价汇总金额不一致的，以单价金额计算结果为准。</w:t>
      </w:r>
    </w:p>
    <w:p w14:paraId="23516E85">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同时出现两种以上不一致的，按照前款规定的顺序修正。修正后的报价（不得超出响应文件的范围或者改变响应文件的实质性内容）经磋商供应商确认后产生约束力，磋商供应商不确认的，作无效响应处理。</w:t>
      </w:r>
    </w:p>
    <w:p w14:paraId="2CD87D38">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111" w:name="_Toc27193"/>
      <w:bookmarkStart w:id="112" w:name="_Toc1312"/>
      <w:r>
        <w:rPr>
          <w:rFonts w:hint="eastAsia" w:ascii="宋体" w:hAnsi="宋体" w:cs="宋体"/>
          <w:color w:val="auto"/>
          <w:sz w:val="21"/>
          <w:szCs w:val="21"/>
          <w:highlight w:val="none"/>
        </w:rPr>
        <w:t>21. 评审程序及磋商要求</w:t>
      </w:r>
      <w:bookmarkEnd w:id="111"/>
      <w:bookmarkEnd w:id="112"/>
    </w:p>
    <w:p w14:paraId="4BB6C3A3">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21.1磋商小组成员的通讯工具或相关电子设备交由桂林市公共资源交易中心统一保管后到达评标室，采购代理机构核实磋商小组成员身份，告知回避要求，宣布评审工作纪律和程序，推选磋商小组组长。</w:t>
      </w:r>
    </w:p>
    <w:p w14:paraId="768D0182">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21.2磋商小组应当对发布公告的竞争性磋商文件（简称磋商文件）进行确认，审查供应商的响应文件并作出评价；要求供应商解释或者澄清其响应文件；编写评审报告；告知采购人、采购代理机构在评审过程中发现的供应商的违法违规行为。</w:t>
      </w:r>
    </w:p>
    <w:p w14:paraId="60138AA1">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21.3 磋商小组依据竞争性磋商文件的规定，首先对响应文件进行资格性审查，以确定供应商是否具备本项目供应商资格；再对通过资格性审查的供应商响应文件的有效性、完整性和对磋商文件的响应程度进行符合性审查，以确定是否对磋商文件的实质性要求做出响应。 </w:t>
      </w:r>
    </w:p>
    <w:p w14:paraId="419695C1">
      <w:pPr>
        <w:pageBreakBefore w:val="0"/>
        <w:widowControl w:val="0"/>
        <w:kinsoku/>
        <w:wordWrap/>
        <w:overflowPunct/>
        <w:topLinePunct w:val="0"/>
        <w:bidi w:val="0"/>
        <w:spacing w:line="360" w:lineRule="auto"/>
        <w:ind w:left="0" w:leftChars="0"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21.4 磋商小组在对供应商进行资格性审查时，将对供应商企业股东及出资等信息进行查询。根据 《 中华人民共和国政府采购法实施条例 》 第十八条第一款规定，审查中如发现供应商存在单位负责人为同一人或者存在直接控股、管理关系的不同供应商参加同一合同项下的政府采购活动的，按响应文件无效处理 。</w:t>
      </w:r>
    </w:p>
    <w:p w14:paraId="29FBDECD">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21.4.1 查询渠道：《国家企业信用信息公示系统》（网址：www.gsxt.gov.cn/index.html）</w:t>
      </w:r>
    </w:p>
    <w:p w14:paraId="778D1E02">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21.4.2 审查流程：</w:t>
      </w:r>
    </w:p>
    <w:p w14:paraId="5C2DFE5A">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（1）进入《国家企业信用信息公示系统》（网址：www.gsxt.gov.cn/index.html），输入企业名称，进入企业信息主页面；</w:t>
      </w:r>
    </w:p>
    <w:p w14:paraId="53A80042">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（2）查看主页“股东及出资信息”栏，或年报中的“股东及出资信息”栏信息；</w:t>
      </w:r>
    </w:p>
    <w:p w14:paraId="2E3A7DC5">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（3）将各供应商的股东及出资信息进行比对，得出审查结论；</w:t>
      </w:r>
    </w:p>
    <w:p w14:paraId="2827B334">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（4）将相关资料作为评审资料打印存档。</w:t>
      </w:r>
    </w:p>
    <w:p w14:paraId="00511A0C">
      <w:pPr>
        <w:pageBreakBefore w:val="0"/>
        <w:widowControl w:val="0"/>
        <w:kinsoku/>
        <w:wordWrap/>
        <w:overflowPunct/>
        <w:topLinePunct w:val="0"/>
        <w:bidi w:val="0"/>
        <w:spacing w:line="360" w:lineRule="auto"/>
        <w:ind w:left="0" w:leftChars="0"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21.5 磋商小组如发现供应商提供的证明文件不齐全或不符合规定格式的，应一次性告知供应商，供应商应在规定的时间内线上补正或更正。</w:t>
      </w:r>
    </w:p>
    <w:p w14:paraId="6D3F099D">
      <w:pPr>
        <w:pStyle w:val="9"/>
        <w:pageBreakBefore w:val="0"/>
        <w:widowControl w:val="0"/>
        <w:kinsoku/>
        <w:wordWrap/>
        <w:overflowPunct/>
        <w:topLinePunct w:val="0"/>
        <w:bidi w:val="0"/>
        <w:spacing w:line="360" w:lineRule="auto"/>
        <w:ind w:left="0" w:leftChars="0"/>
        <w:rPr>
          <w:rFonts w:ascii="宋体" w:hAnsi="宋体" w:cs="宋体"/>
          <w:color w:val="auto"/>
          <w:szCs w:val="21"/>
          <w:highlight w:val="none"/>
        </w:rPr>
      </w:pPr>
      <w:r>
        <w:rPr>
          <w:rFonts w:hint="eastAsia" w:ascii="宋体" w:hAnsi="宋体" w:cs="宋体"/>
          <w:color w:val="auto"/>
          <w:szCs w:val="21"/>
          <w:highlight w:val="none"/>
        </w:rPr>
        <w:t xml:space="preserve">    21.6 磋商小组在对响应文件的有效性、完整性和响应程度进行审查时，可以要求供应商对响应文件中含义不明确、同类问题表述不一致或者有明显文字和计算错误的内容等作出必要的澄清、说明或者更正。供应商的 澄清、说明或者更正不得超出响应文件的范围或者改变响应文件的实质性内容。澄清、说明或者更正应由其法定代表人或相应的授权委托代表签字（</w:t>
      </w:r>
      <w:r>
        <w:rPr>
          <w:rFonts w:hint="eastAsia" w:ascii="宋体" w:hAnsi="宋体" w:cs="宋体"/>
          <w:color w:val="auto"/>
          <w:highlight w:val="none"/>
        </w:rPr>
        <w:t>个人CA证书签章)</w:t>
      </w:r>
      <w:r>
        <w:rPr>
          <w:rFonts w:hint="eastAsia" w:ascii="宋体" w:hAnsi="宋体" w:cs="宋体"/>
          <w:color w:val="auto"/>
          <w:szCs w:val="21"/>
          <w:highlight w:val="none"/>
        </w:rPr>
        <w:t>或者加盖</w:t>
      </w:r>
      <w:r>
        <w:rPr>
          <w:rFonts w:hint="eastAsia" w:ascii="宋体" w:hAnsi="宋体"/>
          <w:color w:val="auto"/>
          <w:szCs w:val="21"/>
          <w:highlight w:val="none"/>
        </w:rPr>
        <w:t>供应商CA证书签章</w:t>
      </w:r>
      <w:r>
        <w:rPr>
          <w:rFonts w:hint="eastAsia" w:ascii="宋体" w:hAnsi="宋体" w:cs="宋体"/>
          <w:color w:val="auto"/>
          <w:szCs w:val="21"/>
          <w:highlight w:val="none"/>
        </w:rPr>
        <w:t>)。</w:t>
      </w:r>
    </w:p>
    <w:p w14:paraId="2F187E59">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根据磋商文件规定的程序、评定成交的标准等事项与实质性响应竞争性磋商文件要求的供应商进行磋商。未实质性响应磋商文件的响应文件按无效处理，磋商小组应当告知有关供应商。 </w:t>
      </w:r>
    </w:p>
    <w:p w14:paraId="098D027F">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磋商小组所有成员应当按已确定的磋商顺序集中与单一供应商分别进行磋商，并给予所有实质性响应竞争性磋商文件要求的供应商平等的磋商机会。 </w:t>
      </w:r>
    </w:p>
    <w:p w14:paraId="056F2F23">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磋商中，磋商小组不得透露与磋商有关的其他供应商的技术资料、价格和其他信息。 </w:t>
      </w:r>
    </w:p>
    <w:p w14:paraId="67983D39">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磋商小组对磋商过程和重要磋商内容进行记录，磋商双方在记录上签字确认。 </w:t>
      </w:r>
    </w:p>
    <w:p w14:paraId="1ECC175F">
      <w:pPr>
        <w:pageBreakBefore w:val="0"/>
        <w:widowControl w:val="0"/>
        <w:kinsoku/>
        <w:wordWrap/>
        <w:overflowPunct/>
        <w:topLinePunct w:val="0"/>
        <w:bidi w:val="0"/>
        <w:spacing w:line="360" w:lineRule="auto"/>
        <w:ind w:left="0" w:leftChars="0" w:firstLine="420" w:firstLineChars="200"/>
        <w:rPr>
          <w:rFonts w:ascii="宋体" w:hAnsi="宋体" w:cs="宋体"/>
          <w:color w:val="auto"/>
          <w:highlight w:val="none"/>
        </w:rPr>
      </w:pPr>
      <w:r>
        <w:rPr>
          <w:rFonts w:hint="eastAsia" w:ascii="宋体" w:hAnsi="宋体" w:cs="宋体"/>
          <w:color w:val="auto"/>
          <w:szCs w:val="21"/>
          <w:highlight w:val="none"/>
        </w:rPr>
        <w:t>21.7当磋商小组一致确定磋商供应商的竞争性磋商响应文件能够详细列明采购标的的技术、服务要求且符合竞争性磋商文件要求，无需再磋商的，磋商小组按竞争性磋商文件设定的21.11、21.16程序和综合评分法确定成交候选人。第一轮磋商后竞争性磋商文件有实质性变动或仍需磋商的，磋商小组对竞争性磋商文件变动或提出磋商意见后进行第二轮磋商。</w:t>
      </w:r>
    </w:p>
    <w:p w14:paraId="2E9C6F2A">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21.8 在磋商过程中，磋商小组可以根据磋商文件和磋商情况实质性变动项目需求中的技术、服务要求以及合同草案条款，但不得变动磋商文件中的其他内容。实质性变动的内容，须经采购人代表确认。 </w:t>
      </w:r>
    </w:p>
    <w:p w14:paraId="7CBF6EF0">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对磋商文件作出的实质性变动是磋商文件的有效组成部分，磋商小组应当及时通过广西政府采购云平台同时通知所有参加磋商的供应商。 </w:t>
      </w:r>
    </w:p>
    <w:p w14:paraId="6FBCF087">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供应商应当按照磋商文件的变动情况和磋商小组的要求重新提交响应文件，并由其法定代表人、负责人、自然人或相应的授权委托代表签字（个人CA证书签章）或者加盖</w:t>
      </w:r>
      <w:r>
        <w:rPr>
          <w:rFonts w:hint="eastAsia" w:ascii="宋体" w:hAnsi="宋体"/>
          <w:color w:val="auto"/>
          <w:szCs w:val="21"/>
          <w:highlight w:val="none"/>
        </w:rPr>
        <w:t>供应商CA证书签章</w:t>
      </w:r>
      <w:r>
        <w:rPr>
          <w:rFonts w:hint="eastAsia" w:ascii="宋体" w:hAnsi="宋体" w:cs="宋体"/>
          <w:color w:val="auto"/>
          <w:szCs w:val="21"/>
          <w:highlight w:val="none"/>
        </w:rPr>
        <w:t xml:space="preserve">。逾时不交的，视同放弃磋商。 </w:t>
      </w:r>
    </w:p>
    <w:p w14:paraId="4EB38A36">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21.9 第二轮磋商</w:t>
      </w:r>
    </w:p>
    <w:p w14:paraId="4F20BF6A">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磋商小组集中就重新提交的响应文件或磋商小组提出的磋商意见与单一响应供应商分别进行磋商。磋商小组对磋商过程和重要磋商内容进行记录，磋商双方在记录上签字确认（CA证书签章确认）。</w:t>
      </w:r>
    </w:p>
    <w:p w14:paraId="588E493D">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磋商后，供应商根据磋商小组统一整理的书面磋商记录要求做出书面承诺，并由其法定代表人或授权代表签字或者加盖公章（CA证书签章）后按时线上提交。</w:t>
      </w:r>
    </w:p>
    <w:p w14:paraId="61A2C75B">
      <w:pPr>
        <w:pageBreakBefore w:val="0"/>
        <w:widowControl w:val="0"/>
        <w:kinsoku/>
        <w:wordWrap/>
        <w:overflowPunct/>
        <w:topLinePunct w:val="0"/>
        <w:bidi w:val="0"/>
        <w:spacing w:line="360" w:lineRule="auto"/>
        <w:ind w:left="0" w:leftChars="0" w:firstLine="420" w:firstLineChars="200"/>
        <w:rPr>
          <w:rFonts w:ascii="宋体" w:hAnsi="宋体" w:cs="宋体"/>
          <w:color w:val="auto"/>
          <w:highlight w:val="none"/>
        </w:rPr>
      </w:pPr>
      <w:r>
        <w:rPr>
          <w:rFonts w:hint="eastAsia" w:ascii="宋体" w:hAnsi="宋体" w:cs="宋体"/>
          <w:color w:val="auto"/>
          <w:szCs w:val="21"/>
          <w:highlight w:val="none"/>
        </w:rPr>
        <w:t>当磋商小组一致确定供应商的竞争性磋商响应文件符合竞争性磋商文件要求，无需再磋商的，磋商小组按竞争性磋商文件设定的21.11、21.16程序和评审方法确定成交候选人。第二轮磋商后竞争性磋商文件仍有实质性变动的或仍需磋商的，磋商小组对竞争性磋商文件变动或提出磋商意见后进行第三轮磋商。以此类推。</w:t>
      </w:r>
    </w:p>
    <w:p w14:paraId="4D6DB5EE">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21.10 在采购过程中符合竞争要求的供应商或者报价未超过采购预算的供应商不足 3 家的，采购人或者采购代理机构应当终止竞争性磋商采购活动。 </w:t>
      </w:r>
    </w:p>
    <w:p w14:paraId="0ADB3D38">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21.11 最后报价 </w:t>
      </w:r>
    </w:p>
    <w:p w14:paraId="4E2C1693">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21.11.1 磋商文件能够详细列明采购标的的技术、服务要求的，磋商结束后，磋商小组应当要求所有继续参加磋商的供应商在规定时间内线上提交最后报价，提交最后报价的供应商不得少于 3 家。 </w:t>
      </w:r>
    </w:p>
    <w:p w14:paraId="7F1998E3">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21.11.2 磋商文件不能详细列明采购标的的技术、服务要求的，需由磋商供应商提供最终设计方案或解决方案的，磋商结束后，磋商小组应当按照少数服从多数的原则投票推荐 3 家以上（含 3 家）供应商的设计方案或者解决方案，并要求其在规定时间内线上提交最后报价。 </w:t>
      </w:r>
    </w:p>
    <w:p w14:paraId="19194AF8">
      <w:pPr>
        <w:pageBreakBefore w:val="0"/>
        <w:widowControl w:val="0"/>
        <w:kinsoku/>
        <w:wordWrap/>
        <w:overflowPunct/>
        <w:topLinePunct w:val="0"/>
        <w:bidi w:val="0"/>
        <w:spacing w:line="360" w:lineRule="auto"/>
        <w:ind w:left="0" w:leftChars="0" w:firstLine="420" w:firstLineChars="200"/>
        <w:rPr>
          <w:rFonts w:ascii="宋体" w:hAnsi="宋体" w:cs="宋体"/>
          <w:color w:val="auto"/>
          <w:highlight w:val="none"/>
        </w:rPr>
      </w:pPr>
      <w:r>
        <w:rPr>
          <w:rFonts w:hint="eastAsia" w:ascii="宋体" w:hAnsi="宋体" w:cs="宋体"/>
          <w:color w:val="auto"/>
          <w:szCs w:val="21"/>
          <w:highlight w:val="none"/>
        </w:rPr>
        <w:t xml:space="preserve">21.11.3 根据《财政部关于政府采购竞争性磋商采购方式管理暂行办法有关问题的补充通知》(财库〔2014〕214 号)的规定，如采购项目为政府购买服务项目（含政府和社会资本合作项目），在采购过程中符合要求的供应商（社会资本）只有 2 家的，竞争性磋商采购活动可以继续进行，并要求其在规定时间内线上提交最后报价；采购过程中符合要求的供应商（社会资本）只有 1 家的，采购人或者采购代理机构应当终止竞争性磋商采购活动，发布项目终止公告并说明原因，重新开展采购活动。 </w:t>
      </w:r>
    </w:p>
    <w:p w14:paraId="2772F02A">
      <w:pPr>
        <w:pageBreakBefore w:val="0"/>
        <w:widowControl w:val="0"/>
        <w:kinsoku/>
        <w:wordWrap/>
        <w:overflowPunct/>
        <w:topLinePunct w:val="0"/>
        <w:bidi w:val="0"/>
        <w:spacing w:line="360" w:lineRule="auto"/>
        <w:ind w:left="0" w:leftChars="0" w:firstLine="420" w:firstLineChars="200"/>
        <w:rPr>
          <w:rFonts w:ascii="宋体" w:hAnsi="宋体" w:cs="宋体"/>
          <w:b/>
          <w:bCs/>
          <w:color w:val="auto"/>
          <w:szCs w:val="21"/>
          <w:highlight w:val="none"/>
        </w:rPr>
      </w:pPr>
      <w:r>
        <w:rPr>
          <w:rFonts w:hint="eastAsia" w:ascii="宋体" w:hAnsi="宋体" w:cs="宋体"/>
          <w:color w:val="auto"/>
          <w:szCs w:val="21"/>
          <w:highlight w:val="none"/>
        </w:rPr>
        <w:t>21.11.4 根据《政府采购竞争性磋商采购方式管理暂行办法》(财库〔2014〕214 号)的规定：</w:t>
      </w:r>
      <w:r>
        <w:rPr>
          <w:rFonts w:hint="eastAsia" w:ascii="宋体" w:hAnsi="宋体" w:cs="宋体"/>
          <w:b/>
          <w:bCs/>
          <w:color w:val="auto"/>
          <w:szCs w:val="21"/>
          <w:highlight w:val="none"/>
        </w:rPr>
        <w:t xml:space="preserve">最后报价是供应商响应文件的有效组成部分。 </w:t>
      </w:r>
      <w:r>
        <w:rPr>
          <w:rFonts w:hint="eastAsia" w:ascii="宋体" w:hAnsi="宋体" w:cs="宋体"/>
          <w:color w:val="auto"/>
          <w:szCs w:val="21"/>
          <w:highlight w:val="none"/>
        </w:rPr>
        <w:t>符合本办法(财库〔2014〕214号)第三条第四项情形的，提交最后报价的供应商可以为2家。</w:t>
      </w:r>
      <w:r>
        <w:rPr>
          <w:rFonts w:hint="eastAsia" w:ascii="宋体" w:hAnsi="宋体" w:cs="宋体"/>
          <w:b/>
          <w:bCs/>
          <w:color w:val="auto"/>
          <w:szCs w:val="21"/>
          <w:highlight w:val="none"/>
        </w:rPr>
        <w:t>（财库〔2014〕214号文第三条第四项：市场竞争不充分的科研项目，以及需要扶持的科技成果转化项目。）</w:t>
      </w:r>
    </w:p>
    <w:p w14:paraId="33D93884">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21.12 已提交响应文件的供应商，在提交最后报价之前，可以根据磋商情况书面退出磋商。 </w:t>
      </w:r>
    </w:p>
    <w:p w14:paraId="3C674050">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未书面退出磋商的供应商在规定时间内线上提交最后报价，其最后报价超出采购预算导致已通过评审的响应文件无效的，按供应商在提交响应文件截止时间后撤回响应文件处理。 </w:t>
      </w:r>
    </w:p>
    <w:p w14:paraId="59A2D05E">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21.13 评审报告 </w:t>
      </w:r>
    </w:p>
    <w:p w14:paraId="1BA49EC2">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磋商小组应当从质量和服务均能满足磋商文件全部实质性响应要求的供应商中，按照最后综合得分由高到低的顺序提出 3 名以上（含 3 名）成交候选人，并编写评审报告。</w:t>
      </w:r>
    </w:p>
    <w:p w14:paraId="79553A77">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21.14 在评审过程中出现法律法规和磋商文件均没有明确规定的情形时，由磋商小组现场协商解决，协商不一致的，由全体磋商小组投票表决，以得票率二分之一以上磋商小组成员的意见为准。 </w:t>
      </w:r>
    </w:p>
    <w:p w14:paraId="7EEB413F">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21.15 采购代理机构发现磋商小组有明显的违规倾向或歧视现象，或不按评审办法进行，或其他不正常行为的，应当及时制止。如制止无效，应及时向桂林市财政局报告。</w:t>
      </w:r>
    </w:p>
    <w:p w14:paraId="41EF9043">
      <w:pPr>
        <w:pageBreakBefore w:val="0"/>
        <w:widowControl w:val="0"/>
        <w:kinsoku/>
        <w:wordWrap/>
        <w:overflowPunct/>
        <w:topLinePunct w:val="0"/>
        <w:bidi w:val="0"/>
        <w:spacing w:line="360" w:lineRule="auto"/>
        <w:ind w:left="0" w:leftChars="0" w:firstLine="420" w:firstLineChars="200"/>
        <w:rPr>
          <w:rFonts w:ascii="宋体" w:hAnsi="宋体" w:cs="宋体"/>
          <w:b/>
          <w:bCs/>
          <w:color w:val="auto"/>
          <w:highlight w:val="none"/>
        </w:rPr>
      </w:pPr>
      <w:r>
        <w:rPr>
          <w:rFonts w:hint="eastAsia" w:ascii="宋体" w:hAnsi="宋体" w:cs="宋体"/>
          <w:color w:val="auto"/>
          <w:szCs w:val="21"/>
          <w:highlight w:val="none"/>
        </w:rPr>
        <w:t>21.16 本采购项目的评审依据为竞争性磋商文件和竞争性磋商响应文件，采用的评审方法为</w:t>
      </w:r>
      <w:r>
        <w:rPr>
          <w:rFonts w:hint="eastAsia" w:ascii="宋体" w:hAnsi="宋体" w:cs="宋体"/>
          <w:b/>
          <w:bCs/>
          <w:color w:val="auto"/>
          <w:szCs w:val="21"/>
          <w:highlight w:val="none"/>
        </w:rPr>
        <w:t>综合评分法。</w:t>
      </w:r>
    </w:p>
    <w:p w14:paraId="6516660F">
      <w:pPr>
        <w:pageBreakBefore w:val="0"/>
        <w:widowControl w:val="0"/>
        <w:kinsoku/>
        <w:wordWrap/>
        <w:overflowPunct/>
        <w:topLinePunct w:val="0"/>
        <w:bidi w:val="0"/>
        <w:spacing w:line="360" w:lineRule="auto"/>
        <w:ind w:left="0" w:leftChars="0" w:firstLine="422" w:firstLineChars="200"/>
        <w:rPr>
          <w:rFonts w:ascii="宋体" w:hAnsi="宋体" w:cs="宋体"/>
          <w:b/>
          <w:bCs/>
          <w:color w:val="auto"/>
          <w:szCs w:val="21"/>
          <w:highlight w:val="none"/>
        </w:rPr>
      </w:pPr>
      <w:bookmarkStart w:id="113" w:name="_Toc2766"/>
      <w:bookmarkStart w:id="114" w:name="_Toc21715"/>
      <w:r>
        <w:rPr>
          <w:rFonts w:hint="eastAsia" w:ascii="宋体" w:hAnsi="宋体" w:cs="宋体"/>
          <w:b/>
          <w:bCs/>
          <w:color w:val="auto"/>
          <w:szCs w:val="21"/>
          <w:highlight w:val="none"/>
        </w:rPr>
        <w:t>22.推荐成交候选供应商原则</w:t>
      </w:r>
    </w:p>
    <w:p w14:paraId="32334092">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22.1磋商小组应当根据综合评分情况，按照综合得分由高到低顺序推荐成交候选供应商，并编写评审报告。磋商小组根据综合得分由高到低排列次序，若得分相同时，依次按照</w:t>
      </w:r>
      <w:r>
        <w:rPr>
          <w:rFonts w:hint="eastAsia" w:ascii="宋体" w:hAnsi="宋体" w:cs="宋体"/>
          <w:b w:val="0"/>
          <w:bCs w:val="0"/>
          <w:color w:val="auto"/>
          <w:szCs w:val="21"/>
          <w:highlight w:val="none"/>
        </w:rPr>
        <w:t>磋商报价、</w:t>
      </w:r>
      <w:r>
        <w:rPr>
          <w:rFonts w:hint="eastAsia" w:hAnsi="宋体" w:cs="宋体"/>
          <w:b w:val="0"/>
          <w:bCs w:val="0"/>
          <w:color w:val="auto"/>
          <w:szCs w:val="21"/>
          <w:highlight w:val="none"/>
          <w:lang w:val="en-US" w:eastAsia="zh-CN"/>
        </w:rPr>
        <w:t>技术</w:t>
      </w:r>
      <w:r>
        <w:rPr>
          <w:rFonts w:hint="eastAsia" w:hAnsi="宋体" w:cs="宋体"/>
          <w:b w:val="0"/>
          <w:bCs w:val="0"/>
          <w:color w:val="auto"/>
          <w:szCs w:val="21"/>
          <w:highlight w:val="none"/>
          <w:lang w:eastAsia="zh-CN"/>
        </w:rPr>
        <w:t>、商务</w:t>
      </w:r>
      <w:r>
        <w:rPr>
          <w:rFonts w:hint="eastAsia" w:ascii="宋体" w:hAnsi="宋体" w:cs="宋体"/>
          <w:color w:val="auto"/>
          <w:szCs w:val="21"/>
          <w:highlight w:val="none"/>
        </w:rPr>
        <w:t>得分由高到低顺序排列。</w:t>
      </w:r>
    </w:p>
    <w:p w14:paraId="62B3A63E">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22.2采购单位应当确定磋商小组推荐排名第一的成交候选人为成交供应商。</w:t>
      </w:r>
    </w:p>
    <w:p w14:paraId="622C3F5E">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22.3排名第一的成交候选人放弃成交、因不可抗力提出不能履行合同，或者磋商文件规定应当提交履约保证金而在规定的期限内未能提交的，采购单位可以确定排名第二的成交候选人为成交供应商。</w:t>
      </w:r>
    </w:p>
    <w:p w14:paraId="074EA910">
      <w:pPr>
        <w:pStyle w:val="10"/>
        <w:pageBreakBefore w:val="0"/>
        <w:widowControl w:val="0"/>
        <w:kinsoku/>
        <w:wordWrap/>
        <w:overflowPunct/>
        <w:topLinePunct w:val="0"/>
        <w:bidi w:val="0"/>
        <w:spacing w:line="360" w:lineRule="auto"/>
        <w:ind w:left="0" w:leftChars="0" w:firstLine="420"/>
        <w:rPr>
          <w:rFonts w:ascii="宋体" w:hAnsi="宋体" w:cs="宋体"/>
          <w:color w:val="auto"/>
          <w:szCs w:val="21"/>
          <w:highlight w:val="none"/>
        </w:rPr>
      </w:pPr>
      <w:r>
        <w:rPr>
          <w:rFonts w:hint="eastAsia" w:ascii="宋体" w:hAnsi="宋体" w:cs="宋体"/>
          <w:color w:val="auto"/>
          <w:szCs w:val="21"/>
          <w:highlight w:val="none"/>
        </w:rPr>
        <w:t>22.4排名第二的成交候选人因前款规定的同样原因不能签订合同的，采购单位可以确定排名第三的成交候选人为成交供应商。</w:t>
      </w:r>
    </w:p>
    <w:p w14:paraId="07375F77">
      <w:pPr>
        <w:pStyle w:val="10"/>
        <w:pageBreakBefore w:val="0"/>
        <w:widowControl w:val="0"/>
        <w:kinsoku/>
        <w:wordWrap/>
        <w:overflowPunct/>
        <w:topLinePunct w:val="0"/>
        <w:bidi w:val="0"/>
        <w:spacing w:line="360" w:lineRule="auto"/>
        <w:ind w:left="0" w:leftChars="0" w:firstLine="420"/>
        <w:rPr>
          <w:rFonts w:ascii="宋体" w:hAnsi="宋体" w:cs="宋体"/>
          <w:b/>
          <w:bCs/>
          <w:color w:val="auto"/>
          <w:szCs w:val="21"/>
          <w:highlight w:val="none"/>
        </w:rPr>
      </w:pPr>
      <w:r>
        <w:rPr>
          <w:rFonts w:hint="eastAsia" w:ascii="宋体" w:hAnsi="宋体" w:cs="宋体"/>
          <w:b/>
          <w:bCs/>
          <w:color w:val="auto"/>
          <w:szCs w:val="21"/>
          <w:highlight w:val="none"/>
        </w:rPr>
        <w:t>23. 属于下列情况之一者，响应文件无效</w:t>
      </w:r>
      <w:bookmarkEnd w:id="113"/>
      <w:bookmarkEnd w:id="114"/>
    </w:p>
    <w:p w14:paraId="0C6D1613">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（1）未按磋商文件规定完整线上提交响应文件或未按规定要求线上签字、签章的；</w:t>
      </w:r>
    </w:p>
    <w:p w14:paraId="197395F4">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（2）不具备磋商文件规定的资格要求的；</w:t>
      </w:r>
    </w:p>
    <w:p w14:paraId="4AF3794E">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（3）响应文件未按磋商文件的内容和要求编制，或提供虚假材料的；</w:t>
      </w:r>
    </w:p>
    <w:p w14:paraId="7A167A22">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（4）响应文件有效期、售后服务承诺不能满足磋商文件要求的；</w:t>
      </w:r>
    </w:p>
    <w:p w14:paraId="0D73A2E6">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（5）供应商未就“采购需求”中的所有内容作完整唯一报价的，或报价超出采购预算总金额的；</w:t>
      </w:r>
    </w:p>
    <w:p w14:paraId="6ED9EA39">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（6）未在磋商小组规定的时间内提交响应文件(包括最后报价)的；</w:t>
      </w:r>
    </w:p>
    <w:p w14:paraId="48121E47">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（7）超越了按照法律法规规定必须获得行政许可或者行政审批的经营范围的；</w:t>
      </w:r>
    </w:p>
    <w:p w14:paraId="74DDB2BF">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（8）未满足磋商文件实质性要求的或者响应文件有采购人不能接受的附加条件的；</w:t>
      </w:r>
    </w:p>
    <w:p w14:paraId="48E92122">
      <w:pPr>
        <w:pageBreakBefore w:val="0"/>
        <w:widowControl w:val="0"/>
        <w:kinsoku/>
        <w:wordWrap/>
        <w:overflowPunct/>
        <w:topLinePunct w:val="0"/>
        <w:bidi w:val="0"/>
        <w:spacing w:line="360" w:lineRule="auto"/>
        <w:ind w:left="0" w:leftChars="0" w:firstLine="420" w:firstLineChars="200"/>
        <w:rPr>
          <w:rFonts w:ascii="宋体" w:hAnsi="宋体" w:cs="宋体"/>
          <w:color w:val="auto"/>
          <w:highlight w:val="none"/>
        </w:rPr>
      </w:pPr>
      <w:r>
        <w:rPr>
          <w:rFonts w:hint="eastAsia" w:ascii="宋体" w:hAnsi="宋体" w:cs="宋体"/>
          <w:color w:val="auto"/>
          <w:szCs w:val="21"/>
          <w:highlight w:val="none"/>
        </w:rPr>
        <w:t>（9）响应文件实质性要求未做变动，供应商最后报价高于第一次报价的；</w:t>
      </w:r>
    </w:p>
    <w:p w14:paraId="07D8B9A5">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（10）不符合法律、法规和磋商文件规定的其他实质性要求和条件的。</w:t>
      </w:r>
    </w:p>
    <w:p w14:paraId="4C51111B">
      <w:pPr>
        <w:pageBreakBefore w:val="0"/>
        <w:widowControl w:val="0"/>
        <w:kinsoku/>
        <w:wordWrap/>
        <w:overflowPunct/>
        <w:topLinePunct w:val="0"/>
        <w:bidi w:val="0"/>
        <w:spacing w:line="360" w:lineRule="auto"/>
        <w:ind w:left="0" w:leftChars="0"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供应商有下列情形之一的视为供应商相互串通磋商，响应文件将被视为无效</w:t>
      </w:r>
    </w:p>
    <w:p w14:paraId="7BD29812">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（1）不同供应商的响应文件由同一单位或者个人编制；或不同供应商报名的IP地址一致的；</w:t>
      </w:r>
    </w:p>
    <w:p w14:paraId="6161D6FE">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（2）不同供应商委托同一单位或者个人办理磋商事宜；</w:t>
      </w:r>
    </w:p>
    <w:p w14:paraId="2630CBBB">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101908B2">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（4）不同供应商的响应文件异常一致或竞标报价呈规律性差异；</w:t>
      </w:r>
    </w:p>
    <w:p w14:paraId="4C9A6192">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（5）不同供应商的响应文件相互混编；</w:t>
      </w:r>
    </w:p>
    <w:p w14:paraId="5F242A8C">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（6）不同供应商的磋商保证金从同一单位或者个人账户转出。</w:t>
      </w:r>
    </w:p>
    <w:p w14:paraId="5D3A7B18">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115" w:name="_Toc20770"/>
      <w:bookmarkStart w:id="116" w:name="_Toc5714"/>
      <w:r>
        <w:rPr>
          <w:rFonts w:hint="eastAsia" w:ascii="宋体" w:hAnsi="宋体" w:cs="宋体"/>
          <w:color w:val="auto"/>
          <w:sz w:val="21"/>
          <w:szCs w:val="21"/>
          <w:highlight w:val="none"/>
        </w:rPr>
        <w:t>24. 出现下列情形之一的，采购人或者采购代理机构应当终止竞争性磋商采购活动，发布项目终止公告并说明原因，重新开展采购活动</w:t>
      </w:r>
      <w:bookmarkEnd w:id="115"/>
      <w:bookmarkEnd w:id="116"/>
    </w:p>
    <w:p w14:paraId="12B1CB3F">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（1）因情况变化，不再符合规定的竞争性磋商采购方式适用情形的；</w:t>
      </w:r>
    </w:p>
    <w:p w14:paraId="075FEC42">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（2）出现影响采购公正的违法、违规行为的； </w:t>
      </w:r>
    </w:p>
    <w:p w14:paraId="52FB3A74">
      <w:pPr>
        <w:pageBreakBefore w:val="0"/>
        <w:widowControl w:val="0"/>
        <w:kinsoku/>
        <w:wordWrap/>
        <w:overflowPunct/>
        <w:topLinePunct w:val="0"/>
        <w:bidi w:val="0"/>
        <w:spacing w:line="360" w:lineRule="auto"/>
        <w:ind w:left="0" w:leftChars="0" w:firstLine="420" w:firstLineChars="200"/>
        <w:rPr>
          <w:rFonts w:ascii="宋体" w:hAnsi="宋体" w:cs="宋体"/>
          <w:b/>
          <w:bCs/>
          <w:color w:val="auto"/>
          <w:szCs w:val="21"/>
          <w:highlight w:val="none"/>
        </w:rPr>
      </w:pPr>
      <w:r>
        <w:rPr>
          <w:rFonts w:hint="eastAsia" w:ascii="宋体" w:hAnsi="宋体" w:cs="宋体"/>
          <w:color w:val="auto"/>
          <w:szCs w:val="21"/>
          <w:highlight w:val="none"/>
        </w:rPr>
        <w:t>（3）在采购过程中符合竞争要求的供应商或者报价未超过采购预算的供应商不足3家的。</w:t>
      </w:r>
      <w:r>
        <w:rPr>
          <w:rFonts w:hint="eastAsia" w:ascii="宋体" w:hAnsi="宋体" w:cs="宋体"/>
          <w:b/>
          <w:bCs/>
          <w:color w:val="auto"/>
          <w:szCs w:val="21"/>
          <w:highlight w:val="none"/>
        </w:rPr>
        <w:t xml:space="preserve">（除财库〔2014〕214 号《政府采购竞争性磋商采购方式管理暂行办法》第二十一条第三款规定的情形外） </w:t>
      </w:r>
    </w:p>
    <w:p w14:paraId="00E86FAD">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117" w:name="_Toc19105"/>
      <w:bookmarkStart w:id="118" w:name="_Toc32461"/>
      <w:r>
        <w:rPr>
          <w:rFonts w:hint="eastAsia" w:ascii="宋体" w:hAnsi="宋体" w:cs="宋体"/>
          <w:color w:val="auto"/>
          <w:sz w:val="21"/>
          <w:szCs w:val="21"/>
          <w:highlight w:val="none"/>
        </w:rPr>
        <w:t>25. 磋商过程的监控</w:t>
      </w:r>
      <w:bookmarkEnd w:id="117"/>
      <w:bookmarkEnd w:id="118"/>
    </w:p>
    <w:p w14:paraId="0D1FC8E4">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本项目磋商过程实行全程录音、录像监控，供应商在磋商过程中所进行的试图影响磋商结果的不公正活动，可能导致其磋商被拒绝。</w:t>
      </w:r>
    </w:p>
    <w:p w14:paraId="2748DA8C">
      <w:pPr>
        <w:pStyle w:val="5"/>
        <w:pageBreakBefore w:val="0"/>
        <w:widowControl w:val="0"/>
        <w:numPr>
          <w:ilvl w:val="0"/>
          <w:numId w:val="5"/>
        </w:numPr>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119" w:name="_Toc32457"/>
      <w:bookmarkStart w:id="120" w:name="_Toc14787"/>
      <w:r>
        <w:rPr>
          <w:rFonts w:hint="eastAsia" w:ascii="宋体" w:hAnsi="宋体" w:cs="宋体"/>
          <w:color w:val="auto"/>
          <w:sz w:val="21"/>
          <w:szCs w:val="21"/>
          <w:highlight w:val="none"/>
        </w:rPr>
        <w:t>信用查询</w:t>
      </w:r>
      <w:bookmarkEnd w:id="119"/>
      <w:bookmarkEnd w:id="120"/>
    </w:p>
    <w:p w14:paraId="7FA95AE7">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根据《关于做好政府采购有关信用主体标识码登记及在政府采购活动中查询使用信用记录有关问题的通知》（桂财采〔2016〕37号</w:t>
      </w:r>
      <w:r>
        <w:rPr>
          <w:rFonts w:hint="eastAsia"/>
          <w:color w:val="auto"/>
          <w:highlight w:val="none"/>
        </w:rPr>
        <w:t>）</w:t>
      </w:r>
      <w:r>
        <w:rPr>
          <w:rFonts w:hint="eastAsia" w:ascii="宋体" w:hAnsi="宋体" w:cs="宋体"/>
          <w:color w:val="auto"/>
          <w:szCs w:val="21"/>
          <w:highlight w:val="none"/>
        </w:rPr>
        <w:t>，采购代理机构对成交人的成交资格进行信用查询：</w:t>
      </w:r>
    </w:p>
    <w:p w14:paraId="09C0799F">
      <w:pPr>
        <w:pageBreakBefore w:val="0"/>
        <w:widowControl w:val="0"/>
        <w:kinsoku/>
        <w:wordWrap/>
        <w:overflowPunct/>
        <w:topLinePunct w:val="0"/>
        <w:bidi w:val="0"/>
        <w:spacing w:line="360" w:lineRule="auto"/>
        <w:ind w:left="0" w:leftChars="0" w:firstLine="210" w:firstLineChars="100"/>
        <w:rPr>
          <w:rFonts w:ascii="宋体" w:hAnsi="宋体" w:cs="宋体"/>
          <w:color w:val="auto"/>
          <w:szCs w:val="21"/>
          <w:highlight w:val="none"/>
        </w:rPr>
      </w:pPr>
      <w:r>
        <w:rPr>
          <w:rFonts w:hint="eastAsia" w:ascii="宋体" w:hAnsi="宋体" w:cs="宋体"/>
          <w:color w:val="auto"/>
          <w:szCs w:val="21"/>
          <w:highlight w:val="none"/>
        </w:rPr>
        <w:t>（1）查询渠道：“信用中国”网站(www.creditchina.gov.cn)、中国政府采购网(www.ccgp.gov.cn)等；</w:t>
      </w:r>
    </w:p>
    <w:p w14:paraId="738E0625">
      <w:pPr>
        <w:pageBreakBefore w:val="0"/>
        <w:widowControl w:val="0"/>
        <w:kinsoku/>
        <w:wordWrap/>
        <w:overflowPunct/>
        <w:topLinePunct w:val="0"/>
        <w:bidi w:val="0"/>
        <w:spacing w:line="360" w:lineRule="auto"/>
        <w:ind w:left="0" w:leftChars="0" w:firstLine="210" w:firstLineChars="100"/>
        <w:rPr>
          <w:rFonts w:ascii="宋体" w:hAnsi="宋体" w:cs="宋体"/>
          <w:color w:val="auto"/>
          <w:szCs w:val="21"/>
          <w:highlight w:val="none"/>
        </w:rPr>
      </w:pPr>
      <w:r>
        <w:rPr>
          <w:rFonts w:hint="eastAsia" w:ascii="宋体" w:hAnsi="宋体" w:cs="宋体"/>
          <w:color w:val="auto"/>
          <w:szCs w:val="21"/>
          <w:highlight w:val="none"/>
        </w:rPr>
        <w:t>（2）查询时间：成交通知书发出前；</w:t>
      </w:r>
    </w:p>
    <w:p w14:paraId="56C1E560">
      <w:pPr>
        <w:pageBreakBefore w:val="0"/>
        <w:widowControl w:val="0"/>
        <w:kinsoku/>
        <w:wordWrap/>
        <w:overflowPunct/>
        <w:topLinePunct w:val="0"/>
        <w:bidi w:val="0"/>
        <w:spacing w:line="360" w:lineRule="auto"/>
        <w:ind w:left="0" w:leftChars="0" w:firstLine="210" w:firstLineChars="100"/>
        <w:rPr>
          <w:rFonts w:ascii="宋体" w:hAnsi="宋体" w:cs="宋体"/>
          <w:color w:val="auto"/>
          <w:szCs w:val="21"/>
          <w:highlight w:val="none"/>
        </w:rPr>
      </w:pPr>
      <w:r>
        <w:rPr>
          <w:rFonts w:hint="eastAsia" w:ascii="宋体" w:hAnsi="宋体" w:cs="宋体"/>
          <w:color w:val="auto"/>
          <w:szCs w:val="21"/>
          <w:highlight w:val="none"/>
        </w:rPr>
        <w:t>（3）信用信息查询记录和证据留存方式：在查询网站中直接打印查询记录，打印材料作为采购活动资料保存。</w:t>
      </w:r>
    </w:p>
    <w:p w14:paraId="29798572">
      <w:pPr>
        <w:pageBreakBefore w:val="0"/>
        <w:widowControl w:val="0"/>
        <w:kinsoku/>
        <w:wordWrap/>
        <w:overflowPunct/>
        <w:topLinePunct w:val="0"/>
        <w:bidi w:val="0"/>
        <w:spacing w:line="360" w:lineRule="auto"/>
        <w:ind w:left="0" w:leftChars="0" w:firstLine="210" w:firstLineChars="100"/>
        <w:rPr>
          <w:rFonts w:ascii="宋体" w:hAnsi="宋体" w:cs="宋体"/>
          <w:color w:val="auto"/>
          <w:szCs w:val="21"/>
          <w:highlight w:val="none"/>
        </w:rPr>
      </w:pPr>
      <w:r>
        <w:rPr>
          <w:rFonts w:hint="eastAsia" w:ascii="宋体" w:hAnsi="宋体" w:cs="宋体"/>
          <w:color w:val="auto"/>
          <w:szCs w:val="21"/>
          <w:highlight w:val="none"/>
        </w:rPr>
        <w:t>（4）信用信息使用规则：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政府采购活动，取消其成交候选人资格。采购人依法按照评审报告中磋商小组推荐成交候选人排序表确定排名第二的成交候选人为成交供应商或者重新组织采购。</w:t>
      </w:r>
    </w:p>
    <w:p w14:paraId="7B86A9EE">
      <w:pPr>
        <w:pageBreakBefore w:val="0"/>
        <w:widowControl w:val="0"/>
        <w:kinsoku/>
        <w:wordWrap/>
        <w:overflowPunct/>
        <w:topLinePunct w:val="0"/>
        <w:bidi w:val="0"/>
        <w:spacing w:line="360" w:lineRule="auto"/>
        <w:ind w:left="0" w:leftChars="0" w:firstLine="420" w:firstLineChars="200"/>
        <w:rPr>
          <w:rFonts w:ascii="宋体" w:hAnsi="宋体" w:cs="宋体"/>
          <w:color w:val="auto"/>
          <w:highlight w:val="none"/>
        </w:rPr>
      </w:pPr>
      <w:r>
        <w:rPr>
          <w:rFonts w:hint="eastAsia" w:ascii="宋体" w:hAnsi="宋体" w:cs="宋体"/>
          <w:color w:val="auto"/>
          <w:szCs w:val="21"/>
          <w:highlight w:val="none"/>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5802EA19">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121" w:name="_Toc9438"/>
      <w:bookmarkStart w:id="122" w:name="_Toc778"/>
      <w:r>
        <w:rPr>
          <w:rFonts w:hint="eastAsia" w:ascii="宋体" w:hAnsi="宋体" w:cs="宋体"/>
          <w:color w:val="auto"/>
          <w:sz w:val="21"/>
          <w:szCs w:val="21"/>
          <w:highlight w:val="none"/>
        </w:rPr>
        <w:t>27. 成交结果公告及成交通知书</w:t>
      </w:r>
      <w:bookmarkEnd w:id="121"/>
      <w:bookmarkEnd w:id="122"/>
    </w:p>
    <w:p w14:paraId="2EA0685C">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27.1 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14:paraId="64AED338">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27.2 在发布成交公告的同时，采购代理机构向成交供应商发出成交通知书。成交供应商自接到通知之日起七个工作日内，办理成交通知书领取手续。</w:t>
      </w:r>
    </w:p>
    <w:p w14:paraId="09BD0360">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27.3 采购代理机构无义务向未成交的供应商解释未成交原因和退还响应文件。</w:t>
      </w:r>
    </w:p>
    <w:p w14:paraId="6D93FB29">
      <w:pPr>
        <w:pStyle w:val="3"/>
        <w:pageBreakBefore w:val="0"/>
        <w:widowControl w:val="0"/>
        <w:kinsoku/>
        <w:wordWrap/>
        <w:overflowPunct/>
        <w:topLinePunct w:val="0"/>
        <w:bidi w:val="0"/>
        <w:spacing w:line="360" w:lineRule="auto"/>
        <w:ind w:left="0" w:leftChars="0"/>
        <w:jc w:val="center"/>
        <w:rPr>
          <w:rFonts w:ascii="宋体" w:hAnsi="宋体" w:cs="宋体"/>
          <w:b/>
          <w:bCs w:val="0"/>
          <w:color w:val="auto"/>
          <w:szCs w:val="28"/>
          <w:highlight w:val="none"/>
        </w:rPr>
      </w:pPr>
      <w:bookmarkStart w:id="123" w:name="_Toc19479"/>
      <w:bookmarkStart w:id="124" w:name="_Toc25593"/>
      <w:r>
        <w:rPr>
          <w:rFonts w:hint="eastAsia" w:ascii="宋体" w:hAnsi="宋体" w:cs="宋体"/>
          <w:b/>
          <w:bCs w:val="0"/>
          <w:color w:val="auto"/>
          <w:szCs w:val="28"/>
          <w:highlight w:val="none"/>
        </w:rPr>
        <w:t>五、签订合同</w:t>
      </w:r>
      <w:bookmarkEnd w:id="123"/>
      <w:bookmarkEnd w:id="124"/>
    </w:p>
    <w:p w14:paraId="4C0372E2">
      <w:pPr>
        <w:pageBreakBefore w:val="0"/>
        <w:widowControl w:val="0"/>
        <w:kinsoku/>
        <w:wordWrap/>
        <w:overflowPunct/>
        <w:topLinePunct w:val="0"/>
        <w:bidi w:val="0"/>
        <w:spacing w:line="360" w:lineRule="auto"/>
        <w:ind w:left="0" w:leftChars="0" w:firstLine="422" w:firstLineChars="200"/>
        <w:rPr>
          <w:b/>
          <w:bCs/>
          <w:color w:val="auto"/>
          <w:highlight w:val="none"/>
        </w:rPr>
      </w:pPr>
      <w:bookmarkStart w:id="125" w:name="_Toc26520"/>
      <w:bookmarkStart w:id="126" w:name="_Toc2100"/>
      <w:r>
        <w:rPr>
          <w:rFonts w:hint="eastAsia"/>
          <w:b/>
          <w:bCs/>
          <w:color w:val="auto"/>
          <w:highlight w:val="none"/>
        </w:rPr>
        <w:t>28. 履约保证金</w:t>
      </w:r>
      <w:bookmarkEnd w:id="125"/>
      <w:bookmarkEnd w:id="126"/>
      <w:r>
        <w:rPr>
          <w:rFonts w:hint="eastAsia"/>
          <w:b/>
          <w:bCs/>
          <w:color w:val="auto"/>
          <w:highlight w:val="none"/>
        </w:rPr>
        <w:t>：</w:t>
      </w:r>
    </w:p>
    <w:p w14:paraId="0C54FCB1">
      <w:pPr>
        <w:pStyle w:val="16"/>
        <w:pageBreakBefore w:val="0"/>
        <w:widowControl w:val="0"/>
        <w:kinsoku/>
        <w:wordWrap/>
        <w:overflowPunct/>
        <w:topLinePunct w:val="0"/>
        <w:bidi w:val="0"/>
        <w:spacing w:line="360" w:lineRule="auto"/>
        <w:ind w:left="0" w:leftChars="0"/>
        <w:rPr>
          <w:rFonts w:hint="eastAsia" w:eastAsia="宋体"/>
          <w:color w:val="auto"/>
          <w:highlight w:val="none"/>
          <w:lang w:eastAsia="zh-CN"/>
        </w:rPr>
      </w:pPr>
      <w:r>
        <w:rPr>
          <w:rFonts w:hint="eastAsia"/>
          <w:color w:val="auto"/>
          <w:highlight w:val="none"/>
          <w:lang w:val="en-US" w:eastAsia="zh-CN"/>
        </w:rPr>
        <w:t xml:space="preserve">        </w:t>
      </w:r>
      <w:r>
        <w:rPr>
          <w:rFonts w:hint="eastAsia"/>
          <w:color w:val="auto"/>
          <w:sz w:val="21"/>
          <w:szCs w:val="21"/>
          <w:highlight w:val="none"/>
          <w:lang w:eastAsia="zh-CN"/>
        </w:rPr>
        <w:t>无。</w:t>
      </w:r>
    </w:p>
    <w:p w14:paraId="3D095B10">
      <w:pPr>
        <w:pageBreakBefore w:val="0"/>
        <w:widowControl w:val="0"/>
        <w:kinsoku/>
        <w:wordWrap/>
        <w:overflowPunct/>
        <w:topLinePunct w:val="0"/>
        <w:bidi w:val="0"/>
        <w:spacing w:line="360" w:lineRule="auto"/>
        <w:ind w:left="0" w:leftChars="0" w:firstLine="422" w:firstLineChars="200"/>
        <w:jc w:val="left"/>
        <w:rPr>
          <w:b/>
          <w:bCs/>
          <w:color w:val="auto"/>
          <w:highlight w:val="none"/>
        </w:rPr>
      </w:pPr>
      <w:bookmarkStart w:id="127" w:name="_Toc1023"/>
      <w:bookmarkStart w:id="128" w:name="_Toc4956"/>
      <w:r>
        <w:rPr>
          <w:rFonts w:hint="eastAsia"/>
          <w:b/>
          <w:bCs/>
          <w:color w:val="auto"/>
          <w:highlight w:val="none"/>
        </w:rPr>
        <w:t>29. 签订合同</w:t>
      </w:r>
      <w:bookmarkEnd w:id="127"/>
      <w:bookmarkEnd w:id="128"/>
    </w:p>
    <w:p w14:paraId="2512DDCA">
      <w:pPr>
        <w:pageBreakBefore w:val="0"/>
        <w:widowControl w:val="0"/>
        <w:kinsoku/>
        <w:wordWrap/>
        <w:overflowPunct/>
        <w:topLinePunct w:val="0"/>
        <w:bidi w:val="0"/>
        <w:spacing w:line="360" w:lineRule="auto"/>
        <w:ind w:left="0" w:leftChars="0"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29.1 签订合同时间：成交通知书发出之日起八个工作日内签订合同。成交供应商领取成交通知书后，应按规定与采购人签订合同。</w:t>
      </w:r>
    </w:p>
    <w:p w14:paraId="3B1935EF">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29.2 如成交供应商有下列情形之一的，情节严重的，由财政部门将其列入不良行为记录名单，在一至三年内禁止参加政府采购活动，并予以通报。采购代理机构可从磋商小组推荐的成交候选人中按顺序重新确定成交供应商或重新组织采购。拒绝签订政府采购合同的成交供应商不得参加对该项目重新开展的采购活动。</w:t>
      </w:r>
    </w:p>
    <w:p w14:paraId="12F1545C">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（1）成交后不与采购人签订合同的（不可抗力除外）；</w:t>
      </w:r>
    </w:p>
    <w:p w14:paraId="4C30B689">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（2）将成交项目转让给他人，或者在响应文件中未说明，且未经采购人同意，将成交项目分包给他人的；</w:t>
      </w:r>
    </w:p>
    <w:p w14:paraId="5AA52956">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（3）拒绝履行合同义务的。</w:t>
      </w:r>
    </w:p>
    <w:p w14:paraId="74A66454">
      <w:pPr>
        <w:pageBreakBefore w:val="0"/>
        <w:widowControl w:val="0"/>
        <w:kinsoku/>
        <w:wordWrap/>
        <w:overflowPunct/>
        <w:topLinePunct w:val="0"/>
        <w:bidi w:val="0"/>
        <w:spacing w:line="360" w:lineRule="auto"/>
        <w:ind w:left="0" w:leftChars="0" w:firstLine="420" w:firstLineChars="200"/>
        <w:rPr>
          <w:rFonts w:ascii="宋体" w:hAnsi="宋体" w:cs="宋体"/>
          <w:color w:val="auto"/>
          <w:highlight w:val="none"/>
        </w:rPr>
      </w:pPr>
      <w:r>
        <w:rPr>
          <w:rFonts w:hint="eastAsia" w:ascii="宋体" w:hAnsi="宋体" w:cs="宋体"/>
          <w:color w:val="auto"/>
          <w:szCs w:val="21"/>
          <w:highlight w:val="none"/>
        </w:rPr>
        <w:t>29.3 合同备案存档：</w:t>
      </w:r>
      <w:r>
        <w:rPr>
          <w:rFonts w:hint="eastAsia" w:ascii="宋体" w:hAnsi="宋体" w:cs="宋体"/>
          <w:color w:val="auto"/>
          <w:highlight w:val="none"/>
        </w:rPr>
        <w:t>政府采购合同双方自签订之日起一个工作日内将合同原件一份交采购代理机构，采购代理机构将政府采购合同在省级以上人民政府财政部门指定媒体上公告。采购人于合同签订之日起七个工作日内将一份合同原件送本级财政部门备案，一份由广西天罡工程项目管理有限公司存档。</w:t>
      </w:r>
    </w:p>
    <w:p w14:paraId="48FE3432">
      <w:pPr>
        <w:pStyle w:val="3"/>
        <w:pageBreakBefore w:val="0"/>
        <w:widowControl w:val="0"/>
        <w:kinsoku/>
        <w:wordWrap/>
        <w:overflowPunct/>
        <w:topLinePunct w:val="0"/>
        <w:bidi w:val="0"/>
        <w:spacing w:line="360" w:lineRule="auto"/>
        <w:ind w:left="0" w:leftChars="0"/>
        <w:jc w:val="center"/>
        <w:rPr>
          <w:rFonts w:ascii="宋体" w:hAnsi="宋体" w:cs="宋体"/>
          <w:b/>
          <w:bCs w:val="0"/>
          <w:color w:val="auto"/>
          <w:szCs w:val="28"/>
          <w:highlight w:val="none"/>
        </w:rPr>
      </w:pPr>
      <w:bookmarkStart w:id="129" w:name="_Toc16348"/>
      <w:bookmarkStart w:id="130" w:name="_Toc24170"/>
      <w:r>
        <w:rPr>
          <w:rFonts w:hint="eastAsia" w:ascii="宋体" w:hAnsi="宋体" w:cs="宋体"/>
          <w:b/>
          <w:bCs w:val="0"/>
          <w:color w:val="auto"/>
          <w:szCs w:val="28"/>
          <w:highlight w:val="none"/>
        </w:rPr>
        <w:t>六、其他事项</w:t>
      </w:r>
      <w:bookmarkEnd w:id="129"/>
      <w:bookmarkEnd w:id="130"/>
    </w:p>
    <w:p w14:paraId="34C5B1D1">
      <w:pPr>
        <w:pageBreakBefore w:val="0"/>
        <w:widowControl w:val="0"/>
        <w:kinsoku/>
        <w:wordWrap/>
        <w:overflowPunct/>
        <w:topLinePunct w:val="0"/>
        <w:bidi w:val="0"/>
        <w:spacing w:line="360" w:lineRule="auto"/>
        <w:ind w:left="0" w:leftChars="0" w:firstLine="422" w:firstLineChars="200"/>
        <w:rPr>
          <w:b/>
          <w:bCs/>
          <w:color w:val="auto"/>
          <w:highlight w:val="none"/>
        </w:rPr>
      </w:pPr>
      <w:bookmarkStart w:id="131" w:name="_Toc28647"/>
      <w:bookmarkStart w:id="132" w:name="_Toc2872"/>
      <w:r>
        <w:rPr>
          <w:rFonts w:hint="eastAsia"/>
          <w:b/>
          <w:bCs/>
          <w:color w:val="auto"/>
          <w:highlight w:val="none"/>
        </w:rPr>
        <w:t>30. 采购代理服务费</w:t>
      </w:r>
      <w:bookmarkEnd w:id="131"/>
      <w:bookmarkEnd w:id="132"/>
    </w:p>
    <w:p w14:paraId="467AB9A2">
      <w:pPr>
        <w:pageBreakBefore w:val="0"/>
        <w:widowControl w:val="0"/>
        <w:kinsoku/>
        <w:wordWrap/>
        <w:overflowPunct/>
        <w:topLinePunct w:val="0"/>
        <w:bidi w:val="0"/>
        <w:spacing w:line="360" w:lineRule="auto"/>
        <w:ind w:left="0" w:leftChars="0" w:firstLine="420" w:firstLineChars="200"/>
        <w:rPr>
          <w:color w:val="auto"/>
          <w:szCs w:val="21"/>
          <w:highlight w:val="none"/>
        </w:rPr>
      </w:pPr>
      <w:bookmarkStart w:id="133" w:name="_Toc8271"/>
      <w:bookmarkStart w:id="134" w:name="_Toc12374"/>
      <w:r>
        <w:rPr>
          <w:rFonts w:hint="eastAsia" w:ascii="宋体" w:hAnsi="宋体"/>
          <w:color w:val="auto"/>
          <w:szCs w:val="21"/>
          <w:highlight w:val="none"/>
        </w:rPr>
        <w:t>30.1代理服务费：本项目代理服务费按本须知第30.2条“代理服务收费标准”中服务类收费标准计算，成交供应商在领取成交通知书前，向采购代理机构一次性支付（</w:t>
      </w:r>
      <w:r>
        <w:rPr>
          <w:rFonts w:hint="eastAsia" w:ascii="宋体" w:hAnsi="宋体"/>
          <w:color w:val="auto"/>
          <w:szCs w:val="21"/>
          <w:highlight w:val="none"/>
          <w:lang w:eastAsia="zh-CN"/>
        </w:rPr>
        <w:t>服务费</w:t>
      </w:r>
      <w:r>
        <w:rPr>
          <w:rFonts w:hint="eastAsia" w:ascii="宋体" w:hAnsi="宋体"/>
          <w:color w:val="auto"/>
          <w:szCs w:val="21"/>
          <w:highlight w:val="none"/>
        </w:rPr>
        <w:t>不足人民币</w:t>
      </w:r>
      <w:r>
        <w:rPr>
          <w:rFonts w:hint="eastAsia" w:ascii="宋体" w:hAnsi="宋体"/>
          <w:color w:val="auto"/>
          <w:szCs w:val="21"/>
          <w:highlight w:val="none"/>
          <w:lang w:eastAsia="zh-CN"/>
        </w:rPr>
        <w:t>6000</w:t>
      </w:r>
      <w:r>
        <w:rPr>
          <w:rFonts w:hint="eastAsia" w:ascii="宋体" w:hAnsi="宋体"/>
          <w:color w:val="auto"/>
          <w:szCs w:val="21"/>
          <w:highlight w:val="none"/>
        </w:rPr>
        <w:t>元的，按</w:t>
      </w:r>
      <w:r>
        <w:rPr>
          <w:rFonts w:hint="eastAsia" w:ascii="宋体" w:hAnsi="宋体"/>
          <w:color w:val="auto"/>
          <w:szCs w:val="21"/>
          <w:highlight w:val="none"/>
          <w:lang w:eastAsia="zh-CN"/>
        </w:rPr>
        <w:t>6000</w:t>
      </w:r>
      <w:r>
        <w:rPr>
          <w:rFonts w:hint="eastAsia" w:ascii="宋体" w:hAnsi="宋体"/>
          <w:color w:val="auto"/>
          <w:szCs w:val="21"/>
          <w:highlight w:val="none"/>
        </w:rPr>
        <w:t>元支付）。</w:t>
      </w:r>
    </w:p>
    <w:p w14:paraId="5FAB1DE9">
      <w:pPr>
        <w:pageBreakBefore w:val="0"/>
        <w:widowControl w:val="0"/>
        <w:kinsoku/>
        <w:wordWrap/>
        <w:overflowPunct/>
        <w:topLinePunct w:val="0"/>
        <w:bidi w:val="0"/>
        <w:spacing w:line="360" w:lineRule="auto"/>
        <w:ind w:left="0" w:leftChars="0" w:firstLine="420" w:firstLineChars="200"/>
        <w:rPr>
          <w:rFonts w:ascii="宋体" w:hAnsi="宋体"/>
          <w:color w:val="auto"/>
          <w:szCs w:val="21"/>
          <w:highlight w:val="none"/>
        </w:rPr>
      </w:pPr>
      <w:r>
        <w:rPr>
          <w:rFonts w:hint="eastAsia" w:ascii="宋体" w:hAnsi="宋体"/>
          <w:color w:val="auto"/>
          <w:szCs w:val="21"/>
          <w:highlight w:val="none"/>
        </w:rPr>
        <w:t>30.2代理服务收费标准：</w:t>
      </w:r>
    </w:p>
    <w:tbl>
      <w:tblPr>
        <w:tblStyle w:val="24"/>
        <w:tblW w:w="9006"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1841"/>
        <w:gridCol w:w="1992"/>
        <w:gridCol w:w="2293"/>
      </w:tblGrid>
      <w:tr w14:paraId="63D39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2880" w:type="dxa"/>
          </w:tcPr>
          <w:p w14:paraId="1029D820">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Pr>
                <w:rFonts w:hint="eastAsia" w:hAnsi="宋体"/>
                <w:color w:val="auto"/>
                <w:highlight w:val="none"/>
              </w:rPr>
            </w:pPr>
            <w:r>
              <w:rPr>
                <w:rFonts w:hint="eastAsia" w:hAnsi="宋体"/>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296545</wp:posOffset>
                      </wp:positionH>
                      <wp:positionV relativeFrom="paragraph">
                        <wp:posOffset>10795</wp:posOffset>
                      </wp:positionV>
                      <wp:extent cx="1463675" cy="653415"/>
                      <wp:effectExtent l="1905" t="4445" r="20320" b="8890"/>
                      <wp:wrapNone/>
                      <wp:docPr id="5" name="直线 2"/>
                      <wp:cNvGraphicFramePr/>
                      <a:graphic xmlns:a="http://schemas.openxmlformats.org/drawingml/2006/main">
                        <a:graphicData uri="http://schemas.microsoft.com/office/word/2010/wordprocessingShape">
                          <wps:wsp>
                            <wps:cNvCnPr/>
                            <wps:spPr>
                              <a:xfrm>
                                <a:off x="0" y="0"/>
                                <a:ext cx="1463675" cy="65341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2" o:spid="_x0000_s1026" o:spt="20" style="position:absolute;left:0pt;margin-left:23.35pt;margin-top:0.85pt;height:51.45pt;width:115.25pt;z-index:251659264;mso-width-relative:page;mso-height-relative:page;" filled="f" stroked="t" coordsize="21600,21600" o:gfxdata="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FIBUzTWAAAACAEAAA8AAAAAAAAAAQAgAAAAIgAAAGRycy9kb3ducmV2LnhtbFBLAQIUABQAAAAI&#10;AIdO4kAvKvIl7wEAAO4DAAAOAAAAAAAAAAEAIAAAACUBAABkcnMvZTJvRG9jLnhtbFBLBQYAAAAA&#10;BgAGAFkBAACGBQAAAAA=&#10;">
                      <v:fill on="f" focussize="0,0"/>
                      <v:stroke color="#000000" joinstyle="round"/>
                      <v:imagedata o:title=""/>
                      <o:lock v:ext="edit" aspectratio="f"/>
                    </v:line>
                  </w:pict>
                </mc:Fallback>
              </mc:AlternateContent>
            </w:r>
            <w:r>
              <w:rPr>
                <w:rFonts w:hint="eastAsia" w:hAnsi="宋体"/>
                <w:color w:val="auto"/>
                <w:highlight w:val="none"/>
              </w:rPr>
              <w:t>费率           服务类型</w:t>
            </w:r>
          </w:p>
          <w:p w14:paraId="1D51D35C">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Pr>
                <w:rFonts w:hint="eastAsia" w:hAnsi="宋体"/>
                <w:color w:val="auto"/>
                <w:highlight w:val="none"/>
              </w:rPr>
            </w:pPr>
            <w:r>
              <w:rPr>
                <w:rFonts w:hint="eastAsia" w:hAnsi="宋体"/>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-68580</wp:posOffset>
                      </wp:positionH>
                      <wp:positionV relativeFrom="paragraph">
                        <wp:posOffset>39370</wp:posOffset>
                      </wp:positionV>
                      <wp:extent cx="1828800" cy="396240"/>
                      <wp:effectExtent l="1270" t="4445" r="17780" b="18415"/>
                      <wp:wrapNone/>
                      <wp:docPr id="6" name="直线 3"/>
                      <wp:cNvGraphicFramePr/>
                      <a:graphic xmlns:a="http://schemas.openxmlformats.org/drawingml/2006/main">
                        <a:graphicData uri="http://schemas.microsoft.com/office/word/2010/wordprocessingShape">
                          <wps:wsp>
                            <wps:cNvCnPr/>
                            <wps:spPr>
                              <a:xfrm>
                                <a:off x="0" y="0"/>
                                <a:ext cx="1828800" cy="39624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3" o:spid="_x0000_s1026" o:spt="20" style="position:absolute;left:0pt;margin-left:-5.4pt;margin-top:3.1pt;height:31.2pt;width:144pt;z-index:251660288;mso-width-relative:page;mso-height-relative:page;" filled="f" stroked="t" coordsize="21600,21600" o:gfxdata="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ADq9E1gAAAAgBAAAPAAAAAAAAAAEAIAAAACIAAABkcnMvZG93bnJldi54bWxQSwECFAAU&#10;AAAACACHTuJApTIUgPMBAADuAwAADgAAAAAAAAABACAAAAAlAQAAZHJzL2Uyb0RvYy54bWxQSwUG&#10;AAAAAAYABgBZAQAAigUAAAAA&#10;">
                      <v:fill on="f" focussize="0,0"/>
                      <v:stroke color="#000000" joinstyle="round"/>
                      <v:imagedata o:title=""/>
                      <o:lock v:ext="edit" aspectratio="f"/>
                    </v:line>
                  </w:pict>
                </mc:Fallback>
              </mc:AlternateContent>
            </w:r>
          </w:p>
          <w:p w14:paraId="5E40E601">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Pr>
                <w:rFonts w:hint="eastAsia" w:hAnsi="宋体"/>
                <w:color w:val="auto"/>
                <w:highlight w:val="none"/>
              </w:rPr>
            </w:pPr>
            <w:r>
              <w:rPr>
                <w:rFonts w:hint="eastAsia" w:hAnsi="宋体"/>
                <w:color w:val="auto"/>
                <w:highlight w:val="none"/>
              </w:rPr>
              <w:t>成交金额</w:t>
            </w:r>
          </w:p>
        </w:tc>
        <w:tc>
          <w:tcPr>
            <w:tcW w:w="1841" w:type="dxa"/>
            <w:vAlign w:val="center"/>
          </w:tcPr>
          <w:p w14:paraId="4539357A">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货物采购</w:t>
            </w:r>
          </w:p>
        </w:tc>
        <w:tc>
          <w:tcPr>
            <w:tcW w:w="1992" w:type="dxa"/>
            <w:vAlign w:val="center"/>
          </w:tcPr>
          <w:p w14:paraId="1DF6F153">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服务采购</w:t>
            </w:r>
          </w:p>
        </w:tc>
        <w:tc>
          <w:tcPr>
            <w:tcW w:w="2293" w:type="dxa"/>
            <w:vAlign w:val="center"/>
          </w:tcPr>
          <w:p w14:paraId="4CE646C8">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工程采购</w:t>
            </w:r>
          </w:p>
        </w:tc>
      </w:tr>
      <w:tr w14:paraId="3B582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2880" w:type="dxa"/>
          </w:tcPr>
          <w:p w14:paraId="3B357D47">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Pr>
                <w:rFonts w:hint="eastAsia" w:hAnsi="宋体"/>
                <w:color w:val="auto"/>
                <w:highlight w:val="none"/>
              </w:rPr>
            </w:pPr>
            <w:r>
              <w:rPr>
                <w:rFonts w:hint="eastAsia" w:hAnsi="宋体"/>
                <w:color w:val="auto"/>
                <w:highlight w:val="none"/>
              </w:rPr>
              <w:t>100万元以下</w:t>
            </w:r>
          </w:p>
        </w:tc>
        <w:tc>
          <w:tcPr>
            <w:tcW w:w="1841" w:type="dxa"/>
          </w:tcPr>
          <w:p w14:paraId="155B5470">
            <w:pPr>
              <w:pStyle w:val="44"/>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ascii="宋体" w:hAnsi="宋体"/>
                <w:color w:val="auto"/>
                <w:highlight w:val="none"/>
              </w:rPr>
            </w:pPr>
            <w:r>
              <w:rPr>
                <w:rFonts w:hint="eastAsia" w:ascii="宋体" w:hAnsi="宋体"/>
                <w:color w:val="auto"/>
                <w:highlight w:val="none"/>
              </w:rPr>
              <w:t>1.5%</w:t>
            </w:r>
          </w:p>
        </w:tc>
        <w:tc>
          <w:tcPr>
            <w:tcW w:w="1992" w:type="dxa"/>
          </w:tcPr>
          <w:p w14:paraId="5CFA52E5">
            <w:pPr>
              <w:pStyle w:val="44"/>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ascii="宋体" w:hAnsi="宋体"/>
                <w:color w:val="auto"/>
                <w:highlight w:val="none"/>
              </w:rPr>
            </w:pPr>
            <w:r>
              <w:rPr>
                <w:rFonts w:hint="eastAsia" w:ascii="宋体" w:hAnsi="宋体"/>
                <w:color w:val="auto"/>
                <w:highlight w:val="none"/>
              </w:rPr>
              <w:t>1.5%</w:t>
            </w:r>
          </w:p>
        </w:tc>
        <w:tc>
          <w:tcPr>
            <w:tcW w:w="2293" w:type="dxa"/>
          </w:tcPr>
          <w:p w14:paraId="15F5847F">
            <w:pPr>
              <w:pStyle w:val="44"/>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ascii="宋体" w:hAnsi="宋体"/>
                <w:color w:val="auto"/>
                <w:highlight w:val="none"/>
              </w:rPr>
            </w:pPr>
            <w:r>
              <w:rPr>
                <w:rFonts w:hint="eastAsia" w:ascii="宋体" w:hAnsi="宋体"/>
                <w:color w:val="auto"/>
                <w:highlight w:val="none"/>
              </w:rPr>
              <w:t>1.0%</w:t>
            </w:r>
          </w:p>
        </w:tc>
      </w:tr>
      <w:tr w14:paraId="42323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 w:hRule="atLeast"/>
        </w:trPr>
        <w:tc>
          <w:tcPr>
            <w:tcW w:w="2880" w:type="dxa"/>
          </w:tcPr>
          <w:p w14:paraId="0A820488">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Pr>
                <w:rFonts w:hint="eastAsia" w:hAnsi="宋体"/>
                <w:color w:val="auto"/>
                <w:highlight w:val="none"/>
              </w:rPr>
            </w:pPr>
            <w:r>
              <w:rPr>
                <w:rFonts w:hint="eastAsia" w:hAnsi="宋体"/>
                <w:color w:val="auto"/>
                <w:highlight w:val="none"/>
              </w:rPr>
              <w:t>100～500万元</w:t>
            </w:r>
          </w:p>
        </w:tc>
        <w:tc>
          <w:tcPr>
            <w:tcW w:w="1841" w:type="dxa"/>
          </w:tcPr>
          <w:p w14:paraId="3EA232EC">
            <w:pPr>
              <w:pStyle w:val="44"/>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ascii="宋体" w:hAnsi="宋体"/>
                <w:color w:val="auto"/>
                <w:highlight w:val="none"/>
              </w:rPr>
            </w:pPr>
            <w:r>
              <w:rPr>
                <w:rFonts w:hint="eastAsia" w:ascii="宋体" w:hAnsi="宋体"/>
                <w:color w:val="auto"/>
                <w:highlight w:val="none"/>
              </w:rPr>
              <w:t>1.1%</w:t>
            </w:r>
          </w:p>
        </w:tc>
        <w:tc>
          <w:tcPr>
            <w:tcW w:w="1992" w:type="dxa"/>
          </w:tcPr>
          <w:p w14:paraId="14A7CF03">
            <w:pPr>
              <w:pStyle w:val="44"/>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ascii="宋体" w:hAnsi="宋体"/>
                <w:color w:val="auto"/>
                <w:highlight w:val="none"/>
              </w:rPr>
            </w:pPr>
            <w:r>
              <w:rPr>
                <w:rFonts w:hint="eastAsia" w:ascii="宋体" w:hAnsi="宋体"/>
                <w:color w:val="auto"/>
                <w:highlight w:val="none"/>
              </w:rPr>
              <w:t>0.8%</w:t>
            </w:r>
          </w:p>
        </w:tc>
        <w:tc>
          <w:tcPr>
            <w:tcW w:w="2293" w:type="dxa"/>
          </w:tcPr>
          <w:p w14:paraId="00755FA5">
            <w:pPr>
              <w:pStyle w:val="44"/>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ascii="宋体" w:hAnsi="宋体"/>
                <w:color w:val="auto"/>
                <w:highlight w:val="none"/>
              </w:rPr>
            </w:pPr>
            <w:r>
              <w:rPr>
                <w:rFonts w:hint="eastAsia" w:ascii="宋体" w:hAnsi="宋体"/>
                <w:color w:val="auto"/>
                <w:highlight w:val="none"/>
              </w:rPr>
              <w:t>0.7%</w:t>
            </w:r>
          </w:p>
        </w:tc>
      </w:tr>
      <w:tr w14:paraId="6C1D6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tcPr>
          <w:p w14:paraId="2FE2E02D">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Pr>
                <w:rFonts w:hint="eastAsia" w:hAnsi="宋体"/>
                <w:color w:val="auto"/>
                <w:highlight w:val="none"/>
              </w:rPr>
            </w:pPr>
            <w:r>
              <w:rPr>
                <w:rFonts w:hint="eastAsia" w:hAnsi="宋体"/>
                <w:color w:val="auto"/>
                <w:highlight w:val="none"/>
              </w:rPr>
              <w:t>500～1000万元</w:t>
            </w:r>
          </w:p>
        </w:tc>
        <w:tc>
          <w:tcPr>
            <w:tcW w:w="1841" w:type="dxa"/>
          </w:tcPr>
          <w:p w14:paraId="4C8451F3">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0.8%</w:t>
            </w:r>
          </w:p>
        </w:tc>
        <w:tc>
          <w:tcPr>
            <w:tcW w:w="1992" w:type="dxa"/>
          </w:tcPr>
          <w:p w14:paraId="578B38A3">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0.45%</w:t>
            </w:r>
          </w:p>
        </w:tc>
        <w:tc>
          <w:tcPr>
            <w:tcW w:w="2293" w:type="dxa"/>
          </w:tcPr>
          <w:p w14:paraId="377097C3">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0.55%</w:t>
            </w:r>
          </w:p>
        </w:tc>
      </w:tr>
      <w:tr w14:paraId="4F587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tcPr>
          <w:p w14:paraId="46DCE66A">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Pr>
                <w:rFonts w:hint="eastAsia" w:hAnsi="宋体"/>
                <w:color w:val="auto"/>
                <w:highlight w:val="none"/>
              </w:rPr>
            </w:pPr>
            <w:r>
              <w:rPr>
                <w:rFonts w:hint="eastAsia" w:hAnsi="宋体"/>
                <w:color w:val="auto"/>
                <w:highlight w:val="none"/>
              </w:rPr>
              <w:t>1000～5000万元</w:t>
            </w:r>
          </w:p>
        </w:tc>
        <w:tc>
          <w:tcPr>
            <w:tcW w:w="1841" w:type="dxa"/>
          </w:tcPr>
          <w:p w14:paraId="46A233C2">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0.5%</w:t>
            </w:r>
          </w:p>
        </w:tc>
        <w:tc>
          <w:tcPr>
            <w:tcW w:w="1992" w:type="dxa"/>
          </w:tcPr>
          <w:p w14:paraId="4648650D">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0.25%</w:t>
            </w:r>
          </w:p>
        </w:tc>
        <w:tc>
          <w:tcPr>
            <w:tcW w:w="2293" w:type="dxa"/>
          </w:tcPr>
          <w:p w14:paraId="6FE0B65D">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0.35%</w:t>
            </w:r>
          </w:p>
        </w:tc>
      </w:tr>
      <w:tr w14:paraId="0B373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tcPr>
          <w:p w14:paraId="5C1C4FA8">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Pr>
                <w:rFonts w:hint="eastAsia" w:hAnsi="宋体"/>
                <w:color w:val="auto"/>
                <w:highlight w:val="none"/>
              </w:rPr>
            </w:pPr>
            <w:r>
              <w:rPr>
                <w:rFonts w:hint="eastAsia" w:hAnsi="宋体"/>
                <w:color w:val="auto"/>
                <w:highlight w:val="none"/>
              </w:rPr>
              <w:t>5000万元～1亿元</w:t>
            </w:r>
          </w:p>
        </w:tc>
        <w:tc>
          <w:tcPr>
            <w:tcW w:w="1841" w:type="dxa"/>
          </w:tcPr>
          <w:p w14:paraId="68DD629C">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0.25%</w:t>
            </w:r>
          </w:p>
        </w:tc>
        <w:tc>
          <w:tcPr>
            <w:tcW w:w="1992" w:type="dxa"/>
          </w:tcPr>
          <w:p w14:paraId="1B97AA19">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0.1%</w:t>
            </w:r>
          </w:p>
        </w:tc>
        <w:tc>
          <w:tcPr>
            <w:tcW w:w="2293" w:type="dxa"/>
          </w:tcPr>
          <w:p w14:paraId="30BBB10B">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0.2%</w:t>
            </w:r>
          </w:p>
        </w:tc>
      </w:tr>
      <w:tr w14:paraId="3D36A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tcPr>
          <w:p w14:paraId="16CA62E5">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Pr>
                <w:rFonts w:hint="eastAsia" w:hAnsi="宋体"/>
                <w:color w:val="auto"/>
                <w:highlight w:val="none"/>
              </w:rPr>
            </w:pPr>
            <w:r>
              <w:rPr>
                <w:rFonts w:hint="eastAsia" w:hAnsi="宋体"/>
                <w:color w:val="auto"/>
                <w:highlight w:val="none"/>
              </w:rPr>
              <w:t>1～5亿元</w:t>
            </w:r>
          </w:p>
        </w:tc>
        <w:tc>
          <w:tcPr>
            <w:tcW w:w="1841" w:type="dxa"/>
          </w:tcPr>
          <w:p w14:paraId="5C576613">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0.05%</w:t>
            </w:r>
          </w:p>
        </w:tc>
        <w:tc>
          <w:tcPr>
            <w:tcW w:w="1992" w:type="dxa"/>
          </w:tcPr>
          <w:p w14:paraId="633F0241">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0.05%</w:t>
            </w:r>
          </w:p>
        </w:tc>
        <w:tc>
          <w:tcPr>
            <w:tcW w:w="2293" w:type="dxa"/>
          </w:tcPr>
          <w:p w14:paraId="5DDCFDB0">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0.05%</w:t>
            </w:r>
          </w:p>
        </w:tc>
      </w:tr>
      <w:tr w14:paraId="64491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tcPr>
          <w:p w14:paraId="6EED1F28">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Pr>
                <w:rFonts w:hint="eastAsia" w:hAnsi="宋体"/>
                <w:color w:val="auto"/>
                <w:highlight w:val="none"/>
              </w:rPr>
            </w:pPr>
            <w:r>
              <w:rPr>
                <w:rFonts w:hint="eastAsia" w:hAnsi="宋体"/>
                <w:color w:val="auto"/>
                <w:highlight w:val="none"/>
              </w:rPr>
              <w:t>5～10亿元</w:t>
            </w:r>
          </w:p>
        </w:tc>
        <w:tc>
          <w:tcPr>
            <w:tcW w:w="1841" w:type="dxa"/>
          </w:tcPr>
          <w:p w14:paraId="439F6D83">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0.035%</w:t>
            </w:r>
          </w:p>
        </w:tc>
        <w:tc>
          <w:tcPr>
            <w:tcW w:w="1992" w:type="dxa"/>
          </w:tcPr>
          <w:p w14:paraId="75EA11F3">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0.035%</w:t>
            </w:r>
          </w:p>
        </w:tc>
        <w:tc>
          <w:tcPr>
            <w:tcW w:w="2293" w:type="dxa"/>
          </w:tcPr>
          <w:p w14:paraId="0A671FB0">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0.035%</w:t>
            </w:r>
          </w:p>
        </w:tc>
      </w:tr>
      <w:tr w14:paraId="3818F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tcPr>
          <w:p w14:paraId="1CAFBF1F">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Pr>
                <w:rFonts w:hint="eastAsia" w:hAnsi="宋体"/>
                <w:color w:val="auto"/>
                <w:highlight w:val="none"/>
              </w:rPr>
            </w:pPr>
            <w:r>
              <w:rPr>
                <w:rFonts w:hint="eastAsia" w:hAnsi="宋体"/>
                <w:color w:val="auto"/>
                <w:highlight w:val="none"/>
              </w:rPr>
              <w:t>10～50亿元</w:t>
            </w:r>
          </w:p>
        </w:tc>
        <w:tc>
          <w:tcPr>
            <w:tcW w:w="1841" w:type="dxa"/>
          </w:tcPr>
          <w:p w14:paraId="30DBD122">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0.008%</w:t>
            </w:r>
          </w:p>
        </w:tc>
        <w:tc>
          <w:tcPr>
            <w:tcW w:w="1992" w:type="dxa"/>
          </w:tcPr>
          <w:p w14:paraId="206AD484">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0.008%</w:t>
            </w:r>
          </w:p>
        </w:tc>
        <w:tc>
          <w:tcPr>
            <w:tcW w:w="2293" w:type="dxa"/>
          </w:tcPr>
          <w:p w14:paraId="6C00DDB6">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0.008%</w:t>
            </w:r>
          </w:p>
        </w:tc>
      </w:tr>
      <w:tr w14:paraId="7B842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tcPr>
          <w:p w14:paraId="7334B027">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Pr>
                <w:rFonts w:hint="eastAsia" w:hAnsi="宋体"/>
                <w:color w:val="auto"/>
                <w:highlight w:val="none"/>
              </w:rPr>
            </w:pPr>
            <w:r>
              <w:rPr>
                <w:rFonts w:hint="eastAsia" w:hAnsi="宋体"/>
                <w:color w:val="auto"/>
                <w:highlight w:val="none"/>
              </w:rPr>
              <w:t>50～100亿元</w:t>
            </w:r>
          </w:p>
        </w:tc>
        <w:tc>
          <w:tcPr>
            <w:tcW w:w="1841" w:type="dxa"/>
          </w:tcPr>
          <w:p w14:paraId="798E2BB8">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0.006%</w:t>
            </w:r>
          </w:p>
        </w:tc>
        <w:tc>
          <w:tcPr>
            <w:tcW w:w="1992" w:type="dxa"/>
          </w:tcPr>
          <w:p w14:paraId="247F6E86">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0.006%</w:t>
            </w:r>
          </w:p>
        </w:tc>
        <w:tc>
          <w:tcPr>
            <w:tcW w:w="2293" w:type="dxa"/>
          </w:tcPr>
          <w:p w14:paraId="22102970">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0.006%</w:t>
            </w:r>
          </w:p>
        </w:tc>
      </w:tr>
      <w:tr w14:paraId="05ABB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tcPr>
          <w:p w14:paraId="55B427AB">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Pr>
                <w:rFonts w:hint="eastAsia" w:hAnsi="宋体"/>
                <w:color w:val="auto"/>
                <w:highlight w:val="none"/>
              </w:rPr>
            </w:pPr>
            <w:r>
              <w:rPr>
                <w:rFonts w:hint="eastAsia" w:hAnsi="宋体"/>
                <w:color w:val="auto"/>
                <w:highlight w:val="none"/>
              </w:rPr>
              <w:t>100亿以上</w:t>
            </w:r>
          </w:p>
        </w:tc>
        <w:tc>
          <w:tcPr>
            <w:tcW w:w="1841" w:type="dxa"/>
          </w:tcPr>
          <w:p w14:paraId="77707FE5">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0.004%</w:t>
            </w:r>
          </w:p>
        </w:tc>
        <w:tc>
          <w:tcPr>
            <w:tcW w:w="1992" w:type="dxa"/>
          </w:tcPr>
          <w:p w14:paraId="75739172">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0.004%</w:t>
            </w:r>
          </w:p>
        </w:tc>
        <w:tc>
          <w:tcPr>
            <w:tcW w:w="2293" w:type="dxa"/>
          </w:tcPr>
          <w:p w14:paraId="33209D68">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0.004%</w:t>
            </w:r>
          </w:p>
        </w:tc>
      </w:tr>
    </w:tbl>
    <w:p w14:paraId="59307F4B">
      <w:pPr>
        <w:pStyle w:val="15"/>
        <w:pageBreakBefore w:val="0"/>
        <w:widowControl w:val="0"/>
        <w:kinsoku/>
        <w:wordWrap/>
        <w:overflowPunct/>
        <w:topLinePunct w:val="0"/>
        <w:bidi w:val="0"/>
        <w:spacing w:line="360" w:lineRule="auto"/>
        <w:ind w:left="0" w:leftChars="0"/>
        <w:rPr>
          <w:rFonts w:hAnsi="宋体"/>
          <w:color w:val="auto"/>
          <w:highlight w:val="none"/>
        </w:rPr>
      </w:pPr>
      <w:r>
        <w:rPr>
          <w:rFonts w:hint="eastAsia" w:hAnsi="宋体"/>
          <w:color w:val="auto"/>
          <w:highlight w:val="none"/>
        </w:rPr>
        <w:t>注：代理服务收费按差额定率累进法计算。</w:t>
      </w:r>
    </w:p>
    <w:p w14:paraId="317159AF">
      <w:pPr>
        <w:pageBreakBefore w:val="0"/>
        <w:widowControl w:val="0"/>
        <w:kinsoku/>
        <w:wordWrap/>
        <w:overflowPunct/>
        <w:topLinePunct w:val="0"/>
        <w:bidi w:val="0"/>
        <w:spacing w:line="360" w:lineRule="auto"/>
        <w:ind w:left="0" w:leftChars="0" w:firstLine="422" w:firstLineChars="200"/>
        <w:rPr>
          <w:rFonts w:ascii="宋体" w:hAnsi="宋体"/>
          <w:b/>
          <w:color w:val="auto"/>
          <w:highlight w:val="none"/>
        </w:rPr>
      </w:pPr>
      <w:r>
        <w:rPr>
          <w:rFonts w:hint="eastAsia" w:ascii="宋体" w:hAnsi="宋体"/>
          <w:b/>
          <w:color w:val="auto"/>
          <w:highlight w:val="none"/>
        </w:rPr>
        <w:t>采购代理机构银行账户：</w:t>
      </w:r>
    </w:p>
    <w:p w14:paraId="7D5A6F18">
      <w:pPr>
        <w:pageBreakBefore w:val="0"/>
        <w:widowControl w:val="0"/>
        <w:kinsoku/>
        <w:wordWrap/>
        <w:overflowPunct/>
        <w:topLinePunct w:val="0"/>
        <w:bidi w:val="0"/>
        <w:spacing w:line="360" w:lineRule="auto"/>
        <w:ind w:left="0" w:leftChars="0" w:firstLine="420" w:firstLineChars="200"/>
        <w:rPr>
          <w:rFonts w:ascii="宋体" w:hAnsi="宋体" w:cs="宋体"/>
          <w:bCs/>
          <w:color w:val="auto"/>
          <w:highlight w:val="none"/>
        </w:rPr>
      </w:pPr>
      <w:r>
        <w:rPr>
          <w:rFonts w:hint="eastAsia" w:ascii="宋体" w:hAnsi="宋体" w:cs="宋体"/>
          <w:bCs/>
          <w:color w:val="auto"/>
          <w:highlight w:val="none"/>
        </w:rPr>
        <w:t>账户名称：广西天罡工程项目管理有限公司</w:t>
      </w:r>
    </w:p>
    <w:p w14:paraId="2C69A1DA">
      <w:pPr>
        <w:pageBreakBefore w:val="0"/>
        <w:widowControl w:val="0"/>
        <w:kinsoku/>
        <w:wordWrap/>
        <w:overflowPunct/>
        <w:topLinePunct w:val="0"/>
        <w:bidi w:val="0"/>
        <w:spacing w:line="360" w:lineRule="auto"/>
        <w:ind w:left="0" w:leftChars="0" w:firstLine="420" w:firstLineChars="200"/>
        <w:rPr>
          <w:rFonts w:ascii="宋体" w:hAnsi="宋体" w:cs="宋体"/>
          <w:bCs/>
          <w:color w:val="auto"/>
          <w:highlight w:val="none"/>
        </w:rPr>
      </w:pPr>
      <w:r>
        <w:rPr>
          <w:rFonts w:hint="eastAsia" w:ascii="宋体" w:hAnsi="宋体" w:cs="宋体"/>
          <w:bCs/>
          <w:color w:val="auto"/>
          <w:highlight w:val="none"/>
        </w:rPr>
        <w:t>开户银行：</w:t>
      </w:r>
      <w:r>
        <w:rPr>
          <w:rFonts w:ascii="宋体" w:hAnsi="宋体" w:cs="宋体"/>
          <w:bCs/>
          <w:color w:val="auto"/>
          <w:highlight w:val="none"/>
        </w:rPr>
        <w:t>中国建设银行股份有限公司南宁安吉路支行</w:t>
      </w:r>
    </w:p>
    <w:p w14:paraId="46ED58BF">
      <w:pPr>
        <w:pageBreakBefore w:val="0"/>
        <w:widowControl w:val="0"/>
        <w:kinsoku/>
        <w:wordWrap/>
        <w:overflowPunct/>
        <w:topLinePunct w:val="0"/>
        <w:bidi w:val="0"/>
        <w:spacing w:line="360" w:lineRule="auto"/>
        <w:ind w:left="0" w:leftChars="0"/>
        <w:rPr>
          <w:color w:val="auto"/>
          <w:highlight w:val="none"/>
        </w:rPr>
      </w:pPr>
      <w:r>
        <w:rPr>
          <w:rFonts w:hint="eastAsia" w:ascii="宋体" w:hAnsi="宋体" w:cs="宋体"/>
          <w:bCs/>
          <w:color w:val="auto"/>
          <w:highlight w:val="none"/>
        </w:rPr>
        <w:t xml:space="preserve">    银行账号：</w:t>
      </w:r>
      <w:r>
        <w:rPr>
          <w:rFonts w:ascii="宋体" w:hAnsi="宋体" w:cs="宋体"/>
          <w:bCs/>
          <w:color w:val="auto"/>
          <w:highlight w:val="none"/>
        </w:rPr>
        <w:t>4505 0160 4771 0966 9988</w:t>
      </w:r>
      <w:r>
        <w:rPr>
          <w:rFonts w:hint="eastAsia" w:hAnsi="宋体"/>
          <w:color w:val="auto"/>
          <w:highlight w:val="none"/>
        </w:rPr>
        <w:t xml:space="preserve">           </w:t>
      </w:r>
    </w:p>
    <w:p w14:paraId="2705E70D">
      <w:pPr>
        <w:pageBreakBefore w:val="0"/>
        <w:widowControl w:val="0"/>
        <w:numPr>
          <w:ilvl w:val="0"/>
          <w:numId w:val="6"/>
        </w:numPr>
        <w:kinsoku/>
        <w:wordWrap/>
        <w:overflowPunct/>
        <w:topLinePunct w:val="0"/>
        <w:bidi w:val="0"/>
        <w:spacing w:line="360" w:lineRule="auto"/>
        <w:ind w:left="0" w:leftChars="0" w:firstLine="422" w:firstLineChars="200"/>
        <w:rPr>
          <w:color w:val="auto"/>
          <w:highlight w:val="none"/>
        </w:rPr>
      </w:pPr>
      <w:r>
        <w:rPr>
          <w:rStyle w:val="42"/>
          <w:rFonts w:hint="eastAsia" w:ascii="宋体" w:hAnsi="宋体" w:cs="宋体"/>
          <w:color w:val="auto"/>
          <w:sz w:val="21"/>
          <w:szCs w:val="21"/>
          <w:highlight w:val="none"/>
        </w:rPr>
        <w:t>解释权</w:t>
      </w:r>
      <w:bookmarkEnd w:id="133"/>
      <w:bookmarkEnd w:id="134"/>
      <w:r>
        <w:rPr>
          <w:rFonts w:hint="eastAsia" w:ascii="宋体" w:hAnsi="宋体" w:cs="宋体"/>
          <w:color w:val="auto"/>
          <w:szCs w:val="21"/>
          <w:highlight w:val="none"/>
        </w:rPr>
        <w:t>：本竞争性磋商文件是根据《中华人民共和国政府采购法》《中华人民共和国政府采购法实施条例》《政府采购竞争性磋商采购方式管理暂行办法》和政府采购管理有关规定编制，本竞争性磋商文件的解释权属于采购代理机构。</w:t>
      </w:r>
    </w:p>
    <w:p w14:paraId="437CA3D0">
      <w:pPr>
        <w:pageBreakBefore w:val="0"/>
        <w:widowControl w:val="0"/>
        <w:kinsoku/>
        <w:wordWrap/>
        <w:overflowPunct/>
        <w:topLinePunct w:val="0"/>
        <w:bidi w:val="0"/>
        <w:spacing w:line="360" w:lineRule="auto"/>
        <w:ind w:left="0" w:leftChars="0"/>
        <w:rPr>
          <w:rFonts w:ascii="宋体" w:hAnsi="宋体" w:cs="宋体"/>
          <w:color w:val="auto"/>
          <w:kern w:val="0"/>
          <w:szCs w:val="21"/>
          <w:highlight w:val="none"/>
        </w:rPr>
      </w:pPr>
      <w:bookmarkStart w:id="135" w:name="_Toc24443"/>
      <w:r>
        <w:rPr>
          <w:rStyle w:val="42"/>
          <w:rFonts w:hint="eastAsia" w:ascii="宋体" w:hAnsi="宋体" w:cs="宋体"/>
          <w:color w:val="auto"/>
          <w:sz w:val="21"/>
          <w:szCs w:val="21"/>
          <w:highlight w:val="none"/>
        </w:rPr>
        <w:t xml:space="preserve">    32. 监督管理机构</w:t>
      </w:r>
      <w:bookmarkEnd w:id="135"/>
      <w:r>
        <w:rPr>
          <w:rFonts w:hint="eastAsia" w:ascii="宋体" w:hAnsi="宋体" w:cs="宋体"/>
          <w:color w:val="auto"/>
          <w:szCs w:val="21"/>
          <w:highlight w:val="none"/>
        </w:rPr>
        <w:t>：</w:t>
      </w:r>
      <w:r>
        <w:rPr>
          <w:rFonts w:hint="eastAsia" w:ascii="宋体" w:hAnsi="宋体" w:cs="宋体"/>
          <w:color w:val="auto"/>
          <w:sz w:val="20"/>
          <w:szCs w:val="20"/>
          <w:highlight w:val="none"/>
        </w:rPr>
        <w:t>桂林市政府采购管理办公室</w:t>
      </w:r>
      <w:r>
        <w:rPr>
          <w:rFonts w:hint="eastAsia" w:ascii="宋体" w:hAnsi="宋体" w:cs="宋体"/>
          <w:color w:val="auto"/>
          <w:kern w:val="0"/>
          <w:szCs w:val="21"/>
          <w:highlight w:val="none"/>
        </w:rPr>
        <w:t xml:space="preserve">       联系电话：0773-2862142</w:t>
      </w:r>
    </w:p>
    <w:p w14:paraId="3760A4EF">
      <w:pPr>
        <w:pStyle w:val="10"/>
        <w:pageBreakBefore w:val="0"/>
        <w:widowControl w:val="0"/>
        <w:numPr>
          <w:ilvl w:val="0"/>
          <w:numId w:val="7"/>
        </w:numPr>
        <w:kinsoku/>
        <w:wordWrap/>
        <w:overflowPunct/>
        <w:topLinePunct w:val="0"/>
        <w:bidi w:val="0"/>
        <w:spacing w:line="360" w:lineRule="auto"/>
        <w:ind w:left="0" w:leftChars="0" w:firstLine="422" w:firstLineChars="200"/>
        <w:rPr>
          <w:rFonts w:ascii="宋体" w:hAnsi="宋体" w:cs="宋体"/>
          <w:color w:val="auto"/>
          <w:kern w:val="0"/>
          <w:szCs w:val="21"/>
          <w:highlight w:val="none"/>
        </w:rPr>
      </w:pPr>
      <w:bookmarkStart w:id="136" w:name="_Toc29649"/>
      <w:bookmarkStart w:id="137" w:name="_Toc10892"/>
      <w:r>
        <w:rPr>
          <w:rFonts w:hint="eastAsia" w:ascii="宋体" w:hAnsi="宋体" w:cs="宋体"/>
          <w:b/>
          <w:bCs/>
          <w:color w:val="auto"/>
          <w:kern w:val="0"/>
          <w:szCs w:val="21"/>
          <w:highlight w:val="none"/>
        </w:rPr>
        <w:t>其他：</w:t>
      </w:r>
      <w:r>
        <w:rPr>
          <w:rFonts w:hint="eastAsia" w:ascii="宋体" w:hAnsi="宋体" w:cs="宋体"/>
          <w:color w:val="auto"/>
          <w:kern w:val="0"/>
          <w:szCs w:val="21"/>
          <w:highlight w:val="none"/>
        </w:rPr>
        <w:t>为让政府采购供应商知晓运用政采贷政策，加强政采贷的推广力度，现将《中国人民银行桂林市中心支行桂林市财政局关于转发《中国人民银行南宁中心支行广西壮族自治区财政厅关于推广线上“政采贷”融资模式的通知》的通知》转发。具体内容详见附表。</w:t>
      </w:r>
    </w:p>
    <w:p w14:paraId="0979BC58">
      <w:pPr>
        <w:pStyle w:val="23"/>
        <w:ind w:left="840" w:leftChars="400" w:firstLine="0" w:firstLineChars="0"/>
        <w:rPr>
          <w:color w:val="auto"/>
          <w:highlight w:val="none"/>
        </w:rPr>
      </w:pPr>
    </w:p>
    <w:p w14:paraId="10D73B2B">
      <w:pPr>
        <w:pStyle w:val="23"/>
        <w:ind w:left="840" w:leftChars="400" w:firstLine="0" w:firstLineChars="0"/>
        <w:rPr>
          <w:color w:val="auto"/>
          <w:highlight w:val="none"/>
        </w:rPr>
      </w:pPr>
    </w:p>
    <w:p w14:paraId="3E1124A2">
      <w:pPr>
        <w:pStyle w:val="23"/>
        <w:ind w:left="840" w:leftChars="400" w:firstLine="0" w:firstLineChars="0"/>
        <w:rPr>
          <w:color w:val="auto"/>
          <w:highlight w:val="none"/>
        </w:rPr>
      </w:pPr>
    </w:p>
    <w:p w14:paraId="2CB399BA">
      <w:pPr>
        <w:jc w:val="center"/>
        <w:outlineLvl w:val="9"/>
        <w:rPr>
          <w:color w:val="auto"/>
          <w:highlight w:val="none"/>
        </w:rPr>
      </w:pPr>
      <w:r>
        <w:rPr>
          <w:color w:val="auto"/>
          <w:highlight w:val="none"/>
        </w:rPr>
        <w:drawing>
          <wp:inline distT="0" distB="0" distL="114300" distR="114300">
            <wp:extent cx="6113780" cy="6652895"/>
            <wp:effectExtent l="0" t="0" r="1270" b="14605"/>
            <wp:docPr id="10"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29"/>
                    <pic:cNvPicPr>
                      <a:picLocks noChangeAspect="1"/>
                    </pic:cNvPicPr>
                  </pic:nvPicPr>
                  <pic:blipFill>
                    <a:blip r:embed="rId8" cstate="print"/>
                    <a:stretch>
                      <a:fillRect/>
                    </a:stretch>
                  </pic:blipFill>
                  <pic:spPr>
                    <a:xfrm>
                      <a:off x="0" y="0"/>
                      <a:ext cx="6113780" cy="6652895"/>
                    </a:xfrm>
                    <a:prstGeom prst="rect">
                      <a:avLst/>
                    </a:prstGeom>
                    <a:noFill/>
                    <a:ln w="9525">
                      <a:noFill/>
                      <a:miter/>
                    </a:ln>
                  </pic:spPr>
                </pic:pic>
              </a:graphicData>
            </a:graphic>
          </wp:inline>
        </w:drawing>
      </w:r>
    </w:p>
    <w:p w14:paraId="447B4085">
      <w:pPr>
        <w:rPr>
          <w:color w:val="auto"/>
          <w:highlight w:val="none"/>
        </w:rPr>
      </w:pPr>
    </w:p>
    <w:p w14:paraId="23F68F0E">
      <w:pPr>
        <w:rPr>
          <w:color w:val="auto"/>
          <w:highlight w:val="none"/>
        </w:rPr>
      </w:pPr>
      <w:bookmarkStart w:id="138" w:name="_Toc24601"/>
      <w:bookmarkStart w:id="139" w:name="_Toc22353"/>
      <w:r>
        <w:rPr>
          <w:rFonts w:hint="eastAsia"/>
          <w:color w:val="auto"/>
          <w:highlight w:val="none"/>
        </w:rPr>
        <w:br w:type="page"/>
      </w:r>
    </w:p>
    <w:p w14:paraId="6659DCD9">
      <w:pPr>
        <w:pStyle w:val="2"/>
        <w:keepNext/>
        <w:keepLines/>
        <w:pageBreakBefore w:val="0"/>
        <w:widowControl w:val="0"/>
        <w:numPr>
          <w:ilvl w:val="0"/>
          <w:numId w:val="0"/>
        </w:numPr>
        <w:kinsoku/>
        <w:wordWrap/>
        <w:overflowPunct/>
        <w:topLinePunct w:val="0"/>
        <w:autoSpaceDE/>
        <w:autoSpaceDN/>
        <w:bidi w:val="0"/>
        <w:adjustRightInd/>
        <w:snapToGrid/>
        <w:spacing w:after="0"/>
        <w:textAlignment w:val="auto"/>
        <w:rPr>
          <w:color w:val="auto"/>
          <w:highlight w:val="none"/>
        </w:rPr>
      </w:pPr>
      <w:r>
        <w:rPr>
          <w:rFonts w:ascii="Times New Roman" w:hAnsi="Times New Roman" w:eastAsia="宋体" w:cs="Times New Roman"/>
          <w:b/>
          <w:bCs/>
          <w:color w:val="auto"/>
          <w:kern w:val="44"/>
          <w:sz w:val="36"/>
          <w:szCs w:val="44"/>
          <w:highlight w:val="none"/>
          <w:lang w:val="en-US" w:eastAsia="zh-CN" w:bidi="ar-SA"/>
        </w:rPr>
        <w:t>第三章</w:t>
      </w:r>
      <w:r>
        <w:rPr>
          <w:rFonts w:hint="eastAsia" w:cs="Times New Roman"/>
          <w:b/>
          <w:bCs/>
          <w:color w:val="auto"/>
          <w:kern w:val="44"/>
          <w:sz w:val="36"/>
          <w:szCs w:val="44"/>
          <w:highlight w:val="none"/>
          <w:lang w:val="en-US" w:eastAsia="zh-CN" w:bidi="ar-SA"/>
        </w:rPr>
        <w:t xml:space="preserve"> </w:t>
      </w:r>
      <w:r>
        <w:rPr>
          <w:rFonts w:hint="eastAsia"/>
          <w:color w:val="auto"/>
          <w:highlight w:val="none"/>
        </w:rPr>
        <w:t>采购需求</w:t>
      </w:r>
      <w:bookmarkEnd w:id="136"/>
      <w:bookmarkEnd w:id="137"/>
      <w:bookmarkEnd w:id="138"/>
      <w:bookmarkEnd w:id="139"/>
    </w:p>
    <w:p w14:paraId="3613C699">
      <w:pPr>
        <w:wordWrap w:val="0"/>
        <w:adjustRightInd w:val="0"/>
        <w:spacing w:line="360" w:lineRule="exact"/>
        <w:jc w:val="left"/>
        <w:rPr>
          <w:rFonts w:hint="eastAsia" w:ascii="宋体" w:hAnsi="宋体" w:cs="宋体"/>
          <w:color w:val="auto"/>
          <w:szCs w:val="21"/>
          <w:highlight w:val="none"/>
        </w:rPr>
      </w:pPr>
      <w:bookmarkStart w:id="140" w:name="_Toc24716"/>
      <w:r>
        <w:rPr>
          <w:rFonts w:hint="eastAsia" w:ascii="宋体" w:hAnsi="宋体" w:cs="宋体"/>
          <w:b/>
          <w:color w:val="auto"/>
          <w:sz w:val="21"/>
          <w:szCs w:val="21"/>
          <w:highlight w:val="none"/>
          <w:lang w:val="en-US"/>
        </w:rPr>
        <w:t xml:space="preserve"> </w:t>
      </w:r>
      <w:r>
        <w:rPr>
          <w:rFonts w:hint="eastAsia" w:ascii="宋体" w:hAnsi="宋体" w:cs="宋体"/>
          <w:b/>
          <w:color w:val="auto"/>
          <w:sz w:val="21"/>
          <w:szCs w:val="21"/>
          <w:highlight w:val="none"/>
          <w:lang w:val="en-US" w:eastAsia="zh-CN"/>
        </w:rPr>
        <w:t xml:space="preserve">  </w:t>
      </w:r>
      <w:r>
        <w:rPr>
          <w:rFonts w:hint="eastAsia" w:ascii="宋体" w:hAnsi="宋体" w:cs="宋体"/>
          <w:color w:val="auto"/>
          <w:szCs w:val="21"/>
          <w:highlight w:val="none"/>
        </w:rPr>
        <w:t>说明：</w:t>
      </w:r>
    </w:p>
    <w:p w14:paraId="2BD6C495">
      <w:pPr>
        <w:wordWrap w:val="0"/>
        <w:adjustRightInd w:val="0"/>
        <w:spacing w:line="360" w:lineRule="exact"/>
        <w:ind w:firstLine="420" w:firstLineChars="200"/>
        <w:jc w:val="left"/>
        <w:rPr>
          <w:rFonts w:hint="eastAsia" w:ascii="宋体" w:hAnsi="宋体" w:cs="宋体"/>
          <w:color w:val="auto"/>
          <w:szCs w:val="21"/>
          <w:highlight w:val="none"/>
        </w:rPr>
      </w:pPr>
      <w:r>
        <w:rPr>
          <w:rFonts w:hint="eastAsia" w:ascii="宋体" w:hAnsi="宋体"/>
          <w:color w:val="auto"/>
          <w:highlight w:val="none"/>
        </w:rPr>
        <w:t>1</w:t>
      </w:r>
      <w:r>
        <w:rPr>
          <w:rFonts w:hint="eastAsia"/>
          <w:color w:val="auto"/>
          <w:highlight w:val="none"/>
        </w:rPr>
        <w:t>.为落实政府采购政策需满足的</w:t>
      </w:r>
      <w:r>
        <w:rPr>
          <w:rFonts w:hint="eastAsia"/>
          <w:color w:val="auto"/>
          <w:highlight w:val="none"/>
          <w:lang w:eastAsia="zh-CN"/>
        </w:rPr>
        <w:t>要求：</w:t>
      </w:r>
    </w:p>
    <w:p w14:paraId="058DE969">
      <w:pPr>
        <w:wordWrap w:val="0"/>
        <w:adjustRightInd w:val="0"/>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（1）本竞争性磋商采购文件所称中小企业必须符合《政府采购促进中小企业发展管理办法》（财库〔2020〕46号）的规定。</w:t>
      </w:r>
    </w:p>
    <w:p w14:paraId="7C440A15">
      <w:pPr>
        <w:tabs>
          <w:tab w:val="left" w:pos="180"/>
          <w:tab w:val="left" w:pos="1620"/>
        </w:tabs>
        <w:wordWrap w:val="0"/>
        <w:adjustRightInd w:val="0"/>
        <w:spacing w:line="360" w:lineRule="exact"/>
        <w:ind w:firstLine="420" w:firstLineChars="200"/>
        <w:rPr>
          <w:rFonts w:hint="eastAsia" w:ascii="宋体" w:hAnsi="宋体" w:cs="宋体"/>
          <w:b/>
          <w:bCs/>
          <w:color w:val="auto"/>
          <w:szCs w:val="21"/>
          <w:highlight w:val="none"/>
        </w:rPr>
      </w:pPr>
      <w:r>
        <w:rPr>
          <w:rFonts w:hint="eastAsia" w:ascii="宋体" w:hAnsi="宋体" w:cs="宋体"/>
          <w:color w:val="auto"/>
          <w:szCs w:val="21"/>
          <w:highlight w:val="none"/>
        </w:rPr>
        <w:t>（2）服务项目中包含货物的，根据《财政部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公章），</w:t>
      </w:r>
      <w:r>
        <w:rPr>
          <w:rFonts w:hint="eastAsia" w:ascii="宋体" w:hAnsi="宋体" w:cs="宋体"/>
          <w:b/>
          <w:bCs/>
          <w:color w:val="auto"/>
          <w:szCs w:val="21"/>
          <w:highlight w:val="none"/>
        </w:rPr>
        <w:t>否则响应文件作无效处理</w:t>
      </w:r>
      <w:r>
        <w:rPr>
          <w:rFonts w:hint="eastAsia" w:ascii="宋体" w:hAnsi="宋体" w:cs="宋体"/>
          <w:color w:val="auto"/>
          <w:szCs w:val="21"/>
          <w:highlight w:val="none"/>
        </w:rPr>
        <w:t>。如本项目包含的配套货物属于品目清单内非标注“★”的产品时，应优先采购，具体详见“第四章 评审程序和评定成交的标准”。</w:t>
      </w:r>
    </w:p>
    <w:p w14:paraId="000A8573">
      <w:pPr>
        <w:wordWrap w:val="0"/>
        <w:adjustRightInd w:val="0"/>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服务项目中包含货物的，根据《关于调整网络安全专用产品安全管理有关事项的公告》（2023年1号）规定，本项目采购需求中的产品如果包括《网络关键设备和网络安全专用产品目录》的网络安全专用产品，供应商在响应文件中应主动列明供货范围中属于网络安全专用产品的竞标产品，并在响应文件（商务及技术文件）中提供由中国网信网（http://www.cac.gov.cn/index.htm）最新发布的《网络关键设备和网络安全专用产品安全认证和安全检测结果》截图证明材料，不在《网络关键设备和网络安全专用产品安全认证和安全检测结果》中</w:t>
      </w:r>
      <w:r>
        <w:rPr>
          <w:rFonts w:hint="eastAsia" w:ascii="宋体" w:hAnsi="宋体" w:cs="宋体"/>
          <w:color w:val="auto"/>
          <w:szCs w:val="21"/>
          <w:highlight w:val="none"/>
          <w:lang w:eastAsia="zh-CN"/>
        </w:rPr>
        <w:t>、</w:t>
      </w:r>
      <w:r>
        <w:rPr>
          <w:rFonts w:hint="eastAsia" w:ascii="宋体" w:hAnsi="宋体" w:cs="宋体"/>
          <w:color w:val="auto"/>
          <w:szCs w:val="21"/>
          <w:highlight w:val="none"/>
        </w:rPr>
        <w:t>不在有效期内或未提供有效的《计算机信息系统安全专用产品销售许可证》的，响应无效。如属于《网络关键设备和网络安全专用产品目录》中“二、网络安全专用产品”内“产品类别”</w:t>
      </w:r>
      <w:r>
        <w:rPr>
          <w:rFonts w:hint="eastAsia" w:ascii="宋体" w:hAnsi="宋体" w:cs="宋体"/>
          <w:color w:val="auto"/>
          <w:szCs w:val="21"/>
          <w:highlight w:val="none"/>
          <w:lang w:eastAsia="zh-CN"/>
        </w:rPr>
        <w:t>中</w:t>
      </w:r>
      <w:r>
        <w:rPr>
          <w:rFonts w:hint="eastAsia" w:ascii="宋体" w:hAnsi="宋体" w:cs="宋体"/>
          <w:color w:val="auto"/>
          <w:szCs w:val="21"/>
          <w:highlight w:val="none"/>
        </w:rPr>
        <w:t>所描述的产品，但不属于所列“产品描述”情形的，应提供相应的说明及证明材料。</w:t>
      </w:r>
    </w:p>
    <w:p w14:paraId="3AF2F0A4">
      <w:pPr>
        <w:wordWrap w:val="0"/>
        <w:adjustRightInd w:val="0"/>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“实质性要求”是指采购需求中带“▲”的条款</w:t>
      </w:r>
      <w:r>
        <w:rPr>
          <w:rFonts w:hint="eastAsia" w:ascii="宋体" w:hAnsi="宋体" w:cs="宋体"/>
          <w:color w:val="auto"/>
          <w:szCs w:val="21"/>
          <w:highlight w:val="none"/>
          <w:lang w:eastAsia="zh-CN"/>
        </w:rPr>
        <w:t>、</w:t>
      </w:r>
      <w:r>
        <w:rPr>
          <w:rFonts w:hint="eastAsia" w:ascii="宋体" w:hAnsi="宋体" w:cs="宋体"/>
          <w:color w:val="auto"/>
          <w:szCs w:val="21"/>
          <w:highlight w:val="none"/>
        </w:rPr>
        <w:t>不能负偏离的条款</w:t>
      </w:r>
      <w:r>
        <w:rPr>
          <w:rFonts w:hint="eastAsia" w:ascii="宋体" w:hAnsi="宋体" w:cs="宋体"/>
          <w:color w:val="auto"/>
          <w:szCs w:val="21"/>
          <w:highlight w:val="none"/>
          <w:lang w:eastAsia="zh-CN"/>
        </w:rPr>
        <w:t>或</w:t>
      </w:r>
      <w:r>
        <w:rPr>
          <w:rFonts w:hint="eastAsia" w:ascii="宋体" w:hAnsi="宋体" w:cs="宋体"/>
          <w:color w:val="auto"/>
          <w:szCs w:val="21"/>
          <w:highlight w:val="none"/>
        </w:rPr>
        <w:t>已经指明不满足按响应文件作无效处理的条款。</w:t>
      </w:r>
    </w:p>
    <w:p w14:paraId="58D63394">
      <w:pPr>
        <w:wordWrap w:val="0"/>
        <w:adjustRightInd w:val="0"/>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.如供应商竞标产品（或服务）存在侵犯他人的知识产权或者专利成果行为的，应承担相应法律责任。</w:t>
      </w:r>
    </w:p>
    <w:p w14:paraId="3F266A79">
      <w:pPr>
        <w:wordWrap w:val="0"/>
        <w:adjustRightInd w:val="0"/>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不需要供应商对采购需求响应为具体数值的，此采购需求的数值后将以◆号标注。</w:t>
      </w:r>
    </w:p>
    <w:p w14:paraId="74C88DC5">
      <w:pPr>
        <w:wordWrap w:val="0"/>
        <w:adjustRightInd w:val="0"/>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采购标的对应的中小企业划分标准所属行业：根据《关于印发中小企业划型标准规定的通知》（工信部联企业〔2011〕300号），本次采购标的属于</w:t>
      </w:r>
      <w:r>
        <w:rPr>
          <w:rFonts w:hint="eastAsia" w:ascii="宋体" w:hAnsi="宋体" w:cs="宋体"/>
          <w:b/>
          <w:color w:val="auto"/>
          <w:szCs w:val="21"/>
          <w:highlight w:val="none"/>
        </w:rPr>
        <w:t>其他未列明行业</w:t>
      </w:r>
      <w:r>
        <w:rPr>
          <w:rFonts w:hint="eastAsia" w:ascii="宋体" w:hAnsi="宋体" w:cs="宋体"/>
          <w:color w:val="auto"/>
          <w:szCs w:val="21"/>
          <w:highlight w:val="none"/>
        </w:rPr>
        <w:t>。</w:t>
      </w:r>
    </w:p>
    <w:p w14:paraId="7127253D">
      <w:pPr>
        <w:wordWrap w:val="0"/>
        <w:adjustRightInd w:val="0"/>
        <w:spacing w:line="360" w:lineRule="exact"/>
        <w:ind w:firstLine="422" w:firstLineChars="200"/>
        <w:jc w:val="left"/>
        <w:outlineLvl w:val="1"/>
        <w:rPr>
          <w:rFonts w:hint="eastAsia" w:ascii="宋体" w:hAnsi="宋体" w:cs="宋体"/>
          <w:color w:val="auto"/>
          <w:szCs w:val="21"/>
          <w:highlight w:val="none"/>
        </w:rPr>
      </w:pPr>
      <w:r>
        <w:rPr>
          <w:rFonts w:hint="eastAsia" w:ascii="宋体" w:hAnsi="宋体" w:cs="宋体"/>
          <w:b/>
          <w:bCs/>
          <w:color w:val="auto"/>
          <w:kern w:val="0"/>
          <w:szCs w:val="21"/>
          <w:highlight w:val="none"/>
          <w:lang w:val="en-US" w:eastAsia="zh-CN"/>
        </w:rPr>
        <w:t>A分标：</w:t>
      </w:r>
    </w:p>
    <w:tbl>
      <w:tblPr>
        <w:tblStyle w:val="24"/>
        <w:tblW w:w="934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95"/>
        <w:gridCol w:w="892"/>
        <w:gridCol w:w="861"/>
        <w:gridCol w:w="672"/>
        <w:gridCol w:w="6425"/>
      </w:tblGrid>
      <w:tr w14:paraId="19DA1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 w:hRule="atLeast"/>
          <w:jc w:val="center"/>
        </w:trPr>
        <w:tc>
          <w:tcPr>
            <w:tcW w:w="9345" w:type="dxa"/>
            <w:gridSpan w:val="5"/>
            <w:noWrap w:val="0"/>
            <w:vAlign w:val="center"/>
          </w:tcPr>
          <w:p w14:paraId="62906468">
            <w:pPr>
              <w:keepNext w:val="0"/>
              <w:keepLines w:val="0"/>
              <w:suppressLineNumbers w:val="0"/>
              <w:tabs>
                <w:tab w:val="left" w:pos="180"/>
                <w:tab w:val="left" w:pos="1620"/>
              </w:tabs>
              <w:wordWrap w:val="0"/>
              <w:spacing w:before="0" w:beforeAutospacing="0" w:after="0" w:afterAutospacing="0" w:line="360" w:lineRule="auto"/>
              <w:ind w:left="0" w:right="0"/>
              <w:jc w:val="left"/>
              <w:rPr>
                <w:rFonts w:hint="eastAsia" w:ascii="宋体" w:hAnsi="宋体" w:eastAsia="宋体" w:cs="宋体"/>
                <w:b/>
                <w:bCs/>
                <w:color w:val="auto"/>
                <w:szCs w:val="21"/>
                <w:highlight w:val="none"/>
              </w:rPr>
            </w:pPr>
            <w:r>
              <w:rPr>
                <w:rFonts w:hint="eastAsia" w:ascii="宋体" w:hAnsi="宋体" w:eastAsia="宋体" w:cs="宋体"/>
                <w:b/>
                <w:color w:val="auto"/>
                <w:highlight w:val="none"/>
              </w:rPr>
              <w:t>▲</w:t>
            </w:r>
            <w:r>
              <w:rPr>
                <w:rFonts w:hint="eastAsia" w:ascii="宋体" w:hAnsi="宋体" w:eastAsia="宋体" w:cs="宋体"/>
                <w:b/>
                <w:bCs/>
                <w:color w:val="auto"/>
                <w:szCs w:val="21"/>
                <w:highlight w:val="none"/>
              </w:rPr>
              <w:t>一、采购内容及技术要求</w:t>
            </w:r>
          </w:p>
        </w:tc>
      </w:tr>
      <w:tr w14:paraId="58B58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jc w:val="center"/>
        </w:trPr>
        <w:tc>
          <w:tcPr>
            <w:tcW w:w="495" w:type="dxa"/>
            <w:noWrap w:val="0"/>
            <w:vAlign w:val="center"/>
          </w:tcPr>
          <w:p w14:paraId="76A116FA">
            <w:pPr>
              <w:keepNext w:val="0"/>
              <w:keepLines w:val="0"/>
              <w:suppressLineNumbers w:val="0"/>
              <w:tabs>
                <w:tab w:val="left" w:pos="180"/>
                <w:tab w:val="left" w:pos="1620"/>
              </w:tabs>
              <w:wordWrap w:val="0"/>
              <w:spacing w:before="0" w:beforeAutospacing="0" w:after="0" w:afterAutospacing="0" w:line="360" w:lineRule="auto"/>
              <w:ind w:left="0" w:right="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892" w:type="dxa"/>
            <w:noWrap w:val="0"/>
            <w:vAlign w:val="center"/>
          </w:tcPr>
          <w:p w14:paraId="6658EBD8">
            <w:pPr>
              <w:keepNext w:val="0"/>
              <w:keepLines w:val="0"/>
              <w:suppressLineNumbers w:val="0"/>
              <w:tabs>
                <w:tab w:val="left" w:pos="180"/>
                <w:tab w:val="left" w:pos="1620"/>
              </w:tabs>
              <w:wordWrap w:val="0"/>
              <w:spacing w:before="0" w:beforeAutospacing="0" w:after="0" w:afterAutospacing="0" w:line="360" w:lineRule="auto"/>
              <w:ind w:left="0" w:right="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标的的名称</w:t>
            </w:r>
          </w:p>
        </w:tc>
        <w:tc>
          <w:tcPr>
            <w:tcW w:w="861" w:type="dxa"/>
            <w:noWrap w:val="0"/>
            <w:vAlign w:val="center"/>
          </w:tcPr>
          <w:p w14:paraId="23859EA4">
            <w:pPr>
              <w:keepNext w:val="0"/>
              <w:keepLines w:val="0"/>
              <w:suppressLineNumbers w:val="0"/>
              <w:tabs>
                <w:tab w:val="left" w:pos="180"/>
                <w:tab w:val="left" w:pos="1620"/>
              </w:tabs>
              <w:wordWrap w:val="0"/>
              <w:spacing w:before="0" w:beforeAutospacing="0" w:after="0" w:afterAutospacing="0" w:line="360" w:lineRule="auto"/>
              <w:ind w:left="0" w:right="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数量及单位</w:t>
            </w:r>
          </w:p>
        </w:tc>
        <w:tc>
          <w:tcPr>
            <w:tcW w:w="672" w:type="dxa"/>
            <w:noWrap w:val="0"/>
            <w:vAlign w:val="center"/>
          </w:tcPr>
          <w:p w14:paraId="0ABD586E">
            <w:pPr>
              <w:keepNext w:val="0"/>
              <w:keepLines w:val="0"/>
              <w:suppressLineNumbers w:val="0"/>
              <w:tabs>
                <w:tab w:val="left" w:pos="180"/>
                <w:tab w:val="left" w:pos="1620"/>
              </w:tabs>
              <w:wordWrap w:val="0"/>
              <w:spacing w:before="0" w:beforeAutospacing="0" w:after="0" w:afterAutospacing="0" w:line="360" w:lineRule="auto"/>
              <w:ind w:left="0" w:right="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所属</w:t>
            </w:r>
          </w:p>
          <w:p w14:paraId="3AC254A5">
            <w:pPr>
              <w:keepNext w:val="0"/>
              <w:keepLines w:val="0"/>
              <w:suppressLineNumbers w:val="0"/>
              <w:tabs>
                <w:tab w:val="left" w:pos="180"/>
                <w:tab w:val="left" w:pos="1620"/>
              </w:tabs>
              <w:wordWrap w:val="0"/>
              <w:spacing w:before="0" w:beforeAutospacing="0" w:after="0" w:afterAutospacing="0" w:line="360" w:lineRule="auto"/>
              <w:ind w:left="0" w:right="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行业</w:t>
            </w:r>
          </w:p>
        </w:tc>
        <w:tc>
          <w:tcPr>
            <w:tcW w:w="6425" w:type="dxa"/>
            <w:noWrap w:val="0"/>
            <w:vAlign w:val="center"/>
          </w:tcPr>
          <w:p w14:paraId="36455E42">
            <w:pPr>
              <w:keepNext w:val="0"/>
              <w:keepLines w:val="0"/>
              <w:suppressLineNumbers w:val="0"/>
              <w:tabs>
                <w:tab w:val="left" w:pos="180"/>
                <w:tab w:val="left" w:pos="1620"/>
              </w:tabs>
              <w:wordWrap w:val="0"/>
              <w:spacing w:before="0" w:beforeAutospacing="0" w:after="0" w:afterAutospacing="0" w:line="360" w:lineRule="auto"/>
              <w:ind w:left="0" w:right="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技术或服务要求</w:t>
            </w:r>
          </w:p>
        </w:tc>
      </w:tr>
      <w:tr w14:paraId="612F73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495" w:type="dxa"/>
            <w:noWrap w:val="0"/>
            <w:vAlign w:val="center"/>
          </w:tcPr>
          <w:p w14:paraId="0FA2F766">
            <w:pPr>
              <w:keepNext w:val="0"/>
              <w:keepLines w:val="0"/>
              <w:suppressLineNumbers w:val="0"/>
              <w:wordWrap w:val="0"/>
              <w:snapToGrid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892" w:type="dxa"/>
            <w:noWrap w:val="0"/>
            <w:vAlign w:val="center"/>
          </w:tcPr>
          <w:p w14:paraId="17C54A2F">
            <w:pPr>
              <w:keepNext w:val="0"/>
              <w:keepLines w:val="0"/>
              <w:suppressLineNumbers w:val="0"/>
              <w:wordWrap w:val="0"/>
              <w:spacing w:before="0" w:beforeAutospacing="0" w:after="0" w:afterAutospacing="0" w:line="360" w:lineRule="auto"/>
              <w:ind w:left="0" w:right="0"/>
              <w:jc w:val="center"/>
              <w:rPr>
                <w:rFonts w:hint="eastAsia" w:ascii="宋体" w:hAnsi="宋体" w:eastAsia="宋体" w:cs="宋体"/>
                <w:color w:val="auto"/>
                <w:kern w:val="20"/>
                <w:szCs w:val="21"/>
                <w:highlight w:val="none"/>
                <w:lang w:eastAsia="zh-CN"/>
              </w:rPr>
            </w:pPr>
            <w:r>
              <w:rPr>
                <w:rFonts w:hint="eastAsia" w:ascii="宋体" w:hAnsi="宋体" w:cs="宋体"/>
                <w:color w:val="auto"/>
                <w:szCs w:val="21"/>
                <w:highlight w:val="none"/>
                <w:lang w:eastAsia="zh-CN"/>
              </w:rPr>
              <w:t>特种救护、宣传（资料）视频制作、标本养护</w:t>
            </w:r>
          </w:p>
        </w:tc>
        <w:tc>
          <w:tcPr>
            <w:tcW w:w="861" w:type="dxa"/>
            <w:noWrap w:val="0"/>
            <w:vAlign w:val="center"/>
          </w:tcPr>
          <w:p w14:paraId="678665D0">
            <w:pPr>
              <w:keepNext/>
              <w:keepLines/>
              <w:pageBreakBefore/>
              <w:widowControl/>
              <w:suppressLineNumbers w:val="0"/>
              <w:wordWrap w:val="0"/>
              <w:spacing w:before="0" w:beforeAutospacing="0" w:after="0" w:afterAutospacing="0" w:line="360" w:lineRule="auto"/>
              <w:ind w:left="0" w:right="0"/>
              <w:jc w:val="center"/>
              <w:rPr>
                <w:rFonts w:hint="eastAsia" w:ascii="宋体" w:hAnsi="宋体" w:eastAsia="宋体" w:cs="宋体"/>
                <w:color w:val="auto"/>
                <w:kern w:val="20"/>
                <w:szCs w:val="21"/>
                <w:highlight w:val="none"/>
              </w:rPr>
            </w:pPr>
            <w:r>
              <w:rPr>
                <w:rFonts w:hint="eastAsia" w:ascii="宋体" w:hAnsi="宋体" w:eastAsia="宋体" w:cs="宋体"/>
                <w:color w:val="auto"/>
                <w:szCs w:val="21"/>
                <w:highlight w:val="none"/>
              </w:rPr>
              <w:t>1项</w:t>
            </w:r>
          </w:p>
        </w:tc>
        <w:tc>
          <w:tcPr>
            <w:tcW w:w="672" w:type="dxa"/>
            <w:noWrap w:val="0"/>
            <w:vAlign w:val="center"/>
          </w:tcPr>
          <w:p w14:paraId="6927C9C9">
            <w:pPr>
              <w:keepNext w:val="0"/>
              <w:keepLines w:val="0"/>
              <w:suppressLineNumbers w:val="0"/>
              <w:tabs>
                <w:tab w:val="left" w:pos="180"/>
                <w:tab w:val="left" w:pos="1620"/>
              </w:tabs>
              <w:wordWrap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其他未列明行业</w:t>
            </w:r>
            <w:r>
              <w:rPr>
                <w:rFonts w:hint="eastAsia" w:ascii="宋体" w:hAnsi="宋体" w:eastAsia="宋体" w:cs="宋体"/>
                <w:color w:val="auto"/>
                <w:szCs w:val="21"/>
                <w:highlight w:val="none"/>
              </w:rPr>
              <w:t xml:space="preserve"> </w:t>
            </w:r>
          </w:p>
        </w:tc>
        <w:tc>
          <w:tcPr>
            <w:tcW w:w="6425" w:type="dxa"/>
            <w:noWrap w:val="0"/>
            <w:vAlign w:val="center"/>
          </w:tcPr>
          <w:p w14:paraId="4592DB5A">
            <w:pPr>
              <w:pStyle w:val="50"/>
              <w:keepNext w:val="0"/>
              <w:keepLines w:val="0"/>
              <w:widowControl/>
              <w:numPr>
                <w:ilvl w:val="0"/>
                <w:numId w:val="0"/>
              </w:numPr>
              <w:suppressLineNumbers w:val="0"/>
              <w:spacing w:before="0" w:beforeAutospacing="0" w:after="0" w:afterAutospacing="0" w:line="360" w:lineRule="auto"/>
              <w:ind w:left="0" w:leftChars="0" w:right="0" w:rightChars="0" w:firstLine="420" w:firstLineChars="200"/>
              <w:jc w:val="both"/>
              <w:rPr>
                <w:rFonts w:hint="default" w:ascii="宋体" w:hAnsi="宋体" w:eastAsia="宋体" w:cs="宋体"/>
                <w:b w:val="0"/>
                <w:bCs w:val="0"/>
                <w:color w:val="auto"/>
                <w:kern w:val="2"/>
                <w:sz w:val="21"/>
                <w:szCs w:val="21"/>
                <w:highlight w:val="none"/>
                <w:lang w:val="en-US" w:eastAsia="zh-CN"/>
              </w:rPr>
            </w:pPr>
            <w:r>
              <w:rPr>
                <w:rFonts w:hint="default" w:ascii="宋体" w:hAnsi="宋体" w:eastAsia="宋体" w:cs="宋体"/>
                <w:b w:val="0"/>
                <w:bCs w:val="0"/>
                <w:color w:val="auto"/>
                <w:kern w:val="2"/>
                <w:sz w:val="21"/>
                <w:szCs w:val="21"/>
                <w:highlight w:val="none"/>
                <w:lang w:val="en-US" w:eastAsia="zh-CN" w:bidi="ar-SA"/>
              </w:rPr>
              <w:t>1.</w:t>
            </w:r>
            <w:r>
              <w:rPr>
                <w:rFonts w:hint="eastAsia" w:ascii="宋体" w:hAnsi="宋体" w:eastAsia="宋体" w:cs="宋体"/>
                <w:b/>
                <w:bCs/>
                <w:color w:val="auto"/>
                <w:kern w:val="2"/>
                <w:sz w:val="21"/>
                <w:szCs w:val="21"/>
                <w:highlight w:val="none"/>
                <w:lang w:val="en-US" w:eastAsia="zh-CN"/>
              </w:rPr>
              <w:t>工作目标：</w:t>
            </w:r>
          </w:p>
          <w:p w14:paraId="775F36D0">
            <w:pPr>
              <w:pStyle w:val="50"/>
              <w:keepNext w:val="0"/>
              <w:keepLines w:val="0"/>
              <w:widowControl/>
              <w:numPr>
                <w:ilvl w:val="0"/>
                <w:numId w:val="0"/>
              </w:numPr>
              <w:suppressLineNumbers w:val="0"/>
              <w:spacing w:before="0" w:beforeAutospacing="0" w:after="0" w:afterAutospacing="0" w:line="360" w:lineRule="auto"/>
              <w:ind w:left="0" w:leftChars="0" w:right="0" w:rightChars="0" w:firstLine="420" w:firstLineChars="200"/>
              <w:jc w:val="both"/>
              <w:rPr>
                <w:rFonts w:hint="default" w:ascii="宋体" w:hAnsi="宋体" w:eastAsia="宋体" w:cs="宋体"/>
                <w:b w:val="0"/>
                <w:bCs w:val="0"/>
                <w:color w:val="auto"/>
                <w:kern w:val="2"/>
                <w:sz w:val="21"/>
                <w:szCs w:val="21"/>
                <w:highlight w:val="none"/>
                <w:lang w:val="en-US" w:eastAsia="zh-CN"/>
              </w:rPr>
            </w:pPr>
            <w:r>
              <w:rPr>
                <w:rFonts w:hint="eastAsia" w:ascii="宋体" w:hAnsi="宋体" w:cs="宋体"/>
                <w:b w:val="0"/>
                <w:bCs w:val="0"/>
                <w:color w:val="auto"/>
                <w:kern w:val="2"/>
                <w:sz w:val="21"/>
                <w:szCs w:val="21"/>
                <w:highlight w:val="none"/>
                <w:lang w:val="en-US" w:eastAsia="zh-CN"/>
              </w:rPr>
              <w:t>（1）</w:t>
            </w:r>
            <w:r>
              <w:rPr>
                <w:rFonts w:hint="default" w:ascii="宋体" w:hAnsi="宋体" w:eastAsia="宋体" w:cs="宋体"/>
                <w:b w:val="0"/>
                <w:bCs w:val="0"/>
                <w:color w:val="auto"/>
                <w:kern w:val="2"/>
                <w:sz w:val="21"/>
                <w:szCs w:val="21"/>
                <w:highlight w:val="none"/>
                <w:lang w:val="en-US" w:eastAsia="zh-CN"/>
              </w:rPr>
              <w:t>特种救护</w:t>
            </w:r>
            <w:r>
              <w:rPr>
                <w:rFonts w:hint="eastAsia" w:ascii="宋体" w:hAnsi="宋体" w:cs="宋体"/>
                <w:b w:val="0"/>
                <w:bCs w:val="0"/>
                <w:color w:val="auto"/>
                <w:kern w:val="2"/>
                <w:sz w:val="21"/>
                <w:szCs w:val="21"/>
                <w:highlight w:val="none"/>
                <w:lang w:val="en-US" w:eastAsia="zh-CN"/>
              </w:rPr>
              <w:t>（预算金额为：25.36万元）</w:t>
            </w:r>
            <w:r>
              <w:rPr>
                <w:rFonts w:hint="default" w:ascii="宋体" w:hAnsi="宋体" w:eastAsia="宋体" w:cs="宋体"/>
                <w:b w:val="0"/>
                <w:bCs w:val="0"/>
                <w:color w:val="auto"/>
                <w:kern w:val="2"/>
                <w:sz w:val="21"/>
                <w:szCs w:val="21"/>
                <w:highlight w:val="none"/>
                <w:lang w:val="en-US" w:eastAsia="zh-CN"/>
              </w:rPr>
              <w:t>，包括银杉种群救护、建设杜鹃种质园。</w:t>
            </w:r>
          </w:p>
          <w:p w14:paraId="185459E1">
            <w:pPr>
              <w:pStyle w:val="50"/>
              <w:keepNext w:val="0"/>
              <w:keepLines w:val="0"/>
              <w:widowControl/>
              <w:numPr>
                <w:ilvl w:val="0"/>
                <w:numId w:val="0"/>
              </w:numPr>
              <w:suppressLineNumbers w:val="0"/>
              <w:spacing w:before="0" w:beforeAutospacing="0" w:after="0" w:afterAutospacing="0" w:line="360" w:lineRule="auto"/>
              <w:ind w:left="0" w:leftChars="0" w:right="0" w:rightChars="0" w:firstLine="420" w:firstLineChars="200"/>
              <w:jc w:val="both"/>
              <w:rPr>
                <w:rFonts w:hint="default" w:ascii="宋体" w:hAnsi="宋体" w:eastAsia="宋体" w:cs="宋体"/>
                <w:b w:val="0"/>
                <w:bCs w:val="0"/>
                <w:color w:val="auto"/>
                <w:kern w:val="2"/>
                <w:sz w:val="21"/>
                <w:szCs w:val="21"/>
                <w:highlight w:val="none"/>
                <w:lang w:val="en-US" w:eastAsia="zh-CN"/>
              </w:rPr>
            </w:pPr>
            <w:r>
              <w:rPr>
                <w:rFonts w:hint="eastAsia" w:ascii="宋体" w:hAnsi="宋体" w:cs="宋体"/>
                <w:b w:val="0"/>
                <w:bCs w:val="0"/>
                <w:color w:val="auto"/>
                <w:kern w:val="2"/>
                <w:sz w:val="21"/>
                <w:szCs w:val="21"/>
                <w:highlight w:val="none"/>
                <w:lang w:val="en-US" w:eastAsia="zh-CN"/>
              </w:rPr>
              <w:t>（2）</w:t>
            </w:r>
            <w:r>
              <w:rPr>
                <w:rFonts w:hint="default" w:ascii="宋体" w:hAnsi="宋体" w:eastAsia="宋体" w:cs="宋体"/>
                <w:b w:val="0"/>
                <w:bCs w:val="0"/>
                <w:color w:val="auto"/>
                <w:kern w:val="2"/>
                <w:sz w:val="21"/>
                <w:szCs w:val="21"/>
                <w:highlight w:val="none"/>
                <w:lang w:val="en-US" w:eastAsia="zh-CN"/>
              </w:rPr>
              <w:t>宣传片（资料）与视频制作</w:t>
            </w:r>
            <w:r>
              <w:rPr>
                <w:rFonts w:hint="eastAsia" w:ascii="宋体" w:hAnsi="宋体" w:cs="宋体"/>
                <w:b w:val="0"/>
                <w:bCs w:val="0"/>
                <w:color w:val="auto"/>
                <w:kern w:val="2"/>
                <w:sz w:val="21"/>
                <w:szCs w:val="21"/>
                <w:highlight w:val="none"/>
                <w:lang w:val="en-US" w:eastAsia="zh-CN"/>
              </w:rPr>
              <w:t>（预算金额为：18.90万元）</w:t>
            </w:r>
            <w:r>
              <w:rPr>
                <w:rFonts w:hint="default" w:ascii="宋体" w:hAnsi="宋体" w:eastAsia="宋体" w:cs="宋体"/>
                <w:b w:val="0"/>
                <w:bCs w:val="0"/>
                <w:color w:val="auto"/>
                <w:kern w:val="2"/>
                <w:sz w:val="21"/>
                <w:szCs w:val="21"/>
                <w:highlight w:val="none"/>
                <w:lang w:val="en-US" w:eastAsia="zh-CN"/>
              </w:rPr>
              <w:t>，包括银杉记录片和发现新物种记录片制作、二维码重点保护动植物小视频制作</w:t>
            </w:r>
            <w:r>
              <w:rPr>
                <w:rFonts w:hint="eastAsia" w:ascii="宋体" w:hAnsi="宋体" w:cs="宋体"/>
                <w:b w:val="0"/>
                <w:bCs w:val="0"/>
                <w:color w:val="auto"/>
                <w:kern w:val="2"/>
                <w:sz w:val="21"/>
                <w:szCs w:val="21"/>
                <w:highlight w:val="none"/>
                <w:lang w:val="en-US" w:eastAsia="zh-CN"/>
              </w:rPr>
              <w:t>，以上视频素材生成出来的效果均为高清版，</w:t>
            </w:r>
            <w:r>
              <w:rPr>
                <w:rFonts w:hint="default" w:ascii="宋体" w:hAnsi="宋体" w:eastAsia="宋体" w:cs="宋体"/>
                <w:b w:val="0"/>
                <w:bCs w:val="0"/>
                <w:color w:val="auto"/>
                <w:kern w:val="2"/>
                <w:sz w:val="21"/>
                <w:szCs w:val="21"/>
                <w:highlight w:val="none"/>
                <w:lang w:val="en-US" w:eastAsia="zh-CN"/>
              </w:rPr>
              <w:t>《保护区国家重点保护野生动植物宣传》手册、保护区宣传折叠页；</w:t>
            </w:r>
          </w:p>
          <w:p w14:paraId="3B666078">
            <w:pPr>
              <w:pStyle w:val="50"/>
              <w:keepNext w:val="0"/>
              <w:keepLines w:val="0"/>
              <w:widowControl/>
              <w:numPr>
                <w:ilvl w:val="0"/>
                <w:numId w:val="0"/>
              </w:numPr>
              <w:suppressLineNumbers w:val="0"/>
              <w:spacing w:before="0" w:beforeAutospacing="0" w:after="0" w:afterAutospacing="0" w:line="360" w:lineRule="auto"/>
              <w:ind w:left="0" w:leftChars="0" w:right="0" w:rightChars="0" w:firstLine="420" w:firstLineChars="200"/>
              <w:jc w:val="both"/>
              <w:rPr>
                <w:rFonts w:hint="eastAsia" w:ascii="宋体" w:hAnsi="宋体" w:cs="宋体"/>
                <w:b w:val="0"/>
                <w:bCs w:val="0"/>
                <w:color w:val="auto"/>
                <w:kern w:val="2"/>
                <w:sz w:val="21"/>
                <w:szCs w:val="21"/>
                <w:highlight w:val="none"/>
                <w:lang w:val="en-US" w:eastAsia="zh-CN"/>
              </w:rPr>
            </w:pPr>
            <w:r>
              <w:rPr>
                <w:rFonts w:hint="eastAsia" w:ascii="宋体" w:hAnsi="宋体" w:cs="宋体"/>
                <w:b w:val="0"/>
                <w:bCs w:val="0"/>
                <w:color w:val="auto"/>
                <w:kern w:val="2"/>
                <w:sz w:val="21"/>
                <w:szCs w:val="21"/>
                <w:highlight w:val="none"/>
                <w:lang w:val="en-US" w:eastAsia="zh-CN"/>
              </w:rPr>
              <w:t>（3）</w:t>
            </w:r>
            <w:r>
              <w:rPr>
                <w:rFonts w:hint="default" w:ascii="宋体" w:hAnsi="宋体" w:eastAsia="宋体" w:cs="宋体"/>
                <w:b w:val="0"/>
                <w:bCs w:val="0"/>
                <w:color w:val="auto"/>
                <w:kern w:val="2"/>
                <w:sz w:val="21"/>
                <w:szCs w:val="21"/>
                <w:highlight w:val="none"/>
                <w:lang w:val="en-US" w:eastAsia="zh-CN"/>
              </w:rPr>
              <w:t>宣教展示标本养护</w:t>
            </w:r>
            <w:r>
              <w:rPr>
                <w:rFonts w:hint="eastAsia" w:ascii="宋体" w:hAnsi="宋体" w:cs="宋体"/>
                <w:b w:val="0"/>
                <w:bCs w:val="0"/>
                <w:color w:val="auto"/>
                <w:kern w:val="2"/>
                <w:sz w:val="21"/>
                <w:szCs w:val="21"/>
                <w:highlight w:val="none"/>
                <w:lang w:val="en-US" w:eastAsia="zh-CN"/>
              </w:rPr>
              <w:t>（预算金额为：7.58万元）</w:t>
            </w:r>
            <w:r>
              <w:rPr>
                <w:rFonts w:hint="default" w:ascii="宋体" w:hAnsi="宋体" w:eastAsia="宋体" w:cs="宋体"/>
                <w:b w:val="0"/>
                <w:bCs w:val="0"/>
                <w:color w:val="auto"/>
                <w:kern w:val="2"/>
                <w:sz w:val="21"/>
                <w:szCs w:val="21"/>
                <w:highlight w:val="none"/>
                <w:lang w:val="en-US" w:eastAsia="zh-CN"/>
              </w:rPr>
              <w:t>，包括动植物浸制标本、蜡叶标本、剥皮类标本 、玻璃瓶</w:t>
            </w:r>
            <w:r>
              <w:rPr>
                <w:rFonts w:hint="eastAsia" w:ascii="宋体" w:hAnsi="宋体" w:cs="宋体"/>
                <w:b w:val="0"/>
                <w:bCs w:val="0"/>
                <w:color w:val="auto"/>
                <w:kern w:val="2"/>
                <w:sz w:val="21"/>
                <w:szCs w:val="21"/>
                <w:highlight w:val="none"/>
                <w:lang w:val="en-US" w:eastAsia="zh-CN"/>
              </w:rPr>
              <w:t>浸制标本</w:t>
            </w:r>
            <w:r>
              <w:rPr>
                <w:rFonts w:hint="default" w:ascii="宋体" w:hAnsi="宋体" w:eastAsia="宋体" w:cs="宋体"/>
                <w:b w:val="0"/>
                <w:bCs w:val="0"/>
                <w:color w:val="auto"/>
                <w:kern w:val="2"/>
                <w:sz w:val="21"/>
                <w:szCs w:val="21"/>
                <w:highlight w:val="none"/>
                <w:lang w:val="en-US" w:eastAsia="zh-CN"/>
              </w:rPr>
              <w:t>维护</w:t>
            </w:r>
            <w:r>
              <w:rPr>
                <w:rFonts w:hint="eastAsia" w:ascii="宋体" w:hAnsi="宋体" w:cs="宋体"/>
                <w:b w:val="0"/>
                <w:bCs w:val="0"/>
                <w:color w:val="auto"/>
                <w:kern w:val="2"/>
                <w:sz w:val="21"/>
                <w:szCs w:val="21"/>
                <w:highlight w:val="none"/>
                <w:lang w:val="en-US" w:eastAsia="zh-CN"/>
              </w:rPr>
              <w:t>、</w:t>
            </w:r>
            <w:r>
              <w:rPr>
                <w:rFonts w:hint="default" w:ascii="宋体" w:hAnsi="宋体" w:eastAsia="宋体" w:cs="宋体"/>
                <w:b w:val="0"/>
                <w:bCs w:val="0"/>
                <w:color w:val="auto"/>
                <w:kern w:val="2"/>
                <w:sz w:val="21"/>
                <w:szCs w:val="21"/>
                <w:highlight w:val="none"/>
                <w:lang w:val="en-US" w:eastAsia="zh-CN"/>
              </w:rPr>
              <w:t>玻璃瓶购置</w:t>
            </w:r>
            <w:r>
              <w:rPr>
                <w:rFonts w:hint="eastAsia" w:ascii="宋体" w:hAnsi="宋体" w:cs="宋体"/>
                <w:b w:val="0"/>
                <w:bCs w:val="0"/>
                <w:color w:val="auto"/>
                <w:kern w:val="2"/>
                <w:sz w:val="21"/>
                <w:szCs w:val="21"/>
                <w:highlight w:val="none"/>
                <w:lang w:val="en-US" w:eastAsia="zh-CN"/>
              </w:rPr>
              <w:t>与</w:t>
            </w:r>
            <w:r>
              <w:rPr>
                <w:rFonts w:hint="default" w:ascii="宋体" w:hAnsi="宋体" w:eastAsia="宋体" w:cs="宋体"/>
                <w:b w:val="0"/>
                <w:bCs w:val="0"/>
                <w:color w:val="auto"/>
                <w:kern w:val="2"/>
                <w:sz w:val="21"/>
                <w:szCs w:val="21"/>
                <w:highlight w:val="none"/>
                <w:lang w:val="en-US" w:eastAsia="zh-CN"/>
              </w:rPr>
              <w:t>药品</w:t>
            </w:r>
            <w:r>
              <w:rPr>
                <w:rFonts w:hint="eastAsia" w:ascii="宋体" w:hAnsi="宋体" w:cs="宋体"/>
                <w:b w:val="0"/>
                <w:bCs w:val="0"/>
                <w:color w:val="auto"/>
                <w:kern w:val="2"/>
                <w:sz w:val="21"/>
                <w:szCs w:val="21"/>
                <w:highlight w:val="none"/>
                <w:lang w:val="en-US" w:eastAsia="zh-CN"/>
              </w:rPr>
              <w:t>采购。</w:t>
            </w:r>
          </w:p>
          <w:p w14:paraId="432EADBC">
            <w:pPr>
              <w:pStyle w:val="50"/>
              <w:keepNext w:val="0"/>
              <w:keepLines w:val="0"/>
              <w:widowControl/>
              <w:numPr>
                <w:ilvl w:val="0"/>
                <w:numId w:val="0"/>
              </w:numPr>
              <w:suppressLineNumbers w:val="0"/>
              <w:spacing w:before="0" w:beforeAutospacing="0" w:after="0" w:afterAutospacing="0" w:line="360" w:lineRule="auto"/>
              <w:ind w:left="0" w:leftChars="0" w:right="0" w:rightChars="0" w:firstLine="420" w:firstLineChars="200"/>
              <w:jc w:val="both"/>
              <w:rPr>
                <w:rFonts w:hint="default"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2.</w:t>
            </w:r>
            <w:r>
              <w:rPr>
                <w:rFonts w:hint="default" w:ascii="宋体" w:hAnsi="宋体" w:eastAsia="宋体" w:cs="宋体"/>
                <w:b w:val="0"/>
                <w:bCs w:val="0"/>
                <w:color w:val="auto"/>
                <w:kern w:val="2"/>
                <w:sz w:val="21"/>
                <w:szCs w:val="21"/>
                <w:highlight w:val="none"/>
                <w:lang w:eastAsia="zh-CN"/>
              </w:rPr>
              <w:t>项目实施地点：</w:t>
            </w:r>
            <w:r>
              <w:rPr>
                <w:rFonts w:hint="default" w:ascii="宋体" w:hAnsi="宋体" w:eastAsia="宋体" w:cs="宋体"/>
                <w:b w:val="0"/>
                <w:bCs w:val="0"/>
                <w:color w:val="auto"/>
                <w:kern w:val="0"/>
                <w:sz w:val="21"/>
                <w:szCs w:val="21"/>
                <w:highlight w:val="none"/>
                <w:lang w:val="en-US" w:eastAsia="zh-CN"/>
              </w:rPr>
              <w:t>广西桂林花坪国家级自然保护区界</w:t>
            </w:r>
            <w:r>
              <w:rPr>
                <w:rFonts w:hint="eastAsia" w:ascii="宋体" w:hAnsi="宋体" w:eastAsia="宋体" w:cs="宋体"/>
                <w:b w:val="0"/>
                <w:bCs w:val="0"/>
                <w:color w:val="auto"/>
                <w:kern w:val="0"/>
                <w:sz w:val="21"/>
                <w:szCs w:val="21"/>
                <w:highlight w:val="none"/>
                <w:lang w:val="en-US" w:eastAsia="zh-CN"/>
              </w:rPr>
              <w:t>线范围内</w:t>
            </w:r>
            <w:r>
              <w:rPr>
                <w:rFonts w:hint="default" w:ascii="宋体" w:hAnsi="宋体" w:eastAsia="宋体" w:cs="宋体"/>
                <w:b w:val="0"/>
                <w:bCs w:val="0"/>
                <w:color w:val="auto"/>
                <w:kern w:val="0"/>
                <w:sz w:val="21"/>
                <w:szCs w:val="21"/>
                <w:highlight w:val="none"/>
                <w:lang w:val="en-US" w:eastAsia="zh-CN"/>
              </w:rPr>
              <w:t>。</w:t>
            </w:r>
          </w:p>
          <w:p w14:paraId="22944095">
            <w:pPr>
              <w:pStyle w:val="50"/>
              <w:keepNext w:val="0"/>
              <w:keepLines w:val="0"/>
              <w:widowControl/>
              <w:suppressLineNumbers w:val="0"/>
              <w:spacing w:before="0" w:beforeAutospacing="0" w:after="0" w:afterAutospacing="0" w:line="360" w:lineRule="auto"/>
              <w:ind w:left="0" w:right="0" w:firstLine="420" w:firstLineChars="200"/>
              <w:jc w:val="both"/>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3.项目主要实施内容：</w:t>
            </w:r>
          </w:p>
          <w:p w14:paraId="56D5634D">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（1）花坪自然保护区特种救护</w:t>
            </w:r>
            <w:r>
              <w:rPr>
                <w:rFonts w:hint="default" w:ascii="宋体" w:hAnsi="宋体" w:eastAsia="宋体" w:cs="宋体"/>
                <w:b w:val="0"/>
                <w:bCs w:val="0"/>
                <w:color w:val="auto"/>
                <w:kern w:val="2"/>
                <w:sz w:val="21"/>
                <w:szCs w:val="21"/>
                <w:highlight w:val="none"/>
                <w:lang w:eastAsia="zh-CN"/>
              </w:rPr>
              <w:t>。银杉种群救护1项；建设杜鹃种质园1个。包含但不限于：救护工作目的、范围、政策依据、实施原则；专项技术路线与实施流程；银杉救护、杜鹃种质园建设核心调查与实施内容；现场作业方法、技术标准与管控要求；人员设备配置、应急保障与质量管控体系</w:t>
            </w:r>
            <w:r>
              <w:rPr>
                <w:rFonts w:hint="eastAsia" w:ascii="宋体" w:hAnsi="宋体" w:cs="宋体"/>
                <w:b w:val="0"/>
                <w:bCs w:val="0"/>
                <w:color w:val="auto"/>
                <w:kern w:val="2"/>
                <w:sz w:val="21"/>
                <w:szCs w:val="21"/>
                <w:highlight w:val="none"/>
                <w:lang w:eastAsia="zh-CN"/>
              </w:rPr>
              <w:t>。</w:t>
            </w:r>
          </w:p>
          <w:p w14:paraId="21B7D916">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eastAsia="zh-CN"/>
              </w:rPr>
              <w:t>总体技术要求：供应商须依据GB/T 46339—2025《珍稀濒危植物保护与恢复技术规程》、LY/T 1819《珍稀濒危野生植物保护小区技术规程》及T/LCH 077—2025《古树名木保护与复壮技术规范》等标准，编制</w:t>
            </w:r>
            <w:r>
              <w:rPr>
                <w:rFonts w:hint="eastAsia" w:ascii="宋体" w:hAnsi="宋体" w:cs="宋体"/>
                <w:b w:val="0"/>
                <w:bCs w:val="0"/>
                <w:color w:val="auto"/>
                <w:kern w:val="2"/>
                <w:sz w:val="21"/>
                <w:szCs w:val="21"/>
                <w:highlight w:val="none"/>
                <w:lang w:eastAsia="zh-CN"/>
              </w:rPr>
              <w:t>项目</w:t>
            </w:r>
            <w:r>
              <w:rPr>
                <w:rFonts w:hint="default" w:ascii="宋体" w:hAnsi="宋体" w:eastAsia="宋体" w:cs="宋体"/>
                <w:b w:val="0"/>
                <w:bCs w:val="0"/>
                <w:color w:val="auto"/>
                <w:kern w:val="2"/>
                <w:sz w:val="21"/>
                <w:szCs w:val="21"/>
                <w:highlight w:val="none"/>
                <w:lang w:eastAsia="zh-CN"/>
              </w:rPr>
              <w:t>专项技术方案</w:t>
            </w:r>
            <w:r>
              <w:rPr>
                <w:rFonts w:hint="eastAsia" w:ascii="宋体" w:hAnsi="宋体" w:cs="宋体"/>
                <w:b w:val="0"/>
                <w:bCs w:val="0"/>
                <w:color w:val="auto"/>
                <w:kern w:val="2"/>
                <w:sz w:val="21"/>
                <w:szCs w:val="21"/>
                <w:highlight w:val="none"/>
                <w:lang w:eastAsia="zh-CN"/>
              </w:rPr>
              <w:t>经双方确定后</w:t>
            </w:r>
            <w:r>
              <w:rPr>
                <w:rFonts w:hint="default" w:ascii="宋体" w:hAnsi="宋体" w:eastAsia="宋体" w:cs="宋体"/>
                <w:b w:val="0"/>
                <w:bCs w:val="0"/>
                <w:color w:val="auto"/>
                <w:kern w:val="2"/>
                <w:sz w:val="21"/>
                <w:szCs w:val="21"/>
                <w:highlight w:val="none"/>
                <w:lang w:eastAsia="zh-CN"/>
              </w:rPr>
              <w:t>组织实施。采购人不提供技术指导，供应商须自行组织林业、植保、土壤等相关专业技术人员，对每株救护对象进行独立诊断并制定救护方案。</w:t>
            </w:r>
          </w:p>
          <w:p w14:paraId="1274230F">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eastAsia="zh-CN"/>
              </w:rPr>
              <w:t>①银杉种群救护：</w:t>
            </w:r>
          </w:p>
          <w:p w14:paraId="78F838E3">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eastAsia" w:ascii="宋体" w:hAnsi="宋体" w:eastAsia="宋体" w:cs="宋体"/>
                <w:b w:val="0"/>
                <w:bCs w:val="0"/>
                <w:i w:val="0"/>
                <w:iCs w:val="0"/>
                <w:caps w:val="0"/>
                <w:color w:val="auto"/>
                <w:spacing w:val="0"/>
                <w:kern w:val="2"/>
                <w:sz w:val="21"/>
                <w:szCs w:val="21"/>
                <w:shd w:val="clear" w:color="auto" w:fill="FFFFFF"/>
                <w:lang w:val="en-US" w:eastAsia="zh-CN"/>
              </w:rPr>
              <w:t>对</w:t>
            </w:r>
            <w:r>
              <w:rPr>
                <w:rFonts w:hint="default" w:ascii="宋体" w:hAnsi="宋体" w:cs="宋体"/>
                <w:b w:val="0"/>
                <w:bCs w:val="0"/>
                <w:i w:val="0"/>
                <w:iCs w:val="0"/>
                <w:caps w:val="0"/>
                <w:color w:val="auto"/>
                <w:spacing w:val="0"/>
                <w:kern w:val="2"/>
                <w:sz w:val="21"/>
                <w:szCs w:val="21"/>
                <w:shd w:val="clear" w:color="auto" w:fill="FFFFFF"/>
                <w:lang w:val="en" w:eastAsia="zh-CN"/>
              </w:rPr>
              <w:t>7</w:t>
            </w:r>
            <w:r>
              <w:rPr>
                <w:rFonts w:hint="eastAsia" w:ascii="宋体" w:hAnsi="宋体" w:cs="宋体"/>
                <w:b w:val="0"/>
                <w:bCs w:val="0"/>
                <w:i w:val="0"/>
                <w:iCs w:val="0"/>
                <w:caps w:val="0"/>
                <w:color w:val="auto"/>
                <w:spacing w:val="0"/>
                <w:kern w:val="2"/>
                <w:sz w:val="21"/>
                <w:szCs w:val="21"/>
                <w:shd w:val="clear" w:color="auto" w:fill="FFFFFF"/>
                <w:lang w:val="en" w:eastAsia="zh-CN"/>
              </w:rPr>
              <w:t>个</w:t>
            </w:r>
            <w:r>
              <w:rPr>
                <w:rFonts w:hint="eastAsia" w:ascii="宋体" w:hAnsi="宋体" w:eastAsia="宋体" w:cs="宋体"/>
                <w:b w:val="0"/>
                <w:bCs w:val="0"/>
                <w:i w:val="0"/>
                <w:iCs w:val="0"/>
                <w:caps w:val="0"/>
                <w:color w:val="auto"/>
                <w:spacing w:val="0"/>
                <w:kern w:val="2"/>
                <w:sz w:val="21"/>
                <w:szCs w:val="21"/>
                <w:shd w:val="clear" w:color="auto" w:fill="FFFFFF"/>
                <w:lang w:val="en-US" w:eastAsia="zh-CN"/>
              </w:rPr>
              <w:t>野</w:t>
            </w:r>
            <w:r>
              <w:rPr>
                <w:rFonts w:hint="eastAsia" w:ascii="宋体" w:hAnsi="宋体" w:cs="宋体"/>
                <w:b w:val="0"/>
                <w:bCs w:val="0"/>
                <w:i w:val="0"/>
                <w:iCs w:val="0"/>
                <w:caps w:val="0"/>
                <w:color w:val="auto"/>
                <w:spacing w:val="0"/>
                <w:kern w:val="2"/>
                <w:sz w:val="21"/>
                <w:szCs w:val="21"/>
                <w:shd w:val="clear" w:color="auto" w:fill="FFFFFF"/>
                <w:lang w:val="en-US" w:eastAsia="zh-CN"/>
              </w:rPr>
              <w:t>生</w:t>
            </w:r>
            <w:r>
              <w:rPr>
                <w:rFonts w:hint="eastAsia" w:ascii="宋体" w:hAnsi="宋体" w:eastAsia="宋体" w:cs="宋体"/>
                <w:b w:val="0"/>
                <w:bCs w:val="0"/>
                <w:i w:val="0"/>
                <w:iCs w:val="0"/>
                <w:caps w:val="0"/>
                <w:color w:val="auto"/>
                <w:spacing w:val="0"/>
                <w:kern w:val="2"/>
                <w:sz w:val="21"/>
                <w:szCs w:val="21"/>
                <w:shd w:val="clear" w:color="auto" w:fill="FFFFFF"/>
                <w:lang w:val="en-US" w:eastAsia="zh-CN"/>
              </w:rPr>
              <w:t>银杉</w:t>
            </w:r>
            <w:r>
              <w:rPr>
                <w:rFonts w:hint="eastAsia" w:ascii="宋体" w:hAnsi="宋体" w:cs="宋体"/>
                <w:b w:val="0"/>
                <w:bCs w:val="0"/>
                <w:i w:val="0"/>
                <w:iCs w:val="0"/>
                <w:caps w:val="0"/>
                <w:color w:val="auto"/>
                <w:spacing w:val="0"/>
                <w:kern w:val="2"/>
                <w:sz w:val="21"/>
                <w:szCs w:val="21"/>
                <w:shd w:val="clear" w:color="auto" w:fill="FFFFFF"/>
                <w:lang w:val="en-US" w:eastAsia="zh-CN"/>
              </w:rPr>
              <w:t>分布点</w:t>
            </w:r>
            <w:r>
              <w:rPr>
                <w:rFonts w:hint="eastAsia" w:ascii="宋体" w:hAnsi="宋体" w:eastAsia="宋体" w:cs="宋体"/>
                <w:b w:val="0"/>
                <w:bCs w:val="0"/>
                <w:i w:val="0"/>
                <w:iCs w:val="0"/>
                <w:caps w:val="0"/>
                <w:color w:val="auto"/>
                <w:spacing w:val="0"/>
                <w:kern w:val="2"/>
                <w:sz w:val="21"/>
                <w:szCs w:val="21"/>
                <w:shd w:val="clear" w:color="auto" w:fill="FFFFFF"/>
                <w:lang w:val="en-US" w:eastAsia="zh-CN"/>
              </w:rPr>
              <w:t>和</w:t>
            </w:r>
            <w:r>
              <w:rPr>
                <w:rFonts w:hint="eastAsia" w:ascii="宋体" w:hAnsi="宋体" w:cs="宋体"/>
                <w:b w:val="0"/>
                <w:bCs w:val="0"/>
                <w:i w:val="0"/>
                <w:iCs w:val="0"/>
                <w:caps w:val="0"/>
                <w:color w:val="auto"/>
                <w:spacing w:val="0"/>
                <w:kern w:val="2"/>
                <w:sz w:val="21"/>
                <w:szCs w:val="21"/>
                <w:shd w:val="clear" w:color="auto" w:fill="FFFFFF"/>
                <w:lang w:val="en-US" w:eastAsia="zh-CN"/>
              </w:rPr>
              <w:t>1个</w:t>
            </w:r>
            <w:r>
              <w:rPr>
                <w:rFonts w:hint="eastAsia" w:ascii="宋体" w:hAnsi="宋体" w:eastAsia="宋体" w:cs="宋体"/>
                <w:b w:val="0"/>
                <w:bCs w:val="0"/>
                <w:i w:val="0"/>
                <w:iCs w:val="0"/>
                <w:caps w:val="0"/>
                <w:color w:val="auto"/>
                <w:spacing w:val="0"/>
                <w:kern w:val="2"/>
                <w:sz w:val="21"/>
                <w:szCs w:val="21"/>
                <w:shd w:val="clear" w:color="auto" w:fill="FFFFFF"/>
                <w:lang w:val="en-US" w:eastAsia="zh-CN"/>
              </w:rPr>
              <w:t>人工种植</w:t>
            </w:r>
            <w:r>
              <w:rPr>
                <w:rFonts w:hint="eastAsia" w:ascii="宋体" w:hAnsi="宋体" w:cs="宋体"/>
                <w:b w:val="0"/>
                <w:bCs w:val="0"/>
                <w:i w:val="0"/>
                <w:iCs w:val="0"/>
                <w:caps w:val="0"/>
                <w:color w:val="auto"/>
                <w:spacing w:val="0"/>
                <w:kern w:val="2"/>
                <w:sz w:val="21"/>
                <w:szCs w:val="21"/>
                <w:shd w:val="clear" w:color="auto" w:fill="FFFFFF"/>
                <w:lang w:val="en-US" w:eastAsia="zh-CN"/>
              </w:rPr>
              <w:t>点的</w:t>
            </w:r>
            <w:r>
              <w:rPr>
                <w:rFonts w:hint="eastAsia" w:ascii="宋体" w:hAnsi="宋体" w:eastAsia="宋体" w:cs="宋体"/>
                <w:b w:val="0"/>
                <w:bCs w:val="0"/>
                <w:i w:val="0"/>
                <w:iCs w:val="0"/>
                <w:caps w:val="0"/>
                <w:color w:val="auto"/>
                <w:spacing w:val="0"/>
                <w:kern w:val="2"/>
                <w:sz w:val="21"/>
                <w:szCs w:val="21"/>
                <w:shd w:val="clear" w:color="auto" w:fill="FFFFFF"/>
                <w:lang w:val="en-US" w:eastAsia="zh-CN"/>
              </w:rPr>
              <w:t>银杉开展病虫害野外调查监测。监测须采用标准线路踏查法与样方调查相结合的方式，必要时辅以实验室检测手段进行病原鉴定与虫种识别</w:t>
            </w:r>
            <w:r>
              <w:rPr>
                <w:rFonts w:hint="eastAsia" w:ascii="宋体" w:hAnsi="宋体" w:eastAsia="宋体" w:cs="宋体"/>
                <w:b w:val="0"/>
                <w:bCs w:val="0"/>
                <w:color w:val="auto"/>
                <w:kern w:val="2"/>
                <w:sz w:val="21"/>
                <w:szCs w:val="21"/>
                <w:highlight w:val="none"/>
                <w:lang w:eastAsia="zh-CN"/>
              </w:rPr>
              <w:t>，供应商须根据每株银杉的生长势、症状表现及监测数据，独立完成健康诊断报告，明确衰退原因、危害等级及针对性救护措施。包括但不限于以下救护内容：</w:t>
            </w:r>
          </w:p>
          <w:p w14:paraId="0DCD5517">
            <w:pPr>
              <w:pStyle w:val="50"/>
              <w:keepNext w:val="0"/>
              <w:keepLines w:val="0"/>
              <w:widowControl/>
              <w:suppressLineNumbers w:val="0"/>
              <w:spacing w:before="0" w:beforeAutospacing="0" w:after="0" w:afterAutospacing="0" w:line="360" w:lineRule="auto"/>
              <w:ind w:left="0" w:right="0" w:firstLine="420" w:firstLineChars="200"/>
              <w:jc w:val="both"/>
              <w:rPr>
                <w:rFonts w:hint="eastAsia"/>
                <w:color w:val="auto"/>
                <w:kern w:val="2"/>
                <w:lang w:val="en-US" w:eastAsia="zh-CN"/>
              </w:rPr>
            </w:pPr>
            <w:r>
              <w:rPr>
                <w:rFonts w:hint="default" w:ascii="宋体" w:hAnsi="宋体" w:eastAsia="宋体" w:cs="宋体"/>
                <w:b w:val="0"/>
                <w:bCs w:val="0"/>
                <w:color w:val="auto"/>
                <w:kern w:val="2"/>
                <w:sz w:val="21"/>
                <w:szCs w:val="21"/>
                <w:highlight w:val="none"/>
                <w:lang w:eastAsia="zh-CN"/>
              </w:rPr>
              <w:t>野外银杉救护20株。对衰退、受损成年银杉植株开展拯救与复壮：对枯死枝、病虫枝进行科学修剪，减少养分消耗和病虫害源，伤口涂抹</w:t>
            </w:r>
            <w:r>
              <w:rPr>
                <w:rFonts w:hint="eastAsia" w:ascii="宋体" w:hAnsi="宋体" w:cs="宋体"/>
                <w:b w:val="0"/>
                <w:bCs w:val="0"/>
                <w:color w:val="auto"/>
                <w:kern w:val="2"/>
                <w:sz w:val="21"/>
                <w:szCs w:val="21"/>
                <w:highlight w:val="none"/>
                <w:lang w:eastAsia="zh-CN"/>
              </w:rPr>
              <w:t>保护剂</w:t>
            </w:r>
            <w:r>
              <w:rPr>
                <w:rFonts w:hint="eastAsia" w:ascii="宋体" w:hAnsi="宋体" w:eastAsia="宋体" w:cs="宋体"/>
                <w:b w:val="0"/>
                <w:bCs w:val="0"/>
                <w:i w:val="0"/>
                <w:iCs w:val="0"/>
                <w:caps w:val="0"/>
                <w:color w:val="auto"/>
                <w:spacing w:val="0"/>
                <w:kern w:val="2"/>
                <w:sz w:val="21"/>
                <w:szCs w:val="21"/>
                <w:shd w:val="clear" w:color="auto" w:fill="FFFFFF"/>
                <w:lang w:val="en-US" w:eastAsia="zh-CN"/>
              </w:rPr>
              <w:t>，</w:t>
            </w:r>
            <w:r>
              <w:rPr>
                <w:rFonts w:hint="eastAsia" w:ascii="宋体" w:hAnsi="宋体" w:cs="宋体"/>
                <w:b w:val="0"/>
                <w:bCs w:val="0"/>
                <w:i w:val="0"/>
                <w:iCs w:val="0"/>
                <w:caps w:val="0"/>
                <w:color w:val="auto"/>
                <w:spacing w:val="0"/>
                <w:kern w:val="2"/>
                <w:sz w:val="21"/>
                <w:szCs w:val="21"/>
                <w:shd w:val="clear" w:color="auto" w:fill="FFFFFF"/>
                <w:lang w:val="en-US" w:eastAsia="zh-CN"/>
              </w:rPr>
              <w:t>清理影响压迫银杉树冠的其他树种，</w:t>
            </w:r>
            <w:r>
              <w:rPr>
                <w:rFonts w:hint="eastAsia" w:ascii="宋体" w:hAnsi="宋体" w:eastAsia="宋体" w:cs="宋体"/>
                <w:b w:val="0"/>
                <w:bCs w:val="0"/>
                <w:color w:val="auto"/>
                <w:kern w:val="2"/>
                <w:sz w:val="21"/>
                <w:szCs w:val="21"/>
                <w:highlight w:val="none"/>
                <w:lang w:val="en-US" w:eastAsia="zh-CN"/>
              </w:rPr>
              <w:t>含购买修剪工具、修补材料。</w:t>
            </w:r>
            <w:r>
              <w:rPr>
                <w:rFonts w:hint="eastAsia"/>
                <w:color w:val="auto"/>
                <w:kern w:val="2"/>
                <w:lang w:val="en-US" w:eastAsia="zh-CN"/>
              </w:rPr>
              <w:t>清除树洞腐烂木质并消毒，防止细菌和真菌侵害，使用消毒剂对树洞内部进行消毒，涂抹专用固化剂防腐烂，表面使用仿木材料进行修复。上述操作须严格对标古树名木复壮技术规程中树体修复、树洞处理的相关要求。具体使用何种药剂、材料及用量，由供应商根据每株植株的实际诊断结果科学确定，采购人不指定药剂品种及用量。</w:t>
            </w:r>
          </w:p>
          <w:p w14:paraId="375B8068">
            <w:pPr>
              <w:pStyle w:val="50"/>
              <w:keepNext w:val="0"/>
              <w:keepLines w:val="0"/>
              <w:widowControl/>
              <w:suppressLineNumbers w:val="0"/>
              <w:spacing w:before="0" w:beforeAutospacing="0" w:after="0" w:afterAutospacing="0" w:line="360" w:lineRule="auto"/>
              <w:ind w:left="0" w:right="0" w:firstLine="420" w:firstLineChars="200"/>
              <w:jc w:val="both"/>
              <w:rPr>
                <w:rFonts w:hint="eastAsia" w:ascii="宋体" w:hAnsi="宋体" w:cs="宋体"/>
                <w:b w:val="0"/>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eastAsia="zh-CN"/>
              </w:rPr>
              <w:t>对极度濒危的银杉成年植株，在生长季进行树干注射植物专用营养液；注射孔位、打孔角度、注射深度、输液频次及营养液成分配比，须由供应商依据树木生长势及胸径科学确定</w:t>
            </w:r>
            <w:r>
              <w:rPr>
                <w:rFonts w:hint="eastAsia" w:ascii="宋体" w:hAnsi="宋体" w:cs="宋体"/>
                <w:b w:val="0"/>
                <w:bCs w:val="0"/>
                <w:color w:val="auto"/>
                <w:kern w:val="2"/>
                <w:sz w:val="21"/>
                <w:szCs w:val="21"/>
                <w:highlight w:val="none"/>
                <w:lang w:eastAsia="zh-CN"/>
              </w:rPr>
              <w:t>。注射结束后须对针孔进行消毒并用相同树种锥型木塞封堵。在极端干旱期，对重点衰弱植株进行根部浇灌，覆盖保墒；及时采取生物或低毒化学药剂进行靶向防治，药剂选择须符合相关使用准则，优先采用生物防治手段。具体操作方案须在自己团队专家指导下实施，供应商须对药剂选用、浓度配比及施用剂量承担技术责任。</w:t>
            </w:r>
          </w:p>
          <w:p w14:paraId="5C2F9431">
            <w:pPr>
              <w:pStyle w:val="50"/>
              <w:keepNext w:val="0"/>
              <w:keepLines w:val="0"/>
              <w:widowControl/>
              <w:suppressLineNumbers w:val="0"/>
              <w:spacing w:before="0" w:beforeAutospacing="0" w:after="0" w:afterAutospacing="0" w:line="360" w:lineRule="auto"/>
              <w:ind w:left="0" w:right="0" w:firstLine="420" w:firstLineChars="200"/>
              <w:jc w:val="both"/>
              <w:rPr>
                <w:rFonts w:hint="eastAsia" w:ascii="宋体" w:hAnsi="宋体" w:eastAsia="宋体" w:cs="宋体"/>
                <w:b w:val="0"/>
                <w:bCs w:val="0"/>
                <w:i w:val="0"/>
                <w:iCs w:val="0"/>
                <w:caps w:val="0"/>
                <w:color w:val="auto"/>
                <w:spacing w:val="0"/>
                <w:kern w:val="2"/>
                <w:sz w:val="21"/>
                <w:szCs w:val="21"/>
                <w:shd w:val="clear" w:color="auto" w:fill="FFFFFF"/>
                <w:lang w:val="en-US" w:eastAsia="zh-CN"/>
              </w:rPr>
            </w:pPr>
            <w:r>
              <w:rPr>
                <w:rFonts w:hint="eastAsia" w:ascii="宋体" w:hAnsi="宋体" w:cs="宋体"/>
                <w:b w:val="0"/>
                <w:bCs w:val="0"/>
                <w:i w:val="0"/>
                <w:iCs w:val="0"/>
                <w:caps w:val="0"/>
                <w:color w:val="auto"/>
                <w:spacing w:val="0"/>
                <w:kern w:val="2"/>
                <w:sz w:val="21"/>
                <w:szCs w:val="21"/>
                <w:shd w:val="clear" w:color="auto" w:fill="FFFFFF"/>
                <w:lang w:val="en-US" w:eastAsia="zh-CN"/>
              </w:rPr>
              <w:t>在1个野生银杉分布点</w:t>
            </w:r>
            <w:r>
              <w:rPr>
                <w:rFonts w:hint="eastAsia" w:ascii="宋体" w:hAnsi="宋体" w:eastAsia="宋体" w:cs="宋体"/>
                <w:b w:val="0"/>
                <w:bCs w:val="0"/>
                <w:i w:val="0"/>
                <w:iCs w:val="0"/>
                <w:caps w:val="0"/>
                <w:color w:val="auto"/>
                <w:spacing w:val="0"/>
                <w:kern w:val="2"/>
                <w:sz w:val="21"/>
                <w:szCs w:val="21"/>
                <w:shd w:val="clear" w:color="auto" w:fill="FFFFFF"/>
                <w:lang w:val="en-US" w:eastAsia="zh-CN"/>
              </w:rPr>
              <w:t>建设灌溉系统1套，</w:t>
            </w:r>
            <w:r>
              <w:rPr>
                <w:rFonts w:hint="eastAsia" w:ascii="宋体" w:hAnsi="宋体" w:cs="宋体"/>
                <w:b w:val="0"/>
                <w:bCs w:val="0"/>
                <w:i w:val="0"/>
                <w:iCs w:val="0"/>
                <w:caps w:val="0"/>
                <w:color w:val="auto"/>
                <w:spacing w:val="0"/>
                <w:kern w:val="2"/>
                <w:sz w:val="21"/>
                <w:szCs w:val="21"/>
                <w:shd w:val="clear" w:color="auto" w:fill="FFFFFF"/>
                <w:lang w:val="en-US" w:eastAsia="zh-CN"/>
              </w:rPr>
              <w:t>要求至少覆盖20株野生银杉。包括</w:t>
            </w:r>
            <w:r>
              <w:rPr>
                <w:rFonts w:hint="eastAsia" w:ascii="宋体" w:hAnsi="宋体" w:eastAsia="宋体" w:cs="宋体"/>
                <w:b w:val="0"/>
                <w:bCs w:val="0"/>
                <w:i w:val="0"/>
                <w:iCs w:val="0"/>
                <w:caps w:val="0"/>
                <w:color w:val="auto"/>
                <w:spacing w:val="0"/>
                <w:kern w:val="2"/>
                <w:sz w:val="21"/>
                <w:szCs w:val="21"/>
                <w:shd w:val="clear" w:color="auto" w:fill="FFFFFF"/>
                <w:lang w:val="en-US" w:eastAsia="zh-CN"/>
              </w:rPr>
              <w:t>安装塑料蓄水桶、PVC 管道或其他输水管材及进出水口、溢流口及排水设施</w:t>
            </w:r>
            <w:r>
              <w:rPr>
                <w:rFonts w:hint="eastAsia" w:ascii="宋体" w:hAnsi="宋体" w:cs="宋体"/>
                <w:b w:val="0"/>
                <w:bCs w:val="0"/>
                <w:i w:val="0"/>
                <w:iCs w:val="0"/>
                <w:caps w:val="0"/>
                <w:color w:val="auto"/>
                <w:spacing w:val="0"/>
                <w:kern w:val="2"/>
                <w:sz w:val="21"/>
                <w:szCs w:val="21"/>
                <w:shd w:val="clear" w:color="auto" w:fill="FFFFFF"/>
                <w:lang w:val="en-US" w:eastAsia="zh-CN"/>
              </w:rPr>
              <w:t>1批</w:t>
            </w:r>
            <w:r>
              <w:rPr>
                <w:rFonts w:hint="eastAsia" w:ascii="宋体" w:hAnsi="宋体" w:eastAsia="宋体" w:cs="宋体"/>
                <w:b w:val="0"/>
                <w:bCs w:val="0"/>
                <w:i w:val="0"/>
                <w:iCs w:val="0"/>
                <w:caps w:val="0"/>
                <w:color w:val="auto"/>
                <w:spacing w:val="0"/>
                <w:kern w:val="2"/>
                <w:sz w:val="21"/>
                <w:szCs w:val="21"/>
                <w:shd w:val="clear" w:color="auto" w:fill="FFFFFF"/>
                <w:lang w:val="en-US" w:eastAsia="zh-CN"/>
              </w:rPr>
              <w:t>。</w:t>
            </w:r>
          </w:p>
          <w:p w14:paraId="46B94E7D">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eastAsia="zh-CN"/>
              </w:rPr>
              <w:t>移植人工银杉植株5株。红滩科研站有人工培植银杉林，因其植株的株间距太密，部分生长弱的银杉濒临死亡，计划将红滩管理站周边5株长势衰弱银杉植株进行抢救性保护移植，改善人工银杉生境，营造接近原生境的微生态系统。移植工作须在专家指导下开展，供应商须在移植前完成以下技术准备工作：对移植对象的根系分布、生长状况</w:t>
            </w:r>
            <w:r>
              <w:rPr>
                <w:rFonts w:hint="eastAsia" w:ascii="宋体" w:hAnsi="宋体" w:cs="宋体"/>
                <w:b w:val="0"/>
                <w:bCs w:val="0"/>
                <w:color w:val="auto"/>
                <w:kern w:val="2"/>
                <w:sz w:val="21"/>
                <w:szCs w:val="21"/>
                <w:highlight w:val="none"/>
                <w:lang w:eastAsia="zh-CN"/>
              </w:rPr>
              <w:t>开展</w:t>
            </w:r>
            <w:r>
              <w:rPr>
                <w:rFonts w:hint="default" w:ascii="宋体" w:hAnsi="宋体" w:eastAsia="宋体" w:cs="宋体"/>
                <w:b w:val="0"/>
                <w:bCs w:val="0"/>
                <w:color w:val="auto"/>
                <w:kern w:val="2"/>
                <w:sz w:val="21"/>
                <w:szCs w:val="21"/>
                <w:highlight w:val="none"/>
                <w:lang w:eastAsia="zh-CN"/>
              </w:rPr>
              <w:t>调查</w:t>
            </w:r>
            <w:r>
              <w:rPr>
                <w:rFonts w:hint="eastAsia" w:ascii="宋体" w:hAnsi="宋体" w:cs="宋体"/>
                <w:b w:val="0"/>
                <w:bCs w:val="0"/>
                <w:color w:val="auto"/>
                <w:kern w:val="2"/>
                <w:sz w:val="21"/>
                <w:szCs w:val="21"/>
                <w:highlight w:val="none"/>
                <w:lang w:eastAsia="zh-CN"/>
              </w:rPr>
              <w:t>并</w:t>
            </w:r>
            <w:r>
              <w:rPr>
                <w:rFonts w:hint="default" w:ascii="宋体" w:hAnsi="宋体" w:eastAsia="宋体" w:cs="宋体"/>
                <w:b w:val="0"/>
                <w:bCs w:val="0"/>
                <w:color w:val="auto"/>
                <w:kern w:val="2"/>
                <w:sz w:val="21"/>
                <w:szCs w:val="21"/>
                <w:highlight w:val="none"/>
                <w:lang w:eastAsia="zh-CN"/>
              </w:rPr>
              <w:t>编制移植技术方案，包含起苗方式、土球规格、运输保护、栽植穴处理、回填基质配比、定植后养护管理等技术内容；移植过程中须采取根系保护措施，移植后须建立不少于一个生长季的成活率跟踪监测机制。</w:t>
            </w:r>
          </w:p>
          <w:p w14:paraId="1D737BBE">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eastAsia="zh-CN"/>
              </w:rPr>
              <w:t>②建设杜鹃种质园1个。花坪保护区杜鹃物种丰富，开展杜鹃种质园建设，拟计划</w:t>
            </w:r>
            <w:r>
              <w:rPr>
                <w:rFonts w:hint="eastAsia" w:ascii="宋体" w:hAnsi="宋体" w:cs="宋体"/>
                <w:b w:val="0"/>
                <w:bCs w:val="0"/>
                <w:color w:val="auto"/>
                <w:kern w:val="2"/>
                <w:sz w:val="21"/>
                <w:szCs w:val="21"/>
                <w:highlight w:val="none"/>
                <w:lang w:eastAsia="zh-CN"/>
              </w:rPr>
              <w:t>增</w:t>
            </w:r>
            <w:r>
              <w:rPr>
                <w:rFonts w:hint="default" w:ascii="宋体" w:hAnsi="宋体" w:eastAsia="宋体" w:cs="宋体"/>
                <w:b w:val="0"/>
                <w:bCs w:val="0"/>
                <w:color w:val="auto"/>
                <w:kern w:val="2"/>
                <w:sz w:val="21"/>
                <w:szCs w:val="21"/>
                <w:highlight w:val="none"/>
                <w:lang w:eastAsia="zh-CN"/>
              </w:rPr>
              <w:t>植</w:t>
            </w:r>
            <w:r>
              <w:rPr>
                <w:rFonts w:hint="eastAsia" w:ascii="宋体" w:hAnsi="宋体" w:cs="宋体"/>
                <w:b w:val="0"/>
                <w:bCs w:val="0"/>
                <w:color w:val="auto"/>
                <w:kern w:val="2"/>
                <w:sz w:val="21"/>
                <w:szCs w:val="21"/>
                <w:highlight w:val="none"/>
                <w:lang w:eastAsia="zh-CN"/>
              </w:rPr>
              <w:t>本土种</w:t>
            </w:r>
            <w:r>
              <w:rPr>
                <w:rFonts w:hint="default" w:ascii="宋体" w:hAnsi="宋体" w:eastAsia="宋体" w:cs="宋体"/>
                <w:b w:val="0"/>
                <w:bCs w:val="0"/>
                <w:color w:val="auto"/>
                <w:kern w:val="2"/>
                <w:sz w:val="21"/>
                <w:szCs w:val="21"/>
                <w:highlight w:val="none"/>
                <w:lang w:eastAsia="zh-CN"/>
              </w:rPr>
              <w:t>杜鹃250株，供应商须根据</w:t>
            </w:r>
            <w:r>
              <w:rPr>
                <w:rFonts w:hint="eastAsia" w:ascii="宋体" w:hAnsi="宋体" w:cs="宋体"/>
                <w:b w:val="0"/>
                <w:bCs w:val="0"/>
                <w:color w:val="auto"/>
                <w:kern w:val="2"/>
                <w:sz w:val="21"/>
                <w:szCs w:val="21"/>
                <w:highlight w:val="none"/>
                <w:lang w:eastAsia="zh-CN"/>
              </w:rPr>
              <w:t>保护区内</w:t>
            </w:r>
            <w:r>
              <w:rPr>
                <w:rFonts w:hint="default" w:ascii="宋体" w:hAnsi="宋体" w:eastAsia="宋体" w:cs="宋体"/>
                <w:b w:val="0"/>
                <w:bCs w:val="0"/>
                <w:color w:val="auto"/>
                <w:kern w:val="2"/>
                <w:sz w:val="21"/>
                <w:szCs w:val="21"/>
                <w:highlight w:val="none"/>
                <w:lang w:eastAsia="zh-CN"/>
              </w:rPr>
              <w:t>杜鹃的生态习性（包括耐寒性、喜光性、对土壤酸碱度的适应性等），制定移植方案，种植基质配比、栽植深度、株行距等参数须结合安江坪</w:t>
            </w:r>
            <w:r>
              <w:rPr>
                <w:rFonts w:hint="eastAsia" w:ascii="宋体" w:hAnsi="宋体" w:cs="宋体"/>
                <w:b w:val="0"/>
                <w:bCs w:val="0"/>
                <w:color w:val="auto"/>
                <w:kern w:val="2"/>
                <w:sz w:val="21"/>
                <w:szCs w:val="21"/>
                <w:highlight w:val="none"/>
                <w:lang w:eastAsia="zh-CN"/>
              </w:rPr>
              <w:t>（海拔</w:t>
            </w:r>
            <w:r>
              <w:rPr>
                <w:rFonts w:hint="eastAsia" w:ascii="宋体" w:hAnsi="宋体" w:cs="宋体"/>
                <w:b w:val="0"/>
                <w:bCs w:val="0"/>
                <w:color w:val="auto"/>
                <w:kern w:val="2"/>
                <w:sz w:val="21"/>
                <w:szCs w:val="21"/>
                <w:highlight w:val="none"/>
                <w:lang w:val="en-US" w:eastAsia="zh-CN"/>
              </w:rPr>
              <w:t>1200米</w:t>
            </w:r>
            <w:r>
              <w:rPr>
                <w:rFonts w:hint="eastAsia" w:ascii="宋体" w:hAnsi="宋体" w:cs="宋体"/>
                <w:b w:val="0"/>
                <w:bCs w:val="0"/>
                <w:color w:val="auto"/>
                <w:kern w:val="2"/>
                <w:sz w:val="21"/>
                <w:szCs w:val="21"/>
                <w:highlight w:val="none"/>
                <w:lang w:eastAsia="zh-CN"/>
              </w:rPr>
              <w:t>）</w:t>
            </w:r>
            <w:r>
              <w:rPr>
                <w:rFonts w:hint="default" w:ascii="宋体" w:hAnsi="宋体" w:eastAsia="宋体" w:cs="宋体"/>
                <w:b w:val="0"/>
                <w:bCs w:val="0"/>
                <w:color w:val="auto"/>
                <w:kern w:val="2"/>
                <w:sz w:val="21"/>
                <w:szCs w:val="21"/>
                <w:highlight w:val="none"/>
                <w:lang w:eastAsia="zh-CN"/>
              </w:rPr>
              <w:t>高寒荒山地的立地条件科学确定</w:t>
            </w:r>
            <w:r>
              <w:rPr>
                <w:rFonts w:hint="eastAsia" w:ascii="宋体" w:hAnsi="宋体" w:cs="宋体"/>
                <w:b w:val="0"/>
                <w:bCs w:val="0"/>
                <w:color w:val="auto"/>
                <w:kern w:val="2"/>
                <w:sz w:val="21"/>
                <w:szCs w:val="21"/>
                <w:highlight w:val="none"/>
                <w:lang w:eastAsia="zh-CN"/>
              </w:rPr>
              <w:t>。</w:t>
            </w:r>
            <w:r>
              <w:rPr>
                <w:rFonts w:hint="default" w:ascii="宋体" w:hAnsi="宋体" w:eastAsia="宋体" w:cs="宋体"/>
                <w:b w:val="0"/>
                <w:bCs w:val="0"/>
                <w:color w:val="auto"/>
                <w:kern w:val="2"/>
                <w:sz w:val="21"/>
                <w:szCs w:val="21"/>
                <w:highlight w:val="none"/>
                <w:lang w:eastAsia="zh-CN"/>
              </w:rPr>
              <w:t>配套建设灌溉系统1套，须覆盖全部种植区域</w:t>
            </w:r>
            <w:r>
              <w:rPr>
                <w:rFonts w:hint="eastAsia" w:ascii="宋体" w:hAnsi="宋体" w:cs="宋体"/>
                <w:b w:val="0"/>
                <w:bCs w:val="0"/>
                <w:color w:val="auto"/>
                <w:kern w:val="2"/>
                <w:sz w:val="21"/>
                <w:szCs w:val="21"/>
                <w:highlight w:val="none"/>
                <w:lang w:eastAsia="zh-CN"/>
              </w:rPr>
              <w:t>。</w:t>
            </w:r>
            <w:r>
              <w:rPr>
                <w:rFonts w:hint="default" w:ascii="宋体" w:hAnsi="宋体" w:eastAsia="宋体" w:cs="宋体"/>
                <w:b w:val="0"/>
                <w:bCs w:val="0"/>
                <w:color w:val="auto"/>
                <w:kern w:val="2"/>
                <w:sz w:val="21"/>
                <w:szCs w:val="21"/>
                <w:highlight w:val="none"/>
                <w:lang w:eastAsia="zh-CN"/>
              </w:rPr>
              <w:t>在杜鹃种植标识区域对应安装植物解说性标识牌18块</w:t>
            </w:r>
            <w:r>
              <w:rPr>
                <w:rFonts w:hint="eastAsia" w:ascii="宋体" w:hAnsi="宋体" w:cs="宋体"/>
                <w:b w:val="0"/>
                <w:bCs w:val="0"/>
                <w:color w:val="auto"/>
                <w:kern w:val="2"/>
                <w:sz w:val="21"/>
                <w:szCs w:val="21"/>
                <w:highlight w:val="none"/>
                <w:lang w:eastAsia="zh-CN"/>
              </w:rPr>
              <w:t>，标识牌内容须包含物种学名、科属、保护等级等科学信息，由供应商负责编制并报采购人审核。</w:t>
            </w:r>
          </w:p>
          <w:p w14:paraId="2614918A">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eastAsia" w:ascii="宋体" w:hAnsi="宋体" w:eastAsia="宋体" w:cs="宋体"/>
                <w:b w:val="0"/>
                <w:bCs w:val="0"/>
                <w:color w:val="auto"/>
                <w:kern w:val="2"/>
                <w:sz w:val="21"/>
                <w:szCs w:val="21"/>
                <w:highlight w:val="none"/>
                <w:lang w:eastAsia="zh-CN"/>
              </w:rPr>
              <w:t>（</w:t>
            </w:r>
            <w:r>
              <w:rPr>
                <w:rFonts w:hint="eastAsia" w:ascii="宋体" w:hAnsi="宋体" w:eastAsia="宋体" w:cs="宋体"/>
                <w:b w:val="0"/>
                <w:bCs w:val="0"/>
                <w:color w:val="auto"/>
                <w:kern w:val="2"/>
                <w:sz w:val="21"/>
                <w:szCs w:val="21"/>
                <w:highlight w:val="none"/>
                <w:lang w:val="en-US" w:eastAsia="zh-CN"/>
              </w:rPr>
              <w:t>2</w:t>
            </w:r>
            <w:r>
              <w:rPr>
                <w:rFonts w:hint="eastAsia" w:ascii="宋体" w:hAnsi="宋体" w:eastAsia="宋体" w:cs="宋体"/>
                <w:b w:val="0"/>
                <w:bCs w:val="0"/>
                <w:color w:val="auto"/>
                <w:kern w:val="2"/>
                <w:sz w:val="21"/>
                <w:szCs w:val="21"/>
                <w:highlight w:val="none"/>
                <w:lang w:eastAsia="zh-CN"/>
              </w:rPr>
              <w:t>）宣传片（资料）与视频制作1项</w:t>
            </w:r>
            <w:r>
              <w:rPr>
                <w:rFonts w:hint="default" w:ascii="宋体" w:hAnsi="宋体" w:eastAsia="宋体" w:cs="宋体"/>
                <w:b w:val="0"/>
                <w:bCs w:val="0"/>
                <w:color w:val="auto"/>
                <w:kern w:val="2"/>
                <w:sz w:val="21"/>
                <w:szCs w:val="21"/>
                <w:highlight w:val="none"/>
                <w:lang w:eastAsia="zh-CN"/>
              </w:rPr>
              <w:t>。</w:t>
            </w:r>
          </w:p>
          <w:p w14:paraId="6A044CE5">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eastAsia="zh-CN"/>
              </w:rPr>
              <w:t>2025年花坪自然保护区开展了综合科学考察，发现了国内未曾记录的新物种和保护区内的新记录物种，同时针对开展银杉拯救工作，拟计划制作记录宣传片2集，分别是银杉专题片1集，新物种或新记录物种宣传片1集，保护区重点保护的动植物制作小视频10集</w:t>
            </w:r>
            <w:r>
              <w:rPr>
                <w:rFonts w:hint="eastAsia" w:ascii="宋体" w:hAnsi="宋体" w:cs="宋体"/>
                <w:b w:val="0"/>
                <w:bCs w:val="0"/>
                <w:color w:val="auto"/>
                <w:kern w:val="2"/>
                <w:sz w:val="21"/>
                <w:szCs w:val="21"/>
                <w:highlight w:val="none"/>
                <w:lang w:eastAsia="zh-CN"/>
              </w:rPr>
              <w:t>，全彩图</w:t>
            </w:r>
            <w:r>
              <w:rPr>
                <w:rFonts w:hint="default" w:ascii="宋体" w:hAnsi="宋体" w:eastAsia="宋体" w:cs="宋体"/>
                <w:b w:val="0"/>
                <w:bCs w:val="0"/>
                <w:color w:val="auto"/>
                <w:kern w:val="2"/>
                <w:sz w:val="21"/>
                <w:szCs w:val="21"/>
                <w:highlight w:val="none"/>
                <w:lang w:eastAsia="zh-CN"/>
              </w:rPr>
              <w:t>宣传资料物品的印制 2000 份。核心工作包含银杉纪录片、新物种纪录片、重点保护动植物二维码小视频制作，视频生成出来的效果均为高清版，以及《保护区国家重点保护野生动植物宣传》手册、保护区宣传折叠页设计制作。包含但不限于：①视频及宣传资料制作目的、范围、政策依据、创作原则；②整体策划思路及全套脚本设计方案；③野外实地取景、拍摄剪辑、后期制作技术路线；④银杉、新物种、重点动植物视频拍摄内容、场景取材、访谈安排及宣传手册、折叠页设计排版样式提供与交付要求；⑤专业拍摄设备配置、专项项目团队保障配置</w:t>
            </w:r>
            <w:r>
              <w:rPr>
                <w:rFonts w:hint="eastAsia" w:ascii="宋体" w:hAnsi="宋体" w:cs="宋体"/>
                <w:b w:val="0"/>
                <w:bCs w:val="0"/>
                <w:color w:val="auto"/>
                <w:kern w:val="2"/>
                <w:sz w:val="21"/>
                <w:szCs w:val="21"/>
                <w:highlight w:val="none"/>
                <w:lang w:eastAsia="zh-CN"/>
              </w:rPr>
              <w:t>。</w:t>
            </w:r>
          </w:p>
          <w:p w14:paraId="64AD6914">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eastAsia="zh-CN"/>
              </w:rPr>
              <w:t>结合保护区 2025 年开展的综合科学考察数据，根据境内发现的新物种和特有物种的记录情况，计划就重点野生动植物，进行小视频的制作，结合长期生活在保护区境内的珍稀动植物种实际，设计、拍摄和制作其宣传小视频。根据视频采编需求，还分别在动植物生长活跃的季节，拍摄团队深入保护区腹地进行实地取景，拍照或录像，开展相应的访谈。后期对拍摄素材进行筛选和整理，按照脚本顺序进行剪辑。同时添加动画特效、转场效果、配音，载入背景音乐等，增强影片的视觉冲击力，影片的氛围和情感表达。</w:t>
            </w:r>
          </w:p>
          <w:p w14:paraId="5231FB84">
            <w:pPr>
              <w:pStyle w:val="50"/>
              <w:keepNext w:val="0"/>
              <w:keepLines w:val="0"/>
              <w:widowControl/>
              <w:numPr>
                <w:ilvl w:val="0"/>
                <w:numId w:val="4"/>
              </w:numPr>
              <w:suppressLineNumbers w:val="0"/>
              <w:spacing w:before="0" w:beforeAutospacing="0" w:after="0" w:afterAutospacing="0" w:line="360" w:lineRule="auto"/>
              <w:ind w:left="0" w:leftChars="0" w:right="0" w:firstLine="420" w:firstLineChars="200"/>
              <w:jc w:val="both"/>
              <w:rPr>
                <w:rFonts w:hint="eastAsia" w:ascii="宋体" w:hAnsi="宋体" w:cs="宋体"/>
                <w:b w:val="0"/>
                <w:bCs w:val="0"/>
                <w:color w:val="auto"/>
                <w:kern w:val="2"/>
                <w:sz w:val="21"/>
                <w:szCs w:val="21"/>
                <w:highlight w:val="none"/>
                <w:lang w:eastAsia="zh-CN"/>
              </w:rPr>
            </w:pPr>
            <w:r>
              <w:rPr>
                <w:rFonts w:hint="eastAsia" w:ascii="宋体" w:hAnsi="宋体" w:eastAsia="宋体" w:cs="宋体"/>
                <w:b w:val="0"/>
                <w:bCs w:val="0"/>
                <w:color w:val="auto"/>
                <w:kern w:val="2"/>
                <w:sz w:val="21"/>
                <w:szCs w:val="21"/>
                <w:highlight w:val="none"/>
                <w:lang w:eastAsia="zh-CN"/>
              </w:rPr>
              <w:t>宣教展示标本养护290件</w:t>
            </w:r>
            <w:r>
              <w:rPr>
                <w:rFonts w:hint="default" w:ascii="宋体" w:hAnsi="宋体" w:eastAsia="宋体" w:cs="宋体"/>
                <w:b w:val="0"/>
                <w:bCs w:val="0"/>
                <w:color w:val="auto"/>
                <w:kern w:val="2"/>
                <w:sz w:val="21"/>
                <w:szCs w:val="21"/>
                <w:highlight w:val="none"/>
                <w:lang w:eastAsia="zh-CN"/>
              </w:rPr>
              <w:t>。标本养护过程中，剥皮类的动物标本，处理过程中首先将标本的虫卵去掉、粉尘、霉斑清除，表面破损的部分进行适当的修补，调整好标本的局部形态与姿势；然后对凌乱的标本进行精细化打磨处理；而植物蜡叶标本则做的，对其进行药物熏蒸，浸制的动植物标本是把其药水更换，替换成新的保色，保质的浸制液，最后造型封装就行。标本养护实施方案包含但不限于：①标本养护工作目的、范围、政策依据、实施原则；②分类养护技术路线与作业流程；③鸟类、兽类、蜡叶、浸制标本专项养护</w:t>
            </w:r>
            <w:r>
              <w:rPr>
                <w:rFonts w:hint="eastAsia" w:ascii="宋体" w:hAnsi="宋体" w:cs="宋体"/>
                <w:b w:val="0"/>
                <w:bCs w:val="0"/>
                <w:color w:val="auto"/>
                <w:kern w:val="2"/>
                <w:sz w:val="21"/>
                <w:szCs w:val="21"/>
                <w:highlight w:val="none"/>
                <w:lang w:val="en-US" w:eastAsia="zh-CN"/>
              </w:rPr>
              <w:t>的正确操作方法，保护措施和各类标本更换数量需统一完成</w:t>
            </w:r>
            <w:r>
              <w:rPr>
                <w:rFonts w:hint="default" w:ascii="宋体" w:hAnsi="宋体" w:eastAsia="宋体" w:cs="宋体"/>
                <w:b w:val="0"/>
                <w:bCs w:val="0"/>
                <w:color w:val="auto"/>
                <w:kern w:val="2"/>
                <w:sz w:val="21"/>
                <w:szCs w:val="21"/>
                <w:highlight w:val="none"/>
                <w:lang w:eastAsia="zh-CN"/>
              </w:rPr>
              <w:t>；④玻璃瓶浸制标本维护、药液配置、展厅环境消杀管控方法与标准</w:t>
            </w:r>
            <w:r>
              <w:rPr>
                <w:rFonts w:hint="eastAsia" w:ascii="宋体" w:hAnsi="宋体" w:cs="宋体"/>
                <w:b w:val="0"/>
                <w:bCs w:val="0"/>
                <w:color w:val="auto"/>
                <w:kern w:val="2"/>
                <w:sz w:val="21"/>
                <w:szCs w:val="21"/>
                <w:highlight w:val="none"/>
                <w:lang w:val="en-US" w:eastAsia="zh-CN"/>
              </w:rPr>
              <w:t>不能污染环境</w:t>
            </w:r>
            <w:r>
              <w:rPr>
                <w:rFonts w:hint="default" w:ascii="宋体" w:hAnsi="宋体" w:eastAsia="宋体" w:cs="宋体"/>
                <w:b w:val="0"/>
                <w:bCs w:val="0"/>
                <w:color w:val="auto"/>
                <w:kern w:val="2"/>
                <w:sz w:val="21"/>
                <w:szCs w:val="21"/>
                <w:highlight w:val="none"/>
                <w:lang w:eastAsia="zh-CN"/>
              </w:rPr>
              <w:t>；⑤养护设备</w:t>
            </w:r>
            <w:r>
              <w:rPr>
                <w:rFonts w:hint="eastAsia" w:ascii="宋体" w:hAnsi="宋体" w:cs="宋体"/>
                <w:b w:val="0"/>
                <w:bCs w:val="0"/>
                <w:color w:val="auto"/>
                <w:kern w:val="2"/>
                <w:sz w:val="21"/>
                <w:szCs w:val="21"/>
                <w:highlight w:val="none"/>
                <w:lang w:val="en-US" w:eastAsia="zh-CN"/>
              </w:rPr>
              <w:t>替换</w:t>
            </w:r>
            <w:r>
              <w:rPr>
                <w:rFonts w:hint="default" w:ascii="宋体" w:hAnsi="宋体" w:eastAsia="宋体" w:cs="宋体"/>
                <w:b w:val="0"/>
                <w:bCs w:val="0"/>
                <w:color w:val="auto"/>
                <w:kern w:val="2"/>
                <w:sz w:val="21"/>
                <w:szCs w:val="21"/>
                <w:highlight w:val="none"/>
                <w:lang w:eastAsia="zh-CN"/>
              </w:rPr>
              <w:t>、耗材药品配置及质量验收</w:t>
            </w:r>
            <w:r>
              <w:rPr>
                <w:rFonts w:hint="eastAsia" w:ascii="宋体" w:hAnsi="宋体" w:cs="宋体"/>
                <w:b w:val="0"/>
                <w:bCs w:val="0"/>
                <w:color w:val="auto"/>
                <w:kern w:val="2"/>
                <w:sz w:val="21"/>
                <w:szCs w:val="21"/>
                <w:highlight w:val="none"/>
                <w:lang w:val="en-US" w:eastAsia="zh-CN"/>
              </w:rPr>
              <w:t>及时</w:t>
            </w:r>
            <w:r>
              <w:rPr>
                <w:rFonts w:hint="eastAsia" w:ascii="宋体" w:hAnsi="宋体" w:cs="宋体"/>
                <w:b w:val="0"/>
                <w:bCs w:val="0"/>
                <w:color w:val="auto"/>
                <w:kern w:val="2"/>
                <w:sz w:val="21"/>
                <w:szCs w:val="21"/>
                <w:highlight w:val="none"/>
                <w:lang w:eastAsia="zh-CN"/>
              </w:rPr>
              <w:t>。</w:t>
            </w:r>
            <w:r>
              <w:rPr>
                <w:rFonts w:hint="default" w:ascii="宋体" w:hAnsi="宋体" w:eastAsia="宋体" w:cs="宋体"/>
                <w:b w:val="0"/>
                <w:bCs w:val="0"/>
                <w:color w:val="auto"/>
                <w:kern w:val="2"/>
                <w:sz w:val="21"/>
                <w:szCs w:val="21"/>
                <w:highlight w:val="none"/>
                <w:lang w:eastAsia="zh-CN"/>
              </w:rPr>
              <w:t>售后保障</w:t>
            </w:r>
            <w:r>
              <w:rPr>
                <w:rFonts w:hint="eastAsia" w:ascii="宋体" w:hAnsi="宋体" w:cs="宋体"/>
                <w:b w:val="0"/>
                <w:bCs w:val="0"/>
                <w:color w:val="auto"/>
                <w:kern w:val="2"/>
                <w:sz w:val="21"/>
                <w:szCs w:val="21"/>
                <w:highlight w:val="none"/>
                <w:lang w:val="en-US" w:eastAsia="zh-CN"/>
              </w:rPr>
              <w:t>约定期限为三年</w:t>
            </w:r>
            <w:r>
              <w:rPr>
                <w:rFonts w:hint="eastAsia" w:ascii="宋体" w:hAnsi="宋体" w:cs="宋体"/>
                <w:b w:val="0"/>
                <w:bCs w:val="0"/>
                <w:color w:val="auto"/>
                <w:kern w:val="2"/>
                <w:sz w:val="21"/>
                <w:szCs w:val="21"/>
                <w:highlight w:val="none"/>
                <w:lang w:eastAsia="zh-CN"/>
              </w:rPr>
              <w:t>。</w:t>
            </w:r>
          </w:p>
          <w:p w14:paraId="61F533B4">
            <w:pPr>
              <w:pStyle w:val="50"/>
              <w:keepNext w:val="0"/>
              <w:keepLines w:val="0"/>
              <w:widowControl/>
              <w:numPr>
                <w:ilvl w:val="0"/>
                <w:numId w:val="4"/>
              </w:numPr>
              <w:suppressLineNumbers w:val="0"/>
              <w:spacing w:before="0" w:beforeAutospacing="0" w:after="0" w:afterAutospacing="0" w:line="360" w:lineRule="auto"/>
              <w:ind w:left="0" w:leftChars="0" w:right="0" w:firstLine="420" w:firstLineChars="200"/>
              <w:jc w:val="both"/>
              <w:rPr>
                <w:rFonts w:hint="default" w:ascii="宋体" w:hAnsi="宋体" w:cs="宋体"/>
                <w:b w:val="0"/>
                <w:bCs w:val="0"/>
                <w:color w:val="auto"/>
                <w:kern w:val="2"/>
                <w:sz w:val="21"/>
                <w:szCs w:val="21"/>
                <w:highlight w:val="none"/>
                <w:lang w:val="en-US" w:eastAsia="zh-CN"/>
              </w:rPr>
            </w:pPr>
            <w:r>
              <w:rPr>
                <w:rFonts w:hint="eastAsia" w:ascii="宋体" w:hAnsi="宋体" w:cs="宋体"/>
                <w:b w:val="0"/>
                <w:bCs w:val="0"/>
                <w:color w:val="auto"/>
                <w:kern w:val="2"/>
                <w:sz w:val="21"/>
                <w:szCs w:val="21"/>
                <w:highlight w:val="none"/>
                <w:lang w:val="en-US" w:eastAsia="zh-CN"/>
              </w:rPr>
              <w:t>中标方签订合同后，按要求制定项目实施计划包括技术方案，双方确定后方可组织实施。</w:t>
            </w:r>
          </w:p>
          <w:p w14:paraId="0C5BFC40">
            <w:pPr>
              <w:pStyle w:val="50"/>
              <w:keepNext w:val="0"/>
              <w:keepLines w:val="0"/>
              <w:widowControl/>
              <w:suppressLineNumbers w:val="0"/>
              <w:spacing w:before="0" w:beforeAutospacing="0" w:after="0" w:afterAutospacing="0" w:line="360" w:lineRule="auto"/>
              <w:ind w:left="0" w:right="0" w:firstLine="422" w:firstLineChars="200"/>
              <w:jc w:val="both"/>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4.项目实施依据</w:t>
            </w:r>
          </w:p>
          <w:p w14:paraId="573EB080">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val="en-US" w:eastAsia="zh-CN"/>
              </w:rPr>
            </w:pPr>
            <w:r>
              <w:rPr>
                <w:rFonts w:hint="default" w:ascii="宋体" w:hAnsi="宋体" w:eastAsia="宋体" w:cs="宋体"/>
                <w:b w:val="0"/>
                <w:bCs w:val="0"/>
                <w:color w:val="auto"/>
                <w:kern w:val="2"/>
                <w:sz w:val="21"/>
                <w:szCs w:val="21"/>
                <w:highlight w:val="none"/>
                <w:lang w:val="en-US" w:eastAsia="zh-CN"/>
              </w:rPr>
              <w:t>（1）《中华人民共和国森林法》（2019年修订）</w:t>
            </w:r>
            <w:r>
              <w:rPr>
                <w:rFonts w:hint="eastAsia" w:ascii="宋体" w:hAnsi="宋体" w:eastAsia="宋体" w:cs="宋体"/>
                <w:b w:val="0"/>
                <w:bCs w:val="0"/>
                <w:color w:val="auto"/>
                <w:kern w:val="2"/>
                <w:sz w:val="21"/>
                <w:szCs w:val="21"/>
                <w:highlight w:val="none"/>
                <w:lang w:val="en-US" w:eastAsia="zh-CN"/>
              </w:rPr>
              <w:t>；</w:t>
            </w:r>
          </w:p>
          <w:p w14:paraId="46209440">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val="en-US" w:eastAsia="zh-CN"/>
              </w:rPr>
            </w:pPr>
            <w:r>
              <w:rPr>
                <w:rFonts w:hint="default" w:ascii="宋体" w:hAnsi="宋体" w:eastAsia="宋体" w:cs="宋体"/>
                <w:b w:val="0"/>
                <w:bCs w:val="0"/>
                <w:color w:val="auto"/>
                <w:kern w:val="2"/>
                <w:sz w:val="21"/>
                <w:szCs w:val="21"/>
                <w:highlight w:val="none"/>
                <w:lang w:val="en-US" w:eastAsia="zh-CN"/>
              </w:rPr>
              <w:t>（</w:t>
            </w:r>
            <w:r>
              <w:rPr>
                <w:rFonts w:hint="eastAsia" w:ascii="宋体" w:hAnsi="宋体" w:eastAsia="宋体" w:cs="宋体"/>
                <w:b w:val="0"/>
                <w:bCs w:val="0"/>
                <w:color w:val="auto"/>
                <w:kern w:val="2"/>
                <w:sz w:val="21"/>
                <w:szCs w:val="21"/>
                <w:highlight w:val="none"/>
                <w:lang w:val="en-US" w:eastAsia="zh-CN"/>
              </w:rPr>
              <w:t>2</w:t>
            </w:r>
            <w:r>
              <w:rPr>
                <w:rFonts w:hint="default" w:ascii="宋体" w:hAnsi="宋体" w:eastAsia="宋体" w:cs="宋体"/>
                <w:b w:val="0"/>
                <w:bCs w:val="0"/>
                <w:color w:val="auto"/>
                <w:kern w:val="2"/>
                <w:sz w:val="21"/>
                <w:szCs w:val="21"/>
                <w:highlight w:val="none"/>
                <w:lang w:val="en-US" w:eastAsia="zh-CN"/>
              </w:rPr>
              <w:t>）《中华人民共和国野生动物保护法》（2022年修订）；</w:t>
            </w:r>
          </w:p>
          <w:p w14:paraId="1447505D">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val="en-US" w:eastAsia="zh-CN"/>
              </w:rPr>
            </w:pPr>
            <w:r>
              <w:rPr>
                <w:rFonts w:hint="default" w:ascii="宋体" w:hAnsi="宋体" w:eastAsia="宋体" w:cs="宋体"/>
                <w:b w:val="0"/>
                <w:bCs w:val="0"/>
                <w:color w:val="auto"/>
                <w:kern w:val="2"/>
                <w:sz w:val="21"/>
                <w:szCs w:val="21"/>
                <w:highlight w:val="none"/>
                <w:lang w:val="en-US" w:eastAsia="zh-CN"/>
              </w:rPr>
              <w:t>（3）《中华人民共和国自然保护区条例》（2026年修订）</w:t>
            </w:r>
            <w:r>
              <w:rPr>
                <w:rFonts w:hint="eastAsia" w:ascii="宋体" w:hAnsi="宋体" w:eastAsia="宋体" w:cs="宋体"/>
                <w:b w:val="0"/>
                <w:bCs w:val="0"/>
                <w:color w:val="auto"/>
                <w:kern w:val="2"/>
                <w:sz w:val="21"/>
                <w:szCs w:val="21"/>
                <w:highlight w:val="none"/>
                <w:lang w:val="en-US" w:eastAsia="zh-CN"/>
              </w:rPr>
              <w:t>；</w:t>
            </w:r>
          </w:p>
          <w:p w14:paraId="4EF9D6F1">
            <w:pPr>
              <w:pStyle w:val="5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宋体" w:hAnsi="宋体" w:eastAsia="宋体" w:cs="宋体"/>
                <w:b w:val="0"/>
                <w:bCs w:val="0"/>
                <w:color w:val="auto"/>
                <w:kern w:val="2"/>
                <w:sz w:val="21"/>
                <w:szCs w:val="21"/>
                <w:highlight w:val="none"/>
                <w:lang w:val="en-US" w:eastAsia="zh-CN"/>
              </w:rPr>
            </w:pPr>
            <w:r>
              <w:rPr>
                <w:rFonts w:hint="default" w:ascii="宋体" w:hAnsi="宋体" w:eastAsia="宋体" w:cs="宋体"/>
                <w:b w:val="0"/>
                <w:bCs w:val="0"/>
                <w:color w:val="auto"/>
                <w:kern w:val="2"/>
                <w:sz w:val="21"/>
                <w:szCs w:val="21"/>
                <w:highlight w:val="none"/>
                <w:lang w:val="en-US" w:eastAsia="zh-CN"/>
              </w:rPr>
              <w:t>（4）《中华人民共和国森林法实施条例》（2018年修订）</w:t>
            </w:r>
            <w:r>
              <w:rPr>
                <w:rFonts w:hint="eastAsia" w:ascii="宋体" w:hAnsi="宋体" w:eastAsia="宋体" w:cs="宋体"/>
                <w:b w:val="0"/>
                <w:bCs w:val="0"/>
                <w:color w:val="auto"/>
                <w:kern w:val="2"/>
                <w:sz w:val="21"/>
                <w:szCs w:val="21"/>
                <w:highlight w:val="none"/>
                <w:lang w:val="en-US" w:eastAsia="zh-CN"/>
              </w:rPr>
              <w:t>；</w:t>
            </w:r>
          </w:p>
          <w:p w14:paraId="324DB7A0">
            <w:pPr>
              <w:pStyle w:val="5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（5）《中华人民共和国野生植物保护条例》</w:t>
            </w:r>
            <w:r>
              <w:rPr>
                <w:rFonts w:hint="default" w:ascii="宋体" w:hAnsi="宋体" w:eastAsia="宋体" w:cs="宋体"/>
                <w:b w:val="0"/>
                <w:bCs w:val="0"/>
                <w:color w:val="auto"/>
                <w:kern w:val="2"/>
                <w:sz w:val="21"/>
                <w:szCs w:val="21"/>
                <w:highlight w:val="none"/>
                <w:lang w:val="en-US" w:eastAsia="zh-CN"/>
              </w:rPr>
              <w:t>（201</w:t>
            </w:r>
            <w:r>
              <w:rPr>
                <w:rFonts w:hint="eastAsia" w:ascii="宋体" w:hAnsi="宋体" w:eastAsia="宋体" w:cs="宋体"/>
                <w:b w:val="0"/>
                <w:bCs w:val="0"/>
                <w:color w:val="auto"/>
                <w:kern w:val="2"/>
                <w:sz w:val="21"/>
                <w:szCs w:val="21"/>
                <w:highlight w:val="none"/>
                <w:lang w:val="en-US" w:eastAsia="zh-CN"/>
              </w:rPr>
              <w:t>7</w:t>
            </w:r>
            <w:r>
              <w:rPr>
                <w:rFonts w:hint="default" w:ascii="宋体" w:hAnsi="宋体" w:eastAsia="宋体" w:cs="宋体"/>
                <w:b w:val="0"/>
                <w:bCs w:val="0"/>
                <w:color w:val="auto"/>
                <w:kern w:val="2"/>
                <w:sz w:val="21"/>
                <w:szCs w:val="21"/>
                <w:highlight w:val="none"/>
                <w:lang w:val="en-US" w:eastAsia="zh-CN"/>
              </w:rPr>
              <w:t>年</w:t>
            </w:r>
            <w:r>
              <w:rPr>
                <w:rFonts w:hint="eastAsia" w:ascii="宋体" w:hAnsi="宋体" w:eastAsia="宋体" w:cs="宋体"/>
                <w:b w:val="0"/>
                <w:bCs w:val="0"/>
                <w:color w:val="auto"/>
                <w:kern w:val="2"/>
                <w:sz w:val="21"/>
                <w:szCs w:val="21"/>
                <w:highlight w:val="none"/>
                <w:lang w:val="en-US" w:eastAsia="zh-CN"/>
              </w:rPr>
              <w:t>修正</w:t>
            </w:r>
            <w:r>
              <w:rPr>
                <w:rFonts w:hint="default" w:ascii="宋体" w:hAnsi="宋体" w:eastAsia="宋体" w:cs="宋体"/>
                <w:b w:val="0"/>
                <w:bCs w:val="0"/>
                <w:color w:val="auto"/>
                <w:kern w:val="2"/>
                <w:sz w:val="21"/>
                <w:szCs w:val="21"/>
                <w:highlight w:val="none"/>
                <w:lang w:val="en-US" w:eastAsia="zh-CN"/>
              </w:rPr>
              <w:t>）</w:t>
            </w:r>
            <w:r>
              <w:rPr>
                <w:rFonts w:hint="eastAsia" w:ascii="宋体" w:hAnsi="宋体" w:eastAsia="宋体" w:cs="宋体"/>
                <w:b w:val="0"/>
                <w:bCs w:val="0"/>
                <w:color w:val="auto"/>
                <w:kern w:val="2"/>
                <w:sz w:val="21"/>
                <w:szCs w:val="21"/>
                <w:highlight w:val="none"/>
                <w:lang w:val="en-US" w:eastAsia="zh-CN"/>
              </w:rPr>
              <w:t>；</w:t>
            </w:r>
          </w:p>
          <w:p w14:paraId="55C5E2A1">
            <w:pPr>
              <w:pStyle w:val="5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（6）</w:t>
            </w:r>
            <w:r>
              <w:rPr>
                <w:rFonts w:hint="default" w:ascii="宋体" w:hAnsi="宋体" w:eastAsia="宋体" w:cs="宋体"/>
                <w:b w:val="0"/>
                <w:bCs w:val="0"/>
                <w:color w:val="auto"/>
                <w:kern w:val="2"/>
                <w:sz w:val="21"/>
                <w:szCs w:val="21"/>
                <w:highlight w:val="none"/>
                <w:lang w:val="en-US" w:eastAsia="zh-CN"/>
              </w:rPr>
              <w:t>《广西壮族自治区野生动物保护条例》（202</w:t>
            </w:r>
            <w:r>
              <w:rPr>
                <w:rFonts w:hint="eastAsia" w:ascii="宋体" w:hAnsi="宋体" w:eastAsia="宋体" w:cs="宋体"/>
                <w:b w:val="0"/>
                <w:bCs w:val="0"/>
                <w:color w:val="auto"/>
                <w:kern w:val="2"/>
                <w:sz w:val="21"/>
                <w:szCs w:val="21"/>
                <w:highlight w:val="none"/>
                <w:lang w:val="en-US" w:eastAsia="zh-CN"/>
              </w:rPr>
              <w:t>3</w:t>
            </w:r>
            <w:r>
              <w:rPr>
                <w:rFonts w:hint="default" w:ascii="宋体" w:hAnsi="宋体" w:eastAsia="宋体" w:cs="宋体"/>
                <w:b w:val="0"/>
                <w:bCs w:val="0"/>
                <w:color w:val="auto"/>
                <w:kern w:val="2"/>
                <w:sz w:val="21"/>
                <w:szCs w:val="21"/>
                <w:highlight w:val="none"/>
                <w:lang w:val="en-US" w:eastAsia="zh-CN"/>
              </w:rPr>
              <w:t>年</w:t>
            </w:r>
            <w:r>
              <w:rPr>
                <w:rFonts w:hint="eastAsia" w:ascii="宋体" w:hAnsi="宋体" w:eastAsia="宋体" w:cs="宋体"/>
                <w:b w:val="0"/>
                <w:bCs w:val="0"/>
                <w:color w:val="auto"/>
                <w:kern w:val="2"/>
                <w:sz w:val="21"/>
                <w:szCs w:val="21"/>
                <w:highlight w:val="none"/>
                <w:lang w:val="en-US" w:eastAsia="zh-CN"/>
              </w:rPr>
              <w:t>）；</w:t>
            </w:r>
          </w:p>
          <w:p w14:paraId="663CF14A">
            <w:pPr>
              <w:pStyle w:val="5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jc w:val="both"/>
              <w:textAlignment w:val="auto"/>
              <w:rPr>
                <w:rFonts w:hint="default" w:ascii="宋体" w:hAnsi="宋体" w:eastAsia="宋体" w:cs="宋体"/>
                <w:b/>
                <w:bCs/>
                <w:color w:val="auto"/>
                <w:kern w:val="2"/>
                <w:sz w:val="21"/>
                <w:szCs w:val="21"/>
                <w:highlight w:val="none"/>
                <w:lang w:val="en-US" w:eastAsia="zh-CN"/>
              </w:rPr>
            </w:pPr>
            <w:r>
              <w:rPr>
                <w:rFonts w:hint="eastAsia" w:ascii="宋体" w:hAnsi="宋体" w:cs="宋体"/>
                <w:b/>
                <w:bCs/>
                <w:color w:val="auto"/>
                <w:kern w:val="2"/>
                <w:sz w:val="21"/>
                <w:szCs w:val="21"/>
                <w:highlight w:val="none"/>
                <w:lang w:val="en-US" w:eastAsia="zh-CN"/>
              </w:rPr>
              <w:t>5</w:t>
            </w:r>
            <w:r>
              <w:rPr>
                <w:rFonts w:hint="eastAsia" w:ascii="宋体" w:hAnsi="宋体" w:eastAsia="宋体" w:cs="宋体"/>
                <w:b/>
                <w:bCs/>
                <w:color w:val="auto"/>
                <w:kern w:val="2"/>
                <w:sz w:val="21"/>
                <w:szCs w:val="21"/>
                <w:highlight w:val="none"/>
                <w:lang w:val="en-US" w:eastAsia="zh-CN"/>
              </w:rPr>
              <w:t>.</w:t>
            </w:r>
            <w:r>
              <w:rPr>
                <w:rFonts w:hint="eastAsia" w:ascii="宋体" w:hAnsi="宋体" w:cs="宋体"/>
                <w:b/>
                <w:bCs/>
                <w:color w:val="auto"/>
                <w:kern w:val="2"/>
                <w:sz w:val="21"/>
                <w:szCs w:val="21"/>
                <w:highlight w:val="none"/>
                <w:lang w:eastAsia="zh-CN"/>
              </w:rPr>
              <w:t>人员要求</w:t>
            </w:r>
          </w:p>
          <w:p w14:paraId="535419EE">
            <w:pPr>
              <w:pStyle w:val="5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44" w:firstLineChars="200"/>
              <w:jc w:val="both"/>
              <w:textAlignment w:val="auto"/>
              <w:rPr>
                <w:rFonts w:hint="eastAsia" w:ascii="宋体" w:hAnsi="宋体" w:cs="宋体"/>
                <w:color w:val="auto"/>
                <w:spacing w:val="11"/>
                <w:kern w:val="2"/>
                <w:sz w:val="21"/>
                <w:szCs w:val="21"/>
                <w:highlight w:val="none"/>
                <w:lang w:eastAsia="zh-CN"/>
              </w:rPr>
            </w:pPr>
            <w:r>
              <w:rPr>
                <w:rFonts w:hint="eastAsia" w:ascii="宋体" w:hAnsi="宋体" w:eastAsia="宋体" w:cs="宋体"/>
                <w:color w:val="auto"/>
                <w:spacing w:val="6"/>
                <w:kern w:val="2"/>
                <w:sz w:val="21"/>
                <w:szCs w:val="21"/>
                <w:highlight w:val="none"/>
              </w:rPr>
              <w:t>拟投入</w:t>
            </w:r>
            <w:r>
              <w:rPr>
                <w:rFonts w:hint="eastAsia" w:ascii="宋体" w:hAnsi="宋体" w:cs="宋体"/>
                <w:color w:val="auto"/>
                <w:spacing w:val="6"/>
                <w:kern w:val="2"/>
                <w:sz w:val="21"/>
                <w:szCs w:val="21"/>
                <w:highlight w:val="none"/>
                <w:lang w:eastAsia="zh-CN"/>
              </w:rPr>
              <w:t>项目实施人员要求以下：</w:t>
            </w:r>
          </w:p>
          <w:p w14:paraId="1444EBC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color w:val="auto"/>
                <w:spacing w:val="11"/>
                <w:kern w:val="2"/>
                <w:sz w:val="21"/>
                <w:szCs w:val="21"/>
                <w:highlight w:val="none"/>
                <w:lang w:val="en-US" w:eastAsia="zh-CN"/>
              </w:rPr>
            </w:pPr>
            <w:r>
              <w:rPr>
                <w:rFonts w:hint="eastAsia" w:ascii="宋体" w:hAnsi="宋体" w:cs="宋体"/>
                <w:color w:val="auto"/>
                <w:spacing w:val="11"/>
                <w:kern w:val="2"/>
                <w:sz w:val="21"/>
                <w:szCs w:val="21"/>
                <w:highlight w:val="none"/>
                <w:lang w:val="en-US" w:eastAsia="zh-CN"/>
              </w:rPr>
              <w:t>项目负责人：1人，</w:t>
            </w:r>
            <w:r>
              <w:rPr>
                <w:rFonts w:hint="eastAsia" w:cs="宋体"/>
                <w:color w:val="auto"/>
                <w:spacing w:val="11"/>
                <w:kern w:val="2"/>
                <w:sz w:val="21"/>
                <w:szCs w:val="21"/>
                <w:highlight w:val="none"/>
                <w:lang w:eastAsia="zh-CN"/>
              </w:rPr>
              <w:t>主持过自然保护区调查、野生动植物资源调查、珍稀濒危植物监测技术以及与采购内容相关的项目。</w:t>
            </w:r>
            <w:r>
              <w:rPr>
                <w:rFonts w:hint="eastAsia" w:cs="宋体"/>
                <w:b/>
                <w:bCs/>
                <w:color w:val="auto"/>
                <w:spacing w:val="11"/>
                <w:kern w:val="2"/>
                <w:sz w:val="21"/>
                <w:szCs w:val="21"/>
                <w:highlight w:val="none"/>
                <w:lang w:eastAsia="zh-CN"/>
              </w:rPr>
              <w:t>（提供业绩合同或中标（成交）通知书或案例实施材料等证明资料）</w:t>
            </w:r>
          </w:p>
          <w:p w14:paraId="61C92DBF">
            <w:pPr>
              <w:pStyle w:val="5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jc w:val="both"/>
              <w:textAlignment w:val="auto"/>
              <w:rPr>
                <w:rFonts w:hint="default" w:ascii="宋体" w:hAnsi="宋体" w:eastAsia="宋体" w:cs="宋体"/>
                <w:b/>
                <w:bCs/>
                <w:color w:val="auto"/>
                <w:kern w:val="2"/>
                <w:sz w:val="21"/>
                <w:szCs w:val="21"/>
                <w:highlight w:val="none"/>
                <w:lang w:val="en-US" w:eastAsia="zh-CN"/>
              </w:rPr>
            </w:pPr>
            <w:r>
              <w:rPr>
                <w:rFonts w:hint="eastAsia" w:ascii="宋体" w:hAnsi="宋体" w:cs="宋体"/>
                <w:b/>
                <w:bCs/>
                <w:color w:val="auto"/>
                <w:kern w:val="2"/>
                <w:sz w:val="21"/>
                <w:szCs w:val="21"/>
                <w:highlight w:val="none"/>
                <w:lang w:val="en-US" w:eastAsia="zh-CN"/>
              </w:rPr>
              <w:t>6</w:t>
            </w:r>
            <w:r>
              <w:rPr>
                <w:rFonts w:hint="eastAsia" w:ascii="宋体" w:hAnsi="宋体" w:eastAsia="宋体" w:cs="宋体"/>
                <w:b/>
                <w:bCs/>
                <w:color w:val="auto"/>
                <w:kern w:val="2"/>
                <w:sz w:val="21"/>
                <w:szCs w:val="21"/>
                <w:highlight w:val="none"/>
                <w:lang w:val="en-US" w:eastAsia="zh-CN"/>
              </w:rPr>
              <w:t>.</w:t>
            </w:r>
            <w:r>
              <w:rPr>
                <w:rFonts w:hint="default" w:ascii="宋体" w:hAnsi="宋体" w:eastAsia="宋体" w:cs="宋体"/>
                <w:b/>
                <w:bCs/>
                <w:color w:val="auto"/>
                <w:kern w:val="2"/>
                <w:sz w:val="21"/>
                <w:szCs w:val="21"/>
                <w:highlight w:val="none"/>
                <w:lang w:eastAsia="zh-CN"/>
              </w:rPr>
              <w:t>成果</w:t>
            </w:r>
            <w:r>
              <w:rPr>
                <w:rFonts w:hint="eastAsia" w:ascii="宋体" w:hAnsi="宋体" w:eastAsia="宋体" w:cs="宋体"/>
                <w:b/>
                <w:bCs/>
                <w:color w:val="auto"/>
                <w:kern w:val="2"/>
                <w:sz w:val="21"/>
                <w:szCs w:val="21"/>
                <w:highlight w:val="none"/>
                <w:lang w:val="en-US" w:eastAsia="zh-CN"/>
              </w:rPr>
              <w:t>提交</w:t>
            </w:r>
          </w:p>
          <w:p w14:paraId="18942851">
            <w:pPr>
              <w:pStyle w:val="5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宋体" w:hAnsi="宋体" w:eastAsia="宋体" w:cs="宋体"/>
                <w:b w:val="0"/>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eastAsia="zh-CN"/>
              </w:rPr>
              <w:t>该项目需完成救护银杉植株20株，移植人工银杉5株，建设杜鹃种质园1个；银杉记录片1集、发现新物种记录片1集、小视频制作10集、宣传资料印制2000份；宣教展示标本养护290件</w:t>
            </w:r>
            <w:r>
              <w:rPr>
                <w:rFonts w:hint="eastAsia" w:ascii="宋体" w:hAnsi="宋体" w:cs="宋体"/>
                <w:b w:val="0"/>
                <w:bCs w:val="0"/>
                <w:color w:val="auto"/>
                <w:kern w:val="2"/>
                <w:sz w:val="21"/>
                <w:szCs w:val="21"/>
                <w:highlight w:val="none"/>
                <w:lang w:eastAsia="zh-CN"/>
              </w:rPr>
              <w:t>。</w:t>
            </w:r>
          </w:p>
          <w:p w14:paraId="59605CEF">
            <w:pPr>
              <w:pStyle w:val="5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jc w:val="both"/>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cs="宋体"/>
                <w:b/>
                <w:bCs/>
                <w:color w:val="auto"/>
                <w:kern w:val="2"/>
                <w:sz w:val="21"/>
                <w:szCs w:val="21"/>
                <w:highlight w:val="none"/>
                <w:lang w:val="en-US" w:eastAsia="zh-CN"/>
              </w:rPr>
              <w:t>7</w:t>
            </w:r>
            <w:r>
              <w:rPr>
                <w:rFonts w:hint="eastAsia" w:ascii="宋体" w:hAnsi="宋体" w:eastAsia="宋体" w:cs="宋体"/>
                <w:b/>
                <w:bCs/>
                <w:color w:val="auto"/>
                <w:kern w:val="2"/>
                <w:sz w:val="21"/>
                <w:szCs w:val="21"/>
                <w:highlight w:val="none"/>
                <w:lang w:val="en-US" w:eastAsia="zh-CN"/>
              </w:rPr>
              <w:t>.服务要求：</w:t>
            </w:r>
            <w:r>
              <w:rPr>
                <w:rFonts w:hint="eastAsia" w:ascii="宋体" w:hAnsi="宋体" w:eastAsia="宋体" w:cs="宋体"/>
                <w:b w:val="0"/>
                <w:bCs w:val="0"/>
                <w:color w:val="auto"/>
                <w:kern w:val="2"/>
                <w:sz w:val="21"/>
                <w:szCs w:val="21"/>
                <w:highlight w:val="none"/>
                <w:lang w:val="en-US" w:eastAsia="zh-CN"/>
              </w:rPr>
              <w:t>需按照竞争性磋商文件中的采购需求执行。</w:t>
            </w:r>
          </w:p>
          <w:p w14:paraId="6BC70A21">
            <w:pPr>
              <w:pStyle w:val="5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jc w:val="both"/>
              <w:textAlignment w:val="auto"/>
              <w:rPr>
                <w:rFonts w:hint="default" w:ascii="宋体" w:hAnsi="宋体" w:eastAsia="宋体" w:cs="宋体"/>
                <w:b w:val="0"/>
                <w:bCs w:val="0"/>
                <w:color w:val="auto"/>
                <w:kern w:val="2"/>
                <w:sz w:val="21"/>
                <w:szCs w:val="21"/>
                <w:highlight w:val="none"/>
                <w:lang w:val="en-US" w:eastAsia="zh-CN"/>
              </w:rPr>
            </w:pPr>
            <w:r>
              <w:rPr>
                <w:rFonts w:hint="eastAsia" w:ascii="宋体" w:hAnsi="宋体" w:cs="宋体"/>
                <w:b/>
                <w:bCs/>
                <w:color w:val="auto"/>
                <w:kern w:val="2"/>
                <w:sz w:val="21"/>
                <w:szCs w:val="21"/>
                <w:highlight w:val="none"/>
                <w:lang w:val="en-US" w:eastAsia="zh-CN"/>
              </w:rPr>
              <w:t>8</w:t>
            </w:r>
            <w:r>
              <w:rPr>
                <w:rFonts w:hint="eastAsia" w:ascii="宋体" w:hAnsi="宋体" w:eastAsia="宋体" w:cs="宋体"/>
                <w:b/>
                <w:bCs/>
                <w:color w:val="auto"/>
                <w:kern w:val="2"/>
                <w:sz w:val="21"/>
                <w:szCs w:val="21"/>
                <w:highlight w:val="none"/>
                <w:lang w:val="en-US" w:eastAsia="zh-CN"/>
              </w:rPr>
              <w:t>.服务标准：</w:t>
            </w:r>
            <w:r>
              <w:rPr>
                <w:rFonts w:hint="eastAsia" w:ascii="宋体" w:hAnsi="宋体" w:eastAsia="宋体" w:cs="宋体"/>
                <w:b w:val="0"/>
                <w:bCs w:val="0"/>
                <w:color w:val="auto"/>
                <w:kern w:val="2"/>
                <w:sz w:val="21"/>
                <w:szCs w:val="21"/>
                <w:highlight w:val="none"/>
                <w:lang w:val="en-US" w:eastAsia="zh-CN"/>
              </w:rPr>
              <w:t>符合现行国家相关标准、行业标准、地方标准或者其他标准、规范。</w:t>
            </w:r>
          </w:p>
        </w:tc>
      </w:tr>
      <w:tr w14:paraId="7CB6F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 w:hRule="atLeast"/>
          <w:jc w:val="center"/>
        </w:trPr>
        <w:tc>
          <w:tcPr>
            <w:tcW w:w="9345" w:type="dxa"/>
            <w:gridSpan w:val="5"/>
            <w:tcBorders>
              <w:top w:val="single" w:color="auto" w:sz="4" w:space="0"/>
              <w:left w:val="single" w:color="auto" w:sz="4" w:space="0"/>
              <w:bottom w:val="single" w:color="auto" w:sz="4" w:space="0"/>
              <w:right w:val="single" w:color="auto" w:sz="4" w:space="0"/>
            </w:tcBorders>
            <w:noWrap w:val="0"/>
            <w:vAlign w:val="top"/>
          </w:tcPr>
          <w:p w14:paraId="0D5657A7">
            <w:pPr>
              <w:keepNext w:val="0"/>
              <w:keepLines w:val="0"/>
              <w:suppressLineNumbers w:val="0"/>
              <w:wordWrap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▲二、商务要求</w:t>
            </w:r>
          </w:p>
        </w:tc>
      </w:tr>
      <w:tr w14:paraId="20C83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0" w:hRule="atLeast"/>
          <w:jc w:val="center"/>
        </w:trPr>
        <w:tc>
          <w:tcPr>
            <w:tcW w:w="2248" w:type="dxa"/>
            <w:gridSpan w:val="3"/>
            <w:tcBorders>
              <w:top w:val="single" w:color="auto" w:sz="4" w:space="0"/>
              <w:left w:val="single" w:color="auto" w:sz="4" w:space="0"/>
              <w:bottom w:val="single" w:color="auto" w:sz="4" w:space="0"/>
              <w:right w:val="single" w:color="auto" w:sz="4" w:space="0"/>
            </w:tcBorders>
            <w:noWrap w:val="0"/>
            <w:vAlign w:val="center"/>
          </w:tcPr>
          <w:p w14:paraId="721192AD">
            <w:pPr>
              <w:keepNext w:val="0"/>
              <w:keepLines w:val="0"/>
              <w:suppressLineNumbers w:val="0"/>
              <w:wordWrap w:val="0"/>
              <w:spacing w:before="0" w:beforeAutospacing="0" w:after="0" w:afterAutospacing="0" w:line="360" w:lineRule="auto"/>
              <w:ind w:left="0" w:right="0"/>
              <w:rPr>
                <w:rFonts w:hint="default"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合同履行期限</w:t>
            </w:r>
          </w:p>
        </w:tc>
        <w:tc>
          <w:tcPr>
            <w:tcW w:w="7097" w:type="dxa"/>
            <w:gridSpan w:val="2"/>
            <w:tcBorders>
              <w:top w:val="single" w:color="auto" w:sz="4" w:space="0"/>
              <w:left w:val="single" w:color="auto" w:sz="4" w:space="0"/>
              <w:bottom w:val="single" w:color="auto" w:sz="4" w:space="0"/>
              <w:right w:val="single" w:color="auto" w:sz="4" w:space="0"/>
            </w:tcBorders>
            <w:noWrap w:val="0"/>
            <w:vAlign w:val="center"/>
          </w:tcPr>
          <w:p w14:paraId="350BD83B">
            <w:pPr>
              <w:keepNext w:val="0"/>
              <w:keepLines w:val="0"/>
              <w:suppressLineNumbers w:val="0"/>
              <w:wordWrap w:val="0"/>
              <w:spacing w:before="0" w:beforeAutospacing="0" w:after="0" w:afterAutospacing="0" w:line="360" w:lineRule="auto"/>
              <w:ind w:left="0" w:right="0"/>
              <w:jc w:val="left"/>
              <w:rPr>
                <w:rFonts w:hint="eastAsia"/>
                <w:color w:val="auto"/>
                <w:highlight w:val="none"/>
                <w:lang w:eastAsia="zh-CN"/>
              </w:rPr>
            </w:pPr>
            <w:r>
              <w:rPr>
                <w:rFonts w:hint="eastAsia" w:ascii="宋体" w:hAnsi="宋体" w:eastAsia="宋体" w:cs="宋体"/>
                <w:color w:val="auto"/>
                <w:szCs w:val="21"/>
                <w:highlight w:val="none"/>
                <w:lang w:eastAsia="zh-CN"/>
              </w:rPr>
              <w:t>自合同签订之日起至202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lang w:val="en-US" w:eastAsia="zh-CN"/>
              </w:rPr>
              <w:t>12</w:t>
            </w:r>
            <w:r>
              <w:rPr>
                <w:rFonts w:hint="eastAsia" w:ascii="宋体" w:hAnsi="宋体" w:eastAsia="宋体" w:cs="宋体"/>
                <w:color w:val="auto"/>
                <w:szCs w:val="21"/>
                <w:highlight w:val="none"/>
                <w:lang w:eastAsia="zh-CN"/>
              </w:rPr>
              <w:t>月</w:t>
            </w:r>
            <w:r>
              <w:rPr>
                <w:rFonts w:hint="eastAsia" w:ascii="宋体" w:hAnsi="宋体" w:eastAsia="宋体" w:cs="宋体"/>
                <w:color w:val="auto"/>
                <w:szCs w:val="21"/>
                <w:highlight w:val="none"/>
                <w:lang w:val="en-US" w:eastAsia="zh-CN"/>
              </w:rPr>
              <w:t>31日</w:t>
            </w:r>
            <w:r>
              <w:rPr>
                <w:rFonts w:hint="eastAsia" w:ascii="宋体" w:hAnsi="宋体" w:eastAsia="宋体" w:cs="宋体"/>
                <w:color w:val="auto"/>
                <w:szCs w:val="21"/>
                <w:highlight w:val="none"/>
                <w:lang w:eastAsia="zh-CN"/>
              </w:rPr>
              <w:t>完成全部工作，提交成果并</w:t>
            </w:r>
            <w:r>
              <w:rPr>
                <w:rFonts w:hint="eastAsia" w:ascii="宋体" w:hAnsi="宋体" w:eastAsia="宋体" w:cs="宋体"/>
                <w:color w:val="auto"/>
                <w:szCs w:val="21"/>
                <w:highlight w:val="none"/>
                <w:lang w:val="en-US" w:eastAsia="zh-CN"/>
              </w:rPr>
              <w:t>通过采购人</w:t>
            </w:r>
            <w:r>
              <w:rPr>
                <w:rFonts w:hint="eastAsia" w:ascii="宋体" w:hAnsi="宋体" w:eastAsia="宋体" w:cs="宋体"/>
                <w:color w:val="auto"/>
                <w:szCs w:val="21"/>
                <w:highlight w:val="none"/>
                <w:lang w:eastAsia="zh-CN"/>
              </w:rPr>
              <w:t>内部验收。</w:t>
            </w:r>
          </w:p>
        </w:tc>
      </w:tr>
      <w:tr w14:paraId="4E295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0" w:hRule="atLeast"/>
          <w:jc w:val="center"/>
        </w:trPr>
        <w:tc>
          <w:tcPr>
            <w:tcW w:w="2248" w:type="dxa"/>
            <w:gridSpan w:val="3"/>
            <w:tcBorders>
              <w:top w:val="single" w:color="auto" w:sz="4" w:space="0"/>
              <w:left w:val="single" w:color="auto" w:sz="4" w:space="0"/>
              <w:bottom w:val="single" w:color="auto" w:sz="4" w:space="0"/>
              <w:right w:val="single" w:color="auto" w:sz="4" w:space="0"/>
            </w:tcBorders>
            <w:noWrap w:val="0"/>
            <w:vAlign w:val="center"/>
          </w:tcPr>
          <w:p w14:paraId="56EF7491">
            <w:pPr>
              <w:keepNext w:val="0"/>
              <w:keepLines w:val="0"/>
              <w:suppressLineNumbers w:val="0"/>
              <w:wordWrap w:val="0"/>
              <w:spacing w:before="0" w:beforeAutospacing="0" w:after="0" w:afterAutospacing="0" w:line="360" w:lineRule="auto"/>
              <w:ind w:left="0" w:right="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服务地点</w:t>
            </w:r>
          </w:p>
        </w:tc>
        <w:tc>
          <w:tcPr>
            <w:tcW w:w="7097" w:type="dxa"/>
            <w:gridSpan w:val="2"/>
            <w:tcBorders>
              <w:top w:val="single" w:color="auto" w:sz="4" w:space="0"/>
              <w:left w:val="single" w:color="auto" w:sz="4" w:space="0"/>
              <w:bottom w:val="single" w:color="auto" w:sz="4" w:space="0"/>
              <w:right w:val="single" w:color="auto" w:sz="4" w:space="0"/>
            </w:tcBorders>
            <w:noWrap w:val="0"/>
            <w:vAlign w:val="center"/>
          </w:tcPr>
          <w:p w14:paraId="2F60DA16">
            <w:pPr>
              <w:keepNext w:val="0"/>
              <w:keepLines w:val="0"/>
              <w:suppressLineNumbers w:val="0"/>
              <w:wordWrap w:val="0"/>
              <w:spacing w:before="0" w:beforeAutospacing="0" w:after="0" w:afterAutospacing="0" w:line="360" w:lineRule="auto"/>
              <w:ind w:left="0" w:right="0"/>
              <w:jc w:val="left"/>
              <w:rPr>
                <w:rFonts w:hint="eastAsia"/>
                <w:color w:val="auto"/>
                <w:highlight w:val="none"/>
                <w:lang w:eastAsia="zh-CN"/>
              </w:rPr>
            </w:pPr>
            <w:r>
              <w:rPr>
                <w:rFonts w:hint="eastAsia" w:ascii="宋体" w:hAnsi="宋体" w:eastAsia="宋体" w:cs="宋体"/>
                <w:color w:val="auto"/>
                <w:sz w:val="21"/>
                <w:szCs w:val="21"/>
                <w:highlight w:val="none"/>
                <w:lang w:eastAsia="zh-CN"/>
              </w:rPr>
              <w:t>广西壮族自治区内采购人指定地点。</w:t>
            </w:r>
          </w:p>
        </w:tc>
      </w:tr>
      <w:tr w14:paraId="4ED44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 w:hRule="atLeast"/>
          <w:jc w:val="center"/>
        </w:trPr>
        <w:tc>
          <w:tcPr>
            <w:tcW w:w="2248" w:type="dxa"/>
            <w:gridSpan w:val="3"/>
            <w:tcBorders>
              <w:top w:val="single" w:color="auto" w:sz="4" w:space="0"/>
              <w:left w:val="single" w:color="auto" w:sz="4" w:space="0"/>
              <w:bottom w:val="single" w:color="auto" w:sz="4" w:space="0"/>
              <w:right w:val="single" w:color="auto" w:sz="4" w:space="0"/>
            </w:tcBorders>
            <w:noWrap w:val="0"/>
            <w:vAlign w:val="center"/>
          </w:tcPr>
          <w:p w14:paraId="2B19D63C">
            <w:pPr>
              <w:keepNext w:val="0"/>
              <w:keepLines w:val="0"/>
              <w:suppressLineNumbers w:val="0"/>
              <w:wordWrap w:val="0"/>
              <w:spacing w:before="0" w:beforeAutospacing="0" w:after="0" w:afterAutospacing="0" w:line="360" w:lineRule="auto"/>
              <w:ind w:left="0" w:right="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合同签订时间</w:t>
            </w:r>
          </w:p>
        </w:tc>
        <w:tc>
          <w:tcPr>
            <w:tcW w:w="7097" w:type="dxa"/>
            <w:gridSpan w:val="2"/>
            <w:tcBorders>
              <w:top w:val="single" w:color="auto" w:sz="4" w:space="0"/>
              <w:left w:val="single" w:color="auto" w:sz="4" w:space="0"/>
              <w:bottom w:val="single" w:color="auto" w:sz="4" w:space="0"/>
              <w:right w:val="single" w:color="auto" w:sz="4" w:space="0"/>
            </w:tcBorders>
            <w:noWrap w:val="0"/>
            <w:vAlign w:val="center"/>
          </w:tcPr>
          <w:p w14:paraId="68111997">
            <w:pPr>
              <w:keepNext w:val="0"/>
              <w:keepLines w:val="0"/>
              <w:suppressLineNumbers w:val="0"/>
              <w:wordWrap w:val="0"/>
              <w:spacing w:before="0" w:beforeAutospacing="0" w:after="0" w:afterAutospacing="0" w:line="360" w:lineRule="auto"/>
              <w:ind w:left="0" w:right="0" w:firstLine="0" w:firstLineChars="0"/>
              <w:rPr>
                <w:rFonts w:hint="eastAsia" w:ascii="宋体" w:hAnsi="宋体" w:eastAsia="宋体" w:cs="宋体"/>
                <w:b/>
                <w:color w:val="auto"/>
                <w:szCs w:val="21"/>
                <w:highlight w:val="none"/>
              </w:rPr>
            </w:pPr>
            <w:r>
              <w:rPr>
                <w:rFonts w:hint="eastAsia" w:ascii="宋体" w:hAnsi="宋体" w:cs="宋体"/>
                <w:color w:val="auto"/>
                <w:szCs w:val="21"/>
                <w:highlight w:val="none"/>
                <w:lang w:eastAsia="zh-CN"/>
              </w:rPr>
              <w:t>自成交通知书发出之日起8个工作日内</w:t>
            </w:r>
            <w:r>
              <w:rPr>
                <w:rFonts w:hint="eastAsia" w:ascii="宋体" w:hAnsi="宋体" w:eastAsia="宋体" w:cs="宋体"/>
                <w:color w:val="auto"/>
                <w:szCs w:val="21"/>
                <w:highlight w:val="none"/>
              </w:rPr>
              <w:t>。</w:t>
            </w:r>
          </w:p>
        </w:tc>
      </w:tr>
      <w:tr w14:paraId="294A03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 w:hRule="atLeast"/>
          <w:jc w:val="center"/>
        </w:trPr>
        <w:tc>
          <w:tcPr>
            <w:tcW w:w="2248" w:type="dxa"/>
            <w:gridSpan w:val="3"/>
            <w:tcBorders>
              <w:top w:val="single" w:color="auto" w:sz="4" w:space="0"/>
              <w:left w:val="single" w:color="auto" w:sz="4" w:space="0"/>
              <w:bottom w:val="single" w:color="auto" w:sz="4" w:space="0"/>
              <w:right w:val="single" w:color="auto" w:sz="4" w:space="0"/>
            </w:tcBorders>
            <w:noWrap w:val="0"/>
            <w:vAlign w:val="center"/>
          </w:tcPr>
          <w:p w14:paraId="71B5ADBD">
            <w:pPr>
              <w:keepNext w:val="0"/>
              <w:keepLines w:val="0"/>
              <w:suppressLineNumbers w:val="0"/>
              <w:wordWrap w:val="0"/>
              <w:spacing w:before="0" w:beforeAutospacing="0" w:after="0" w:afterAutospacing="0" w:line="360" w:lineRule="auto"/>
              <w:ind w:left="0" w:right="0"/>
              <w:rPr>
                <w:rFonts w:hint="eastAsia" w:ascii="宋体" w:hAnsi="宋体" w:eastAsia="宋体" w:cs="宋体"/>
                <w:b/>
                <w:bCs/>
                <w:color w:val="auto"/>
                <w:szCs w:val="21"/>
                <w:highlight w:val="none"/>
              </w:rPr>
            </w:pPr>
            <w:r>
              <w:rPr>
                <w:rFonts w:hint="eastAsia" w:ascii="宋体" w:hAnsi="宋体" w:eastAsia="宋体" w:cs="宋体"/>
                <w:b/>
                <w:bCs/>
                <w:color w:val="auto"/>
                <w:sz w:val="21"/>
                <w:szCs w:val="21"/>
                <w:highlight w:val="none"/>
                <w:lang w:eastAsia="zh-CN"/>
              </w:rPr>
              <w:t>报价要求</w:t>
            </w:r>
          </w:p>
        </w:tc>
        <w:tc>
          <w:tcPr>
            <w:tcW w:w="7097" w:type="dxa"/>
            <w:gridSpan w:val="2"/>
            <w:tcBorders>
              <w:top w:val="single" w:color="auto" w:sz="4" w:space="0"/>
              <w:left w:val="single" w:color="auto" w:sz="4" w:space="0"/>
              <w:bottom w:val="single" w:color="auto" w:sz="4" w:space="0"/>
              <w:right w:val="single" w:color="auto" w:sz="4" w:space="0"/>
            </w:tcBorders>
            <w:noWrap w:val="0"/>
            <w:vAlign w:val="center"/>
          </w:tcPr>
          <w:p w14:paraId="6012B584">
            <w:pPr>
              <w:keepNext w:val="0"/>
              <w:keepLines w:val="0"/>
              <w:numPr>
                <w:ilvl w:val="0"/>
                <w:numId w:val="0"/>
              </w:numPr>
              <w:suppressLineNumbers w:val="0"/>
              <w:tabs>
                <w:tab w:val="center" w:pos="4153"/>
                <w:tab w:val="right" w:pos="8306"/>
              </w:tabs>
              <w:wordWrap/>
              <w:spacing w:before="0" w:beforeAutospacing="0" w:after="0" w:afterAutospacing="0" w:line="360" w:lineRule="auto"/>
              <w:ind w:left="0" w:leftChars="0" w:right="0" w:rightChars="0" w:firstLine="0" w:firstLineChars="0"/>
              <w:rPr>
                <w:rFonts w:hint="eastAsia" w:ascii="宋体" w:hAnsi="宋体" w:eastAsia="宋体" w:cs="宋体"/>
                <w:color w:val="auto"/>
                <w:sz w:val="21"/>
                <w:szCs w:val="21"/>
                <w:highlight w:val="none"/>
              </w:rPr>
            </w:pPr>
            <w:r>
              <w:rPr>
                <w:rFonts w:hint="default"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rPr>
              <w:t>本项目报价为</w:t>
            </w:r>
            <w:r>
              <w:rPr>
                <w:rStyle w:val="27"/>
                <w:rFonts w:hint="eastAsia" w:ascii="宋体" w:hAnsi="宋体" w:eastAsia="宋体" w:cs="宋体"/>
                <w:b/>
                <w:bCs/>
                <w:color w:val="auto"/>
                <w:sz w:val="21"/>
                <w:szCs w:val="21"/>
                <w:highlight w:val="none"/>
              </w:rPr>
              <w:t>全包固定总价报价</w:t>
            </w:r>
            <w:r>
              <w:rPr>
                <w:rFonts w:hint="eastAsia" w:ascii="宋体" w:hAnsi="宋体" w:eastAsia="宋体" w:cs="宋体"/>
                <w:color w:val="auto"/>
                <w:sz w:val="21"/>
                <w:szCs w:val="21"/>
                <w:highlight w:val="none"/>
              </w:rPr>
              <w:t>，包含本项目开展所需的人工费、差旅费、外业调查费、设备使用费、软件制图费、数据处理费、资料整编费、专家评审费、</w:t>
            </w:r>
            <w:r>
              <w:rPr>
                <w:rFonts w:hint="eastAsia" w:ascii="宋体" w:hAnsi="宋体" w:eastAsia="宋体" w:cs="宋体"/>
                <w:color w:val="auto"/>
                <w:sz w:val="21"/>
                <w:szCs w:val="21"/>
                <w:highlight w:val="none"/>
                <w:lang w:val="en-US" w:eastAsia="zh-CN"/>
              </w:rPr>
              <w:t>保险费、</w:t>
            </w:r>
            <w:r>
              <w:rPr>
                <w:rFonts w:hint="eastAsia" w:ascii="宋体" w:hAnsi="宋体" w:eastAsia="宋体" w:cs="宋体"/>
                <w:color w:val="auto"/>
                <w:sz w:val="21"/>
                <w:szCs w:val="21"/>
                <w:highlight w:val="none"/>
              </w:rPr>
              <w:t>管理费、税费及完成本项目全部工作内容所产生的一切费用，采购人不另行支付任何费用。</w:t>
            </w:r>
          </w:p>
          <w:p w14:paraId="7B945B8A">
            <w:pPr>
              <w:keepNext w:val="0"/>
              <w:keepLines w:val="0"/>
              <w:numPr>
                <w:ilvl w:val="0"/>
                <w:numId w:val="0"/>
              </w:numPr>
              <w:suppressLineNumbers w:val="0"/>
              <w:tabs>
                <w:tab w:val="center" w:pos="4153"/>
                <w:tab w:val="right" w:pos="8306"/>
              </w:tabs>
              <w:wordWrap/>
              <w:spacing w:before="0" w:beforeAutospacing="0" w:after="0" w:afterAutospacing="0" w:line="360" w:lineRule="auto"/>
              <w:ind w:left="0" w:leftChars="0" w:right="0" w:rightChars="0" w:firstLine="0" w:firstLineChars="0"/>
              <w:rPr>
                <w:rFonts w:hint="eastAsia" w:ascii="宋体" w:hAnsi="宋体" w:eastAsia="宋体" w:cs="宋体"/>
                <w:color w:val="auto"/>
                <w:sz w:val="21"/>
                <w:szCs w:val="21"/>
                <w:highlight w:val="none"/>
              </w:rPr>
            </w:pPr>
            <w:r>
              <w:rPr>
                <w:rFonts w:hint="default"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rPr>
              <w:t>供应商应结合自身实力、市场行情、项目工作量自主合理报价，</w:t>
            </w:r>
            <w:r>
              <w:rPr>
                <w:rStyle w:val="27"/>
                <w:rFonts w:hint="eastAsia" w:ascii="宋体" w:hAnsi="宋体" w:eastAsia="宋体" w:cs="宋体"/>
                <w:b/>
                <w:bCs/>
                <w:color w:val="auto"/>
                <w:sz w:val="21"/>
                <w:szCs w:val="21"/>
                <w:highlight w:val="none"/>
              </w:rPr>
              <w:t>所有漏项、缺项视为包含在总价内</w:t>
            </w:r>
            <w:r>
              <w:rPr>
                <w:rFonts w:hint="eastAsia" w:ascii="宋体" w:hAnsi="宋体" w:eastAsia="宋体" w:cs="宋体"/>
                <w:color w:val="auto"/>
                <w:sz w:val="21"/>
                <w:szCs w:val="21"/>
                <w:highlight w:val="none"/>
              </w:rPr>
              <w:t>，后期不作任何增补。</w:t>
            </w:r>
          </w:p>
          <w:p w14:paraId="7975782C">
            <w:pPr>
              <w:keepNext w:val="0"/>
              <w:keepLines w:val="0"/>
              <w:numPr>
                <w:ilvl w:val="0"/>
                <w:numId w:val="0"/>
              </w:numPr>
              <w:suppressLineNumbers w:val="0"/>
              <w:tabs>
                <w:tab w:val="center" w:pos="4153"/>
                <w:tab w:val="right" w:pos="8306"/>
              </w:tabs>
              <w:wordWrap/>
              <w:spacing w:before="0" w:beforeAutospacing="0" w:after="0" w:afterAutospacing="0" w:line="360" w:lineRule="auto"/>
              <w:ind w:left="0" w:leftChars="0" w:right="0" w:rightChars="0" w:firstLine="0" w:firstLineChars="0"/>
              <w:rPr>
                <w:rFonts w:hint="eastAsia" w:ascii="宋体" w:hAnsi="宋体" w:eastAsia="宋体" w:cs="宋体"/>
                <w:color w:val="auto"/>
                <w:sz w:val="21"/>
                <w:szCs w:val="21"/>
                <w:highlight w:val="none"/>
              </w:rPr>
            </w:pPr>
            <w:r>
              <w:rPr>
                <w:rFonts w:hint="default" w:ascii="宋体" w:hAnsi="宋体" w:eastAsia="宋体" w:cs="宋体"/>
                <w:color w:val="auto"/>
                <w:kern w:val="2"/>
                <w:sz w:val="21"/>
                <w:szCs w:val="21"/>
                <w:highlight w:val="none"/>
                <w:lang w:val="en-US" w:eastAsia="zh-CN" w:bidi="ar-SA"/>
              </w:rPr>
              <w:t>3．</w:t>
            </w:r>
            <w:r>
              <w:rPr>
                <w:rFonts w:hint="eastAsia" w:ascii="宋体" w:hAnsi="宋体" w:eastAsia="宋体" w:cs="宋体"/>
                <w:color w:val="auto"/>
                <w:sz w:val="21"/>
                <w:szCs w:val="21"/>
                <w:highlight w:val="none"/>
              </w:rPr>
              <w:t>报价不得高于本项目最高限价，超出最高限价作无效响应处理。</w:t>
            </w:r>
          </w:p>
        </w:tc>
      </w:tr>
      <w:tr w14:paraId="7D7E8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 w:hRule="atLeast"/>
          <w:jc w:val="center"/>
        </w:trPr>
        <w:tc>
          <w:tcPr>
            <w:tcW w:w="2248" w:type="dxa"/>
            <w:gridSpan w:val="3"/>
            <w:tcBorders>
              <w:top w:val="single" w:color="auto" w:sz="4" w:space="0"/>
              <w:left w:val="single" w:color="auto" w:sz="4" w:space="0"/>
              <w:bottom w:val="single" w:color="auto" w:sz="4" w:space="0"/>
              <w:right w:val="single" w:color="auto" w:sz="4" w:space="0"/>
            </w:tcBorders>
            <w:noWrap w:val="0"/>
            <w:vAlign w:val="center"/>
          </w:tcPr>
          <w:p w14:paraId="6F5E7DAD">
            <w:pPr>
              <w:keepNext w:val="0"/>
              <w:keepLines w:val="0"/>
              <w:suppressLineNumbers w:val="0"/>
              <w:wordWrap w:val="0"/>
              <w:spacing w:before="0" w:beforeAutospacing="0" w:after="0" w:afterAutospacing="0" w:line="360" w:lineRule="auto"/>
              <w:ind w:left="0" w:right="0"/>
              <w:rPr>
                <w:rFonts w:hint="eastAsia" w:ascii="宋体" w:hAnsi="宋体" w:eastAsia="宋体" w:cs="宋体"/>
                <w:b/>
                <w:bCs/>
                <w:color w:val="auto"/>
                <w:szCs w:val="21"/>
                <w:highlight w:val="none"/>
              </w:rPr>
            </w:pPr>
            <w:r>
              <w:rPr>
                <w:rFonts w:hint="eastAsia" w:ascii="宋体" w:hAnsi="宋体" w:eastAsia="宋体" w:cs="宋体"/>
                <w:b/>
                <w:bCs/>
                <w:color w:val="auto"/>
                <w:sz w:val="21"/>
                <w:szCs w:val="21"/>
                <w:highlight w:val="none"/>
                <w:lang w:eastAsia="zh-CN"/>
              </w:rPr>
              <w:t>付款条件</w:t>
            </w:r>
          </w:p>
        </w:tc>
        <w:tc>
          <w:tcPr>
            <w:tcW w:w="7097" w:type="dxa"/>
            <w:gridSpan w:val="2"/>
            <w:tcBorders>
              <w:top w:val="single" w:color="auto" w:sz="4" w:space="0"/>
              <w:left w:val="single" w:color="auto" w:sz="4" w:space="0"/>
              <w:bottom w:val="single" w:color="auto" w:sz="4" w:space="0"/>
              <w:right w:val="single" w:color="auto" w:sz="4" w:space="0"/>
            </w:tcBorders>
            <w:noWrap w:val="0"/>
            <w:vAlign w:val="center"/>
          </w:tcPr>
          <w:p w14:paraId="7305C2C1">
            <w:pPr>
              <w:keepNext w:val="0"/>
              <w:keepLines w:val="0"/>
              <w:suppressLineNumbers w:val="0"/>
              <w:wordWrap/>
              <w:spacing w:before="0" w:beforeAutospacing="0" w:after="0" w:afterAutospacing="0" w:line="360" w:lineRule="auto"/>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1、前期按项目完成进度申请项目款支付；</w:t>
            </w:r>
          </w:p>
          <w:p w14:paraId="30EC3A8D">
            <w:pPr>
              <w:keepNext w:val="0"/>
              <w:keepLines w:val="0"/>
              <w:suppressLineNumbers w:val="0"/>
              <w:wordWrap/>
              <w:spacing w:before="0" w:beforeAutospacing="0" w:after="0" w:afterAutospacing="0" w:line="360" w:lineRule="auto"/>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成交供应商</w:t>
            </w:r>
            <w:r>
              <w:rPr>
                <w:rFonts w:hint="eastAsia" w:ascii="宋体" w:hAnsi="宋体" w:eastAsia="宋体" w:cs="宋体"/>
                <w:color w:val="auto"/>
                <w:sz w:val="21"/>
                <w:szCs w:val="21"/>
                <w:highlight w:val="none"/>
                <w:lang w:val="en-US" w:eastAsia="zh-CN"/>
              </w:rPr>
              <w:t>完成本次特种救护、宣传（资料）视频制作、标本养护工作内容提交全部成果材料并通过采购人初步验收后10个工作日内支付合同价款的80%（含前期已支付款项）；</w:t>
            </w:r>
          </w:p>
          <w:p w14:paraId="753A4A87">
            <w:pPr>
              <w:keepNext w:val="0"/>
              <w:keepLines w:val="0"/>
              <w:suppressLineNumbers w:val="0"/>
              <w:wordWrap/>
              <w:spacing w:before="0" w:beforeAutospacing="0" w:after="0" w:afterAutospacing="0" w:line="360" w:lineRule="auto"/>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3、提交的全部成果文件通过采购人的主管部门竣工验收合格后10个工作日内，采购人一次性结清结余款，即合同总价的20%。</w:t>
            </w:r>
          </w:p>
          <w:p w14:paraId="7366E09B">
            <w:pPr>
              <w:keepNext w:val="0"/>
              <w:keepLines w:val="0"/>
              <w:suppressLineNumbers w:val="0"/>
              <w:wordWrap/>
              <w:spacing w:before="0" w:beforeAutospacing="0" w:after="0" w:afterAutospacing="0" w:line="360" w:lineRule="auto"/>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cs="宋体"/>
                <w:color w:val="auto"/>
                <w:sz w:val="21"/>
                <w:szCs w:val="21"/>
                <w:highlight w:val="none"/>
                <w:lang w:val="en-US" w:eastAsia="zh-CN"/>
              </w:rPr>
              <w:t>成交供应商</w:t>
            </w:r>
            <w:r>
              <w:rPr>
                <w:rFonts w:hint="eastAsia" w:ascii="宋体" w:hAnsi="宋体" w:eastAsia="宋体" w:cs="宋体"/>
                <w:color w:val="auto"/>
                <w:sz w:val="21"/>
                <w:szCs w:val="21"/>
                <w:highlight w:val="none"/>
                <w:lang w:val="en-US" w:eastAsia="zh-CN"/>
              </w:rPr>
              <w:t>在采购人支付每笔款项前5个工作日内开具等额有效发票给采购人。</w:t>
            </w:r>
          </w:p>
          <w:p w14:paraId="1F1EFA6C">
            <w:pPr>
              <w:keepNext w:val="0"/>
              <w:keepLines w:val="0"/>
              <w:suppressLineNumbers w:val="0"/>
              <w:wordWrap/>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lang w:val="en-US" w:eastAsia="zh-CN"/>
              </w:rPr>
              <w:t>注：以上支付事宜，如遇国库支付程序原因，支付日期顺延（无息），采购人不承担延期付款责任。</w:t>
            </w:r>
          </w:p>
        </w:tc>
      </w:tr>
      <w:tr w14:paraId="73DAD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 w:hRule="atLeast"/>
          <w:jc w:val="center"/>
        </w:trPr>
        <w:tc>
          <w:tcPr>
            <w:tcW w:w="2248" w:type="dxa"/>
            <w:gridSpan w:val="3"/>
            <w:tcBorders>
              <w:top w:val="single" w:color="auto" w:sz="4" w:space="0"/>
              <w:left w:val="single" w:color="auto" w:sz="4" w:space="0"/>
              <w:bottom w:val="single" w:color="auto" w:sz="4" w:space="0"/>
              <w:right w:val="single" w:color="auto" w:sz="4" w:space="0"/>
            </w:tcBorders>
            <w:noWrap w:val="0"/>
            <w:vAlign w:val="center"/>
          </w:tcPr>
          <w:p w14:paraId="2CB00B41">
            <w:pPr>
              <w:keepNext w:val="0"/>
              <w:keepLines w:val="0"/>
              <w:suppressLineNumbers w:val="0"/>
              <w:wordWrap w:val="0"/>
              <w:spacing w:before="0" w:beforeAutospacing="0" w:after="0" w:afterAutospacing="0" w:line="360" w:lineRule="auto"/>
              <w:ind w:left="0" w:right="0"/>
              <w:rPr>
                <w:rFonts w:hint="eastAsia" w:ascii="宋体" w:hAnsi="宋体" w:eastAsia="宋体" w:cs="宋体"/>
                <w:b/>
                <w:bCs/>
                <w:color w:val="auto"/>
                <w:szCs w:val="21"/>
                <w:highlight w:val="none"/>
              </w:rPr>
            </w:pPr>
            <w:r>
              <w:rPr>
                <w:rFonts w:hint="eastAsia" w:ascii="宋体" w:hAnsi="宋体" w:eastAsia="宋体" w:cs="宋体"/>
                <w:b/>
                <w:color w:val="auto"/>
                <w:sz w:val="21"/>
                <w:szCs w:val="21"/>
                <w:highlight w:val="none"/>
              </w:rPr>
              <w:t>验收标准</w:t>
            </w:r>
          </w:p>
        </w:tc>
        <w:tc>
          <w:tcPr>
            <w:tcW w:w="7097" w:type="dxa"/>
            <w:gridSpan w:val="2"/>
            <w:tcBorders>
              <w:top w:val="single" w:color="auto" w:sz="4" w:space="0"/>
              <w:left w:val="single" w:color="auto" w:sz="4" w:space="0"/>
              <w:bottom w:val="single" w:color="auto" w:sz="4" w:space="0"/>
              <w:right w:val="single" w:color="auto" w:sz="4" w:space="0"/>
            </w:tcBorders>
            <w:noWrap w:val="0"/>
            <w:vAlign w:val="center"/>
          </w:tcPr>
          <w:p w14:paraId="140E9A14">
            <w:pPr>
              <w:keepNext w:val="0"/>
              <w:keepLines w:val="0"/>
              <w:suppressLineNumbers w:val="0"/>
              <w:tabs>
                <w:tab w:val="center" w:pos="4153"/>
                <w:tab w:val="right" w:pos="8306"/>
              </w:tabs>
              <w:wordWrap/>
              <w:spacing w:before="0" w:beforeAutospacing="0" w:after="0" w:afterAutospacing="0" w:line="360" w:lineRule="auto"/>
              <w:ind w:left="0" w:righ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符合现行国家相关标准、行业标准、地方标准或者其他标准、规范</w:t>
            </w:r>
            <w:r>
              <w:rPr>
                <w:rFonts w:hint="eastAsia" w:ascii="宋体" w:hAnsi="宋体" w:eastAsia="宋体" w:cs="宋体"/>
                <w:color w:val="auto"/>
                <w:sz w:val="21"/>
                <w:szCs w:val="21"/>
                <w:highlight w:val="none"/>
                <w:lang w:eastAsia="zh-CN"/>
              </w:rPr>
              <w:t>。</w:t>
            </w:r>
          </w:p>
        </w:tc>
      </w:tr>
      <w:tr w14:paraId="68EA7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 w:hRule="atLeast"/>
          <w:jc w:val="center"/>
        </w:trPr>
        <w:tc>
          <w:tcPr>
            <w:tcW w:w="2248" w:type="dxa"/>
            <w:gridSpan w:val="3"/>
            <w:tcBorders>
              <w:top w:val="single" w:color="auto" w:sz="4" w:space="0"/>
              <w:left w:val="single" w:color="auto" w:sz="4" w:space="0"/>
              <w:bottom w:val="single" w:color="auto" w:sz="4" w:space="0"/>
              <w:right w:val="single" w:color="auto" w:sz="4" w:space="0"/>
            </w:tcBorders>
            <w:noWrap w:val="0"/>
            <w:vAlign w:val="center"/>
          </w:tcPr>
          <w:p w14:paraId="245DCA26">
            <w:pPr>
              <w:keepNext w:val="0"/>
              <w:keepLines w:val="0"/>
              <w:suppressLineNumbers w:val="0"/>
              <w:wordWrap w:val="0"/>
              <w:spacing w:before="0" w:beforeAutospacing="0" w:after="0" w:afterAutospacing="0" w:line="360" w:lineRule="auto"/>
              <w:ind w:left="0" w:right="0"/>
              <w:rPr>
                <w:rFonts w:hint="eastAsia" w:ascii="宋体" w:hAnsi="宋体" w:eastAsia="宋体" w:cs="宋体"/>
                <w:b/>
                <w:color w:val="auto"/>
                <w:sz w:val="21"/>
                <w:szCs w:val="21"/>
                <w:highlight w:val="none"/>
                <w:lang w:eastAsia="zh-CN"/>
              </w:rPr>
            </w:pPr>
            <w:r>
              <w:rPr>
                <w:rFonts w:hint="eastAsia" w:ascii="宋体" w:hAnsi="宋体" w:cs="宋体"/>
                <w:b/>
                <w:color w:val="auto"/>
                <w:sz w:val="21"/>
                <w:szCs w:val="21"/>
                <w:highlight w:val="none"/>
                <w:lang w:eastAsia="zh-CN"/>
              </w:rPr>
              <w:t>具体验收事项</w:t>
            </w:r>
          </w:p>
        </w:tc>
        <w:tc>
          <w:tcPr>
            <w:tcW w:w="7097" w:type="dxa"/>
            <w:gridSpan w:val="2"/>
            <w:tcBorders>
              <w:top w:val="single" w:color="auto" w:sz="4" w:space="0"/>
              <w:left w:val="single" w:color="auto" w:sz="4" w:space="0"/>
              <w:bottom w:val="single" w:color="auto" w:sz="4" w:space="0"/>
              <w:right w:val="single" w:color="auto" w:sz="4" w:space="0"/>
            </w:tcBorders>
            <w:noWrap w:val="0"/>
            <w:vAlign w:val="center"/>
          </w:tcPr>
          <w:p w14:paraId="76D704D3">
            <w:pPr>
              <w:keepNext w:val="0"/>
              <w:keepLines w:val="0"/>
              <w:suppressLineNumbers w:val="0"/>
              <w:tabs>
                <w:tab w:val="center" w:pos="4153"/>
                <w:tab w:val="right" w:pos="8306"/>
              </w:tabs>
              <w:wordWrap/>
              <w:spacing w:before="0" w:beforeAutospacing="0" w:after="0" w:afterAutospacing="0" w:line="360" w:lineRule="auto"/>
              <w:ind w:left="0" w:right="0" w:firstLine="0" w:firstLineChars="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1.验收内容包括</w:t>
            </w:r>
            <w:r>
              <w:rPr>
                <w:rFonts w:hint="eastAsia" w:ascii="宋体" w:hAnsi="宋体" w:eastAsia="宋体" w:cs="宋体"/>
                <w:color w:val="auto"/>
                <w:sz w:val="21"/>
                <w:szCs w:val="21"/>
                <w:highlight w:val="none"/>
              </w:rPr>
              <w:t>项目建设总体完成情况</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项目资金到位及使用情况</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施工和设备到位情况</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竣工财务决算情况</w:t>
            </w:r>
            <w:r>
              <w:rPr>
                <w:rFonts w:hint="eastAsia" w:ascii="宋体" w:hAnsi="宋体" w:eastAsia="宋体" w:cs="宋体"/>
                <w:color w:val="auto"/>
                <w:sz w:val="21"/>
                <w:szCs w:val="21"/>
                <w:highlight w:val="none"/>
                <w:lang w:eastAsia="zh-CN"/>
              </w:rPr>
              <w:t>等。</w:t>
            </w:r>
          </w:p>
          <w:p w14:paraId="6BA5961E">
            <w:pPr>
              <w:keepNext w:val="0"/>
              <w:keepLines w:val="0"/>
              <w:suppressLineNumbers w:val="0"/>
              <w:tabs>
                <w:tab w:val="center" w:pos="4153"/>
                <w:tab w:val="right" w:pos="8306"/>
              </w:tabs>
              <w:wordWrap/>
              <w:spacing w:before="0" w:beforeAutospacing="0" w:after="0" w:afterAutospacing="0" w:line="360" w:lineRule="auto"/>
              <w:ind w:left="0" w:right="0" w:firstLine="0" w:firstLineChars="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2.验收程序：</w:t>
            </w:r>
            <w:r>
              <w:rPr>
                <w:rFonts w:hint="eastAsia" w:ascii="宋体" w:hAnsi="宋体" w:eastAsia="宋体" w:cs="宋体"/>
                <w:color w:val="auto"/>
                <w:sz w:val="21"/>
                <w:szCs w:val="21"/>
                <w:highlight w:val="none"/>
              </w:rPr>
              <w:t>初步验收之前，由</w:t>
            </w:r>
            <w:r>
              <w:rPr>
                <w:rFonts w:hint="eastAsia" w:ascii="宋体" w:hAnsi="宋体" w:eastAsia="宋体" w:cs="宋体"/>
                <w:color w:val="auto"/>
                <w:sz w:val="21"/>
                <w:szCs w:val="21"/>
                <w:highlight w:val="none"/>
                <w:lang w:eastAsia="zh-CN"/>
              </w:rPr>
              <w:t>实施单位</w:t>
            </w:r>
            <w:r>
              <w:rPr>
                <w:rFonts w:hint="eastAsia" w:ascii="宋体" w:hAnsi="宋体" w:eastAsia="宋体" w:cs="宋体"/>
                <w:color w:val="auto"/>
                <w:sz w:val="21"/>
                <w:szCs w:val="21"/>
                <w:highlight w:val="none"/>
              </w:rPr>
              <w:t>按照规定，整理好文件、技术资料，向管理处提出交工报告。</w:t>
            </w:r>
            <w:r>
              <w:rPr>
                <w:rFonts w:hint="eastAsia" w:ascii="宋体" w:hAnsi="宋体" w:eastAsia="宋体" w:cs="宋体"/>
                <w:color w:val="auto"/>
                <w:sz w:val="21"/>
                <w:szCs w:val="21"/>
                <w:highlight w:val="none"/>
                <w:lang w:val="en-US" w:eastAsia="zh-CN"/>
              </w:rPr>
              <w:t>管理处组织初步验收，合格后再向主管局申请竣工验收。主管局在规定时间内组织竣工验收组开展竣工验收，</w:t>
            </w:r>
            <w:r>
              <w:rPr>
                <w:rFonts w:hint="eastAsia" w:ascii="宋体" w:hAnsi="宋体" w:eastAsia="宋体" w:cs="宋体"/>
                <w:color w:val="auto"/>
                <w:sz w:val="21"/>
                <w:szCs w:val="21"/>
                <w:highlight w:val="none"/>
              </w:rPr>
              <w:t>验收组听取项目建设工作汇报，查阅工程档案、财务账目</w:t>
            </w:r>
            <w:r>
              <w:rPr>
                <w:rFonts w:hint="eastAsia" w:ascii="宋体" w:hAnsi="宋体" w:eastAsia="宋体" w:cs="宋体"/>
                <w:color w:val="auto"/>
                <w:sz w:val="21"/>
                <w:szCs w:val="21"/>
                <w:highlight w:val="none"/>
                <w:lang w:eastAsia="zh-CN"/>
              </w:rPr>
              <w:t>等</w:t>
            </w:r>
            <w:r>
              <w:rPr>
                <w:rFonts w:hint="eastAsia" w:ascii="宋体" w:hAnsi="宋体" w:eastAsia="宋体" w:cs="宋体"/>
                <w:color w:val="auto"/>
                <w:sz w:val="21"/>
                <w:szCs w:val="21"/>
                <w:highlight w:val="none"/>
              </w:rPr>
              <w:t>，实地查验建设情况，对项目质量和资金使用等方面做出全面评价，形成竣工验收意见。对验收合格的项目进行批复，对不符合竣工验收要求的不予验收，提出整改要求，限期整改</w:t>
            </w:r>
            <w:r>
              <w:rPr>
                <w:rFonts w:hint="eastAsia" w:ascii="宋体" w:hAnsi="宋体" w:eastAsia="宋体" w:cs="宋体"/>
                <w:color w:val="auto"/>
                <w:sz w:val="21"/>
                <w:szCs w:val="21"/>
                <w:highlight w:val="none"/>
                <w:lang w:val="en-US" w:eastAsia="zh-CN"/>
              </w:rPr>
              <w:t>。</w:t>
            </w:r>
          </w:p>
        </w:tc>
      </w:tr>
      <w:tr w14:paraId="529BC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 w:hRule="atLeast"/>
          <w:jc w:val="center"/>
        </w:trPr>
        <w:tc>
          <w:tcPr>
            <w:tcW w:w="2248" w:type="dxa"/>
            <w:gridSpan w:val="3"/>
            <w:tcBorders>
              <w:top w:val="single" w:color="auto" w:sz="4" w:space="0"/>
              <w:left w:val="single" w:color="auto" w:sz="4" w:space="0"/>
              <w:bottom w:val="single" w:color="auto" w:sz="4" w:space="0"/>
              <w:right w:val="single" w:color="auto" w:sz="4" w:space="0"/>
            </w:tcBorders>
            <w:noWrap w:val="0"/>
            <w:vAlign w:val="center"/>
          </w:tcPr>
          <w:p w14:paraId="5BB64857">
            <w:pPr>
              <w:keepNext w:val="0"/>
              <w:keepLines w:val="0"/>
              <w:suppressLineNumbers w:val="0"/>
              <w:wordWrap w:val="0"/>
              <w:spacing w:before="0" w:beforeAutospacing="0" w:after="0" w:afterAutospacing="0" w:line="360" w:lineRule="auto"/>
              <w:ind w:left="0" w:right="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履约验收其他事项</w:t>
            </w:r>
          </w:p>
        </w:tc>
        <w:tc>
          <w:tcPr>
            <w:tcW w:w="7097" w:type="dxa"/>
            <w:gridSpan w:val="2"/>
            <w:tcBorders>
              <w:top w:val="single" w:color="auto" w:sz="4" w:space="0"/>
              <w:left w:val="single" w:color="auto" w:sz="4" w:space="0"/>
              <w:bottom w:val="single" w:color="auto" w:sz="4" w:space="0"/>
              <w:right w:val="single" w:color="auto" w:sz="4" w:space="0"/>
            </w:tcBorders>
            <w:noWrap w:val="0"/>
            <w:vAlign w:val="center"/>
          </w:tcPr>
          <w:p w14:paraId="381CC1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1.验收过程中所产生的一切费用均由成交供应商承担。报价时应考虑相关费用。</w:t>
            </w:r>
          </w:p>
          <w:p w14:paraId="36017E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2.采购人保留对成交供应商所提供产品、服务进行全面</w:t>
            </w:r>
            <w:r>
              <w:rPr>
                <w:rFonts w:hint="eastAsia" w:ascii="宋体" w:hAnsi="宋体" w:eastAsia="宋体" w:cs="宋体"/>
                <w:b w:val="0"/>
                <w:bCs/>
                <w:color w:val="auto"/>
                <w:sz w:val="21"/>
                <w:szCs w:val="21"/>
                <w:highlight w:val="none"/>
                <w:lang w:val="en-US" w:eastAsia="zh-CN"/>
              </w:rPr>
              <w:t>验收</w:t>
            </w:r>
            <w:r>
              <w:rPr>
                <w:rFonts w:hint="eastAsia" w:ascii="宋体" w:hAnsi="宋体" w:eastAsia="宋体" w:cs="宋体"/>
                <w:b w:val="0"/>
                <w:bCs/>
                <w:color w:val="auto"/>
                <w:sz w:val="21"/>
                <w:szCs w:val="21"/>
                <w:highlight w:val="none"/>
                <w:lang w:eastAsia="zh-CN"/>
              </w:rPr>
              <w:t>的权利，如有虚假应标及不满足竞争性磋商文件及响应文件要求的，则视为成交供应商违约，成交供应商承担所有责任和费用，采购人保留进一步追究责任的权利。</w:t>
            </w:r>
          </w:p>
          <w:p w14:paraId="7B10EE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3.验收时，成交供应商需向采购人提供完整的技术资料。</w:t>
            </w:r>
          </w:p>
          <w:p w14:paraId="7B691A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宋体" w:hAnsi="宋体" w:eastAsia="宋体" w:cs="宋体"/>
                <w:color w:val="auto"/>
                <w:sz w:val="21"/>
                <w:szCs w:val="21"/>
                <w:highlight w:val="none"/>
              </w:rPr>
            </w:pPr>
            <w:r>
              <w:rPr>
                <w:rFonts w:hint="eastAsia" w:ascii="宋体" w:hAnsi="宋体" w:eastAsia="宋体" w:cs="宋体"/>
                <w:b w:val="0"/>
                <w:bCs/>
                <w:color w:val="auto"/>
                <w:sz w:val="21"/>
                <w:szCs w:val="21"/>
                <w:highlight w:val="none"/>
                <w:lang w:eastAsia="zh-CN"/>
              </w:rPr>
              <w:t>4.验收依据：竞争性磋商文件、响应文件以及国家和行业验收规范要求及合同中的相关条款。</w:t>
            </w:r>
          </w:p>
        </w:tc>
      </w:tr>
      <w:tr w14:paraId="78585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 w:hRule="atLeast"/>
          <w:jc w:val="center"/>
        </w:trPr>
        <w:tc>
          <w:tcPr>
            <w:tcW w:w="2248" w:type="dxa"/>
            <w:gridSpan w:val="3"/>
            <w:tcBorders>
              <w:top w:val="single" w:color="auto" w:sz="4" w:space="0"/>
              <w:left w:val="single" w:color="auto" w:sz="4" w:space="0"/>
              <w:bottom w:val="single" w:color="auto" w:sz="4" w:space="0"/>
              <w:right w:val="single" w:color="auto" w:sz="4" w:space="0"/>
            </w:tcBorders>
            <w:noWrap w:val="0"/>
            <w:vAlign w:val="center"/>
          </w:tcPr>
          <w:p w14:paraId="1BDEB8C9">
            <w:pPr>
              <w:keepNext w:val="0"/>
              <w:keepLines w:val="0"/>
              <w:suppressLineNumbers w:val="0"/>
              <w:wordWrap w:val="0"/>
              <w:spacing w:before="0" w:beforeAutospacing="0" w:after="0" w:afterAutospacing="0" w:line="360" w:lineRule="auto"/>
              <w:ind w:left="0" w:right="0"/>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eastAsia="zh-CN"/>
              </w:rPr>
              <w:t>售后服务要求</w:t>
            </w:r>
          </w:p>
        </w:tc>
        <w:tc>
          <w:tcPr>
            <w:tcW w:w="7097" w:type="dxa"/>
            <w:gridSpan w:val="2"/>
            <w:tcBorders>
              <w:top w:val="single" w:color="auto" w:sz="4" w:space="0"/>
              <w:left w:val="single" w:color="auto" w:sz="4" w:space="0"/>
              <w:bottom w:val="single" w:color="auto" w:sz="4" w:space="0"/>
              <w:right w:val="single" w:color="auto" w:sz="4" w:space="0"/>
            </w:tcBorders>
            <w:noWrap w:val="0"/>
            <w:vAlign w:val="top"/>
          </w:tcPr>
          <w:p w14:paraId="0D096B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1.供应商应设立专职技术服务团队，提供专业技术支持热线，并确保在接到采购人请求后4小时内响应，2个工作日内解决一般问题；对重大影响业务的问题，须2小时内响应并启动应急预案。</w:t>
            </w:r>
          </w:p>
          <w:p w14:paraId="2E75AD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2.项目通过验收后，所有交付成果的相关技术文档、图集等资料须完整归档并移交采购人。</w:t>
            </w:r>
          </w:p>
        </w:tc>
      </w:tr>
    </w:tbl>
    <w:p w14:paraId="71EFA8DE">
      <w:pPr>
        <w:rPr>
          <w:rFonts w:hint="eastAsia"/>
          <w:color w:val="auto"/>
          <w:highlight w:val="none"/>
        </w:rPr>
      </w:pPr>
      <w:r>
        <w:rPr>
          <w:rFonts w:hint="eastAsia"/>
          <w:color w:val="auto"/>
          <w:highlight w:val="none"/>
        </w:rPr>
        <w:br w:type="page"/>
      </w:r>
    </w:p>
    <w:p w14:paraId="07101706">
      <w:pPr>
        <w:pStyle w:val="2"/>
        <w:rPr>
          <w:color w:val="auto"/>
          <w:highlight w:val="none"/>
        </w:rPr>
      </w:pPr>
      <w:r>
        <w:rPr>
          <w:rFonts w:hint="eastAsia"/>
          <w:color w:val="auto"/>
          <w:highlight w:val="none"/>
        </w:rPr>
        <w:t>第四章 评审办法</w:t>
      </w:r>
      <w:bookmarkEnd w:id="140"/>
    </w:p>
    <w:p w14:paraId="0C8FA5B9">
      <w:pPr>
        <w:spacing w:line="400" w:lineRule="exact"/>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一、评审依据及方式</w:t>
      </w:r>
    </w:p>
    <w:p w14:paraId="3BFD59DD">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 评审依据：磋商小组以磋商文件和响应文件为评标依据，对磋</w:t>
      </w:r>
      <w:r>
        <w:rPr>
          <w:rFonts w:hint="eastAsia" w:ascii="宋体" w:hAnsi="宋体" w:cs="宋体"/>
          <w:b w:val="0"/>
          <w:bCs w:val="0"/>
          <w:color w:val="auto"/>
          <w:szCs w:val="21"/>
          <w:highlight w:val="none"/>
        </w:rPr>
        <w:t>商供应商的磋商报价、</w:t>
      </w:r>
      <w:r>
        <w:rPr>
          <w:rFonts w:hint="eastAsia" w:hAnsi="宋体" w:cs="宋体"/>
          <w:b w:val="0"/>
          <w:bCs w:val="0"/>
          <w:color w:val="auto"/>
          <w:szCs w:val="21"/>
          <w:highlight w:val="none"/>
          <w:lang w:val="en-US" w:eastAsia="zh-CN"/>
        </w:rPr>
        <w:t>技术</w:t>
      </w:r>
      <w:r>
        <w:rPr>
          <w:rFonts w:hint="eastAsia" w:hAnsi="宋体" w:cs="宋体"/>
          <w:b w:val="0"/>
          <w:bCs w:val="0"/>
          <w:color w:val="auto"/>
          <w:szCs w:val="21"/>
          <w:highlight w:val="none"/>
          <w:lang w:eastAsia="zh-CN"/>
        </w:rPr>
        <w:t>、商务</w:t>
      </w:r>
      <w:r>
        <w:rPr>
          <w:rFonts w:hint="eastAsia" w:ascii="宋体" w:hAnsi="宋体" w:cs="宋体"/>
          <w:b w:val="0"/>
          <w:bCs w:val="0"/>
          <w:color w:val="auto"/>
          <w:szCs w:val="21"/>
          <w:highlight w:val="none"/>
        </w:rPr>
        <w:t>等几个方面内</w:t>
      </w:r>
      <w:r>
        <w:rPr>
          <w:rFonts w:hint="eastAsia" w:ascii="宋体" w:hAnsi="宋体" w:cs="宋体"/>
          <w:color w:val="auto"/>
          <w:szCs w:val="21"/>
          <w:highlight w:val="none"/>
        </w:rPr>
        <w:t>容按百分制打分。</w:t>
      </w:r>
    </w:p>
    <w:p w14:paraId="6C6FF0B9">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 评审方式：以封闭方式进行评标。</w:t>
      </w:r>
    </w:p>
    <w:p w14:paraId="433E876F">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 采购人和采购代理机构、磋商小组成员要严格遵守政府采购相关法律制度，依法履行各自职责，公正、客观、审慎地组织和参与评审工作。</w:t>
      </w:r>
    </w:p>
    <w:p w14:paraId="7D26C284">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二、评审办法</w:t>
      </w:r>
    </w:p>
    <w:p w14:paraId="3868A9C0">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（一）对进入详评的，采用综合评分法。</w:t>
      </w:r>
    </w:p>
    <w:p w14:paraId="1FBA850B">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（二）计分办法（按四舍五入取至小数点后二位）</w:t>
      </w:r>
    </w:p>
    <w:p w14:paraId="33B54133">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（三）</w:t>
      </w:r>
      <w:r>
        <w:rPr>
          <w:rFonts w:hint="eastAsia" w:ascii="宋体" w:hAnsi="宋体" w:eastAsia="宋体" w:cs="宋体"/>
          <w:color w:val="auto"/>
          <w:szCs w:val="21"/>
          <w:highlight w:val="none"/>
        </w:rPr>
        <w:t>磋商小组将以磋商响应文件为评审依据，对供应商的报价、技术、服务、商务等方面内容按百分制打分。（计分方法按四舍五入取至百分位）</w:t>
      </w:r>
    </w:p>
    <w:p w14:paraId="4DD109C0">
      <w:pPr>
        <w:wordWrap w:val="0"/>
        <w:adjustRightInd w:val="0"/>
        <w:spacing w:line="360" w:lineRule="exact"/>
        <w:ind w:firstLine="422" w:firstLineChars="200"/>
        <w:jc w:val="left"/>
        <w:outlineLvl w:val="1"/>
        <w:rPr>
          <w:rFonts w:hint="eastAsia" w:ascii="宋体" w:hAnsi="宋体" w:cs="宋体"/>
          <w:color w:val="auto"/>
          <w:szCs w:val="21"/>
          <w:highlight w:val="none"/>
        </w:rPr>
      </w:pPr>
      <w:r>
        <w:rPr>
          <w:rFonts w:hint="eastAsia" w:ascii="宋体" w:hAnsi="宋体" w:cs="宋体"/>
          <w:b/>
          <w:bCs/>
          <w:color w:val="auto"/>
          <w:kern w:val="0"/>
          <w:szCs w:val="21"/>
          <w:highlight w:val="none"/>
          <w:lang w:val="en-US" w:eastAsia="zh-CN"/>
        </w:rPr>
        <w:t>A分标：</w:t>
      </w:r>
    </w:p>
    <w:tbl>
      <w:tblPr>
        <w:tblStyle w:val="25"/>
        <w:tblW w:w="103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1451"/>
        <w:gridCol w:w="1534"/>
        <w:gridCol w:w="6444"/>
      </w:tblGrid>
      <w:tr w14:paraId="0AE7B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900" w:type="dxa"/>
            <w:noWrap w:val="0"/>
            <w:vAlign w:val="center"/>
          </w:tcPr>
          <w:p w14:paraId="095BDFF9">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b/>
                <w:bCs/>
                <w:color w:val="auto"/>
                <w:spacing w:val="4"/>
                <w:sz w:val="21"/>
                <w:szCs w:val="21"/>
                <w:highlight w:val="none"/>
              </w:rPr>
              <w:t>序号</w:t>
            </w:r>
          </w:p>
        </w:tc>
        <w:tc>
          <w:tcPr>
            <w:tcW w:w="1451" w:type="dxa"/>
            <w:noWrap w:val="0"/>
            <w:vAlign w:val="center"/>
          </w:tcPr>
          <w:p w14:paraId="2E38991B">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both"/>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b/>
                <w:bCs/>
                <w:color w:val="auto"/>
                <w:spacing w:val="6"/>
                <w:sz w:val="21"/>
                <w:szCs w:val="21"/>
                <w:highlight w:val="none"/>
              </w:rPr>
              <w:t>评审项目</w:t>
            </w:r>
          </w:p>
        </w:tc>
        <w:tc>
          <w:tcPr>
            <w:tcW w:w="1534" w:type="dxa"/>
            <w:noWrap w:val="0"/>
            <w:vAlign w:val="center"/>
          </w:tcPr>
          <w:p w14:paraId="4BE955BE">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b/>
                <w:bCs/>
                <w:color w:val="auto"/>
                <w:spacing w:val="6"/>
                <w:sz w:val="21"/>
                <w:szCs w:val="21"/>
                <w:highlight w:val="none"/>
              </w:rPr>
              <w:t>评分因素</w:t>
            </w:r>
          </w:p>
        </w:tc>
        <w:tc>
          <w:tcPr>
            <w:tcW w:w="6444" w:type="dxa"/>
            <w:noWrap w:val="0"/>
            <w:vAlign w:val="center"/>
          </w:tcPr>
          <w:p w14:paraId="7D1C983E">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b/>
                <w:bCs/>
                <w:color w:val="auto"/>
                <w:spacing w:val="6"/>
                <w:sz w:val="21"/>
                <w:szCs w:val="21"/>
                <w:highlight w:val="none"/>
              </w:rPr>
              <w:t>评分标准</w:t>
            </w:r>
          </w:p>
        </w:tc>
      </w:tr>
      <w:tr w14:paraId="60EA8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center"/>
          </w:tcPr>
          <w:p w14:paraId="632EEDCC">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1</w:t>
            </w:r>
          </w:p>
        </w:tc>
        <w:tc>
          <w:tcPr>
            <w:tcW w:w="1451" w:type="dxa"/>
            <w:noWrap w:val="0"/>
            <w:vAlign w:val="center"/>
          </w:tcPr>
          <w:p w14:paraId="222B33BC">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r>
              <w:rPr>
                <w:rFonts w:hint="eastAsia" w:ascii="宋体" w:hAnsi="宋体" w:eastAsia="宋体" w:cs="宋体"/>
                <w:b/>
                <w:bCs/>
                <w:color w:val="auto"/>
                <w:spacing w:val="4"/>
                <w:sz w:val="21"/>
                <w:szCs w:val="21"/>
                <w:highlight w:val="none"/>
              </w:rPr>
              <w:t>价格分（满分10分）</w:t>
            </w:r>
          </w:p>
        </w:tc>
        <w:tc>
          <w:tcPr>
            <w:tcW w:w="1534" w:type="dxa"/>
            <w:noWrap w:val="0"/>
            <w:vAlign w:val="center"/>
          </w:tcPr>
          <w:p w14:paraId="2828C1B9">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r>
              <w:rPr>
                <w:rFonts w:hint="eastAsia" w:ascii="宋体" w:hAnsi="宋体" w:eastAsia="宋体" w:cs="宋体"/>
                <w:b/>
                <w:bCs/>
                <w:color w:val="auto"/>
                <w:spacing w:val="4"/>
                <w:sz w:val="21"/>
                <w:szCs w:val="21"/>
                <w:highlight w:val="none"/>
              </w:rPr>
              <w:t>响应报价（满分10 分）</w:t>
            </w:r>
          </w:p>
        </w:tc>
        <w:tc>
          <w:tcPr>
            <w:tcW w:w="6444" w:type="dxa"/>
            <w:noWrap w:val="0"/>
            <w:vAlign w:val="center"/>
          </w:tcPr>
          <w:p w14:paraId="79445BAF">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（1）评审价为供应商的最后报价进行政策性扣除后的价格，评审价只是作为评审时使用。最终成交供应商的成交金额等于最后报价（如有修正，以确认修正后的最后报价为准）。</w:t>
            </w:r>
          </w:p>
          <w:p w14:paraId="2595A24E">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（2）中小企业政策性扣除计算方法</w:t>
            </w:r>
          </w:p>
          <w:p w14:paraId="02D06A5D">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根据《政府采购促进中小企业发展管理办法》（财库〔2020〕46号）及《广西壮族自治区财政厅关于持续优化政府采购营商环境推动高质量发展的通知》（桂财采〔2024〕55号）的规定，供应商在其响应文件中提供《中小企业声明函》，且服务全部由小微企业承接，对供应商的竞标报价给予</w:t>
            </w:r>
            <w:r>
              <w:rPr>
                <w:rFonts w:hint="eastAsia" w:cs="宋体"/>
                <w:b w:val="0"/>
                <w:bCs w:val="0"/>
                <w:color w:val="auto"/>
                <w:spacing w:val="3"/>
                <w:sz w:val="21"/>
                <w:szCs w:val="21"/>
                <w:highlight w:val="none"/>
                <w:lang w:eastAsia="zh-CN"/>
              </w:rPr>
              <w:t>20%</w:t>
            </w:r>
            <w:r>
              <w:rPr>
                <w:rFonts w:hint="eastAsia" w:ascii="宋体" w:hAnsi="宋体" w:eastAsia="宋体" w:cs="宋体"/>
                <w:b w:val="0"/>
                <w:bCs w:val="0"/>
                <w:color w:val="auto"/>
                <w:spacing w:val="3"/>
                <w:sz w:val="21"/>
                <w:szCs w:val="21"/>
                <w:highlight w:val="none"/>
              </w:rPr>
              <w:t>的扣除，扣除后的价格为评审价，即中小企业折扣=竞标报价×</w:t>
            </w:r>
            <w:r>
              <w:rPr>
                <w:rFonts w:hint="eastAsia" w:cs="宋体"/>
                <w:b w:val="0"/>
                <w:bCs w:val="0"/>
                <w:color w:val="auto"/>
                <w:spacing w:val="3"/>
                <w:sz w:val="21"/>
                <w:szCs w:val="21"/>
                <w:highlight w:val="none"/>
                <w:lang w:eastAsia="zh-CN"/>
              </w:rPr>
              <w:t>20%</w:t>
            </w:r>
            <w:r>
              <w:rPr>
                <w:rFonts w:hint="eastAsia" w:ascii="宋体" w:hAnsi="宋体" w:eastAsia="宋体" w:cs="宋体"/>
                <w:b w:val="0"/>
                <w:bCs w:val="0"/>
                <w:color w:val="auto"/>
                <w:spacing w:val="3"/>
                <w:sz w:val="21"/>
                <w:szCs w:val="21"/>
                <w:highlight w:val="none"/>
              </w:rPr>
              <w:t xml:space="preserve">。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 </w:t>
            </w:r>
            <w:r>
              <w:rPr>
                <w:rFonts w:hint="eastAsia" w:cs="宋体"/>
                <w:b w:val="0"/>
                <w:bCs w:val="0"/>
                <w:color w:val="auto"/>
                <w:spacing w:val="3"/>
                <w:sz w:val="21"/>
                <w:szCs w:val="21"/>
                <w:highlight w:val="none"/>
                <w:lang w:eastAsia="zh-CN"/>
              </w:rPr>
              <w:t>6%</w:t>
            </w:r>
            <w:r>
              <w:rPr>
                <w:rFonts w:hint="eastAsia" w:ascii="宋体" w:hAnsi="宋体" w:eastAsia="宋体" w:cs="宋体"/>
                <w:b w:val="0"/>
                <w:bCs w:val="0"/>
                <w:color w:val="auto"/>
                <w:spacing w:val="3"/>
                <w:sz w:val="21"/>
                <w:szCs w:val="21"/>
                <w:highlight w:val="none"/>
              </w:rPr>
              <w:t>的扣除，用扣除后的价格参加评审，扣除后的价格为评审价，即中小企业折扣=竞标报价×</w:t>
            </w:r>
            <w:r>
              <w:rPr>
                <w:rFonts w:hint="eastAsia" w:cs="宋体"/>
                <w:b w:val="0"/>
                <w:bCs w:val="0"/>
                <w:color w:val="auto"/>
                <w:spacing w:val="3"/>
                <w:sz w:val="21"/>
                <w:szCs w:val="21"/>
                <w:highlight w:val="none"/>
                <w:lang w:eastAsia="zh-CN"/>
              </w:rPr>
              <w:t>6%</w:t>
            </w:r>
            <w:r>
              <w:rPr>
                <w:rFonts w:hint="eastAsia" w:ascii="宋体" w:hAnsi="宋体" w:eastAsia="宋体" w:cs="宋体"/>
                <w:b w:val="0"/>
                <w:bCs w:val="0"/>
                <w:color w:val="auto"/>
                <w:spacing w:val="3"/>
                <w:sz w:val="21"/>
                <w:szCs w:val="21"/>
                <w:highlight w:val="none"/>
              </w:rPr>
              <w:t>。</w:t>
            </w:r>
          </w:p>
          <w:p w14:paraId="3B024F82">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189B06B0">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446FB54D">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（5）本国产品政策性扣除计算方法。</w:t>
            </w:r>
          </w:p>
          <w:p w14:paraId="5A129D3F">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本项目服务不属于本国产品标准的适用范围，供应商均无本国产品价格扣除。</w:t>
            </w:r>
          </w:p>
          <w:p w14:paraId="4A3B58A0">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（6）满足采购文件要求且评标报价最低的评标报价为评标基准价，其价格分为满分。</w:t>
            </w:r>
          </w:p>
          <w:p w14:paraId="7A3E9ADA">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（7）价格分计算公式：</w:t>
            </w:r>
          </w:p>
          <w:p w14:paraId="7066D12B">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both"/>
              <w:textAlignment w:val="auto"/>
              <w:rPr>
                <w:rFonts w:hint="eastAsia" w:ascii="宋体" w:hAnsi="宋体" w:eastAsia="宋体" w:cs="宋体"/>
                <w:b/>
                <w:bCs/>
                <w:color w:val="auto"/>
                <w:spacing w:val="3"/>
                <w:sz w:val="21"/>
                <w:szCs w:val="21"/>
                <w:highlight w:val="none"/>
              </w:rPr>
            </w:pPr>
            <w:r>
              <w:rPr>
                <w:rFonts w:hint="eastAsia" w:ascii="宋体" w:hAnsi="宋体" w:eastAsia="宋体" w:cs="宋体"/>
                <w:b w:val="0"/>
                <w:bCs w:val="0"/>
                <w:color w:val="auto"/>
                <w:spacing w:val="3"/>
                <w:sz w:val="21"/>
                <w:szCs w:val="21"/>
                <w:highlight w:val="none"/>
              </w:rPr>
              <w:t>价格分=（评标基准价／评标报价）×10 分</w:t>
            </w:r>
          </w:p>
        </w:tc>
      </w:tr>
      <w:tr w14:paraId="6F63F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restart"/>
            <w:noWrap w:val="0"/>
            <w:vAlign w:val="center"/>
          </w:tcPr>
          <w:p w14:paraId="1A95AE20">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2</w:t>
            </w:r>
          </w:p>
        </w:tc>
        <w:tc>
          <w:tcPr>
            <w:tcW w:w="1451" w:type="dxa"/>
            <w:vMerge w:val="restart"/>
            <w:noWrap w:val="0"/>
            <w:vAlign w:val="center"/>
          </w:tcPr>
          <w:p w14:paraId="68752677">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r>
              <w:rPr>
                <w:rFonts w:hint="eastAsia" w:ascii="宋体" w:hAnsi="宋体" w:eastAsia="宋体" w:cs="宋体"/>
                <w:b/>
                <w:bCs/>
                <w:color w:val="auto"/>
                <w:spacing w:val="4"/>
                <w:sz w:val="21"/>
                <w:szCs w:val="21"/>
                <w:highlight w:val="none"/>
                <w:lang w:val="en-US" w:eastAsia="zh-CN"/>
              </w:rPr>
              <w:t>技术</w:t>
            </w:r>
            <w:r>
              <w:rPr>
                <w:rFonts w:hint="eastAsia" w:ascii="宋体" w:hAnsi="宋体" w:eastAsia="宋体" w:cs="宋体"/>
                <w:b/>
                <w:bCs/>
                <w:color w:val="auto"/>
                <w:spacing w:val="4"/>
                <w:sz w:val="21"/>
                <w:szCs w:val="21"/>
                <w:highlight w:val="none"/>
              </w:rPr>
              <w:t>分（满分</w:t>
            </w:r>
            <w:r>
              <w:rPr>
                <w:rFonts w:hint="eastAsia" w:cs="宋体"/>
                <w:b/>
                <w:bCs/>
                <w:color w:val="auto"/>
                <w:spacing w:val="4"/>
                <w:sz w:val="21"/>
                <w:szCs w:val="21"/>
                <w:highlight w:val="none"/>
                <w:lang w:val="en-US" w:eastAsia="zh-CN"/>
              </w:rPr>
              <w:t>65</w:t>
            </w:r>
            <w:r>
              <w:rPr>
                <w:rFonts w:hint="eastAsia" w:ascii="宋体" w:hAnsi="宋体" w:eastAsia="宋体" w:cs="宋体"/>
                <w:b/>
                <w:bCs/>
                <w:color w:val="auto"/>
                <w:spacing w:val="4"/>
                <w:sz w:val="21"/>
                <w:szCs w:val="21"/>
                <w:highlight w:val="none"/>
              </w:rPr>
              <w:t>分）</w:t>
            </w:r>
          </w:p>
        </w:tc>
        <w:tc>
          <w:tcPr>
            <w:tcW w:w="1534" w:type="dxa"/>
            <w:noWrap w:val="0"/>
            <w:vAlign w:val="center"/>
          </w:tcPr>
          <w:p w14:paraId="74B19E83">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2.1特种救护实施方案（满分</w:t>
            </w:r>
            <w:r>
              <w:rPr>
                <w:rFonts w:hint="eastAsia" w:cs="宋体"/>
                <w:b/>
                <w:bCs/>
                <w:color w:val="auto"/>
                <w:spacing w:val="4"/>
                <w:sz w:val="21"/>
                <w:szCs w:val="21"/>
                <w:highlight w:val="none"/>
                <w:lang w:val="en-US" w:eastAsia="zh-CN"/>
              </w:rPr>
              <w:t>20</w:t>
            </w:r>
            <w:r>
              <w:rPr>
                <w:rFonts w:hint="eastAsia" w:ascii="宋体" w:hAnsi="宋体" w:eastAsia="宋体" w:cs="宋体"/>
                <w:b/>
                <w:bCs/>
                <w:color w:val="auto"/>
                <w:spacing w:val="4"/>
                <w:sz w:val="21"/>
                <w:szCs w:val="21"/>
                <w:highlight w:val="none"/>
                <w:lang w:val="en-US" w:eastAsia="zh-CN"/>
              </w:rPr>
              <w:t>分）</w:t>
            </w:r>
          </w:p>
        </w:tc>
        <w:tc>
          <w:tcPr>
            <w:tcW w:w="6444" w:type="dxa"/>
            <w:noWrap w:val="0"/>
            <w:vAlign w:val="center"/>
          </w:tcPr>
          <w:p w14:paraId="33180E10">
            <w:pPr>
              <w:pStyle w:val="56"/>
              <w:keepNext w:val="0"/>
              <w:keepLines w:val="0"/>
              <w:pageBreakBefore w:val="0"/>
              <w:widowControl w:val="0"/>
              <w:suppressLineNumbers w:val="0"/>
              <w:kinsoku/>
              <w:wordWrap/>
              <w:overflowPunct/>
              <w:topLinePunct w:val="0"/>
              <w:autoSpaceDE/>
              <w:autoSpaceDN/>
              <w:bidi w:val="0"/>
              <w:spacing w:before="2" w:beforeAutospacing="0" w:after="0" w:afterAutospacing="0" w:line="360" w:lineRule="exact"/>
              <w:ind w:left="12" w:leftChars="0" w:right="109" w:rightChars="0" w:firstLine="540" w:firstLineChars="0"/>
              <w:jc w:val="both"/>
              <w:textAlignment w:val="auto"/>
              <w:rPr>
                <w:rFonts w:hint="eastAsia" w:ascii="宋体" w:hAnsi="宋体" w:eastAsia="宋体" w:cs="宋体"/>
                <w:color w:val="auto"/>
                <w:spacing w:val="6"/>
                <w:kern w:val="2"/>
                <w:sz w:val="21"/>
                <w:szCs w:val="21"/>
                <w:highlight w:val="none"/>
                <w:lang w:val="en-US" w:eastAsia="zh-CN" w:bidi="ar-SA"/>
              </w:rPr>
            </w:pPr>
            <w:r>
              <w:rPr>
                <w:rFonts w:hint="eastAsia" w:ascii="宋体" w:hAnsi="宋体" w:eastAsia="宋体" w:cs="宋体"/>
                <w:color w:val="auto"/>
                <w:spacing w:val="6"/>
                <w:kern w:val="2"/>
                <w:sz w:val="21"/>
                <w:szCs w:val="21"/>
                <w:highlight w:val="none"/>
                <w:lang w:val="en-US" w:eastAsia="zh-CN" w:bidi="ar-SA"/>
              </w:rPr>
              <w:t>核心工作包含银杉种群专项救护、杜鹃种质园建设两大核心内容。磋商小组对各供应商提供的方案中项目背景、政策依据、救护工作范围、项目实施目标、花坪保护区现场基本情况、银杉种群救护专项技术要点、杜鹃种质园建设技术标准、现场实施管控、应急处置方案、全过程质量管控要求等内容的完整性、可行性、针对性、专业性进行综合评审，包含但不限于：①救护工作目的、范围、政策依据、实施原则；②专项技术路线与实施流程；③银杉救护、杜鹃种质园建设核心调查与实施内容；④现场作业方法、技术标准与管控要求；⑤人员设备配置、应急保障与质量管控体系，按档次独立打分：</w:t>
            </w:r>
          </w:p>
          <w:p w14:paraId="0EFFEBF1">
            <w:pPr>
              <w:pStyle w:val="56"/>
              <w:keepNext w:val="0"/>
              <w:keepLines w:val="0"/>
              <w:pageBreakBefore w:val="0"/>
              <w:widowControl w:val="0"/>
              <w:suppressLineNumbers w:val="0"/>
              <w:kinsoku/>
              <w:wordWrap/>
              <w:overflowPunct/>
              <w:topLinePunct w:val="0"/>
              <w:autoSpaceDE/>
              <w:autoSpaceDN/>
              <w:bidi w:val="0"/>
              <w:spacing w:before="2" w:beforeAutospacing="0" w:after="0" w:afterAutospacing="0" w:line="360" w:lineRule="exact"/>
              <w:ind w:left="10" w:leftChars="5" w:right="109" w:rightChars="0" w:firstLine="539" w:firstLineChars="243"/>
              <w:jc w:val="both"/>
              <w:textAlignment w:val="auto"/>
              <w:rPr>
                <w:rFonts w:hint="eastAsia" w:ascii="宋体" w:hAnsi="宋体" w:eastAsia="宋体" w:cs="宋体"/>
                <w:color w:val="auto"/>
                <w:spacing w:val="6"/>
                <w:kern w:val="2"/>
                <w:sz w:val="21"/>
                <w:szCs w:val="21"/>
                <w:highlight w:val="none"/>
                <w:lang w:val="en-US" w:eastAsia="zh-CN" w:bidi="ar-SA"/>
              </w:rPr>
            </w:pPr>
            <w:r>
              <w:rPr>
                <w:rFonts w:hint="eastAsia" w:ascii="宋体" w:hAnsi="宋体" w:eastAsia="宋体" w:cs="宋体"/>
                <w:color w:val="auto"/>
                <w:spacing w:val="6"/>
                <w:kern w:val="2"/>
                <w:sz w:val="21"/>
                <w:szCs w:val="21"/>
                <w:highlight w:val="none"/>
                <w:lang w:val="en-US" w:eastAsia="zh-CN" w:bidi="ar-SA"/>
              </w:rPr>
              <w:t>一档（</w:t>
            </w:r>
            <w:r>
              <w:rPr>
                <w:rFonts w:hint="eastAsia" w:cs="宋体"/>
                <w:color w:val="auto"/>
                <w:spacing w:val="6"/>
                <w:kern w:val="2"/>
                <w:sz w:val="21"/>
                <w:szCs w:val="21"/>
                <w:highlight w:val="none"/>
                <w:lang w:val="en-US" w:eastAsia="zh-CN" w:bidi="ar-SA"/>
              </w:rPr>
              <w:t>4</w:t>
            </w:r>
            <w:r>
              <w:rPr>
                <w:rFonts w:hint="eastAsia" w:ascii="宋体" w:hAnsi="宋体" w:eastAsia="宋体" w:cs="宋体"/>
                <w:color w:val="auto"/>
                <w:spacing w:val="6"/>
                <w:kern w:val="2"/>
                <w:sz w:val="21"/>
                <w:szCs w:val="21"/>
                <w:highlight w:val="none"/>
                <w:lang w:val="en-US" w:eastAsia="zh-CN" w:bidi="ar-SA"/>
              </w:rPr>
              <w:t>分）：五项评审因素仅有一项内容经评审合理、可行且贴合本项目花坪保护区特种救护专属工作需求，方案整体简略，针对性不足。</w:t>
            </w:r>
          </w:p>
          <w:p w14:paraId="58EC4D0F">
            <w:pPr>
              <w:pStyle w:val="56"/>
              <w:keepNext w:val="0"/>
              <w:keepLines w:val="0"/>
              <w:pageBreakBefore w:val="0"/>
              <w:widowControl w:val="0"/>
              <w:suppressLineNumbers w:val="0"/>
              <w:kinsoku/>
              <w:wordWrap/>
              <w:overflowPunct/>
              <w:topLinePunct w:val="0"/>
              <w:autoSpaceDE/>
              <w:autoSpaceDN/>
              <w:bidi w:val="0"/>
              <w:spacing w:before="2" w:beforeAutospacing="0" w:after="0" w:afterAutospacing="0" w:line="360" w:lineRule="exact"/>
              <w:ind w:left="10" w:leftChars="5" w:right="109" w:rightChars="0" w:firstLine="539" w:firstLineChars="243"/>
              <w:jc w:val="both"/>
              <w:textAlignment w:val="auto"/>
              <w:rPr>
                <w:rFonts w:hint="eastAsia" w:ascii="宋体" w:hAnsi="宋体" w:eastAsia="宋体" w:cs="宋体"/>
                <w:color w:val="auto"/>
                <w:spacing w:val="6"/>
                <w:kern w:val="2"/>
                <w:sz w:val="21"/>
                <w:szCs w:val="21"/>
                <w:highlight w:val="none"/>
                <w:lang w:val="en-US" w:eastAsia="zh-CN" w:bidi="ar-SA"/>
              </w:rPr>
            </w:pPr>
            <w:r>
              <w:rPr>
                <w:rFonts w:hint="eastAsia" w:ascii="宋体" w:hAnsi="宋体" w:eastAsia="宋体" w:cs="宋体"/>
                <w:color w:val="auto"/>
                <w:spacing w:val="6"/>
                <w:kern w:val="2"/>
                <w:sz w:val="21"/>
                <w:szCs w:val="21"/>
                <w:highlight w:val="none"/>
                <w:lang w:val="en-US" w:eastAsia="zh-CN" w:bidi="ar-SA"/>
              </w:rPr>
              <w:t>二档（</w:t>
            </w:r>
            <w:r>
              <w:rPr>
                <w:rFonts w:hint="eastAsia" w:cs="宋体"/>
                <w:color w:val="auto"/>
                <w:spacing w:val="6"/>
                <w:kern w:val="2"/>
                <w:sz w:val="21"/>
                <w:szCs w:val="21"/>
                <w:highlight w:val="none"/>
                <w:lang w:val="en-US" w:eastAsia="zh-CN" w:bidi="ar-SA"/>
              </w:rPr>
              <w:t>8</w:t>
            </w:r>
            <w:r>
              <w:rPr>
                <w:rFonts w:hint="eastAsia" w:ascii="宋体" w:hAnsi="宋体" w:eastAsia="宋体" w:cs="宋体"/>
                <w:color w:val="auto"/>
                <w:spacing w:val="6"/>
                <w:kern w:val="2"/>
                <w:sz w:val="21"/>
                <w:szCs w:val="21"/>
                <w:highlight w:val="none"/>
                <w:lang w:val="en-US" w:eastAsia="zh-CN" w:bidi="ar-SA"/>
              </w:rPr>
              <w:t>分）：五项评审因素有两项内容经评审合理、可行且贴合本项目花坪保护区特种救护专属工作需求，仅具备基础工作思路。</w:t>
            </w:r>
          </w:p>
          <w:p w14:paraId="027D53AE">
            <w:pPr>
              <w:pStyle w:val="56"/>
              <w:keepNext w:val="0"/>
              <w:keepLines w:val="0"/>
              <w:pageBreakBefore w:val="0"/>
              <w:widowControl w:val="0"/>
              <w:suppressLineNumbers w:val="0"/>
              <w:kinsoku/>
              <w:wordWrap/>
              <w:overflowPunct/>
              <w:topLinePunct w:val="0"/>
              <w:autoSpaceDE/>
              <w:autoSpaceDN/>
              <w:bidi w:val="0"/>
              <w:spacing w:before="2" w:beforeAutospacing="0" w:after="0" w:afterAutospacing="0" w:line="360" w:lineRule="exact"/>
              <w:ind w:left="10" w:leftChars="5" w:right="109" w:rightChars="0" w:firstLine="539" w:firstLineChars="243"/>
              <w:jc w:val="both"/>
              <w:textAlignment w:val="auto"/>
              <w:rPr>
                <w:rFonts w:hint="eastAsia" w:ascii="宋体" w:hAnsi="宋体" w:eastAsia="宋体" w:cs="宋体"/>
                <w:color w:val="auto"/>
                <w:spacing w:val="6"/>
                <w:kern w:val="2"/>
                <w:sz w:val="21"/>
                <w:szCs w:val="21"/>
                <w:highlight w:val="none"/>
                <w:lang w:val="en-US" w:eastAsia="zh-CN" w:bidi="ar-SA"/>
              </w:rPr>
            </w:pPr>
            <w:r>
              <w:rPr>
                <w:rFonts w:hint="eastAsia" w:ascii="宋体" w:hAnsi="宋体" w:eastAsia="宋体" w:cs="宋体"/>
                <w:color w:val="auto"/>
                <w:spacing w:val="6"/>
                <w:kern w:val="2"/>
                <w:sz w:val="21"/>
                <w:szCs w:val="21"/>
                <w:highlight w:val="none"/>
                <w:lang w:val="en-US" w:eastAsia="zh-CN" w:bidi="ar-SA"/>
              </w:rPr>
              <w:t>三档（</w:t>
            </w:r>
            <w:r>
              <w:rPr>
                <w:rFonts w:hint="eastAsia" w:cs="宋体"/>
                <w:color w:val="auto"/>
                <w:spacing w:val="6"/>
                <w:kern w:val="2"/>
                <w:sz w:val="21"/>
                <w:szCs w:val="21"/>
                <w:highlight w:val="none"/>
                <w:lang w:val="en-US" w:eastAsia="zh-CN" w:bidi="ar-SA"/>
              </w:rPr>
              <w:t>12</w:t>
            </w:r>
            <w:r>
              <w:rPr>
                <w:rFonts w:hint="eastAsia" w:ascii="宋体" w:hAnsi="宋体" w:eastAsia="宋体" w:cs="宋体"/>
                <w:color w:val="auto"/>
                <w:spacing w:val="6"/>
                <w:kern w:val="2"/>
                <w:sz w:val="21"/>
                <w:szCs w:val="21"/>
                <w:highlight w:val="none"/>
                <w:lang w:val="en-US" w:eastAsia="zh-CN" w:bidi="ar-SA"/>
              </w:rPr>
              <w:t>分）：五项评审因素有三项内容经评审合理、可行且贴合本项目花坪保护区特种救护专属工作需求，方案基本完整，满足基础实施要求。</w:t>
            </w:r>
          </w:p>
          <w:p w14:paraId="0A448BE1">
            <w:pPr>
              <w:pStyle w:val="56"/>
              <w:keepNext w:val="0"/>
              <w:keepLines w:val="0"/>
              <w:pageBreakBefore w:val="0"/>
              <w:widowControl w:val="0"/>
              <w:suppressLineNumbers w:val="0"/>
              <w:kinsoku/>
              <w:wordWrap/>
              <w:overflowPunct/>
              <w:topLinePunct w:val="0"/>
              <w:autoSpaceDE/>
              <w:autoSpaceDN/>
              <w:bidi w:val="0"/>
              <w:spacing w:before="2" w:beforeAutospacing="0" w:after="0" w:afterAutospacing="0" w:line="360" w:lineRule="exact"/>
              <w:ind w:left="10" w:leftChars="5" w:right="109" w:rightChars="0" w:firstLine="539" w:firstLineChars="243"/>
              <w:jc w:val="both"/>
              <w:textAlignment w:val="auto"/>
              <w:rPr>
                <w:rFonts w:hint="eastAsia" w:ascii="宋体" w:hAnsi="宋体" w:eastAsia="宋体" w:cs="宋体"/>
                <w:color w:val="auto"/>
                <w:spacing w:val="6"/>
                <w:kern w:val="2"/>
                <w:sz w:val="21"/>
                <w:szCs w:val="21"/>
                <w:highlight w:val="none"/>
                <w:lang w:val="en-US" w:eastAsia="zh-CN" w:bidi="ar-SA"/>
              </w:rPr>
            </w:pPr>
            <w:r>
              <w:rPr>
                <w:rFonts w:hint="eastAsia" w:ascii="宋体" w:hAnsi="宋体" w:eastAsia="宋体" w:cs="宋体"/>
                <w:color w:val="auto"/>
                <w:spacing w:val="6"/>
                <w:kern w:val="2"/>
                <w:sz w:val="21"/>
                <w:szCs w:val="21"/>
                <w:highlight w:val="none"/>
                <w:lang w:val="en-US" w:eastAsia="zh-CN" w:bidi="ar-SA"/>
              </w:rPr>
              <w:t>四档（</w:t>
            </w:r>
            <w:r>
              <w:rPr>
                <w:rFonts w:hint="eastAsia" w:cs="宋体"/>
                <w:color w:val="auto"/>
                <w:spacing w:val="6"/>
                <w:kern w:val="2"/>
                <w:sz w:val="21"/>
                <w:szCs w:val="21"/>
                <w:highlight w:val="none"/>
                <w:lang w:val="en-US" w:eastAsia="zh-CN" w:bidi="ar-SA"/>
              </w:rPr>
              <w:t>16</w:t>
            </w:r>
            <w:r>
              <w:rPr>
                <w:rFonts w:hint="eastAsia" w:ascii="宋体" w:hAnsi="宋体" w:eastAsia="宋体" w:cs="宋体"/>
                <w:color w:val="auto"/>
                <w:spacing w:val="6"/>
                <w:kern w:val="2"/>
                <w:sz w:val="21"/>
                <w:szCs w:val="21"/>
                <w:highlight w:val="none"/>
                <w:lang w:val="en-US" w:eastAsia="zh-CN" w:bidi="ar-SA"/>
              </w:rPr>
              <w:t>分）：五项评审因素有四项内容经评审合理、可行且贴合本项目花坪保护区特种救护专属工作需求，方案内容详实、逻辑清晰，可落地性较强。</w:t>
            </w:r>
          </w:p>
          <w:p w14:paraId="28938405">
            <w:pPr>
              <w:pStyle w:val="56"/>
              <w:keepNext w:val="0"/>
              <w:keepLines w:val="0"/>
              <w:pageBreakBefore w:val="0"/>
              <w:widowControl w:val="0"/>
              <w:suppressLineNumbers w:val="0"/>
              <w:kinsoku/>
              <w:wordWrap/>
              <w:overflowPunct/>
              <w:topLinePunct w:val="0"/>
              <w:autoSpaceDE/>
              <w:autoSpaceDN/>
              <w:bidi w:val="0"/>
              <w:spacing w:before="2" w:beforeAutospacing="0" w:after="0" w:afterAutospacing="0" w:line="360" w:lineRule="exact"/>
              <w:ind w:left="10" w:leftChars="5" w:right="109" w:rightChars="0" w:firstLine="539" w:firstLineChars="243"/>
              <w:jc w:val="both"/>
              <w:textAlignment w:val="auto"/>
              <w:rPr>
                <w:rFonts w:hint="eastAsia" w:ascii="宋体" w:hAnsi="宋体" w:eastAsia="宋体" w:cs="宋体"/>
                <w:color w:val="auto"/>
                <w:spacing w:val="6"/>
                <w:kern w:val="2"/>
                <w:sz w:val="21"/>
                <w:szCs w:val="21"/>
                <w:highlight w:val="none"/>
                <w:lang w:val="en-US" w:eastAsia="zh-CN" w:bidi="ar-SA"/>
              </w:rPr>
            </w:pPr>
            <w:r>
              <w:rPr>
                <w:rFonts w:hint="eastAsia" w:ascii="宋体" w:hAnsi="宋体" w:eastAsia="宋体" w:cs="宋体"/>
                <w:color w:val="auto"/>
                <w:spacing w:val="6"/>
                <w:kern w:val="2"/>
                <w:sz w:val="21"/>
                <w:szCs w:val="21"/>
                <w:highlight w:val="none"/>
                <w:lang w:val="en-US" w:eastAsia="zh-CN" w:bidi="ar-SA"/>
              </w:rPr>
              <w:t>五档（</w:t>
            </w:r>
            <w:r>
              <w:rPr>
                <w:rFonts w:hint="eastAsia" w:cs="宋体"/>
                <w:color w:val="auto"/>
                <w:spacing w:val="6"/>
                <w:kern w:val="2"/>
                <w:sz w:val="21"/>
                <w:szCs w:val="21"/>
                <w:highlight w:val="none"/>
                <w:lang w:val="en-US" w:eastAsia="zh-CN" w:bidi="ar-SA"/>
              </w:rPr>
              <w:t>20</w:t>
            </w:r>
            <w:r>
              <w:rPr>
                <w:rFonts w:hint="eastAsia" w:ascii="宋体" w:hAnsi="宋体" w:eastAsia="宋体" w:cs="宋体"/>
                <w:color w:val="auto"/>
                <w:spacing w:val="6"/>
                <w:kern w:val="2"/>
                <w:sz w:val="21"/>
                <w:szCs w:val="21"/>
                <w:highlight w:val="none"/>
                <w:lang w:val="en-US" w:eastAsia="zh-CN" w:bidi="ar-SA"/>
              </w:rPr>
              <w:t>分）：五项评审因素内容均完整、合理、可行，针对性极强。方案深度结合花坪保护区地域特点、银杉种群保护特性及杜鹃种质园建设专项标准，全面覆盖专项技术流程、现场管控、应急处置、质量验收、设备人员保障等内容，思路科学严谨，完全符合国家及自治区野生动植物保护、种质资源建设相关技术规范及项目专项要求。</w:t>
            </w:r>
          </w:p>
          <w:p w14:paraId="36431A36">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10" w:leftChars="5" w:right="0" w:firstLine="512" w:firstLineChars="243"/>
              <w:jc w:val="center"/>
              <w:textAlignment w:val="auto"/>
              <w:rPr>
                <w:rFonts w:hint="eastAsia" w:ascii="宋体" w:hAnsi="宋体" w:eastAsia="宋体" w:cs="宋体"/>
                <w:b/>
                <w:bCs/>
                <w:color w:val="auto"/>
                <w:spacing w:val="4"/>
                <w:sz w:val="21"/>
                <w:szCs w:val="21"/>
                <w:highlight w:val="none"/>
              </w:rPr>
            </w:pPr>
            <w:r>
              <w:rPr>
                <w:rFonts w:hint="eastAsia" w:ascii="宋体" w:hAnsi="宋体" w:eastAsia="宋体" w:cs="宋体"/>
                <w:b/>
                <w:color w:val="auto"/>
                <w:kern w:val="0"/>
                <w:sz w:val="21"/>
                <w:szCs w:val="21"/>
                <w:highlight w:val="none"/>
              </w:rPr>
              <w:t>注：未提供或不符合最低入档条件的按不入档计0分</w:t>
            </w:r>
            <w:r>
              <w:rPr>
                <w:rFonts w:hint="eastAsia" w:ascii="宋体" w:hAnsi="宋体" w:eastAsia="宋体" w:cs="宋体"/>
                <w:b/>
                <w:color w:val="auto"/>
                <w:sz w:val="21"/>
                <w:szCs w:val="21"/>
                <w:highlight w:val="none"/>
              </w:rPr>
              <w:t>。</w:t>
            </w:r>
          </w:p>
        </w:tc>
      </w:tr>
      <w:tr w14:paraId="7D23B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noWrap w:val="0"/>
            <w:vAlign w:val="center"/>
          </w:tcPr>
          <w:p w14:paraId="45CEBE32">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p>
        </w:tc>
        <w:tc>
          <w:tcPr>
            <w:tcW w:w="1451" w:type="dxa"/>
            <w:vMerge w:val="continue"/>
            <w:noWrap w:val="0"/>
            <w:vAlign w:val="center"/>
          </w:tcPr>
          <w:p w14:paraId="5B4C24D0">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p>
        </w:tc>
        <w:tc>
          <w:tcPr>
            <w:tcW w:w="1534" w:type="dxa"/>
            <w:noWrap w:val="0"/>
            <w:vAlign w:val="center"/>
          </w:tcPr>
          <w:p w14:paraId="781AC520">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2.2宣传视频制作方案（满分</w:t>
            </w:r>
            <w:r>
              <w:rPr>
                <w:rFonts w:hint="eastAsia" w:cs="宋体"/>
                <w:b/>
                <w:bCs/>
                <w:color w:val="auto"/>
                <w:spacing w:val="4"/>
                <w:sz w:val="21"/>
                <w:szCs w:val="21"/>
                <w:highlight w:val="none"/>
                <w:lang w:val="en-US" w:eastAsia="zh-CN"/>
              </w:rPr>
              <w:t>15</w:t>
            </w:r>
            <w:r>
              <w:rPr>
                <w:rFonts w:hint="eastAsia" w:ascii="宋体" w:hAnsi="宋体" w:eastAsia="宋体" w:cs="宋体"/>
                <w:b/>
                <w:bCs/>
                <w:color w:val="auto"/>
                <w:spacing w:val="4"/>
                <w:sz w:val="21"/>
                <w:szCs w:val="21"/>
                <w:highlight w:val="none"/>
                <w:lang w:val="en-US" w:eastAsia="zh-CN"/>
              </w:rPr>
              <w:t>分）</w:t>
            </w:r>
          </w:p>
        </w:tc>
        <w:tc>
          <w:tcPr>
            <w:tcW w:w="6444" w:type="dxa"/>
            <w:noWrap w:val="0"/>
            <w:vAlign w:val="center"/>
          </w:tcPr>
          <w:p w14:paraId="31D2865A">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核心工作包含银杉纪录片、新物种纪录片、重点保护动植物二维码小视频制作，</w:t>
            </w:r>
            <w:r>
              <w:rPr>
                <w:rFonts w:hint="eastAsia" w:ascii="宋体" w:hAnsi="宋体" w:cs="宋体"/>
                <w:color w:val="auto"/>
                <w:spacing w:val="11"/>
                <w:kern w:val="2"/>
                <w:sz w:val="21"/>
                <w:szCs w:val="21"/>
                <w:highlight w:val="none"/>
                <w:lang w:val="en-US" w:eastAsia="zh-CN" w:bidi="ar-SA"/>
              </w:rPr>
              <w:t>视频生成出来的效果均为高清版，</w:t>
            </w:r>
            <w:r>
              <w:rPr>
                <w:rFonts w:hint="eastAsia" w:ascii="宋体" w:hAnsi="宋体" w:eastAsia="宋体" w:cs="宋体"/>
                <w:color w:val="auto"/>
                <w:spacing w:val="11"/>
                <w:kern w:val="2"/>
                <w:sz w:val="21"/>
                <w:szCs w:val="21"/>
                <w:highlight w:val="none"/>
                <w:lang w:val="en-US" w:eastAsia="en-US" w:bidi="ar-SA"/>
              </w:rPr>
              <w:t>以及《保护区国家重点保护野生动植物宣传》手册、保护区宣传折叠页设计制作。磋商小组根据各供应商提供的项目工作方案中包含但不限于：①视频及宣传资料制作目的、范围、政策依据、创作原则；②整体策划思路及全套脚本设计方案</w:t>
            </w:r>
            <w:r>
              <w:rPr>
                <w:rFonts w:hint="eastAsia" w:ascii="宋体" w:hAnsi="宋体" w:cs="宋体"/>
                <w:color w:val="auto"/>
                <w:spacing w:val="11"/>
                <w:kern w:val="2"/>
                <w:sz w:val="21"/>
                <w:szCs w:val="21"/>
                <w:highlight w:val="none"/>
                <w:lang w:val="en-US" w:eastAsia="zh-CN" w:bidi="ar-SA"/>
              </w:rPr>
              <w:t>，典型案例展示</w:t>
            </w:r>
            <w:r>
              <w:rPr>
                <w:rFonts w:hint="eastAsia" w:ascii="宋体" w:hAnsi="宋体" w:eastAsia="宋体" w:cs="宋体"/>
                <w:color w:val="auto"/>
                <w:spacing w:val="11"/>
                <w:kern w:val="2"/>
                <w:sz w:val="21"/>
                <w:szCs w:val="21"/>
                <w:highlight w:val="none"/>
                <w:lang w:val="en-US" w:eastAsia="en-US" w:bidi="ar-SA"/>
              </w:rPr>
              <w:t>；③野外实地取景、拍摄剪辑、后期制作技术路线；④银杉、新物种、重点动植物视频拍摄内容、场景取材、访谈安排及宣传手册、折叠页设计</w:t>
            </w:r>
            <w:r>
              <w:rPr>
                <w:rFonts w:hint="eastAsia" w:ascii="宋体" w:hAnsi="宋体" w:cs="宋体"/>
                <w:color w:val="auto"/>
                <w:spacing w:val="11"/>
                <w:kern w:val="2"/>
                <w:sz w:val="21"/>
                <w:szCs w:val="21"/>
                <w:highlight w:val="none"/>
                <w:lang w:val="en-US" w:eastAsia="zh-CN" w:bidi="ar-SA"/>
              </w:rPr>
              <w:t>排版样式提供与</w:t>
            </w:r>
            <w:r>
              <w:rPr>
                <w:rFonts w:hint="eastAsia" w:ascii="宋体" w:hAnsi="宋体" w:eastAsia="宋体" w:cs="宋体"/>
                <w:color w:val="auto"/>
                <w:spacing w:val="11"/>
                <w:kern w:val="2"/>
                <w:sz w:val="21"/>
                <w:szCs w:val="21"/>
                <w:highlight w:val="none"/>
                <w:lang w:val="en-US" w:eastAsia="en-US" w:bidi="ar-SA"/>
              </w:rPr>
              <w:t>交付要求；⑤专业拍摄设备配置、专项项目团队保障配置等五项核心评审内容进行综合评审，并独立打分：</w:t>
            </w:r>
          </w:p>
          <w:p w14:paraId="1753A1FB">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一档（</w:t>
            </w:r>
            <w:r>
              <w:rPr>
                <w:rFonts w:hint="eastAsia" w:ascii="宋体" w:hAnsi="宋体" w:cs="宋体"/>
                <w:color w:val="auto"/>
                <w:spacing w:val="11"/>
                <w:kern w:val="2"/>
                <w:sz w:val="21"/>
                <w:szCs w:val="21"/>
                <w:highlight w:val="none"/>
                <w:lang w:val="en-US" w:eastAsia="zh-CN" w:bidi="ar-SA"/>
              </w:rPr>
              <w:t>3</w:t>
            </w:r>
            <w:r>
              <w:rPr>
                <w:rFonts w:hint="eastAsia" w:ascii="宋体" w:hAnsi="宋体" w:eastAsia="宋体" w:cs="宋体"/>
                <w:color w:val="auto"/>
                <w:spacing w:val="11"/>
                <w:kern w:val="2"/>
                <w:sz w:val="21"/>
                <w:szCs w:val="21"/>
                <w:highlight w:val="none"/>
                <w:lang w:val="en-US" w:eastAsia="en-US" w:bidi="ar-SA"/>
              </w:rPr>
              <w:t>分）：五项评审因素仅有一项内容经评审合理、可行且贴合花坪保护区专属宣传制作需求。</w:t>
            </w:r>
          </w:p>
          <w:p w14:paraId="508262CD">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二档（</w:t>
            </w:r>
            <w:r>
              <w:rPr>
                <w:rFonts w:hint="eastAsia" w:ascii="宋体" w:hAnsi="宋体" w:cs="宋体"/>
                <w:color w:val="auto"/>
                <w:spacing w:val="11"/>
                <w:kern w:val="2"/>
                <w:sz w:val="21"/>
                <w:szCs w:val="21"/>
                <w:highlight w:val="none"/>
                <w:lang w:val="en-US" w:eastAsia="zh-CN" w:bidi="ar-SA"/>
              </w:rPr>
              <w:t>6</w:t>
            </w:r>
            <w:r>
              <w:rPr>
                <w:rFonts w:hint="eastAsia" w:ascii="宋体" w:hAnsi="宋体" w:eastAsia="宋体" w:cs="宋体"/>
                <w:color w:val="auto"/>
                <w:spacing w:val="11"/>
                <w:kern w:val="2"/>
                <w:sz w:val="21"/>
                <w:szCs w:val="21"/>
                <w:highlight w:val="none"/>
                <w:lang w:val="en-US" w:eastAsia="en-US" w:bidi="ar-SA"/>
              </w:rPr>
              <w:t>分）：五项评审因素有两项内容经评审合理、可行且贴合花坪保护区专属宣传制作需求。</w:t>
            </w:r>
          </w:p>
          <w:p w14:paraId="0D83AC5B">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三档（</w:t>
            </w:r>
            <w:r>
              <w:rPr>
                <w:rFonts w:hint="eastAsia" w:ascii="宋体" w:hAnsi="宋体" w:cs="宋体"/>
                <w:color w:val="auto"/>
                <w:spacing w:val="11"/>
                <w:kern w:val="2"/>
                <w:sz w:val="21"/>
                <w:szCs w:val="21"/>
                <w:highlight w:val="none"/>
                <w:lang w:val="en-US" w:eastAsia="zh-CN" w:bidi="ar-SA"/>
              </w:rPr>
              <w:t>9</w:t>
            </w:r>
            <w:r>
              <w:rPr>
                <w:rFonts w:hint="eastAsia" w:ascii="宋体" w:hAnsi="宋体" w:eastAsia="宋体" w:cs="宋体"/>
                <w:color w:val="auto"/>
                <w:spacing w:val="11"/>
                <w:kern w:val="2"/>
                <w:sz w:val="21"/>
                <w:szCs w:val="21"/>
                <w:highlight w:val="none"/>
                <w:lang w:val="en-US" w:eastAsia="en-US" w:bidi="ar-SA"/>
              </w:rPr>
              <w:t>分）：五项评审因素有三项内容经评审合理、可行且贴合花坪保护区专属宣传制作需求。</w:t>
            </w:r>
          </w:p>
          <w:p w14:paraId="71683642">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四档（</w:t>
            </w:r>
            <w:r>
              <w:rPr>
                <w:rFonts w:hint="eastAsia" w:ascii="宋体" w:hAnsi="宋体" w:cs="宋体"/>
                <w:color w:val="auto"/>
                <w:spacing w:val="11"/>
                <w:kern w:val="2"/>
                <w:sz w:val="21"/>
                <w:szCs w:val="21"/>
                <w:highlight w:val="none"/>
                <w:lang w:val="en-US" w:eastAsia="zh-CN" w:bidi="ar-SA"/>
              </w:rPr>
              <w:t>12</w:t>
            </w:r>
            <w:r>
              <w:rPr>
                <w:rFonts w:hint="eastAsia" w:ascii="宋体" w:hAnsi="宋体" w:eastAsia="宋体" w:cs="宋体"/>
                <w:color w:val="auto"/>
                <w:spacing w:val="11"/>
                <w:kern w:val="2"/>
                <w:sz w:val="21"/>
                <w:szCs w:val="21"/>
                <w:highlight w:val="none"/>
                <w:lang w:val="en-US" w:eastAsia="en-US" w:bidi="ar-SA"/>
              </w:rPr>
              <w:t>分）：五项评审因素有四项内容经评审合理、可行且贴合花坪保护区专属宣传制作需求。</w:t>
            </w:r>
          </w:p>
          <w:p w14:paraId="6FAF867E">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五档（</w:t>
            </w:r>
            <w:r>
              <w:rPr>
                <w:rFonts w:hint="eastAsia" w:ascii="宋体" w:hAnsi="宋体" w:cs="宋体"/>
                <w:color w:val="auto"/>
                <w:spacing w:val="11"/>
                <w:kern w:val="2"/>
                <w:sz w:val="21"/>
                <w:szCs w:val="21"/>
                <w:highlight w:val="none"/>
                <w:lang w:val="en-US" w:eastAsia="zh-CN" w:bidi="ar-SA"/>
              </w:rPr>
              <w:t>15</w:t>
            </w:r>
            <w:r>
              <w:rPr>
                <w:rFonts w:hint="eastAsia" w:ascii="宋体" w:hAnsi="宋体" w:eastAsia="宋体" w:cs="宋体"/>
                <w:color w:val="auto"/>
                <w:spacing w:val="11"/>
                <w:kern w:val="2"/>
                <w:sz w:val="21"/>
                <w:szCs w:val="21"/>
                <w:highlight w:val="none"/>
                <w:lang w:val="en-US" w:eastAsia="en-US" w:bidi="ar-SA"/>
              </w:rPr>
              <w:t>分）：五项评审因素内容均完整、合理、可行，针对性极强。深度结合花坪保护区2025年综合科考数据、新物种及</w:t>
            </w:r>
            <w:r>
              <w:rPr>
                <w:rFonts w:hint="eastAsia" w:ascii="宋体" w:hAnsi="宋体" w:cs="宋体"/>
                <w:color w:val="auto"/>
                <w:spacing w:val="11"/>
                <w:kern w:val="2"/>
                <w:sz w:val="21"/>
                <w:szCs w:val="21"/>
                <w:highlight w:val="none"/>
                <w:lang w:val="en-US" w:eastAsia="zh-CN" w:bidi="ar-SA"/>
              </w:rPr>
              <w:t>重点保护</w:t>
            </w:r>
            <w:r>
              <w:rPr>
                <w:rFonts w:hint="eastAsia" w:ascii="宋体" w:hAnsi="宋体" w:eastAsia="宋体" w:cs="宋体"/>
                <w:color w:val="auto"/>
                <w:spacing w:val="11"/>
                <w:kern w:val="2"/>
                <w:sz w:val="21"/>
                <w:szCs w:val="21"/>
                <w:highlight w:val="none"/>
                <w:lang w:val="en-US" w:eastAsia="en-US" w:bidi="ar-SA"/>
              </w:rPr>
              <w:t>物种</w:t>
            </w:r>
            <w:r>
              <w:rPr>
                <w:rFonts w:hint="eastAsia" w:ascii="宋体" w:hAnsi="宋体" w:cs="宋体"/>
                <w:color w:val="auto"/>
                <w:spacing w:val="11"/>
                <w:kern w:val="2"/>
                <w:sz w:val="21"/>
                <w:szCs w:val="21"/>
                <w:highlight w:val="none"/>
                <w:lang w:val="en-US" w:eastAsia="zh-CN" w:bidi="ar-SA"/>
              </w:rPr>
              <w:t>的素材选择丰富性</w:t>
            </w:r>
            <w:r>
              <w:rPr>
                <w:rFonts w:hint="eastAsia" w:ascii="宋体" w:hAnsi="宋体" w:eastAsia="宋体" w:cs="宋体"/>
                <w:color w:val="auto"/>
                <w:spacing w:val="11"/>
                <w:kern w:val="2"/>
                <w:sz w:val="21"/>
                <w:szCs w:val="21"/>
                <w:highlight w:val="none"/>
                <w:lang w:val="en-US" w:eastAsia="en-US" w:bidi="ar-SA"/>
              </w:rPr>
              <w:t>、珍稀动植物</w:t>
            </w:r>
            <w:r>
              <w:rPr>
                <w:rFonts w:hint="eastAsia" w:ascii="宋体" w:hAnsi="宋体" w:cs="宋体"/>
                <w:color w:val="auto"/>
                <w:spacing w:val="11"/>
                <w:kern w:val="2"/>
                <w:sz w:val="21"/>
                <w:szCs w:val="21"/>
                <w:highlight w:val="none"/>
                <w:lang w:val="en-US" w:eastAsia="zh-CN" w:bidi="ar-SA"/>
              </w:rPr>
              <w:t>拍摄原素材清楚度与有趣性</w:t>
            </w:r>
            <w:r>
              <w:rPr>
                <w:rFonts w:hint="eastAsia" w:ascii="宋体" w:hAnsi="宋体" w:eastAsia="宋体" w:cs="宋体"/>
                <w:color w:val="auto"/>
                <w:spacing w:val="11"/>
                <w:kern w:val="2"/>
                <w:sz w:val="21"/>
                <w:szCs w:val="21"/>
                <w:highlight w:val="none"/>
                <w:lang w:val="en-US" w:eastAsia="en-US" w:bidi="ar-SA"/>
              </w:rPr>
              <w:t>，涵盖四季实地取景、专业访谈、素材精修、剪辑包装、动画特效、配音配乐、宣传物</w:t>
            </w:r>
            <w:r>
              <w:rPr>
                <w:rFonts w:hint="eastAsia" w:ascii="宋体" w:hAnsi="宋体" w:cs="宋体"/>
                <w:color w:val="auto"/>
                <w:spacing w:val="11"/>
                <w:kern w:val="2"/>
                <w:sz w:val="21"/>
                <w:szCs w:val="21"/>
                <w:highlight w:val="none"/>
                <w:lang w:val="en-US" w:eastAsia="zh-CN" w:bidi="ar-SA"/>
              </w:rPr>
              <w:t>资料</w:t>
            </w:r>
            <w:r>
              <w:rPr>
                <w:rFonts w:hint="eastAsia" w:ascii="宋体" w:hAnsi="宋体" w:eastAsia="宋体" w:cs="宋体"/>
                <w:color w:val="auto"/>
                <w:spacing w:val="11"/>
                <w:kern w:val="2"/>
                <w:sz w:val="21"/>
                <w:szCs w:val="21"/>
                <w:highlight w:val="none"/>
                <w:lang w:val="en-US" w:eastAsia="en-US" w:bidi="ar-SA"/>
              </w:rPr>
              <w:t>设计</w:t>
            </w:r>
            <w:r>
              <w:rPr>
                <w:rFonts w:hint="eastAsia" w:ascii="宋体" w:hAnsi="宋体" w:cs="宋体"/>
                <w:color w:val="auto"/>
                <w:spacing w:val="11"/>
                <w:kern w:val="2"/>
                <w:sz w:val="21"/>
                <w:szCs w:val="21"/>
                <w:highlight w:val="none"/>
                <w:lang w:val="en-US" w:eastAsia="zh-CN" w:bidi="ar-SA"/>
              </w:rPr>
              <w:t>排版的吸引度，超前性以及</w:t>
            </w:r>
            <w:r>
              <w:rPr>
                <w:rFonts w:hint="eastAsia" w:ascii="宋体" w:hAnsi="宋体" w:eastAsia="宋体" w:cs="宋体"/>
                <w:color w:val="auto"/>
                <w:spacing w:val="11"/>
                <w:kern w:val="2"/>
                <w:sz w:val="21"/>
                <w:szCs w:val="21"/>
                <w:highlight w:val="none"/>
                <w:lang w:val="en-US" w:eastAsia="en-US" w:bidi="ar-SA"/>
              </w:rPr>
              <w:t>方案专业</w:t>
            </w:r>
            <w:r>
              <w:rPr>
                <w:rFonts w:hint="eastAsia" w:ascii="宋体" w:hAnsi="宋体" w:cs="宋体"/>
                <w:color w:val="auto"/>
                <w:spacing w:val="11"/>
                <w:kern w:val="2"/>
                <w:sz w:val="21"/>
                <w:szCs w:val="21"/>
                <w:highlight w:val="none"/>
                <w:lang w:val="en-US" w:eastAsia="zh-CN" w:bidi="ar-SA"/>
              </w:rPr>
              <w:t>的落地可实施占比</w:t>
            </w:r>
            <w:r>
              <w:rPr>
                <w:rFonts w:hint="eastAsia" w:ascii="宋体" w:hAnsi="宋体" w:eastAsia="宋体" w:cs="宋体"/>
                <w:color w:val="auto"/>
                <w:spacing w:val="11"/>
                <w:kern w:val="2"/>
                <w:sz w:val="21"/>
                <w:szCs w:val="21"/>
                <w:highlight w:val="none"/>
                <w:lang w:val="en-US" w:eastAsia="en-US" w:bidi="ar-SA"/>
              </w:rPr>
              <w:t>，完全满足项目宣传交付标准与科普宣教要求。</w:t>
            </w:r>
          </w:p>
          <w:p w14:paraId="3CCC7155">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6" w:firstLineChars="200"/>
              <w:textAlignment w:val="auto"/>
              <w:rPr>
                <w:rFonts w:hint="eastAsia" w:ascii="宋体" w:hAnsi="宋体" w:eastAsia="宋体" w:cs="宋体"/>
                <w:b/>
                <w:bCs/>
                <w:color w:val="auto"/>
                <w:spacing w:val="4"/>
                <w:sz w:val="21"/>
                <w:szCs w:val="21"/>
                <w:highlight w:val="none"/>
              </w:rPr>
            </w:pPr>
            <w:r>
              <w:rPr>
                <w:rFonts w:hint="eastAsia" w:ascii="宋体" w:hAnsi="宋体" w:eastAsia="宋体" w:cs="宋体"/>
                <w:b/>
                <w:bCs/>
                <w:color w:val="auto"/>
                <w:spacing w:val="11"/>
                <w:kern w:val="2"/>
                <w:sz w:val="21"/>
                <w:szCs w:val="21"/>
                <w:highlight w:val="none"/>
                <w:lang w:val="en-US" w:eastAsia="en-US" w:bidi="ar-SA"/>
              </w:rPr>
              <w:t>注：未提供项目视频及宣传资料制作工作方案的</w:t>
            </w:r>
            <w:r>
              <w:rPr>
                <w:rFonts w:hint="eastAsia" w:ascii="宋体" w:hAnsi="宋体" w:cs="宋体"/>
                <w:b/>
                <w:bCs/>
                <w:color w:val="auto"/>
                <w:spacing w:val="11"/>
                <w:kern w:val="2"/>
                <w:sz w:val="21"/>
                <w:szCs w:val="21"/>
                <w:highlight w:val="none"/>
                <w:lang w:val="en-US" w:eastAsia="zh-CN" w:bidi="ar-SA"/>
              </w:rPr>
              <w:t>计</w:t>
            </w:r>
            <w:r>
              <w:rPr>
                <w:rFonts w:hint="eastAsia" w:ascii="宋体" w:hAnsi="宋体" w:eastAsia="宋体" w:cs="宋体"/>
                <w:b/>
                <w:bCs/>
                <w:color w:val="auto"/>
                <w:spacing w:val="11"/>
                <w:kern w:val="2"/>
                <w:sz w:val="21"/>
                <w:szCs w:val="21"/>
                <w:highlight w:val="none"/>
                <w:lang w:val="en-US" w:eastAsia="en-US" w:bidi="ar-SA"/>
              </w:rPr>
              <w:t>0分。</w:t>
            </w:r>
          </w:p>
        </w:tc>
      </w:tr>
      <w:tr w14:paraId="047C2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noWrap w:val="0"/>
            <w:vAlign w:val="center"/>
          </w:tcPr>
          <w:p w14:paraId="11D4C68C">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p>
        </w:tc>
        <w:tc>
          <w:tcPr>
            <w:tcW w:w="1451" w:type="dxa"/>
            <w:vMerge w:val="continue"/>
            <w:noWrap w:val="0"/>
            <w:vAlign w:val="center"/>
          </w:tcPr>
          <w:p w14:paraId="7C105EF9">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p>
        </w:tc>
        <w:tc>
          <w:tcPr>
            <w:tcW w:w="1534" w:type="dxa"/>
            <w:noWrap w:val="0"/>
            <w:vAlign w:val="center"/>
          </w:tcPr>
          <w:p w14:paraId="0DB76C60">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2.</w:t>
            </w:r>
            <w:r>
              <w:rPr>
                <w:rFonts w:hint="eastAsia" w:cs="宋体"/>
                <w:b/>
                <w:bCs/>
                <w:color w:val="auto"/>
                <w:spacing w:val="4"/>
                <w:sz w:val="21"/>
                <w:szCs w:val="21"/>
                <w:highlight w:val="none"/>
                <w:lang w:val="en-US" w:eastAsia="zh-CN"/>
              </w:rPr>
              <w:t>3</w:t>
            </w:r>
            <w:r>
              <w:rPr>
                <w:rFonts w:hint="eastAsia" w:ascii="宋体" w:hAnsi="宋体" w:eastAsia="宋体" w:cs="宋体"/>
                <w:b/>
                <w:bCs/>
                <w:color w:val="auto"/>
                <w:spacing w:val="4"/>
                <w:sz w:val="21"/>
                <w:szCs w:val="21"/>
                <w:highlight w:val="none"/>
                <w:lang w:val="en-US" w:eastAsia="zh-CN"/>
              </w:rPr>
              <w:t>标本养护实施方案（满分</w:t>
            </w:r>
            <w:r>
              <w:rPr>
                <w:rFonts w:hint="eastAsia" w:cs="宋体"/>
                <w:b/>
                <w:bCs/>
                <w:color w:val="auto"/>
                <w:spacing w:val="4"/>
                <w:sz w:val="21"/>
                <w:szCs w:val="21"/>
                <w:highlight w:val="none"/>
                <w:lang w:val="en-US" w:eastAsia="zh-CN"/>
              </w:rPr>
              <w:t>5</w:t>
            </w:r>
            <w:r>
              <w:rPr>
                <w:rFonts w:hint="eastAsia" w:ascii="宋体" w:hAnsi="宋体" w:eastAsia="宋体" w:cs="宋体"/>
                <w:b/>
                <w:bCs/>
                <w:color w:val="auto"/>
                <w:spacing w:val="4"/>
                <w:sz w:val="21"/>
                <w:szCs w:val="21"/>
                <w:highlight w:val="none"/>
                <w:lang w:val="en-US" w:eastAsia="zh-CN"/>
              </w:rPr>
              <w:t>分）</w:t>
            </w:r>
          </w:p>
        </w:tc>
        <w:tc>
          <w:tcPr>
            <w:tcW w:w="6444" w:type="dxa"/>
            <w:noWrap w:val="0"/>
            <w:vAlign w:val="center"/>
          </w:tcPr>
          <w:p w14:paraId="21BA84C0">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color w:val="auto"/>
                <w:kern w:val="2"/>
                <w:sz w:val="21"/>
                <w:szCs w:val="21"/>
                <w:highlight w:val="none"/>
              </w:rPr>
              <w:t>本项目实施地点为广西桂林花坪国家级自然保护区，需完成290件各类宣教标本养护工作，涵盖鸟类、兽类剥皮类标本、植物蜡叶标本、动植物浸制标本养护，包含标本除尘除霉除虫、修复上色、药液更换、容器维护、药品购置、展厅环境消杀等专项工作。磋商小组对各供应商提供的方案，围绕包含但不限于：①标本养护工作目的、范围、政策依据、实施原则；②分类养护技术路线与作业流程；③</w:t>
            </w:r>
            <w:r>
              <w:rPr>
                <w:rFonts w:hint="eastAsia" w:ascii="宋体" w:hAnsi="宋体" w:cs="宋体"/>
                <w:b w:val="0"/>
                <w:bCs/>
                <w:color w:val="auto"/>
                <w:kern w:val="2"/>
                <w:sz w:val="21"/>
                <w:szCs w:val="21"/>
                <w:highlight w:val="none"/>
                <w:lang w:val="en-US" w:eastAsia="zh-CN"/>
              </w:rPr>
              <w:t>鸟</w:t>
            </w:r>
            <w:r>
              <w:rPr>
                <w:rFonts w:hint="default" w:ascii="宋体" w:hAnsi="宋体" w:eastAsia="宋体" w:cs="宋体"/>
                <w:b w:val="0"/>
                <w:bCs w:val="0"/>
                <w:color w:val="auto"/>
                <w:kern w:val="2"/>
                <w:sz w:val="21"/>
                <w:szCs w:val="21"/>
                <w:highlight w:val="none"/>
                <w:lang w:eastAsia="zh-CN"/>
              </w:rPr>
              <w:t>类、兽类、蜡叶、浸制标本专项养护</w:t>
            </w:r>
            <w:r>
              <w:rPr>
                <w:rFonts w:hint="eastAsia" w:ascii="宋体" w:hAnsi="宋体" w:cs="宋体"/>
                <w:b w:val="0"/>
                <w:bCs w:val="0"/>
                <w:color w:val="auto"/>
                <w:kern w:val="2"/>
                <w:sz w:val="21"/>
                <w:szCs w:val="21"/>
                <w:highlight w:val="none"/>
                <w:lang w:val="en-US" w:eastAsia="zh-CN"/>
              </w:rPr>
              <w:t>的正确操作方法，保护措施和各类标本更换数量需统一完成</w:t>
            </w:r>
            <w:r>
              <w:rPr>
                <w:rFonts w:hint="default" w:ascii="宋体" w:hAnsi="宋体" w:eastAsia="宋体" w:cs="宋体"/>
                <w:b w:val="0"/>
                <w:bCs w:val="0"/>
                <w:color w:val="auto"/>
                <w:kern w:val="2"/>
                <w:sz w:val="21"/>
                <w:szCs w:val="21"/>
                <w:highlight w:val="none"/>
                <w:lang w:eastAsia="zh-CN"/>
              </w:rPr>
              <w:t>；④玻璃瓶浸制标本维护、药液配置、展厅环境消杀管控方法与标准</w:t>
            </w:r>
            <w:r>
              <w:rPr>
                <w:rFonts w:hint="eastAsia" w:ascii="宋体" w:hAnsi="宋体" w:cs="宋体"/>
                <w:b w:val="0"/>
                <w:bCs w:val="0"/>
                <w:color w:val="auto"/>
                <w:kern w:val="2"/>
                <w:sz w:val="21"/>
                <w:szCs w:val="21"/>
                <w:highlight w:val="none"/>
                <w:lang w:val="en-US" w:eastAsia="zh-CN"/>
              </w:rPr>
              <w:t>不能污染环境</w:t>
            </w:r>
            <w:r>
              <w:rPr>
                <w:rFonts w:hint="default" w:ascii="宋体" w:hAnsi="宋体" w:eastAsia="宋体" w:cs="宋体"/>
                <w:b w:val="0"/>
                <w:bCs w:val="0"/>
                <w:color w:val="auto"/>
                <w:kern w:val="2"/>
                <w:sz w:val="21"/>
                <w:szCs w:val="21"/>
                <w:highlight w:val="none"/>
                <w:lang w:eastAsia="zh-CN"/>
              </w:rPr>
              <w:t>；⑤养护设备</w:t>
            </w:r>
            <w:r>
              <w:rPr>
                <w:rFonts w:hint="eastAsia" w:ascii="宋体" w:hAnsi="宋体" w:cs="宋体"/>
                <w:b w:val="0"/>
                <w:bCs w:val="0"/>
                <w:color w:val="auto"/>
                <w:kern w:val="2"/>
                <w:sz w:val="21"/>
                <w:szCs w:val="21"/>
                <w:highlight w:val="none"/>
                <w:lang w:val="en-US" w:eastAsia="zh-CN"/>
              </w:rPr>
              <w:t>替换</w:t>
            </w:r>
            <w:r>
              <w:rPr>
                <w:rFonts w:hint="default" w:ascii="宋体" w:hAnsi="宋体" w:eastAsia="宋体" w:cs="宋体"/>
                <w:b w:val="0"/>
                <w:bCs w:val="0"/>
                <w:color w:val="auto"/>
                <w:kern w:val="2"/>
                <w:sz w:val="21"/>
                <w:szCs w:val="21"/>
                <w:highlight w:val="none"/>
                <w:lang w:eastAsia="zh-CN"/>
              </w:rPr>
              <w:t>、耗材药品配置及质量验收</w:t>
            </w:r>
            <w:r>
              <w:rPr>
                <w:rFonts w:hint="eastAsia" w:ascii="宋体" w:hAnsi="宋体" w:cs="宋体"/>
                <w:b w:val="0"/>
                <w:bCs w:val="0"/>
                <w:color w:val="auto"/>
                <w:kern w:val="2"/>
                <w:sz w:val="21"/>
                <w:szCs w:val="21"/>
                <w:highlight w:val="none"/>
                <w:lang w:val="en-US" w:eastAsia="zh-CN"/>
              </w:rPr>
              <w:t>及时</w:t>
            </w:r>
            <w:r>
              <w:rPr>
                <w:rFonts w:hint="eastAsia" w:ascii="宋体" w:hAnsi="宋体" w:cs="宋体"/>
                <w:b w:val="0"/>
                <w:bCs w:val="0"/>
                <w:color w:val="auto"/>
                <w:kern w:val="2"/>
                <w:sz w:val="21"/>
                <w:szCs w:val="21"/>
                <w:highlight w:val="none"/>
                <w:lang w:eastAsia="zh-CN"/>
              </w:rPr>
              <w:t>。</w:t>
            </w:r>
            <w:r>
              <w:rPr>
                <w:rFonts w:hint="default" w:ascii="宋体" w:hAnsi="宋体" w:eastAsia="宋体" w:cs="宋体"/>
                <w:b w:val="0"/>
                <w:bCs w:val="0"/>
                <w:color w:val="auto"/>
                <w:kern w:val="2"/>
                <w:sz w:val="21"/>
                <w:szCs w:val="21"/>
                <w:highlight w:val="none"/>
                <w:lang w:eastAsia="zh-CN"/>
              </w:rPr>
              <w:t>售后保障</w:t>
            </w:r>
            <w:r>
              <w:rPr>
                <w:rFonts w:hint="eastAsia" w:ascii="宋体" w:hAnsi="宋体" w:cs="宋体"/>
                <w:b w:val="0"/>
                <w:bCs w:val="0"/>
                <w:color w:val="auto"/>
                <w:kern w:val="2"/>
                <w:sz w:val="21"/>
                <w:szCs w:val="21"/>
                <w:highlight w:val="none"/>
                <w:lang w:val="en-US" w:eastAsia="zh-CN"/>
              </w:rPr>
              <w:t>约定期限为三年</w:t>
            </w:r>
            <w:r>
              <w:rPr>
                <w:rFonts w:hint="eastAsia" w:ascii="宋体" w:hAnsi="宋体" w:cs="宋体"/>
                <w:b w:val="0"/>
                <w:bCs w:val="0"/>
                <w:color w:val="auto"/>
                <w:kern w:val="2"/>
                <w:sz w:val="21"/>
                <w:szCs w:val="21"/>
                <w:highlight w:val="none"/>
                <w:lang w:eastAsia="zh-CN"/>
              </w:rPr>
              <w:t>。</w:t>
            </w:r>
          </w:p>
          <w:p w14:paraId="3CA7D000">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420" w:firstLineChars="200"/>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等五项核心评审内容进行综合评审，按档次独立打分：</w:t>
            </w:r>
          </w:p>
          <w:p w14:paraId="5B8A8861">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420" w:firstLineChars="200"/>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一档（</w:t>
            </w:r>
            <w:r>
              <w:rPr>
                <w:rFonts w:hint="eastAsia" w:cs="宋体"/>
                <w:b w:val="0"/>
                <w:bCs/>
                <w:color w:val="auto"/>
                <w:sz w:val="21"/>
                <w:szCs w:val="21"/>
                <w:highlight w:val="none"/>
                <w:lang w:val="en-US" w:eastAsia="zh-CN"/>
              </w:rPr>
              <w:t>1</w:t>
            </w:r>
            <w:r>
              <w:rPr>
                <w:rFonts w:hint="eastAsia" w:ascii="宋体" w:hAnsi="宋体" w:eastAsia="宋体" w:cs="宋体"/>
                <w:b w:val="0"/>
                <w:bCs/>
                <w:color w:val="auto"/>
                <w:sz w:val="21"/>
                <w:szCs w:val="21"/>
                <w:highlight w:val="none"/>
              </w:rPr>
              <w:t>分）：五项评审因素仅有一项内容经评审合理、可行且贴合本项目花坪保护区标本养护专属技术需求，方案通用性强、无项目针对性。</w:t>
            </w:r>
          </w:p>
          <w:p w14:paraId="64E2303B">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420" w:firstLineChars="200"/>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二档（</w:t>
            </w:r>
            <w:r>
              <w:rPr>
                <w:rFonts w:hint="eastAsia"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rPr>
              <w:t>分）：五项评审因素有两项内容经评审合理、可行且贴合本项目花坪保护区标本养护专属技术需求。</w:t>
            </w:r>
          </w:p>
          <w:p w14:paraId="6688A059">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420" w:firstLineChars="200"/>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三档（</w:t>
            </w:r>
            <w:r>
              <w:rPr>
                <w:rFonts w:hint="eastAsia"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rPr>
              <w:t>分）：五项评审因素有三项内容经评审合理、可行且贴合本项目花坪保护区标本养护专属技术需求，方案基本满足基础养护工作要求。</w:t>
            </w:r>
          </w:p>
          <w:p w14:paraId="683A4464">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420" w:firstLineChars="200"/>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四档（</w:t>
            </w:r>
            <w:r>
              <w:rPr>
                <w:rFonts w:hint="eastAsia"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rPr>
              <w:t>分）：五项评审因素有四项内容经评审合理、可行且贴合本项目花坪保护区标本养护专属技术需求，方案内容完善，贴合项目技术参数标准。</w:t>
            </w:r>
          </w:p>
          <w:p w14:paraId="568652B9">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420" w:firstLineChars="200"/>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五档（</w:t>
            </w:r>
            <w:r>
              <w:rPr>
                <w:rFonts w:hint="eastAsia" w:cs="宋体"/>
                <w:b w:val="0"/>
                <w:bCs/>
                <w:color w:val="auto"/>
                <w:sz w:val="21"/>
                <w:szCs w:val="21"/>
                <w:highlight w:val="none"/>
                <w:lang w:val="en-US" w:eastAsia="zh-CN"/>
              </w:rPr>
              <w:t>5</w:t>
            </w:r>
            <w:r>
              <w:rPr>
                <w:rFonts w:hint="eastAsia" w:ascii="宋体" w:hAnsi="宋体" w:eastAsia="宋体" w:cs="宋体"/>
                <w:b w:val="0"/>
                <w:bCs/>
                <w:color w:val="auto"/>
                <w:sz w:val="21"/>
                <w:szCs w:val="21"/>
                <w:highlight w:val="none"/>
              </w:rPr>
              <w:t>分）：五项评审因素内容均完整、合理、可行，针对性、专业性极强。方案完整覆盖鸟类兽类标本除尘除霉、修形上色、义眼更换、毛发羽毛修复，蜡叶标本药物熏蒸，浸制标本药液更换、浓度调控、温湿度避光管控，四种规格玻璃瓶维护、专用药品购置、展厅消杀防</w:t>
            </w:r>
            <w:r>
              <w:rPr>
                <w:rFonts w:hint="eastAsia" w:cs="宋体"/>
                <w:b w:val="0"/>
                <w:bCs/>
                <w:color w:val="auto"/>
                <w:sz w:val="21"/>
                <w:szCs w:val="21"/>
                <w:highlight w:val="none"/>
                <w:lang w:val="en-US" w:eastAsia="zh-CN"/>
              </w:rPr>
              <w:t>腐、防虫</w:t>
            </w:r>
            <w:r>
              <w:rPr>
                <w:rFonts w:hint="eastAsia" w:ascii="宋体" w:hAnsi="宋体" w:eastAsia="宋体" w:cs="宋体"/>
                <w:b w:val="0"/>
                <w:bCs/>
                <w:color w:val="auto"/>
                <w:sz w:val="21"/>
                <w:szCs w:val="21"/>
                <w:highlight w:val="none"/>
              </w:rPr>
              <w:t>等全部项目专属技术参数，养护流程标准化、质量管控体系完善，完全符合本项目技术要求及行业标本养护规范。</w:t>
            </w:r>
          </w:p>
          <w:p w14:paraId="630B84E7">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422"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bCs w:val="0"/>
                <w:color w:val="auto"/>
                <w:sz w:val="21"/>
                <w:szCs w:val="21"/>
                <w:highlight w:val="none"/>
              </w:rPr>
              <w:t>注：未提供专项实施方案或不符合最低入档条件的按不入档计0分。</w:t>
            </w:r>
          </w:p>
        </w:tc>
      </w:tr>
      <w:tr w14:paraId="19145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5" w:hRule="atLeast"/>
          <w:jc w:val="center"/>
        </w:trPr>
        <w:tc>
          <w:tcPr>
            <w:tcW w:w="900" w:type="dxa"/>
            <w:vMerge w:val="continue"/>
            <w:noWrap w:val="0"/>
            <w:vAlign w:val="center"/>
          </w:tcPr>
          <w:p w14:paraId="4E2B57A5">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p>
        </w:tc>
        <w:tc>
          <w:tcPr>
            <w:tcW w:w="1451" w:type="dxa"/>
            <w:vMerge w:val="continue"/>
            <w:noWrap w:val="0"/>
            <w:vAlign w:val="center"/>
          </w:tcPr>
          <w:p w14:paraId="6B06DCFE">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p>
        </w:tc>
        <w:tc>
          <w:tcPr>
            <w:tcW w:w="1534" w:type="dxa"/>
            <w:noWrap w:val="0"/>
            <w:vAlign w:val="center"/>
          </w:tcPr>
          <w:p w14:paraId="58DF5BC1">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2.</w:t>
            </w:r>
            <w:r>
              <w:rPr>
                <w:rFonts w:hint="eastAsia" w:cs="宋体"/>
                <w:b/>
                <w:bCs/>
                <w:color w:val="auto"/>
                <w:spacing w:val="4"/>
                <w:sz w:val="21"/>
                <w:szCs w:val="21"/>
                <w:highlight w:val="none"/>
                <w:lang w:val="en-US" w:eastAsia="zh-CN"/>
              </w:rPr>
              <w:t>4</w:t>
            </w:r>
            <w:r>
              <w:rPr>
                <w:rFonts w:hint="eastAsia" w:ascii="宋体" w:hAnsi="宋体" w:eastAsia="宋体" w:cs="宋体"/>
                <w:b/>
                <w:bCs/>
                <w:color w:val="auto"/>
                <w:spacing w:val="4"/>
                <w:sz w:val="21"/>
                <w:szCs w:val="21"/>
                <w:highlight w:val="none"/>
                <w:lang w:val="en-US" w:eastAsia="zh-CN"/>
              </w:rPr>
              <w:t>质量保障措施（满分10分）</w:t>
            </w:r>
          </w:p>
        </w:tc>
        <w:tc>
          <w:tcPr>
            <w:tcW w:w="6444" w:type="dxa"/>
            <w:noWrap w:val="0"/>
            <w:vAlign w:val="center"/>
          </w:tcPr>
          <w:p w14:paraId="2D52C72C">
            <w:pPr>
              <w:pStyle w:val="56"/>
              <w:keepNext w:val="0"/>
              <w:keepLines w:val="0"/>
              <w:pageBreakBefore w:val="0"/>
              <w:widowControl w:val="0"/>
              <w:suppressLineNumbers w:val="0"/>
              <w:kinsoku/>
              <w:wordWrap/>
              <w:overflowPunct/>
              <w:topLinePunct w:val="0"/>
              <w:autoSpaceDE/>
              <w:autoSpaceDN/>
              <w:bidi w:val="0"/>
              <w:spacing w:before="170" w:beforeAutospacing="0" w:after="0" w:afterAutospacing="0" w:line="360" w:lineRule="exact"/>
              <w:ind w:left="0" w:right="109" w:firstLine="464" w:firstLineChars="200"/>
              <w:textAlignment w:val="auto"/>
              <w:rPr>
                <w:rFonts w:hint="eastAsia" w:ascii="宋体" w:hAnsi="宋体" w:eastAsia="宋体" w:cs="宋体"/>
                <w:color w:val="auto"/>
                <w:spacing w:val="11"/>
                <w:sz w:val="21"/>
                <w:szCs w:val="21"/>
                <w:highlight w:val="none"/>
              </w:rPr>
            </w:pPr>
            <w:r>
              <w:rPr>
                <w:rFonts w:hint="eastAsia" w:ascii="宋体" w:hAnsi="宋体" w:eastAsia="宋体" w:cs="宋体"/>
                <w:color w:val="auto"/>
                <w:spacing w:val="11"/>
                <w:sz w:val="21"/>
                <w:szCs w:val="21"/>
                <w:highlight w:val="none"/>
              </w:rPr>
              <w:t>磋商小组根据各供应商提供的</w:t>
            </w:r>
            <w:r>
              <w:rPr>
                <w:rFonts w:hint="eastAsia" w:ascii="宋体" w:hAnsi="宋体" w:eastAsia="宋体" w:cs="宋体"/>
                <w:color w:val="auto"/>
                <w:spacing w:val="11"/>
                <w:sz w:val="21"/>
                <w:szCs w:val="21"/>
                <w:highlight w:val="none"/>
                <w:lang w:val="en-US" w:eastAsia="zh-CN"/>
              </w:rPr>
              <w:t>质量保证措施中“包含但不限于：①三级质量核查管控体系</w:t>
            </w:r>
            <w:r>
              <w:rPr>
                <w:rFonts w:hint="eastAsia" w:ascii="宋体" w:hAnsi="宋体" w:eastAsia="宋体" w:cs="宋体"/>
                <w:color w:val="auto"/>
                <w:spacing w:val="11"/>
                <w:sz w:val="21"/>
                <w:szCs w:val="21"/>
                <w:highlight w:val="none"/>
              </w:rPr>
              <w:t>；②</w:t>
            </w:r>
            <w:r>
              <w:rPr>
                <w:rFonts w:hint="eastAsia" w:ascii="宋体" w:hAnsi="宋体" w:eastAsia="宋体" w:cs="宋体"/>
                <w:color w:val="auto"/>
                <w:spacing w:val="11"/>
                <w:sz w:val="21"/>
                <w:szCs w:val="21"/>
                <w:highlight w:val="none"/>
                <w:lang w:val="en-US" w:eastAsia="zh-CN"/>
              </w:rPr>
              <w:t>花坪保护区野外作业安全保障方案</w:t>
            </w:r>
            <w:r>
              <w:rPr>
                <w:rFonts w:hint="eastAsia" w:ascii="宋体" w:hAnsi="宋体" w:eastAsia="宋体" w:cs="宋体"/>
                <w:color w:val="auto"/>
                <w:spacing w:val="11"/>
                <w:sz w:val="21"/>
                <w:szCs w:val="21"/>
                <w:highlight w:val="none"/>
              </w:rPr>
              <w:t>；③</w:t>
            </w:r>
            <w:r>
              <w:rPr>
                <w:rFonts w:hint="eastAsia" w:ascii="宋体" w:hAnsi="宋体" w:eastAsia="宋体" w:cs="宋体"/>
                <w:color w:val="auto"/>
                <w:spacing w:val="11"/>
                <w:sz w:val="21"/>
                <w:szCs w:val="21"/>
                <w:highlight w:val="none"/>
                <w:lang w:val="en-US" w:eastAsia="zh-CN"/>
              </w:rPr>
              <w:t>普查数据与成果保密管理措施”</w:t>
            </w:r>
            <w:r>
              <w:rPr>
                <w:rFonts w:hint="eastAsia" w:ascii="宋体" w:hAnsi="宋体" w:eastAsia="宋体" w:cs="宋体"/>
                <w:color w:val="auto"/>
                <w:spacing w:val="11"/>
                <w:sz w:val="21"/>
                <w:szCs w:val="21"/>
                <w:highlight w:val="none"/>
              </w:rPr>
              <w:t>等内容进行综合评审，并独立打分：</w:t>
            </w:r>
          </w:p>
          <w:p w14:paraId="463905EE">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一档</w:t>
            </w:r>
            <w:r>
              <w:rPr>
                <w:rFonts w:hint="eastAsia" w:ascii="宋体" w:hAnsi="宋体" w:eastAsia="宋体" w:cs="宋体"/>
                <w:color w:val="auto"/>
                <w:spacing w:val="11"/>
                <w:kern w:val="2"/>
                <w:sz w:val="21"/>
                <w:szCs w:val="21"/>
                <w:highlight w:val="none"/>
                <w:lang w:val="en-US" w:eastAsia="zh-CN" w:bidi="ar-SA"/>
              </w:rPr>
              <w:t>（3</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）：三</w:t>
            </w:r>
            <w:r>
              <w:rPr>
                <w:rFonts w:hint="eastAsia" w:ascii="宋体" w:hAnsi="宋体" w:eastAsia="宋体" w:cs="宋体"/>
                <w:color w:val="auto"/>
                <w:spacing w:val="11"/>
                <w:kern w:val="2"/>
                <w:sz w:val="21"/>
                <w:szCs w:val="21"/>
                <w:highlight w:val="none"/>
                <w:lang w:val="en-US" w:eastAsia="en-US" w:bidi="ar-SA"/>
              </w:rPr>
              <w:t>项评审因素有一项内容经评审合理、可行且具有</w:t>
            </w:r>
            <w:r>
              <w:rPr>
                <w:rFonts w:hint="eastAsia" w:ascii="宋体" w:hAnsi="宋体" w:eastAsia="宋体" w:cs="宋体"/>
                <w:color w:val="auto"/>
                <w:spacing w:val="11"/>
                <w:kern w:val="2"/>
                <w:sz w:val="21"/>
                <w:szCs w:val="21"/>
                <w:highlight w:val="none"/>
                <w:lang w:val="en-US" w:eastAsia="zh-CN" w:bidi="ar-SA"/>
              </w:rPr>
              <w:t>针对性</w:t>
            </w:r>
            <w:r>
              <w:rPr>
                <w:rFonts w:hint="eastAsia" w:ascii="宋体" w:hAnsi="宋体" w:eastAsia="宋体" w:cs="宋体"/>
                <w:color w:val="auto"/>
                <w:spacing w:val="11"/>
                <w:kern w:val="2"/>
                <w:sz w:val="21"/>
                <w:szCs w:val="21"/>
                <w:highlight w:val="none"/>
                <w:lang w:val="en-US" w:eastAsia="en-US" w:bidi="ar-SA"/>
              </w:rPr>
              <w:t>。</w:t>
            </w:r>
          </w:p>
          <w:p w14:paraId="5541775B">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二档</w:t>
            </w:r>
            <w:r>
              <w:rPr>
                <w:rFonts w:hint="eastAsia" w:ascii="宋体" w:hAnsi="宋体" w:eastAsia="宋体" w:cs="宋体"/>
                <w:color w:val="auto"/>
                <w:spacing w:val="11"/>
                <w:kern w:val="2"/>
                <w:sz w:val="21"/>
                <w:szCs w:val="21"/>
                <w:highlight w:val="none"/>
                <w:lang w:val="en-US" w:eastAsia="zh-CN" w:bidi="ar-SA"/>
              </w:rPr>
              <w:t>（7</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）：三</w:t>
            </w:r>
            <w:r>
              <w:rPr>
                <w:rFonts w:hint="eastAsia" w:ascii="宋体" w:hAnsi="宋体" w:eastAsia="宋体" w:cs="宋体"/>
                <w:color w:val="auto"/>
                <w:spacing w:val="11"/>
                <w:kern w:val="2"/>
                <w:sz w:val="21"/>
                <w:szCs w:val="21"/>
                <w:highlight w:val="none"/>
                <w:lang w:val="en-US" w:eastAsia="en-US" w:bidi="ar-SA"/>
              </w:rPr>
              <w:t>项评审因素有</w:t>
            </w:r>
            <w:r>
              <w:rPr>
                <w:rFonts w:hint="eastAsia" w:ascii="宋体" w:hAnsi="宋体" w:eastAsia="宋体" w:cs="宋体"/>
                <w:color w:val="auto"/>
                <w:spacing w:val="11"/>
                <w:kern w:val="2"/>
                <w:sz w:val="21"/>
                <w:szCs w:val="21"/>
                <w:highlight w:val="none"/>
                <w:lang w:val="en-US" w:eastAsia="zh-CN" w:bidi="ar-SA"/>
              </w:rPr>
              <w:t>两项</w:t>
            </w:r>
            <w:r>
              <w:rPr>
                <w:rFonts w:hint="eastAsia" w:ascii="宋体" w:hAnsi="宋体" w:eastAsia="宋体" w:cs="宋体"/>
                <w:color w:val="auto"/>
                <w:spacing w:val="11"/>
                <w:kern w:val="2"/>
                <w:sz w:val="21"/>
                <w:szCs w:val="21"/>
                <w:highlight w:val="none"/>
                <w:lang w:val="en-US" w:eastAsia="en-US" w:bidi="ar-SA"/>
              </w:rPr>
              <w:t>内容经评审合理、可行且具有针对性</w:t>
            </w:r>
            <w:r>
              <w:rPr>
                <w:rFonts w:hint="eastAsia" w:ascii="宋体" w:hAnsi="宋体" w:eastAsia="宋体" w:cs="宋体"/>
                <w:color w:val="auto"/>
                <w:spacing w:val="11"/>
                <w:kern w:val="2"/>
                <w:sz w:val="21"/>
                <w:szCs w:val="21"/>
                <w:highlight w:val="none"/>
                <w:lang w:val="en-US" w:eastAsia="zh-CN" w:bidi="ar-SA"/>
              </w:rPr>
              <w:t>。</w:t>
            </w:r>
          </w:p>
          <w:p w14:paraId="6AA0FAA4">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kern w:val="2"/>
                <w:sz w:val="21"/>
                <w:szCs w:val="21"/>
                <w:highlight w:val="none"/>
                <w:lang w:val="en-US" w:eastAsia="en-US" w:bidi="ar-SA"/>
              </w:rPr>
              <w:t>三档</w:t>
            </w:r>
            <w:r>
              <w:rPr>
                <w:rFonts w:hint="eastAsia" w:ascii="宋体" w:hAnsi="宋体" w:eastAsia="宋体" w:cs="宋体"/>
                <w:color w:val="auto"/>
                <w:spacing w:val="11"/>
                <w:kern w:val="2"/>
                <w:sz w:val="21"/>
                <w:szCs w:val="21"/>
                <w:highlight w:val="none"/>
                <w:lang w:val="en-US" w:eastAsia="zh-CN" w:bidi="ar-SA"/>
              </w:rPr>
              <w:t>（10</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）：三</w:t>
            </w:r>
            <w:r>
              <w:rPr>
                <w:rFonts w:hint="eastAsia" w:ascii="宋体" w:hAnsi="宋体" w:eastAsia="宋体" w:cs="宋体"/>
                <w:color w:val="auto"/>
                <w:spacing w:val="11"/>
                <w:kern w:val="2"/>
                <w:sz w:val="21"/>
                <w:szCs w:val="21"/>
                <w:highlight w:val="none"/>
                <w:lang w:val="en-US" w:eastAsia="en-US" w:bidi="ar-SA"/>
              </w:rPr>
              <w:t>项评审因素内容经评审合理、可行且具有</w:t>
            </w:r>
            <w:r>
              <w:rPr>
                <w:rFonts w:hint="eastAsia" w:ascii="宋体" w:hAnsi="宋体" w:eastAsia="宋体" w:cs="宋体"/>
                <w:color w:val="auto"/>
                <w:spacing w:val="11"/>
                <w:kern w:val="2"/>
                <w:sz w:val="21"/>
                <w:szCs w:val="21"/>
                <w:highlight w:val="none"/>
                <w:lang w:val="en-US" w:eastAsia="zh-CN" w:bidi="ar-SA"/>
              </w:rPr>
              <w:t>针对性。</w:t>
            </w:r>
          </w:p>
          <w:p w14:paraId="3E521C27">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r>
              <w:rPr>
                <w:rFonts w:hint="eastAsia" w:ascii="宋体" w:hAnsi="宋体" w:eastAsia="宋体" w:cs="宋体"/>
                <w:b/>
                <w:color w:val="auto"/>
                <w:kern w:val="0"/>
                <w:sz w:val="21"/>
                <w:szCs w:val="21"/>
                <w:highlight w:val="none"/>
              </w:rPr>
              <w:t>注：未提供或不符合最低入档条件的按不入档计0分</w:t>
            </w:r>
            <w:r>
              <w:rPr>
                <w:rFonts w:hint="eastAsia" w:ascii="宋体" w:hAnsi="宋体" w:eastAsia="宋体" w:cs="宋体"/>
                <w:b/>
                <w:color w:val="auto"/>
                <w:sz w:val="21"/>
                <w:szCs w:val="21"/>
                <w:highlight w:val="none"/>
              </w:rPr>
              <w:t>。</w:t>
            </w:r>
          </w:p>
        </w:tc>
      </w:tr>
      <w:tr w14:paraId="68A85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noWrap w:val="0"/>
            <w:vAlign w:val="center"/>
          </w:tcPr>
          <w:p w14:paraId="01458B68">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p>
        </w:tc>
        <w:tc>
          <w:tcPr>
            <w:tcW w:w="1451" w:type="dxa"/>
            <w:vMerge w:val="continue"/>
            <w:noWrap w:val="0"/>
            <w:vAlign w:val="center"/>
          </w:tcPr>
          <w:p w14:paraId="714888F0">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p>
        </w:tc>
        <w:tc>
          <w:tcPr>
            <w:tcW w:w="1534" w:type="dxa"/>
            <w:noWrap w:val="0"/>
            <w:vAlign w:val="center"/>
          </w:tcPr>
          <w:p w14:paraId="0026180A">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2.</w:t>
            </w:r>
            <w:r>
              <w:rPr>
                <w:rFonts w:hint="eastAsia" w:cs="宋体"/>
                <w:b/>
                <w:bCs/>
                <w:color w:val="auto"/>
                <w:spacing w:val="4"/>
                <w:sz w:val="21"/>
                <w:szCs w:val="21"/>
                <w:highlight w:val="none"/>
                <w:lang w:val="en-US" w:eastAsia="zh-CN"/>
              </w:rPr>
              <w:t>5</w:t>
            </w:r>
            <w:r>
              <w:rPr>
                <w:rFonts w:hint="eastAsia" w:ascii="宋体" w:hAnsi="宋体" w:eastAsia="宋体" w:cs="宋体"/>
                <w:b/>
                <w:bCs/>
                <w:color w:val="auto"/>
                <w:spacing w:val="4"/>
                <w:sz w:val="21"/>
                <w:szCs w:val="21"/>
                <w:highlight w:val="none"/>
                <w:lang w:val="en-US" w:eastAsia="zh-CN"/>
              </w:rPr>
              <w:t>进度与安全保障（满分</w:t>
            </w:r>
            <w:r>
              <w:rPr>
                <w:rFonts w:hint="eastAsia" w:cs="宋体"/>
                <w:b/>
                <w:bCs/>
                <w:color w:val="auto"/>
                <w:spacing w:val="4"/>
                <w:sz w:val="21"/>
                <w:szCs w:val="21"/>
                <w:highlight w:val="none"/>
                <w:lang w:val="en-US" w:eastAsia="zh-CN"/>
              </w:rPr>
              <w:t>10</w:t>
            </w:r>
            <w:r>
              <w:rPr>
                <w:rFonts w:hint="eastAsia" w:ascii="宋体" w:hAnsi="宋体" w:eastAsia="宋体" w:cs="宋体"/>
                <w:b/>
                <w:bCs/>
                <w:color w:val="auto"/>
                <w:spacing w:val="4"/>
                <w:sz w:val="21"/>
                <w:szCs w:val="21"/>
                <w:highlight w:val="none"/>
                <w:lang w:val="en-US" w:eastAsia="zh-CN"/>
              </w:rPr>
              <w:t>分）</w:t>
            </w:r>
          </w:p>
        </w:tc>
        <w:tc>
          <w:tcPr>
            <w:tcW w:w="6444" w:type="dxa"/>
            <w:noWrap w:val="0"/>
            <w:vAlign w:val="center"/>
          </w:tcPr>
          <w:p w14:paraId="5596DDE9">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zh-CN" w:bidi="ar-SA"/>
              </w:rPr>
            </w:pPr>
            <w:r>
              <w:rPr>
                <w:rFonts w:hint="eastAsia" w:ascii="宋体" w:hAnsi="宋体" w:eastAsia="宋体" w:cs="宋体"/>
                <w:color w:val="auto"/>
                <w:spacing w:val="11"/>
                <w:kern w:val="2"/>
                <w:sz w:val="21"/>
                <w:szCs w:val="21"/>
                <w:highlight w:val="none"/>
                <w:lang w:val="en-US" w:eastAsia="en-US" w:bidi="ar-SA"/>
              </w:rPr>
              <w:t>磋商小组根据各供应商提供的项目工作方案</w:t>
            </w:r>
            <w:r>
              <w:rPr>
                <w:rFonts w:hint="eastAsia" w:ascii="宋体" w:hAnsi="宋体" w:eastAsia="宋体" w:cs="宋体"/>
                <w:color w:val="auto"/>
                <w:spacing w:val="11"/>
                <w:kern w:val="2"/>
                <w:sz w:val="21"/>
                <w:szCs w:val="21"/>
                <w:highlight w:val="none"/>
                <w:lang w:val="en-US" w:eastAsia="zh-CN" w:bidi="ar-SA"/>
              </w:rPr>
              <w:t>中“包含但不限于：①全周期进度排布</w:t>
            </w:r>
            <w:r>
              <w:rPr>
                <w:rFonts w:hint="eastAsia" w:ascii="宋体" w:hAnsi="宋体" w:eastAsia="宋体" w:cs="宋体"/>
                <w:color w:val="auto"/>
                <w:spacing w:val="11"/>
                <w:kern w:val="2"/>
                <w:sz w:val="21"/>
                <w:szCs w:val="21"/>
                <w:highlight w:val="none"/>
                <w:lang w:val="en-US" w:eastAsia="en-US" w:bidi="ar-SA"/>
              </w:rPr>
              <w:t>；②</w:t>
            </w:r>
            <w:r>
              <w:rPr>
                <w:rFonts w:hint="eastAsia" w:ascii="宋体" w:hAnsi="宋体" w:eastAsia="宋体" w:cs="宋体"/>
                <w:color w:val="auto"/>
                <w:spacing w:val="11"/>
                <w:kern w:val="2"/>
                <w:sz w:val="21"/>
                <w:szCs w:val="21"/>
                <w:highlight w:val="none"/>
                <w:lang w:val="en-US" w:eastAsia="zh-CN" w:bidi="ar-SA"/>
              </w:rPr>
              <w:t>工期延误防控保障措施</w:t>
            </w:r>
            <w:r>
              <w:rPr>
                <w:rFonts w:hint="eastAsia" w:ascii="宋体" w:hAnsi="宋体" w:eastAsia="宋体" w:cs="宋体"/>
                <w:color w:val="auto"/>
                <w:spacing w:val="11"/>
                <w:kern w:val="2"/>
                <w:sz w:val="21"/>
                <w:szCs w:val="21"/>
                <w:highlight w:val="none"/>
                <w:lang w:val="en-US" w:eastAsia="en-US" w:bidi="ar-SA"/>
              </w:rPr>
              <w:t>；③</w:t>
            </w:r>
            <w:r>
              <w:rPr>
                <w:rFonts w:hint="eastAsia" w:ascii="宋体" w:hAnsi="宋体" w:eastAsia="宋体" w:cs="宋体"/>
                <w:color w:val="auto"/>
                <w:spacing w:val="11"/>
                <w:kern w:val="2"/>
                <w:sz w:val="21"/>
                <w:szCs w:val="21"/>
                <w:highlight w:val="none"/>
                <w:lang w:val="en-US" w:eastAsia="zh-CN" w:bidi="ar-SA"/>
              </w:rPr>
              <w:t>野外作业安全管理制度；</w:t>
            </w:r>
            <w:r>
              <w:rPr>
                <w:rFonts w:hint="eastAsia" w:ascii="宋体" w:hAnsi="宋体" w:eastAsia="宋体" w:cs="宋体"/>
                <w:color w:val="auto"/>
                <w:spacing w:val="11"/>
                <w:kern w:val="2"/>
                <w:sz w:val="21"/>
                <w:szCs w:val="21"/>
                <w:highlight w:val="none"/>
                <w:lang w:val="en-US" w:eastAsia="en-US" w:bidi="ar-SA"/>
              </w:rPr>
              <w:t>④</w:t>
            </w:r>
            <w:r>
              <w:rPr>
                <w:rFonts w:hint="eastAsia" w:ascii="宋体" w:hAnsi="宋体" w:eastAsia="宋体" w:cs="宋体"/>
                <w:color w:val="auto"/>
                <w:spacing w:val="11"/>
                <w:kern w:val="2"/>
                <w:sz w:val="21"/>
                <w:szCs w:val="21"/>
                <w:highlight w:val="none"/>
                <w:lang w:val="en-US" w:eastAsia="zh-CN" w:bidi="ar-SA"/>
              </w:rPr>
              <w:t>野外作业安全管理制度；</w:t>
            </w:r>
            <w:r>
              <w:rPr>
                <w:rFonts w:hint="eastAsia" w:ascii="宋体" w:hAnsi="宋体" w:eastAsia="宋体" w:cs="宋体"/>
                <w:color w:val="auto"/>
                <w:spacing w:val="11"/>
                <w:kern w:val="2"/>
                <w:sz w:val="21"/>
                <w:szCs w:val="21"/>
                <w:highlight w:val="none"/>
                <w:lang w:val="en-US" w:eastAsia="en-US" w:bidi="ar-SA"/>
              </w:rPr>
              <w:t>⑤</w:t>
            </w:r>
            <w:r>
              <w:rPr>
                <w:rFonts w:hint="eastAsia" w:ascii="宋体" w:hAnsi="宋体" w:eastAsia="宋体" w:cs="宋体"/>
                <w:color w:val="auto"/>
                <w:spacing w:val="11"/>
                <w:kern w:val="2"/>
                <w:sz w:val="21"/>
                <w:szCs w:val="21"/>
                <w:highlight w:val="none"/>
                <w:lang w:val="en-US" w:eastAsia="zh-CN" w:bidi="ar-SA"/>
              </w:rPr>
              <w:t>安全事故应急处置预案”</w:t>
            </w:r>
            <w:r>
              <w:rPr>
                <w:rFonts w:hint="eastAsia" w:ascii="宋体" w:hAnsi="宋体" w:eastAsia="宋体" w:cs="宋体"/>
                <w:color w:val="auto"/>
                <w:spacing w:val="11"/>
                <w:kern w:val="2"/>
                <w:sz w:val="21"/>
                <w:szCs w:val="21"/>
                <w:highlight w:val="none"/>
                <w:lang w:val="en-US" w:eastAsia="en-US" w:bidi="ar-SA"/>
              </w:rPr>
              <w:t>等内容进行综合评审，并独立打分：</w:t>
            </w:r>
          </w:p>
          <w:p w14:paraId="1EC93C9B">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一档</w:t>
            </w:r>
            <w:r>
              <w:rPr>
                <w:rFonts w:hint="eastAsia" w:ascii="宋体" w:hAnsi="宋体" w:eastAsia="宋体" w:cs="宋体"/>
                <w:color w:val="auto"/>
                <w:spacing w:val="11"/>
                <w:kern w:val="2"/>
                <w:sz w:val="21"/>
                <w:szCs w:val="21"/>
                <w:highlight w:val="none"/>
                <w:lang w:val="en-US" w:eastAsia="zh-CN" w:bidi="ar-SA"/>
              </w:rPr>
              <w:t>（2</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eastAsia="宋体" w:cs="宋体"/>
                <w:color w:val="auto"/>
                <w:spacing w:val="11"/>
                <w:kern w:val="2"/>
                <w:sz w:val="21"/>
                <w:szCs w:val="21"/>
                <w:highlight w:val="none"/>
                <w:lang w:val="en-US" w:eastAsia="en-US" w:bidi="ar-SA"/>
              </w:rPr>
              <w:t>五项评审因素有一项内容经评审合理、可行且具有</w:t>
            </w:r>
            <w:r>
              <w:rPr>
                <w:rFonts w:hint="eastAsia" w:ascii="宋体" w:hAnsi="宋体" w:eastAsia="宋体" w:cs="宋体"/>
                <w:color w:val="auto"/>
                <w:spacing w:val="11"/>
                <w:kern w:val="2"/>
                <w:sz w:val="21"/>
                <w:szCs w:val="21"/>
                <w:highlight w:val="none"/>
                <w:lang w:val="en-US" w:eastAsia="zh-CN" w:bidi="ar-SA"/>
              </w:rPr>
              <w:t>针对性</w:t>
            </w:r>
            <w:r>
              <w:rPr>
                <w:rFonts w:hint="eastAsia" w:ascii="宋体" w:hAnsi="宋体" w:eastAsia="宋体" w:cs="宋体"/>
                <w:color w:val="auto"/>
                <w:spacing w:val="11"/>
                <w:kern w:val="2"/>
                <w:sz w:val="21"/>
                <w:szCs w:val="21"/>
                <w:highlight w:val="none"/>
                <w:lang w:val="en-US" w:eastAsia="en-US" w:bidi="ar-SA"/>
              </w:rPr>
              <w:t>。</w:t>
            </w:r>
          </w:p>
          <w:p w14:paraId="61CFA8A7">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二档</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cs="宋体"/>
                <w:color w:val="auto"/>
                <w:spacing w:val="11"/>
                <w:kern w:val="2"/>
                <w:sz w:val="21"/>
                <w:szCs w:val="21"/>
                <w:highlight w:val="none"/>
                <w:lang w:val="en-US" w:eastAsia="zh-CN" w:bidi="ar-SA"/>
              </w:rPr>
              <w:t>4</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eastAsia="宋体" w:cs="宋体"/>
                <w:color w:val="auto"/>
                <w:spacing w:val="11"/>
                <w:kern w:val="2"/>
                <w:sz w:val="21"/>
                <w:szCs w:val="21"/>
                <w:highlight w:val="none"/>
                <w:lang w:val="en-US" w:eastAsia="en-US" w:bidi="ar-SA"/>
              </w:rPr>
              <w:t>五项评审因素有</w:t>
            </w:r>
            <w:r>
              <w:rPr>
                <w:rFonts w:hint="eastAsia" w:ascii="宋体" w:hAnsi="宋体" w:eastAsia="宋体" w:cs="宋体"/>
                <w:color w:val="auto"/>
                <w:spacing w:val="11"/>
                <w:kern w:val="2"/>
                <w:sz w:val="21"/>
                <w:szCs w:val="21"/>
                <w:highlight w:val="none"/>
                <w:lang w:val="en-US" w:eastAsia="zh-CN" w:bidi="ar-SA"/>
              </w:rPr>
              <w:t>两</w:t>
            </w:r>
            <w:r>
              <w:rPr>
                <w:rFonts w:hint="eastAsia" w:ascii="宋体" w:hAnsi="宋体" w:eastAsia="宋体" w:cs="宋体"/>
                <w:color w:val="auto"/>
                <w:spacing w:val="11"/>
                <w:kern w:val="2"/>
                <w:sz w:val="21"/>
                <w:szCs w:val="21"/>
                <w:highlight w:val="none"/>
                <w:lang w:val="en-US" w:eastAsia="en-US" w:bidi="ar-SA"/>
              </w:rPr>
              <w:t>项内容经评审合理、可行且具有针对性</w:t>
            </w:r>
            <w:r>
              <w:rPr>
                <w:rFonts w:hint="eastAsia" w:ascii="宋体" w:hAnsi="宋体" w:eastAsia="宋体" w:cs="宋体"/>
                <w:color w:val="auto"/>
                <w:spacing w:val="11"/>
                <w:kern w:val="2"/>
                <w:sz w:val="21"/>
                <w:szCs w:val="21"/>
                <w:highlight w:val="none"/>
                <w:lang w:val="en-US" w:eastAsia="zh-CN" w:bidi="ar-SA"/>
              </w:rPr>
              <w:t>。</w:t>
            </w:r>
          </w:p>
          <w:p w14:paraId="744D2754">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三档</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cs="宋体"/>
                <w:color w:val="auto"/>
                <w:spacing w:val="11"/>
                <w:kern w:val="2"/>
                <w:sz w:val="21"/>
                <w:szCs w:val="21"/>
                <w:highlight w:val="none"/>
                <w:lang w:val="en-US" w:eastAsia="zh-CN" w:bidi="ar-SA"/>
              </w:rPr>
              <w:t>6</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eastAsia="宋体" w:cs="宋体"/>
                <w:color w:val="auto"/>
                <w:spacing w:val="11"/>
                <w:kern w:val="2"/>
                <w:sz w:val="21"/>
                <w:szCs w:val="21"/>
                <w:highlight w:val="none"/>
                <w:lang w:val="en-US" w:eastAsia="en-US" w:bidi="ar-SA"/>
              </w:rPr>
              <w:t>五项评审因素有三项内容经评审合理、可行且具有针对性</w:t>
            </w:r>
            <w:r>
              <w:rPr>
                <w:rFonts w:hint="eastAsia" w:ascii="宋体" w:hAnsi="宋体" w:eastAsia="宋体" w:cs="宋体"/>
                <w:color w:val="auto"/>
                <w:spacing w:val="11"/>
                <w:kern w:val="2"/>
                <w:sz w:val="21"/>
                <w:szCs w:val="21"/>
                <w:highlight w:val="none"/>
                <w:lang w:val="en-US" w:eastAsia="zh-CN" w:bidi="ar-SA"/>
              </w:rPr>
              <w:t>。</w:t>
            </w:r>
          </w:p>
          <w:p w14:paraId="0B22BC6F">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四档</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cs="宋体"/>
                <w:color w:val="auto"/>
                <w:spacing w:val="11"/>
                <w:kern w:val="2"/>
                <w:sz w:val="21"/>
                <w:szCs w:val="21"/>
                <w:highlight w:val="none"/>
                <w:lang w:val="en-US" w:eastAsia="zh-CN" w:bidi="ar-SA"/>
              </w:rPr>
              <w:t>8</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eastAsia="宋体" w:cs="宋体"/>
                <w:color w:val="auto"/>
                <w:spacing w:val="11"/>
                <w:kern w:val="2"/>
                <w:sz w:val="21"/>
                <w:szCs w:val="21"/>
                <w:highlight w:val="none"/>
                <w:lang w:val="en-US" w:eastAsia="en-US" w:bidi="ar-SA"/>
              </w:rPr>
              <w:t>五项评审因素有四项内容经评审合理、可行且具有</w:t>
            </w:r>
            <w:r>
              <w:rPr>
                <w:rFonts w:hint="eastAsia" w:ascii="宋体" w:hAnsi="宋体" w:eastAsia="宋体" w:cs="宋体"/>
                <w:color w:val="auto"/>
                <w:spacing w:val="11"/>
                <w:kern w:val="2"/>
                <w:sz w:val="21"/>
                <w:szCs w:val="21"/>
                <w:highlight w:val="none"/>
                <w:lang w:val="en-US" w:eastAsia="zh-CN" w:bidi="ar-SA"/>
              </w:rPr>
              <w:t>针对性</w:t>
            </w:r>
            <w:r>
              <w:rPr>
                <w:rFonts w:hint="eastAsia" w:ascii="宋体" w:hAnsi="宋体" w:eastAsia="宋体" w:cs="宋体"/>
                <w:color w:val="auto"/>
                <w:spacing w:val="11"/>
                <w:kern w:val="2"/>
                <w:sz w:val="21"/>
                <w:szCs w:val="21"/>
                <w:highlight w:val="none"/>
                <w:lang w:val="en-US" w:eastAsia="en-US" w:bidi="ar-SA"/>
              </w:rPr>
              <w:t>。</w:t>
            </w:r>
          </w:p>
          <w:p w14:paraId="35185486">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五档</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cs="宋体"/>
                <w:color w:val="auto"/>
                <w:spacing w:val="11"/>
                <w:kern w:val="2"/>
                <w:sz w:val="21"/>
                <w:szCs w:val="21"/>
                <w:highlight w:val="none"/>
                <w:lang w:val="en-US" w:eastAsia="zh-CN" w:bidi="ar-SA"/>
              </w:rPr>
              <w:t>10</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eastAsia="宋体" w:cs="宋体"/>
                <w:color w:val="auto"/>
                <w:spacing w:val="11"/>
                <w:kern w:val="2"/>
                <w:sz w:val="21"/>
                <w:szCs w:val="21"/>
                <w:highlight w:val="none"/>
                <w:lang w:val="en-US" w:eastAsia="en-US" w:bidi="ar-SA"/>
              </w:rPr>
              <w:t>：五项评审因素内容经评审均合理、可行且具有</w:t>
            </w:r>
            <w:r>
              <w:rPr>
                <w:rFonts w:hint="eastAsia" w:ascii="宋体" w:hAnsi="宋体" w:eastAsia="宋体" w:cs="宋体"/>
                <w:color w:val="auto"/>
                <w:spacing w:val="11"/>
                <w:kern w:val="2"/>
                <w:sz w:val="21"/>
                <w:szCs w:val="21"/>
                <w:highlight w:val="none"/>
                <w:lang w:val="en-US" w:eastAsia="zh-CN" w:bidi="ar-SA"/>
              </w:rPr>
              <w:t>针对性</w:t>
            </w:r>
            <w:r>
              <w:rPr>
                <w:rFonts w:hint="eastAsia" w:ascii="宋体" w:hAnsi="宋体" w:eastAsia="宋体" w:cs="宋体"/>
                <w:color w:val="auto"/>
                <w:spacing w:val="11"/>
                <w:kern w:val="2"/>
                <w:sz w:val="21"/>
                <w:szCs w:val="21"/>
                <w:highlight w:val="none"/>
                <w:lang w:val="en-US" w:eastAsia="en-US" w:bidi="ar-SA"/>
              </w:rPr>
              <w:t>。</w:t>
            </w:r>
          </w:p>
          <w:p w14:paraId="5C0518C5">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r>
              <w:rPr>
                <w:rFonts w:hint="eastAsia" w:ascii="宋体" w:hAnsi="宋体" w:eastAsia="宋体" w:cs="宋体"/>
                <w:b/>
                <w:color w:val="auto"/>
                <w:kern w:val="0"/>
                <w:sz w:val="21"/>
                <w:szCs w:val="21"/>
                <w:highlight w:val="none"/>
              </w:rPr>
              <w:t>注：未提供或不符合最低入档条件的按不入档计0分</w:t>
            </w:r>
            <w:r>
              <w:rPr>
                <w:rFonts w:hint="eastAsia" w:ascii="宋体" w:hAnsi="宋体" w:eastAsia="宋体" w:cs="宋体"/>
                <w:b/>
                <w:color w:val="auto"/>
                <w:sz w:val="21"/>
                <w:szCs w:val="21"/>
                <w:highlight w:val="none"/>
              </w:rPr>
              <w:t>。</w:t>
            </w:r>
          </w:p>
        </w:tc>
      </w:tr>
      <w:tr w14:paraId="4317A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noWrap w:val="0"/>
            <w:vAlign w:val="center"/>
          </w:tcPr>
          <w:p w14:paraId="65DEE4BD">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p>
        </w:tc>
        <w:tc>
          <w:tcPr>
            <w:tcW w:w="1451" w:type="dxa"/>
            <w:vMerge w:val="continue"/>
            <w:noWrap w:val="0"/>
            <w:vAlign w:val="center"/>
          </w:tcPr>
          <w:p w14:paraId="12FA5490">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p>
        </w:tc>
        <w:tc>
          <w:tcPr>
            <w:tcW w:w="1534" w:type="dxa"/>
            <w:noWrap w:val="0"/>
            <w:vAlign w:val="center"/>
          </w:tcPr>
          <w:p w14:paraId="06209372">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2.5售后服务承诺方案（满分</w:t>
            </w:r>
            <w:r>
              <w:rPr>
                <w:rFonts w:hint="eastAsia" w:cs="宋体"/>
                <w:b/>
                <w:bCs/>
                <w:color w:val="auto"/>
                <w:spacing w:val="4"/>
                <w:sz w:val="21"/>
                <w:szCs w:val="21"/>
                <w:highlight w:val="none"/>
                <w:lang w:val="en-US" w:eastAsia="zh-CN"/>
              </w:rPr>
              <w:t>5</w:t>
            </w:r>
            <w:r>
              <w:rPr>
                <w:rFonts w:hint="eastAsia" w:ascii="宋体" w:hAnsi="宋体" w:eastAsia="宋体" w:cs="宋体"/>
                <w:b/>
                <w:bCs/>
                <w:color w:val="auto"/>
                <w:spacing w:val="4"/>
                <w:sz w:val="21"/>
                <w:szCs w:val="21"/>
                <w:highlight w:val="none"/>
                <w:lang w:val="en-US" w:eastAsia="zh-CN"/>
              </w:rPr>
              <w:t>分）</w:t>
            </w:r>
          </w:p>
        </w:tc>
        <w:tc>
          <w:tcPr>
            <w:tcW w:w="6444" w:type="dxa"/>
            <w:noWrap w:val="0"/>
            <w:vAlign w:val="center"/>
          </w:tcPr>
          <w:p w14:paraId="5DEA9B08">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zh-CN" w:bidi="ar-SA"/>
              </w:rPr>
            </w:pPr>
            <w:r>
              <w:rPr>
                <w:rFonts w:hint="eastAsia" w:ascii="宋体" w:hAnsi="宋体" w:eastAsia="宋体" w:cs="宋体"/>
                <w:color w:val="auto"/>
                <w:spacing w:val="11"/>
                <w:kern w:val="2"/>
                <w:sz w:val="21"/>
                <w:szCs w:val="21"/>
                <w:highlight w:val="none"/>
                <w:lang w:val="en-US" w:eastAsia="en-US" w:bidi="ar-SA"/>
              </w:rPr>
              <w:t>磋商小组根据各供应商所提供服务承诺方案中“包含但不限于：①</w:t>
            </w:r>
            <w:r>
              <w:rPr>
                <w:rFonts w:hint="eastAsia" w:ascii="宋体" w:hAnsi="宋体" w:eastAsia="宋体" w:cs="宋体"/>
                <w:color w:val="auto"/>
                <w:spacing w:val="11"/>
                <w:kern w:val="2"/>
                <w:sz w:val="21"/>
                <w:szCs w:val="21"/>
                <w:highlight w:val="none"/>
                <w:lang w:val="en-US" w:eastAsia="zh-CN" w:bidi="ar-SA"/>
              </w:rPr>
              <w:t>售后</w:t>
            </w:r>
            <w:r>
              <w:rPr>
                <w:rFonts w:hint="eastAsia" w:ascii="宋体" w:hAnsi="宋体" w:eastAsia="宋体" w:cs="宋体"/>
                <w:color w:val="auto"/>
                <w:spacing w:val="11"/>
                <w:kern w:val="2"/>
                <w:sz w:val="21"/>
                <w:szCs w:val="21"/>
                <w:highlight w:val="none"/>
                <w:lang w:val="en-US" w:eastAsia="en-US" w:bidi="ar-SA"/>
              </w:rPr>
              <w:t>服务内容；②售后服务保障措施；③</w:t>
            </w:r>
            <w:r>
              <w:rPr>
                <w:rFonts w:hint="eastAsia" w:ascii="宋体" w:hAnsi="宋体" w:eastAsia="宋体" w:cs="宋体"/>
                <w:color w:val="auto"/>
                <w:spacing w:val="11"/>
                <w:kern w:val="2"/>
                <w:sz w:val="21"/>
                <w:szCs w:val="21"/>
                <w:highlight w:val="none"/>
                <w:lang w:val="en-US" w:eastAsia="zh-CN" w:bidi="ar-SA"/>
              </w:rPr>
              <w:t>售后</w:t>
            </w:r>
            <w:r>
              <w:rPr>
                <w:rFonts w:hint="eastAsia" w:ascii="宋体" w:hAnsi="宋体" w:eastAsia="宋体" w:cs="宋体"/>
                <w:color w:val="auto"/>
                <w:spacing w:val="11"/>
                <w:kern w:val="2"/>
                <w:sz w:val="21"/>
                <w:szCs w:val="21"/>
                <w:highlight w:val="none"/>
                <w:lang w:val="en-US" w:eastAsia="en-US" w:bidi="ar-SA"/>
              </w:rPr>
              <w:t>处理问题响应时间</w:t>
            </w:r>
            <w:r>
              <w:rPr>
                <w:rFonts w:hint="eastAsia" w:ascii="宋体" w:hAnsi="宋体" w:eastAsia="宋体" w:cs="宋体"/>
                <w:color w:val="auto"/>
                <w:spacing w:val="11"/>
                <w:kern w:val="2"/>
                <w:sz w:val="21"/>
                <w:szCs w:val="21"/>
                <w:highlight w:val="none"/>
                <w:lang w:val="en-US" w:eastAsia="zh-CN" w:bidi="ar-SA"/>
              </w:rPr>
              <w:t>、联系人及联系方式</w:t>
            </w:r>
            <w:r>
              <w:rPr>
                <w:rFonts w:hint="eastAsia" w:ascii="宋体" w:hAnsi="宋体" w:eastAsia="宋体" w:cs="宋体"/>
                <w:color w:val="auto"/>
                <w:spacing w:val="11"/>
                <w:kern w:val="2"/>
                <w:sz w:val="21"/>
                <w:szCs w:val="21"/>
                <w:highlight w:val="none"/>
                <w:lang w:val="en-US" w:eastAsia="en-US" w:bidi="ar-SA"/>
              </w:rPr>
              <w:t>；④售后应急保障措施</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eastAsia="宋体" w:cs="宋体"/>
                <w:color w:val="auto"/>
                <w:spacing w:val="11"/>
                <w:kern w:val="2"/>
                <w:sz w:val="21"/>
                <w:szCs w:val="21"/>
                <w:highlight w:val="none"/>
                <w:lang w:val="en-US" w:eastAsia="en-US" w:bidi="ar-SA"/>
              </w:rPr>
              <w:t>等内容进行综合评审，并独立打分：</w:t>
            </w:r>
          </w:p>
          <w:p w14:paraId="7365A5E3">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一档</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cs="宋体"/>
                <w:color w:val="auto"/>
                <w:spacing w:val="11"/>
                <w:kern w:val="2"/>
                <w:sz w:val="21"/>
                <w:szCs w:val="21"/>
                <w:highlight w:val="none"/>
                <w:lang w:val="en-US" w:eastAsia="zh-CN" w:bidi="ar-SA"/>
              </w:rPr>
              <w:t>1</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）：四</w:t>
            </w:r>
            <w:r>
              <w:rPr>
                <w:rFonts w:hint="eastAsia" w:ascii="宋体" w:hAnsi="宋体" w:eastAsia="宋体" w:cs="宋体"/>
                <w:color w:val="auto"/>
                <w:spacing w:val="11"/>
                <w:kern w:val="2"/>
                <w:sz w:val="21"/>
                <w:szCs w:val="21"/>
                <w:highlight w:val="none"/>
                <w:lang w:val="en-US" w:eastAsia="en-US" w:bidi="ar-SA"/>
              </w:rPr>
              <w:t>项评审因素有一项内容经评审合理、可行且具有</w:t>
            </w:r>
            <w:r>
              <w:rPr>
                <w:rFonts w:hint="eastAsia" w:ascii="宋体" w:hAnsi="宋体" w:eastAsia="宋体" w:cs="宋体"/>
                <w:color w:val="auto"/>
                <w:spacing w:val="11"/>
                <w:kern w:val="2"/>
                <w:sz w:val="21"/>
                <w:szCs w:val="21"/>
                <w:highlight w:val="none"/>
                <w:lang w:val="en-US" w:eastAsia="zh-CN" w:bidi="ar-SA"/>
              </w:rPr>
              <w:t>针对性</w:t>
            </w:r>
            <w:r>
              <w:rPr>
                <w:rFonts w:hint="eastAsia" w:ascii="宋体" w:hAnsi="宋体" w:eastAsia="宋体" w:cs="宋体"/>
                <w:color w:val="auto"/>
                <w:spacing w:val="11"/>
                <w:kern w:val="2"/>
                <w:sz w:val="21"/>
                <w:szCs w:val="21"/>
                <w:highlight w:val="none"/>
                <w:lang w:val="en-US" w:eastAsia="en-US" w:bidi="ar-SA"/>
              </w:rPr>
              <w:t>。</w:t>
            </w:r>
          </w:p>
          <w:p w14:paraId="4C116643">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二档</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cs="宋体"/>
                <w:color w:val="auto"/>
                <w:spacing w:val="11"/>
                <w:kern w:val="2"/>
                <w:sz w:val="21"/>
                <w:szCs w:val="21"/>
                <w:highlight w:val="none"/>
                <w:lang w:val="en-US" w:eastAsia="zh-CN" w:bidi="ar-SA"/>
              </w:rPr>
              <w:t>2</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）：四</w:t>
            </w:r>
            <w:r>
              <w:rPr>
                <w:rFonts w:hint="eastAsia" w:ascii="宋体" w:hAnsi="宋体" w:eastAsia="宋体" w:cs="宋体"/>
                <w:color w:val="auto"/>
                <w:spacing w:val="11"/>
                <w:kern w:val="2"/>
                <w:sz w:val="21"/>
                <w:szCs w:val="21"/>
                <w:highlight w:val="none"/>
                <w:lang w:val="en-US" w:eastAsia="en-US" w:bidi="ar-SA"/>
              </w:rPr>
              <w:t>项评审因素有</w:t>
            </w:r>
            <w:r>
              <w:rPr>
                <w:rFonts w:hint="eastAsia" w:ascii="宋体" w:hAnsi="宋体" w:eastAsia="宋体" w:cs="宋体"/>
                <w:color w:val="auto"/>
                <w:spacing w:val="11"/>
                <w:kern w:val="2"/>
                <w:sz w:val="21"/>
                <w:szCs w:val="21"/>
                <w:highlight w:val="none"/>
                <w:lang w:val="en-US" w:eastAsia="zh-CN" w:bidi="ar-SA"/>
              </w:rPr>
              <w:t>两</w:t>
            </w:r>
            <w:r>
              <w:rPr>
                <w:rFonts w:hint="eastAsia" w:ascii="宋体" w:hAnsi="宋体" w:eastAsia="宋体" w:cs="宋体"/>
                <w:color w:val="auto"/>
                <w:spacing w:val="11"/>
                <w:kern w:val="2"/>
                <w:sz w:val="21"/>
                <w:szCs w:val="21"/>
                <w:highlight w:val="none"/>
                <w:lang w:val="en-US" w:eastAsia="en-US" w:bidi="ar-SA"/>
              </w:rPr>
              <w:t>项内容经评审合理、可行且具有</w:t>
            </w:r>
            <w:r>
              <w:rPr>
                <w:rFonts w:hint="eastAsia" w:ascii="宋体" w:hAnsi="宋体" w:eastAsia="宋体" w:cs="宋体"/>
                <w:color w:val="auto"/>
                <w:spacing w:val="11"/>
                <w:kern w:val="2"/>
                <w:sz w:val="21"/>
                <w:szCs w:val="21"/>
                <w:highlight w:val="none"/>
                <w:lang w:val="en-US" w:eastAsia="zh-CN" w:bidi="ar-SA"/>
              </w:rPr>
              <w:t>针对性</w:t>
            </w:r>
            <w:r>
              <w:rPr>
                <w:rFonts w:hint="eastAsia" w:ascii="宋体" w:hAnsi="宋体" w:eastAsia="宋体" w:cs="宋体"/>
                <w:color w:val="auto"/>
                <w:spacing w:val="11"/>
                <w:kern w:val="2"/>
                <w:sz w:val="21"/>
                <w:szCs w:val="21"/>
                <w:highlight w:val="none"/>
                <w:lang w:val="en-US" w:eastAsia="en-US" w:bidi="ar-SA"/>
              </w:rPr>
              <w:t>。</w:t>
            </w:r>
          </w:p>
          <w:p w14:paraId="2ED98C39">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三档</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cs="宋体"/>
                <w:color w:val="auto"/>
                <w:spacing w:val="11"/>
                <w:kern w:val="2"/>
                <w:sz w:val="21"/>
                <w:szCs w:val="21"/>
                <w:highlight w:val="none"/>
                <w:lang w:val="en-US" w:eastAsia="zh-CN" w:bidi="ar-SA"/>
              </w:rPr>
              <w:t>3</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）：四</w:t>
            </w:r>
            <w:r>
              <w:rPr>
                <w:rFonts w:hint="eastAsia" w:ascii="宋体" w:hAnsi="宋体" w:eastAsia="宋体" w:cs="宋体"/>
                <w:color w:val="auto"/>
                <w:spacing w:val="11"/>
                <w:kern w:val="2"/>
                <w:sz w:val="21"/>
                <w:szCs w:val="21"/>
                <w:highlight w:val="none"/>
                <w:lang w:val="en-US" w:eastAsia="en-US" w:bidi="ar-SA"/>
              </w:rPr>
              <w:t>项评审因素有三项内容经评审合理、可行且具有</w:t>
            </w:r>
            <w:r>
              <w:rPr>
                <w:rFonts w:hint="eastAsia" w:ascii="宋体" w:hAnsi="宋体" w:eastAsia="宋体" w:cs="宋体"/>
                <w:color w:val="auto"/>
                <w:spacing w:val="11"/>
                <w:kern w:val="2"/>
                <w:sz w:val="21"/>
                <w:szCs w:val="21"/>
                <w:highlight w:val="none"/>
                <w:lang w:val="en-US" w:eastAsia="zh-CN" w:bidi="ar-SA"/>
              </w:rPr>
              <w:t>针对性</w:t>
            </w:r>
            <w:r>
              <w:rPr>
                <w:rFonts w:hint="eastAsia" w:ascii="宋体" w:hAnsi="宋体" w:eastAsia="宋体" w:cs="宋体"/>
                <w:color w:val="auto"/>
                <w:spacing w:val="11"/>
                <w:kern w:val="2"/>
                <w:sz w:val="21"/>
                <w:szCs w:val="21"/>
                <w:highlight w:val="none"/>
                <w:lang w:val="en-US" w:eastAsia="en-US" w:bidi="ar-SA"/>
              </w:rPr>
              <w:t>。</w:t>
            </w:r>
          </w:p>
          <w:p w14:paraId="592055C3">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四档</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cs="宋体"/>
                <w:color w:val="auto"/>
                <w:spacing w:val="11"/>
                <w:kern w:val="2"/>
                <w:sz w:val="21"/>
                <w:szCs w:val="21"/>
                <w:highlight w:val="none"/>
                <w:lang w:val="en-US" w:eastAsia="zh-CN" w:bidi="ar-SA"/>
              </w:rPr>
              <w:t>5</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）：四</w:t>
            </w:r>
            <w:r>
              <w:rPr>
                <w:rFonts w:hint="eastAsia" w:ascii="宋体" w:hAnsi="宋体" w:eastAsia="宋体" w:cs="宋体"/>
                <w:color w:val="auto"/>
                <w:spacing w:val="11"/>
                <w:kern w:val="2"/>
                <w:sz w:val="21"/>
                <w:szCs w:val="21"/>
                <w:highlight w:val="none"/>
                <w:lang w:val="en-US" w:eastAsia="en-US" w:bidi="ar-SA"/>
              </w:rPr>
              <w:t>项评审因素内容经评审合理、可行且具有</w:t>
            </w:r>
            <w:r>
              <w:rPr>
                <w:rFonts w:hint="eastAsia" w:ascii="宋体" w:hAnsi="宋体" w:eastAsia="宋体" w:cs="宋体"/>
                <w:color w:val="auto"/>
                <w:spacing w:val="11"/>
                <w:kern w:val="2"/>
                <w:sz w:val="21"/>
                <w:szCs w:val="21"/>
                <w:highlight w:val="none"/>
                <w:lang w:val="en-US" w:eastAsia="zh-CN" w:bidi="ar-SA"/>
              </w:rPr>
              <w:t>针对性</w:t>
            </w:r>
            <w:r>
              <w:rPr>
                <w:rFonts w:hint="eastAsia" w:ascii="宋体" w:hAnsi="宋体" w:eastAsia="宋体" w:cs="宋体"/>
                <w:color w:val="auto"/>
                <w:spacing w:val="11"/>
                <w:kern w:val="2"/>
                <w:sz w:val="21"/>
                <w:szCs w:val="21"/>
                <w:highlight w:val="none"/>
                <w:lang w:val="en-US" w:eastAsia="en-US" w:bidi="ar-SA"/>
              </w:rPr>
              <w:t>。</w:t>
            </w:r>
          </w:p>
          <w:p w14:paraId="15C03C82">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r>
              <w:rPr>
                <w:rFonts w:hint="eastAsia" w:ascii="宋体" w:hAnsi="宋体" w:eastAsia="宋体" w:cs="宋体"/>
                <w:b/>
                <w:color w:val="auto"/>
                <w:kern w:val="0"/>
                <w:sz w:val="21"/>
                <w:szCs w:val="21"/>
                <w:highlight w:val="none"/>
              </w:rPr>
              <w:t>注：未提供或不符合最低入档条件的按不入档计0分</w:t>
            </w:r>
            <w:r>
              <w:rPr>
                <w:rFonts w:hint="eastAsia" w:ascii="宋体" w:hAnsi="宋体" w:eastAsia="宋体" w:cs="宋体"/>
                <w:b/>
                <w:color w:val="auto"/>
                <w:sz w:val="21"/>
                <w:szCs w:val="21"/>
                <w:highlight w:val="none"/>
              </w:rPr>
              <w:t>。</w:t>
            </w:r>
          </w:p>
        </w:tc>
      </w:tr>
      <w:tr w14:paraId="795FB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restart"/>
            <w:noWrap w:val="0"/>
            <w:vAlign w:val="center"/>
          </w:tcPr>
          <w:p w14:paraId="0D2BE2BA">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3</w:t>
            </w:r>
          </w:p>
        </w:tc>
        <w:tc>
          <w:tcPr>
            <w:tcW w:w="1451" w:type="dxa"/>
            <w:vMerge w:val="restart"/>
            <w:noWrap w:val="0"/>
            <w:vAlign w:val="center"/>
          </w:tcPr>
          <w:p w14:paraId="2516771B">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b/>
                <w:bCs/>
                <w:color w:val="auto"/>
                <w:spacing w:val="4"/>
                <w:sz w:val="21"/>
                <w:szCs w:val="21"/>
                <w:highlight w:val="none"/>
              </w:rPr>
            </w:pPr>
            <w:r>
              <w:rPr>
                <w:rFonts w:hint="eastAsia" w:ascii="宋体" w:hAnsi="宋体" w:eastAsia="宋体" w:cs="宋体"/>
                <w:b/>
                <w:bCs/>
                <w:color w:val="auto"/>
                <w:spacing w:val="4"/>
                <w:sz w:val="21"/>
                <w:szCs w:val="21"/>
                <w:highlight w:val="none"/>
              </w:rPr>
              <w:t>商务分（满分25分）</w:t>
            </w:r>
          </w:p>
        </w:tc>
        <w:tc>
          <w:tcPr>
            <w:tcW w:w="1534" w:type="dxa"/>
            <w:noWrap w:val="0"/>
            <w:vAlign w:val="center"/>
          </w:tcPr>
          <w:p w14:paraId="011BE350">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3.1项目负责人（满分5分）</w:t>
            </w:r>
          </w:p>
        </w:tc>
        <w:tc>
          <w:tcPr>
            <w:tcW w:w="6444" w:type="dxa"/>
            <w:noWrap w:val="0"/>
            <w:vAlign w:val="center"/>
          </w:tcPr>
          <w:p w14:paraId="604D7C90">
            <w:pPr>
              <w:pStyle w:val="56"/>
              <w:keepNext w:val="0"/>
              <w:keepLines w:val="0"/>
              <w:pageBreakBefore w:val="0"/>
              <w:widowControl w:val="0"/>
              <w:suppressLineNumbers w:val="0"/>
              <w:kinsoku/>
              <w:wordWrap/>
              <w:overflowPunct/>
              <w:topLinePunct w:val="0"/>
              <w:autoSpaceDE/>
              <w:autoSpaceDN/>
              <w:bidi w:val="0"/>
              <w:spacing w:before="2" w:beforeAutospacing="0" w:after="0" w:afterAutospacing="0" w:line="360" w:lineRule="auto"/>
              <w:ind w:left="113" w:right="109" w:firstLine="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职称要求（</w:t>
            </w:r>
            <w:r>
              <w:rPr>
                <w:rFonts w:hint="eastAsia" w:cs="宋体"/>
                <w:color w:val="auto"/>
                <w:spacing w:val="9"/>
                <w:sz w:val="21"/>
                <w:szCs w:val="21"/>
                <w:highlight w:val="none"/>
                <w:lang w:val="en-US" w:eastAsia="zh-CN"/>
              </w:rPr>
              <w:t>5</w:t>
            </w:r>
            <w:r>
              <w:rPr>
                <w:rFonts w:hint="eastAsia" w:ascii="宋体" w:hAnsi="宋体" w:eastAsia="宋体" w:cs="宋体"/>
                <w:color w:val="auto"/>
                <w:spacing w:val="9"/>
                <w:sz w:val="21"/>
                <w:szCs w:val="21"/>
                <w:highlight w:val="none"/>
              </w:rPr>
              <w:t>分</w:t>
            </w:r>
            <w:r>
              <w:rPr>
                <w:rFonts w:hint="eastAsia" w:ascii="宋体" w:hAnsi="宋体" w:eastAsia="宋体" w:cs="宋体"/>
                <w:color w:val="auto"/>
                <w:spacing w:val="-6"/>
                <w:sz w:val="21"/>
                <w:szCs w:val="21"/>
                <w:highlight w:val="none"/>
              </w:rPr>
              <w:t>）：</w:t>
            </w:r>
            <w:r>
              <w:rPr>
                <w:rFonts w:hint="eastAsia" w:ascii="宋体" w:hAnsi="宋体" w:eastAsia="宋体" w:cs="宋体"/>
                <w:color w:val="auto"/>
                <w:spacing w:val="9"/>
                <w:sz w:val="21"/>
                <w:szCs w:val="21"/>
                <w:highlight w:val="none"/>
              </w:rPr>
              <w:t>拟投入项目负责人具有</w:t>
            </w:r>
            <w:r>
              <w:rPr>
                <w:rFonts w:hint="eastAsia" w:ascii="宋体" w:hAnsi="宋体" w:eastAsia="宋体" w:cs="宋体"/>
                <w:color w:val="auto"/>
                <w:spacing w:val="9"/>
                <w:sz w:val="21"/>
                <w:szCs w:val="21"/>
                <w:highlight w:val="none"/>
                <w:lang w:val="en-US" w:eastAsia="zh-CN"/>
              </w:rPr>
              <w:t>园林或</w:t>
            </w:r>
            <w:r>
              <w:rPr>
                <w:rFonts w:hint="eastAsia" w:ascii="宋体" w:hAnsi="宋体" w:eastAsia="宋体" w:cs="宋体"/>
                <w:color w:val="auto"/>
                <w:spacing w:val="9"/>
                <w:sz w:val="21"/>
                <w:szCs w:val="21"/>
                <w:highlight w:val="none"/>
              </w:rPr>
              <w:t>林业相关专业</w:t>
            </w:r>
            <w:r>
              <w:rPr>
                <w:rFonts w:hint="eastAsia" w:cs="宋体"/>
                <w:color w:val="auto"/>
                <w:spacing w:val="9"/>
                <w:sz w:val="21"/>
                <w:szCs w:val="21"/>
                <w:highlight w:val="none"/>
                <w:lang w:eastAsia="zh-CN"/>
              </w:rPr>
              <w:t>中</w:t>
            </w:r>
            <w:r>
              <w:rPr>
                <w:rFonts w:hint="eastAsia" w:ascii="宋体" w:hAnsi="宋体" w:eastAsia="宋体" w:cs="宋体"/>
                <w:color w:val="auto"/>
                <w:spacing w:val="9"/>
                <w:sz w:val="21"/>
                <w:szCs w:val="21"/>
                <w:highlight w:val="none"/>
              </w:rPr>
              <w:t>级</w:t>
            </w:r>
            <w:r>
              <w:rPr>
                <w:rFonts w:hint="eastAsia" w:ascii="宋体" w:hAnsi="宋体" w:eastAsia="宋体" w:cs="宋体"/>
                <w:color w:val="auto"/>
                <w:spacing w:val="7"/>
                <w:sz w:val="21"/>
                <w:szCs w:val="21"/>
                <w:highlight w:val="none"/>
              </w:rPr>
              <w:t>及以上职称，得</w:t>
            </w:r>
            <w:r>
              <w:rPr>
                <w:rFonts w:hint="eastAsia" w:ascii="宋体" w:hAnsi="宋体" w:eastAsia="宋体" w:cs="宋体"/>
                <w:color w:val="auto"/>
                <w:spacing w:val="-29"/>
                <w:sz w:val="21"/>
                <w:szCs w:val="21"/>
                <w:highlight w:val="none"/>
              </w:rPr>
              <w:t xml:space="preserve"> </w:t>
            </w:r>
            <w:r>
              <w:rPr>
                <w:rFonts w:hint="eastAsia" w:cs="宋体"/>
                <w:color w:val="auto"/>
                <w:spacing w:val="7"/>
                <w:sz w:val="21"/>
                <w:szCs w:val="21"/>
                <w:highlight w:val="none"/>
                <w:lang w:val="en-US" w:eastAsia="zh-CN"/>
              </w:rPr>
              <w:t>5</w:t>
            </w:r>
            <w:r>
              <w:rPr>
                <w:rFonts w:hint="eastAsia" w:ascii="宋体" w:hAnsi="宋体" w:eastAsia="宋体" w:cs="宋体"/>
                <w:color w:val="auto"/>
                <w:spacing w:val="7"/>
                <w:sz w:val="21"/>
                <w:szCs w:val="21"/>
                <w:highlight w:val="none"/>
              </w:rPr>
              <w:t>分，未达到要求不得分。</w:t>
            </w:r>
          </w:p>
          <w:p w14:paraId="41479F7E">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bCs/>
                <w:color w:val="auto"/>
                <w:spacing w:val="5"/>
                <w:sz w:val="21"/>
                <w:szCs w:val="21"/>
                <w:highlight w:val="none"/>
              </w:rPr>
              <w:t>注：须提供职称证书</w:t>
            </w:r>
            <w:r>
              <w:rPr>
                <w:rFonts w:hint="eastAsia" w:ascii="宋体" w:hAnsi="宋体" w:eastAsia="宋体" w:cs="宋体"/>
                <w:b/>
                <w:bCs/>
                <w:color w:val="auto"/>
                <w:spacing w:val="5"/>
                <w:sz w:val="21"/>
                <w:szCs w:val="21"/>
                <w:highlight w:val="none"/>
                <w:lang w:eastAsia="zh-CN"/>
              </w:rPr>
              <w:t>复印件并加盖</w:t>
            </w:r>
            <w:r>
              <w:rPr>
                <w:rFonts w:hint="eastAsia" w:ascii="宋体" w:hAnsi="宋体" w:eastAsia="宋体" w:cs="宋体"/>
                <w:b/>
                <w:bCs/>
                <w:color w:val="auto"/>
                <w:spacing w:val="5"/>
                <w:sz w:val="21"/>
                <w:szCs w:val="21"/>
                <w:highlight w:val="none"/>
              </w:rPr>
              <w:t>公章，证书</w:t>
            </w:r>
            <w:r>
              <w:rPr>
                <w:rFonts w:hint="eastAsia" w:ascii="宋体" w:hAnsi="宋体" w:eastAsia="宋体" w:cs="宋体"/>
                <w:b/>
                <w:bCs/>
                <w:color w:val="auto"/>
                <w:spacing w:val="6"/>
                <w:sz w:val="21"/>
                <w:szCs w:val="21"/>
                <w:highlight w:val="none"/>
              </w:rPr>
              <w:t>专业不符不予计分。</w:t>
            </w:r>
          </w:p>
        </w:tc>
      </w:tr>
      <w:tr w14:paraId="763B2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0" w:type="dxa"/>
            <w:vMerge w:val="continue"/>
            <w:noWrap w:val="0"/>
            <w:vAlign w:val="center"/>
          </w:tcPr>
          <w:p w14:paraId="134949A4">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b/>
                <w:bCs/>
                <w:color w:val="auto"/>
                <w:spacing w:val="4"/>
                <w:sz w:val="21"/>
                <w:szCs w:val="21"/>
                <w:highlight w:val="none"/>
              </w:rPr>
            </w:pPr>
          </w:p>
        </w:tc>
        <w:tc>
          <w:tcPr>
            <w:tcW w:w="1451" w:type="dxa"/>
            <w:vMerge w:val="continue"/>
            <w:noWrap w:val="0"/>
            <w:vAlign w:val="center"/>
          </w:tcPr>
          <w:p w14:paraId="559D5006">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b/>
                <w:bCs/>
                <w:color w:val="auto"/>
                <w:spacing w:val="4"/>
                <w:sz w:val="21"/>
                <w:szCs w:val="21"/>
                <w:highlight w:val="none"/>
              </w:rPr>
            </w:pPr>
          </w:p>
        </w:tc>
        <w:tc>
          <w:tcPr>
            <w:tcW w:w="1534" w:type="dxa"/>
            <w:noWrap w:val="0"/>
            <w:vAlign w:val="center"/>
          </w:tcPr>
          <w:p w14:paraId="179D7945">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3.2项目技术团队（满分1</w:t>
            </w:r>
            <w:r>
              <w:rPr>
                <w:rFonts w:hint="eastAsia" w:cs="宋体"/>
                <w:b/>
                <w:bCs/>
                <w:color w:val="auto"/>
                <w:spacing w:val="4"/>
                <w:sz w:val="21"/>
                <w:szCs w:val="21"/>
                <w:highlight w:val="none"/>
                <w:lang w:val="en-US" w:eastAsia="zh-CN"/>
              </w:rPr>
              <w:t>2</w:t>
            </w:r>
            <w:r>
              <w:rPr>
                <w:rFonts w:hint="eastAsia" w:ascii="宋体" w:hAnsi="宋体" w:eastAsia="宋体" w:cs="宋体"/>
                <w:b/>
                <w:bCs/>
                <w:color w:val="auto"/>
                <w:spacing w:val="4"/>
                <w:sz w:val="21"/>
                <w:szCs w:val="21"/>
                <w:highlight w:val="none"/>
                <w:lang w:val="en-US" w:eastAsia="zh-CN"/>
              </w:rPr>
              <w:t>分）</w:t>
            </w:r>
          </w:p>
        </w:tc>
        <w:tc>
          <w:tcPr>
            <w:tcW w:w="6444" w:type="dxa"/>
            <w:noWrap w:val="0"/>
            <w:vAlign w:val="center"/>
          </w:tcPr>
          <w:p w14:paraId="4B400C5B">
            <w:pPr>
              <w:pStyle w:val="56"/>
              <w:keepNext w:val="0"/>
              <w:keepLines w:val="0"/>
              <w:pageBreakBefore w:val="0"/>
              <w:widowControl w:val="0"/>
              <w:suppressLineNumbers w:val="0"/>
              <w:kinsoku/>
              <w:wordWrap/>
              <w:overflowPunct/>
              <w:topLinePunct w:val="0"/>
              <w:autoSpaceDE/>
              <w:autoSpaceDN/>
              <w:bidi w:val="0"/>
              <w:spacing w:before="131" w:beforeAutospacing="0" w:after="0" w:afterAutospacing="0" w:line="360" w:lineRule="auto"/>
              <w:ind w:left="115" w:right="109" w:firstLine="432"/>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6"/>
                <w:sz w:val="21"/>
                <w:szCs w:val="21"/>
                <w:highlight w:val="none"/>
                <w:lang w:eastAsia="zh-CN"/>
              </w:rPr>
              <w:t>（1）</w:t>
            </w:r>
            <w:r>
              <w:rPr>
                <w:rFonts w:hint="eastAsia" w:ascii="宋体" w:hAnsi="宋体" w:eastAsia="宋体" w:cs="宋体"/>
                <w:color w:val="auto"/>
                <w:spacing w:val="12"/>
                <w:sz w:val="21"/>
                <w:szCs w:val="21"/>
                <w:highlight w:val="none"/>
              </w:rPr>
              <w:t>项目团队成员</w:t>
            </w:r>
            <w:r>
              <w:rPr>
                <w:rFonts w:hint="eastAsia" w:cs="宋体"/>
                <w:color w:val="auto"/>
                <w:spacing w:val="12"/>
                <w:sz w:val="21"/>
                <w:szCs w:val="21"/>
                <w:highlight w:val="none"/>
                <w:lang w:eastAsia="zh-CN"/>
              </w:rPr>
              <w:t>具有</w:t>
            </w:r>
            <w:r>
              <w:rPr>
                <w:rFonts w:hint="eastAsia" w:ascii="宋体" w:hAnsi="宋体" w:eastAsia="宋体" w:cs="宋体"/>
                <w:color w:val="auto"/>
                <w:spacing w:val="6"/>
                <w:sz w:val="21"/>
                <w:szCs w:val="21"/>
                <w:highlight w:val="none"/>
              </w:rPr>
              <w:t>植</w:t>
            </w:r>
            <w:r>
              <w:rPr>
                <w:rFonts w:hint="eastAsia" w:ascii="宋体" w:hAnsi="宋体" w:eastAsia="宋体" w:cs="宋体"/>
                <w:color w:val="auto"/>
                <w:spacing w:val="5"/>
                <w:sz w:val="21"/>
                <w:szCs w:val="21"/>
                <w:highlight w:val="none"/>
              </w:rPr>
              <w:t>物学、生态</w:t>
            </w:r>
            <w:r>
              <w:rPr>
                <w:rFonts w:hint="eastAsia" w:ascii="宋体" w:hAnsi="宋体" w:eastAsia="宋体" w:cs="宋体"/>
                <w:color w:val="auto"/>
                <w:spacing w:val="11"/>
                <w:sz w:val="21"/>
                <w:szCs w:val="21"/>
                <w:highlight w:val="none"/>
              </w:rPr>
              <w:t>学、</w:t>
            </w:r>
            <w:r>
              <w:rPr>
                <w:rFonts w:hint="eastAsia" w:cs="宋体"/>
                <w:color w:val="auto"/>
                <w:spacing w:val="11"/>
                <w:sz w:val="21"/>
                <w:szCs w:val="21"/>
                <w:highlight w:val="none"/>
                <w:lang w:eastAsia="zh-CN"/>
              </w:rPr>
              <w:t>生物学、农业昆虫与害虫防治、标本</w:t>
            </w:r>
            <w:r>
              <w:rPr>
                <w:rFonts w:hint="eastAsia" w:cs="宋体"/>
                <w:color w:val="auto"/>
                <w:spacing w:val="11"/>
                <w:sz w:val="21"/>
                <w:szCs w:val="21"/>
                <w:highlight w:val="none"/>
                <w:lang w:val="en-US" w:eastAsia="zh-CN"/>
              </w:rPr>
              <w:t>养护与</w:t>
            </w:r>
            <w:r>
              <w:rPr>
                <w:rFonts w:hint="eastAsia" w:cs="宋体"/>
                <w:color w:val="auto"/>
                <w:spacing w:val="11"/>
                <w:sz w:val="21"/>
                <w:szCs w:val="21"/>
                <w:highlight w:val="none"/>
                <w:lang w:eastAsia="zh-CN"/>
              </w:rPr>
              <w:t>制作，文化项目策划管理、影视创作</w:t>
            </w:r>
            <w:r>
              <w:rPr>
                <w:rFonts w:hint="eastAsia" w:ascii="宋体" w:hAnsi="宋体" w:eastAsia="宋体" w:cs="宋体"/>
                <w:color w:val="auto"/>
                <w:spacing w:val="11"/>
                <w:sz w:val="21"/>
                <w:szCs w:val="21"/>
                <w:highlight w:val="none"/>
              </w:rPr>
              <w:t>相关专业，</w:t>
            </w:r>
            <w:r>
              <w:rPr>
                <w:rFonts w:hint="eastAsia" w:cs="宋体"/>
                <w:color w:val="auto"/>
                <w:spacing w:val="11"/>
                <w:sz w:val="21"/>
                <w:szCs w:val="21"/>
                <w:highlight w:val="none"/>
                <w:lang w:eastAsia="zh-CN"/>
              </w:rPr>
              <w:t>每提供</w:t>
            </w:r>
            <w:r>
              <w:rPr>
                <w:rFonts w:hint="eastAsia" w:cs="宋体"/>
                <w:color w:val="auto"/>
                <w:spacing w:val="11"/>
                <w:sz w:val="21"/>
                <w:szCs w:val="21"/>
                <w:highlight w:val="none"/>
                <w:lang w:val="en-US" w:eastAsia="zh-CN"/>
              </w:rPr>
              <w:t>1人</w:t>
            </w:r>
            <w:r>
              <w:rPr>
                <w:rFonts w:hint="eastAsia" w:ascii="宋体" w:hAnsi="宋体" w:eastAsia="宋体" w:cs="宋体"/>
                <w:color w:val="auto"/>
                <w:spacing w:val="11"/>
                <w:sz w:val="21"/>
                <w:szCs w:val="21"/>
                <w:highlight w:val="none"/>
              </w:rPr>
              <w:t>得</w:t>
            </w:r>
            <w:r>
              <w:rPr>
                <w:rFonts w:hint="eastAsia" w:ascii="宋体" w:hAnsi="宋体" w:eastAsia="宋体" w:cs="宋体"/>
                <w:color w:val="auto"/>
                <w:spacing w:val="-35"/>
                <w:sz w:val="21"/>
                <w:szCs w:val="21"/>
                <w:highlight w:val="none"/>
              </w:rPr>
              <w:t xml:space="preserve"> </w:t>
            </w:r>
            <w:r>
              <w:rPr>
                <w:rFonts w:hint="eastAsia" w:cs="宋体"/>
                <w:color w:val="auto"/>
                <w:spacing w:val="11"/>
                <w:sz w:val="21"/>
                <w:szCs w:val="21"/>
                <w:highlight w:val="none"/>
                <w:lang w:val="en-US" w:eastAsia="zh-CN"/>
              </w:rPr>
              <w:t>1</w:t>
            </w:r>
            <w:r>
              <w:rPr>
                <w:rFonts w:hint="eastAsia" w:ascii="宋体" w:hAnsi="宋体" w:eastAsia="宋体" w:cs="宋体"/>
                <w:color w:val="auto"/>
                <w:spacing w:val="11"/>
                <w:sz w:val="21"/>
                <w:szCs w:val="21"/>
                <w:highlight w:val="none"/>
              </w:rPr>
              <w:t>分，专业不符不得</w:t>
            </w:r>
            <w:r>
              <w:rPr>
                <w:rFonts w:hint="eastAsia" w:ascii="宋体" w:hAnsi="宋体" w:eastAsia="宋体" w:cs="宋体"/>
                <w:color w:val="auto"/>
                <w:spacing w:val="-1"/>
                <w:sz w:val="21"/>
                <w:szCs w:val="21"/>
                <w:highlight w:val="none"/>
              </w:rPr>
              <w:t>分。</w:t>
            </w:r>
            <w:r>
              <w:rPr>
                <w:rFonts w:hint="eastAsia" w:ascii="宋体" w:hAnsi="宋体" w:eastAsia="宋体" w:cs="宋体"/>
                <w:color w:val="auto"/>
                <w:spacing w:val="3"/>
                <w:sz w:val="21"/>
                <w:szCs w:val="21"/>
                <w:highlight w:val="none"/>
              </w:rPr>
              <w:t>注：本项最高得</w:t>
            </w:r>
            <w:r>
              <w:rPr>
                <w:rFonts w:hint="eastAsia" w:cs="宋体"/>
                <w:color w:val="auto"/>
                <w:spacing w:val="-24"/>
                <w:sz w:val="21"/>
                <w:szCs w:val="21"/>
                <w:highlight w:val="none"/>
                <w:lang w:val="en-US" w:eastAsia="zh-CN"/>
              </w:rPr>
              <w:t>2</w:t>
            </w:r>
            <w:r>
              <w:rPr>
                <w:rFonts w:hint="eastAsia" w:ascii="宋体" w:hAnsi="宋体" w:eastAsia="宋体" w:cs="宋体"/>
                <w:color w:val="auto"/>
                <w:spacing w:val="3"/>
                <w:sz w:val="21"/>
                <w:szCs w:val="21"/>
                <w:highlight w:val="none"/>
              </w:rPr>
              <w:t>分</w:t>
            </w:r>
            <w:r>
              <w:rPr>
                <w:rFonts w:hint="eastAsia" w:cs="宋体"/>
                <w:color w:val="auto"/>
                <w:spacing w:val="3"/>
                <w:sz w:val="21"/>
                <w:szCs w:val="21"/>
                <w:highlight w:val="none"/>
                <w:lang w:eastAsia="zh-CN"/>
              </w:rPr>
              <w:t>。</w:t>
            </w:r>
          </w:p>
          <w:p w14:paraId="2E0CF3D5">
            <w:pPr>
              <w:pStyle w:val="56"/>
              <w:keepNext w:val="0"/>
              <w:keepLines w:val="0"/>
              <w:pageBreakBefore w:val="0"/>
              <w:widowControl w:val="0"/>
              <w:suppressLineNumbers w:val="0"/>
              <w:kinsoku/>
              <w:wordWrap/>
              <w:overflowPunct/>
              <w:topLinePunct w:val="0"/>
              <w:autoSpaceDE/>
              <w:autoSpaceDN/>
              <w:bidi w:val="0"/>
              <w:spacing w:before="132" w:beforeAutospacing="0" w:after="0" w:afterAutospacing="0" w:line="360" w:lineRule="auto"/>
              <w:ind w:left="112" w:right="109" w:firstLine="424"/>
              <w:jc w:val="both"/>
              <w:textAlignment w:val="auto"/>
              <w:rPr>
                <w:rFonts w:hint="eastAsia" w:ascii="宋体" w:hAnsi="宋体" w:eastAsia="宋体" w:cs="宋体"/>
                <w:color w:val="auto"/>
                <w:spacing w:val="12"/>
                <w:sz w:val="21"/>
                <w:szCs w:val="21"/>
                <w:highlight w:val="none"/>
              </w:rPr>
            </w:pPr>
            <w:r>
              <w:rPr>
                <w:rFonts w:hint="eastAsia" w:ascii="宋体" w:hAnsi="宋体" w:eastAsia="宋体" w:cs="宋体"/>
                <w:b/>
                <w:bCs/>
                <w:color w:val="auto"/>
                <w:spacing w:val="10"/>
                <w:sz w:val="21"/>
                <w:szCs w:val="21"/>
                <w:highlight w:val="none"/>
              </w:rPr>
              <w:t>注：须提供身份证</w:t>
            </w:r>
            <w:r>
              <w:rPr>
                <w:rFonts w:hint="eastAsia" w:ascii="宋体" w:hAnsi="宋体" w:eastAsia="宋体" w:cs="宋体"/>
                <w:b/>
                <w:bCs/>
                <w:color w:val="auto"/>
                <w:spacing w:val="10"/>
                <w:sz w:val="21"/>
                <w:szCs w:val="21"/>
                <w:highlight w:val="none"/>
                <w:lang w:eastAsia="zh-CN"/>
              </w:rPr>
              <w:t>、</w:t>
            </w:r>
            <w:r>
              <w:rPr>
                <w:rFonts w:hint="eastAsia" w:ascii="宋体" w:hAnsi="宋体" w:eastAsia="宋体" w:cs="宋体"/>
                <w:b/>
                <w:bCs/>
                <w:color w:val="auto"/>
                <w:spacing w:val="10"/>
                <w:sz w:val="21"/>
                <w:szCs w:val="21"/>
                <w:highlight w:val="none"/>
              </w:rPr>
              <w:t>毕业证书复印件，资料清晰可辨并加盖</w:t>
            </w:r>
            <w:r>
              <w:rPr>
                <w:rFonts w:hint="eastAsia" w:ascii="宋体" w:hAnsi="宋体" w:eastAsia="宋体" w:cs="宋体"/>
                <w:b/>
                <w:bCs/>
                <w:color w:val="auto"/>
                <w:spacing w:val="6"/>
                <w:sz w:val="21"/>
                <w:szCs w:val="21"/>
                <w:highlight w:val="none"/>
              </w:rPr>
              <w:t>供应商公章，否则不计分。</w:t>
            </w:r>
          </w:p>
          <w:p w14:paraId="0B9E199F">
            <w:pPr>
              <w:pStyle w:val="56"/>
              <w:keepNext w:val="0"/>
              <w:keepLines w:val="0"/>
              <w:pageBreakBefore w:val="0"/>
              <w:widowControl w:val="0"/>
              <w:suppressLineNumbers w:val="0"/>
              <w:kinsoku/>
              <w:wordWrap/>
              <w:overflowPunct/>
              <w:topLinePunct w:val="0"/>
              <w:autoSpaceDE/>
              <w:autoSpaceDN/>
              <w:bidi w:val="0"/>
              <w:spacing w:before="132" w:beforeAutospacing="0" w:after="0" w:afterAutospacing="0" w:line="360" w:lineRule="auto"/>
              <w:ind w:left="112" w:right="109" w:firstLine="424"/>
              <w:jc w:val="both"/>
              <w:textAlignment w:val="auto"/>
              <w:rPr>
                <w:rFonts w:hint="eastAsia" w:ascii="宋体" w:hAnsi="宋体" w:eastAsia="宋体" w:cs="宋体"/>
                <w:color w:val="auto"/>
                <w:spacing w:val="3"/>
                <w:sz w:val="21"/>
                <w:szCs w:val="21"/>
                <w:highlight w:val="none"/>
              </w:rPr>
            </w:pPr>
            <w:r>
              <w:rPr>
                <w:rFonts w:hint="eastAsia" w:cs="宋体"/>
                <w:color w:val="auto"/>
                <w:spacing w:val="12"/>
                <w:sz w:val="21"/>
                <w:szCs w:val="21"/>
                <w:highlight w:val="none"/>
                <w:lang w:eastAsia="zh-CN"/>
              </w:rPr>
              <w:t>（</w:t>
            </w:r>
            <w:r>
              <w:rPr>
                <w:rFonts w:hint="eastAsia" w:cs="宋体"/>
                <w:color w:val="auto"/>
                <w:spacing w:val="12"/>
                <w:sz w:val="21"/>
                <w:szCs w:val="21"/>
                <w:highlight w:val="none"/>
                <w:lang w:val="en-US" w:eastAsia="zh-CN"/>
              </w:rPr>
              <w:t>2</w:t>
            </w:r>
            <w:r>
              <w:rPr>
                <w:rFonts w:hint="eastAsia" w:cs="宋体"/>
                <w:color w:val="auto"/>
                <w:spacing w:val="12"/>
                <w:sz w:val="21"/>
                <w:szCs w:val="21"/>
                <w:highlight w:val="none"/>
                <w:lang w:eastAsia="zh-CN"/>
              </w:rPr>
              <w:t>）</w:t>
            </w:r>
            <w:r>
              <w:rPr>
                <w:rFonts w:hint="eastAsia" w:ascii="宋体" w:hAnsi="宋体" w:eastAsia="宋体" w:cs="宋体"/>
                <w:color w:val="auto"/>
                <w:spacing w:val="12"/>
                <w:sz w:val="21"/>
                <w:szCs w:val="21"/>
                <w:highlight w:val="none"/>
              </w:rPr>
              <w:t>项目团队成员（除项目负责人外）具有</w:t>
            </w:r>
            <w:r>
              <w:rPr>
                <w:rFonts w:hint="eastAsia" w:ascii="宋体" w:hAnsi="宋体" w:eastAsia="宋体" w:cs="宋体"/>
                <w:color w:val="auto"/>
                <w:spacing w:val="12"/>
                <w:sz w:val="21"/>
                <w:szCs w:val="21"/>
                <w:highlight w:val="none"/>
                <w:lang w:val="en-US" w:eastAsia="zh-CN"/>
              </w:rPr>
              <w:t>园林</w:t>
            </w:r>
            <w:r>
              <w:rPr>
                <w:rFonts w:hint="eastAsia" w:cs="宋体"/>
                <w:color w:val="auto"/>
                <w:spacing w:val="12"/>
                <w:sz w:val="21"/>
                <w:szCs w:val="21"/>
                <w:highlight w:val="none"/>
                <w:lang w:val="en-US" w:eastAsia="zh-CN"/>
              </w:rPr>
              <w:t>、</w:t>
            </w:r>
            <w:r>
              <w:rPr>
                <w:rFonts w:hint="eastAsia" w:ascii="宋体" w:hAnsi="宋体" w:eastAsia="宋体" w:cs="宋体"/>
                <w:color w:val="auto"/>
                <w:spacing w:val="12"/>
                <w:sz w:val="21"/>
                <w:szCs w:val="21"/>
                <w:highlight w:val="none"/>
              </w:rPr>
              <w:t>林业</w:t>
            </w:r>
            <w:r>
              <w:rPr>
                <w:rFonts w:hint="eastAsia" w:cs="宋体"/>
                <w:color w:val="auto"/>
                <w:spacing w:val="12"/>
                <w:sz w:val="21"/>
                <w:szCs w:val="21"/>
                <w:highlight w:val="none"/>
                <w:lang w:eastAsia="zh-CN"/>
              </w:rPr>
              <w:t>、生态学、</w:t>
            </w:r>
            <w:r>
              <w:rPr>
                <w:rFonts w:hint="eastAsia" w:cs="宋体"/>
                <w:color w:val="auto"/>
                <w:spacing w:val="11"/>
                <w:sz w:val="21"/>
                <w:szCs w:val="21"/>
                <w:highlight w:val="none"/>
                <w:lang w:eastAsia="zh-CN"/>
              </w:rPr>
              <w:t>植物保护</w:t>
            </w:r>
            <w:r>
              <w:rPr>
                <w:rFonts w:hint="eastAsia" w:ascii="宋体" w:hAnsi="宋体" w:eastAsia="宋体" w:cs="宋体"/>
                <w:color w:val="auto"/>
                <w:spacing w:val="12"/>
                <w:sz w:val="21"/>
                <w:szCs w:val="21"/>
                <w:highlight w:val="none"/>
              </w:rPr>
              <w:t>相关专业中级职称</w:t>
            </w:r>
            <w:r>
              <w:rPr>
                <w:rFonts w:hint="eastAsia" w:ascii="宋体" w:hAnsi="宋体" w:eastAsia="宋体" w:cs="宋体"/>
                <w:color w:val="auto"/>
                <w:spacing w:val="6"/>
                <w:sz w:val="21"/>
                <w:szCs w:val="21"/>
                <w:highlight w:val="none"/>
              </w:rPr>
              <w:t>的，每提供</w:t>
            </w:r>
            <w:r>
              <w:rPr>
                <w:rFonts w:hint="eastAsia" w:ascii="宋体" w:hAnsi="宋体" w:eastAsia="宋体" w:cs="宋体"/>
                <w:color w:val="auto"/>
                <w:spacing w:val="-6"/>
                <w:sz w:val="21"/>
                <w:szCs w:val="21"/>
                <w:highlight w:val="none"/>
                <w:lang w:val="en-US" w:eastAsia="zh-CN"/>
              </w:rPr>
              <w:t>1</w:t>
            </w:r>
            <w:r>
              <w:rPr>
                <w:rFonts w:hint="eastAsia" w:ascii="宋体" w:hAnsi="宋体" w:eastAsia="宋体" w:cs="宋体"/>
                <w:color w:val="auto"/>
                <w:spacing w:val="6"/>
                <w:sz w:val="21"/>
                <w:szCs w:val="21"/>
                <w:highlight w:val="none"/>
              </w:rPr>
              <w:t>人得</w:t>
            </w:r>
            <w:r>
              <w:rPr>
                <w:rFonts w:hint="eastAsia" w:ascii="宋体" w:hAnsi="宋体" w:eastAsia="宋体" w:cs="宋体"/>
                <w:color w:val="auto"/>
                <w:spacing w:val="-21"/>
                <w:sz w:val="21"/>
                <w:szCs w:val="21"/>
                <w:highlight w:val="none"/>
                <w:lang w:val="en-US" w:eastAsia="zh-CN"/>
              </w:rPr>
              <w:t>1</w:t>
            </w:r>
            <w:r>
              <w:rPr>
                <w:rFonts w:hint="eastAsia" w:ascii="宋体" w:hAnsi="宋体" w:eastAsia="宋体" w:cs="宋体"/>
                <w:color w:val="auto"/>
                <w:spacing w:val="6"/>
                <w:sz w:val="21"/>
                <w:szCs w:val="21"/>
                <w:highlight w:val="none"/>
              </w:rPr>
              <w:t>分，副高级职称每提供</w:t>
            </w:r>
            <w:r>
              <w:rPr>
                <w:rFonts w:hint="eastAsia" w:ascii="宋体" w:hAnsi="宋体" w:eastAsia="宋体" w:cs="宋体"/>
                <w:color w:val="auto"/>
                <w:spacing w:val="-22"/>
                <w:sz w:val="21"/>
                <w:szCs w:val="21"/>
                <w:highlight w:val="none"/>
                <w:lang w:val="en-US" w:eastAsia="zh-CN"/>
              </w:rPr>
              <w:t>1</w:t>
            </w:r>
            <w:r>
              <w:rPr>
                <w:rFonts w:hint="eastAsia" w:ascii="宋体" w:hAnsi="宋体" w:eastAsia="宋体" w:cs="宋体"/>
                <w:color w:val="auto"/>
                <w:spacing w:val="6"/>
                <w:sz w:val="21"/>
                <w:szCs w:val="21"/>
                <w:highlight w:val="none"/>
              </w:rPr>
              <w:t>人得</w:t>
            </w:r>
            <w:r>
              <w:rPr>
                <w:rFonts w:hint="eastAsia" w:ascii="宋体" w:hAnsi="宋体" w:eastAsia="宋体" w:cs="宋体"/>
                <w:color w:val="auto"/>
                <w:spacing w:val="-34"/>
                <w:sz w:val="21"/>
                <w:szCs w:val="21"/>
                <w:highlight w:val="none"/>
                <w:lang w:val="en-US" w:eastAsia="zh-CN"/>
              </w:rPr>
              <w:t>2</w:t>
            </w:r>
            <w:r>
              <w:rPr>
                <w:rFonts w:hint="eastAsia" w:ascii="宋体" w:hAnsi="宋体" w:eastAsia="宋体" w:cs="宋体"/>
                <w:color w:val="auto"/>
                <w:spacing w:val="6"/>
                <w:sz w:val="21"/>
                <w:szCs w:val="21"/>
                <w:highlight w:val="none"/>
              </w:rPr>
              <w:t>分，正高级职</w:t>
            </w:r>
            <w:r>
              <w:rPr>
                <w:rFonts w:hint="eastAsia" w:ascii="宋体" w:hAnsi="宋体" w:eastAsia="宋体" w:cs="宋体"/>
                <w:color w:val="auto"/>
                <w:spacing w:val="3"/>
                <w:sz w:val="21"/>
                <w:szCs w:val="21"/>
                <w:highlight w:val="none"/>
              </w:rPr>
              <w:t>称每提供</w:t>
            </w:r>
            <w:r>
              <w:rPr>
                <w:rFonts w:hint="eastAsia" w:ascii="宋体" w:hAnsi="宋体" w:eastAsia="宋体" w:cs="宋体"/>
                <w:color w:val="auto"/>
                <w:spacing w:val="-9"/>
                <w:sz w:val="21"/>
                <w:szCs w:val="21"/>
                <w:highlight w:val="none"/>
                <w:lang w:val="en-US" w:eastAsia="zh-CN"/>
              </w:rPr>
              <w:t>1</w:t>
            </w:r>
            <w:r>
              <w:rPr>
                <w:rFonts w:hint="eastAsia" w:ascii="宋体" w:hAnsi="宋体" w:eastAsia="宋体" w:cs="宋体"/>
                <w:color w:val="auto"/>
                <w:spacing w:val="3"/>
                <w:sz w:val="21"/>
                <w:szCs w:val="21"/>
                <w:highlight w:val="none"/>
              </w:rPr>
              <w:t>人得</w:t>
            </w:r>
            <w:r>
              <w:rPr>
                <w:rFonts w:hint="eastAsia" w:ascii="宋体" w:hAnsi="宋体" w:eastAsia="宋体" w:cs="宋体"/>
                <w:color w:val="auto"/>
                <w:spacing w:val="3"/>
                <w:sz w:val="21"/>
                <w:szCs w:val="21"/>
                <w:highlight w:val="none"/>
                <w:lang w:val="en-US" w:eastAsia="zh-CN"/>
              </w:rPr>
              <w:t>3</w:t>
            </w:r>
            <w:r>
              <w:rPr>
                <w:rFonts w:hint="eastAsia" w:ascii="宋体" w:hAnsi="宋体" w:eastAsia="宋体" w:cs="宋体"/>
                <w:color w:val="auto"/>
                <w:spacing w:val="3"/>
                <w:sz w:val="21"/>
                <w:szCs w:val="21"/>
                <w:highlight w:val="none"/>
              </w:rPr>
              <w:t>分。 注：本项最高得</w:t>
            </w:r>
            <w:r>
              <w:rPr>
                <w:rFonts w:hint="eastAsia" w:cs="宋体"/>
                <w:color w:val="auto"/>
                <w:spacing w:val="-24"/>
                <w:sz w:val="21"/>
                <w:szCs w:val="21"/>
                <w:highlight w:val="none"/>
                <w:lang w:val="en-US" w:eastAsia="zh-CN"/>
              </w:rPr>
              <w:t>6</w:t>
            </w:r>
            <w:r>
              <w:rPr>
                <w:rFonts w:hint="eastAsia" w:ascii="宋体" w:hAnsi="宋体" w:eastAsia="宋体" w:cs="宋体"/>
                <w:color w:val="auto"/>
                <w:spacing w:val="3"/>
                <w:sz w:val="21"/>
                <w:szCs w:val="21"/>
                <w:highlight w:val="none"/>
              </w:rPr>
              <w:t>分。</w:t>
            </w:r>
          </w:p>
          <w:p w14:paraId="1A0A7DF0">
            <w:pPr>
              <w:pStyle w:val="56"/>
              <w:keepNext w:val="0"/>
              <w:keepLines w:val="0"/>
              <w:pageBreakBefore w:val="0"/>
              <w:widowControl w:val="0"/>
              <w:suppressLineNumbers w:val="0"/>
              <w:kinsoku/>
              <w:wordWrap/>
              <w:overflowPunct/>
              <w:topLinePunct w:val="0"/>
              <w:autoSpaceDE/>
              <w:autoSpaceDN/>
              <w:bidi w:val="0"/>
              <w:spacing w:before="132" w:beforeAutospacing="0" w:after="0" w:afterAutospacing="0" w:line="360" w:lineRule="auto"/>
              <w:ind w:left="112" w:right="109" w:firstLine="424"/>
              <w:jc w:val="both"/>
              <w:textAlignment w:val="auto"/>
              <w:rPr>
                <w:rFonts w:hint="eastAsia" w:ascii="宋体" w:hAnsi="宋体" w:eastAsia="宋体" w:cs="宋体"/>
                <w:color w:val="auto"/>
                <w:spacing w:val="3"/>
                <w:sz w:val="21"/>
                <w:szCs w:val="21"/>
                <w:highlight w:val="none"/>
              </w:rPr>
            </w:pPr>
            <w:r>
              <w:rPr>
                <w:rFonts w:hint="eastAsia" w:ascii="宋体" w:hAnsi="宋体" w:eastAsia="宋体" w:cs="宋体"/>
                <w:b/>
                <w:bCs/>
                <w:color w:val="auto"/>
                <w:spacing w:val="10"/>
                <w:sz w:val="21"/>
                <w:szCs w:val="21"/>
                <w:highlight w:val="none"/>
              </w:rPr>
              <w:t>注：须提供人员职称证书复印件、身份证复印件</w:t>
            </w:r>
            <w:r>
              <w:rPr>
                <w:rFonts w:hint="eastAsia" w:ascii="宋体" w:hAnsi="宋体" w:eastAsia="宋体" w:cs="宋体"/>
                <w:b/>
                <w:bCs/>
                <w:color w:val="auto"/>
                <w:spacing w:val="10"/>
                <w:sz w:val="21"/>
                <w:szCs w:val="21"/>
                <w:highlight w:val="none"/>
                <w:lang w:eastAsia="zh-CN"/>
              </w:rPr>
              <w:t>，以及</w:t>
            </w:r>
            <w:r>
              <w:rPr>
                <w:rFonts w:hint="eastAsia" w:ascii="宋体" w:hAnsi="宋体" w:eastAsia="宋体" w:cs="宋体"/>
                <w:b/>
                <w:color w:val="auto"/>
                <w:sz w:val="21"/>
                <w:szCs w:val="21"/>
                <w:highlight w:val="none"/>
                <w:lang w:val="en-US" w:eastAsia="zh-CN"/>
              </w:rPr>
              <w:t>供应商自2026年1月至今任意一个月为拟投入本项目的人员缴纳社保的证明材料，或</w:t>
            </w:r>
            <w:r>
              <w:rPr>
                <w:rFonts w:hint="eastAsia" w:ascii="宋体" w:hAnsi="宋体" w:eastAsia="宋体" w:cs="宋体"/>
                <w:b/>
                <w:bCs w:val="0"/>
                <w:color w:val="auto"/>
                <w:kern w:val="2"/>
                <w:sz w:val="21"/>
                <w:szCs w:val="21"/>
                <w:highlight w:val="none"/>
                <w:lang w:val="en-US" w:eastAsia="zh-CN" w:bidi="ar-SA"/>
              </w:rPr>
              <w:t>截标时间前半年内任意一个月人员工资流水证明</w:t>
            </w:r>
            <w:r>
              <w:rPr>
                <w:rFonts w:hint="eastAsia" w:ascii="宋体" w:hAnsi="宋体" w:eastAsia="宋体" w:cs="宋体"/>
                <w:b/>
                <w:color w:val="auto"/>
                <w:sz w:val="21"/>
                <w:szCs w:val="21"/>
                <w:highlight w:val="none"/>
                <w:lang w:val="en-US" w:eastAsia="zh-CN"/>
              </w:rPr>
              <w:t>或劳动合同扫描件</w:t>
            </w:r>
            <w:r>
              <w:rPr>
                <w:rFonts w:hint="eastAsia" w:ascii="宋体" w:hAnsi="宋体" w:eastAsia="宋体" w:cs="宋体"/>
                <w:b/>
                <w:bCs/>
                <w:color w:val="auto"/>
                <w:spacing w:val="7"/>
                <w:sz w:val="21"/>
                <w:szCs w:val="21"/>
                <w:highlight w:val="none"/>
                <w:lang w:eastAsia="zh-CN"/>
              </w:rPr>
              <w:t>加盖</w:t>
            </w:r>
            <w:r>
              <w:rPr>
                <w:rFonts w:hint="eastAsia" w:ascii="宋体" w:hAnsi="宋体" w:eastAsia="宋体" w:cs="宋体"/>
                <w:b/>
                <w:bCs/>
                <w:color w:val="auto"/>
                <w:spacing w:val="7"/>
                <w:sz w:val="21"/>
                <w:szCs w:val="21"/>
                <w:highlight w:val="none"/>
              </w:rPr>
              <w:t>公章</w:t>
            </w:r>
            <w:r>
              <w:rPr>
                <w:rFonts w:hint="eastAsia" w:ascii="宋体" w:hAnsi="宋体" w:eastAsia="宋体" w:cs="宋体"/>
                <w:b/>
                <w:bCs/>
                <w:color w:val="auto"/>
                <w:spacing w:val="7"/>
                <w:sz w:val="21"/>
                <w:szCs w:val="21"/>
                <w:highlight w:val="none"/>
                <w:lang w:eastAsia="zh-CN"/>
              </w:rPr>
              <w:t>，</w:t>
            </w:r>
            <w:r>
              <w:rPr>
                <w:rFonts w:hint="eastAsia" w:ascii="宋体" w:hAnsi="宋体" w:eastAsia="宋体" w:cs="宋体"/>
                <w:b/>
                <w:color w:val="auto"/>
                <w:sz w:val="21"/>
                <w:szCs w:val="21"/>
                <w:highlight w:val="none"/>
                <w:lang w:val="en-US" w:eastAsia="zh-CN"/>
              </w:rPr>
              <w:t>方可计分</w:t>
            </w:r>
            <w:r>
              <w:rPr>
                <w:rFonts w:hint="eastAsia" w:ascii="宋体" w:hAnsi="宋体" w:eastAsia="宋体" w:cs="宋体"/>
                <w:b/>
                <w:bCs/>
                <w:color w:val="auto"/>
                <w:spacing w:val="7"/>
                <w:sz w:val="21"/>
                <w:szCs w:val="21"/>
                <w:highlight w:val="none"/>
              </w:rPr>
              <w:t>。证明材料不全的不得分。</w:t>
            </w:r>
          </w:p>
          <w:p w14:paraId="3EC5ED5F">
            <w:pPr>
              <w:pStyle w:val="56"/>
              <w:keepNext w:val="0"/>
              <w:keepLines w:val="0"/>
              <w:pageBreakBefore w:val="0"/>
              <w:widowControl w:val="0"/>
              <w:suppressLineNumbers w:val="0"/>
              <w:kinsoku/>
              <w:wordWrap/>
              <w:overflowPunct/>
              <w:topLinePunct w:val="0"/>
              <w:autoSpaceDE/>
              <w:autoSpaceDN/>
              <w:bidi w:val="0"/>
              <w:spacing w:before="132" w:beforeAutospacing="0" w:after="0" w:afterAutospacing="0" w:line="360" w:lineRule="auto"/>
              <w:ind w:left="112" w:right="109" w:firstLine="424"/>
              <w:jc w:val="both"/>
              <w:textAlignment w:val="auto"/>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w:t>
            </w:r>
            <w:r>
              <w:rPr>
                <w:rFonts w:hint="eastAsia" w:cs="宋体"/>
                <w:color w:val="auto"/>
                <w:spacing w:val="3"/>
                <w:sz w:val="21"/>
                <w:szCs w:val="21"/>
                <w:highlight w:val="none"/>
                <w:lang w:val="en-US" w:eastAsia="zh-CN"/>
              </w:rPr>
              <w:t>3</w:t>
            </w:r>
            <w:r>
              <w:rPr>
                <w:rFonts w:hint="eastAsia" w:ascii="宋体" w:hAnsi="宋体" w:eastAsia="宋体" w:cs="宋体"/>
                <w:color w:val="auto"/>
                <w:spacing w:val="3"/>
                <w:sz w:val="21"/>
                <w:szCs w:val="21"/>
                <w:highlight w:val="none"/>
              </w:rPr>
              <w:t>）宣传（资料）视频制作</w:t>
            </w:r>
            <w:r>
              <w:rPr>
                <w:rFonts w:hint="eastAsia" w:cs="宋体"/>
                <w:color w:val="auto"/>
                <w:spacing w:val="3"/>
                <w:sz w:val="21"/>
                <w:szCs w:val="21"/>
                <w:highlight w:val="none"/>
                <w:lang w:eastAsia="zh-CN"/>
              </w:rPr>
              <w:t>人员</w:t>
            </w:r>
            <w:r>
              <w:rPr>
                <w:rFonts w:hint="eastAsia" w:ascii="宋体" w:hAnsi="宋体" w:eastAsia="宋体" w:cs="宋体"/>
                <w:color w:val="auto"/>
                <w:spacing w:val="3"/>
                <w:sz w:val="21"/>
                <w:szCs w:val="21"/>
                <w:highlight w:val="none"/>
              </w:rPr>
              <w:t>：不少于3人，具有适应野外拍摄作业的经验或身体条件；</w:t>
            </w:r>
            <w:r>
              <w:rPr>
                <w:rFonts w:hint="eastAsia" w:cs="宋体"/>
                <w:color w:val="auto"/>
                <w:spacing w:val="3"/>
                <w:sz w:val="21"/>
                <w:szCs w:val="21"/>
                <w:highlight w:val="none"/>
                <w:lang w:eastAsia="zh-CN"/>
              </w:rPr>
              <w:t>注：拟投入人员不足</w:t>
            </w:r>
            <w:r>
              <w:rPr>
                <w:rFonts w:hint="eastAsia" w:cs="宋体"/>
                <w:color w:val="auto"/>
                <w:spacing w:val="3"/>
                <w:sz w:val="21"/>
                <w:szCs w:val="21"/>
                <w:highlight w:val="none"/>
                <w:lang w:val="en-US" w:eastAsia="zh-CN"/>
              </w:rPr>
              <w:t>3人的不得分，</w:t>
            </w:r>
            <w:r>
              <w:rPr>
                <w:rFonts w:hint="eastAsia" w:cs="宋体"/>
                <w:color w:val="auto"/>
                <w:spacing w:val="3"/>
                <w:sz w:val="21"/>
                <w:szCs w:val="21"/>
                <w:highlight w:val="none"/>
                <w:lang w:eastAsia="zh-CN"/>
              </w:rPr>
              <w:t>提供业绩合同或中标（成交）通知书或案例实施材料，每提供</w:t>
            </w:r>
            <w:r>
              <w:rPr>
                <w:rFonts w:hint="eastAsia" w:cs="宋体"/>
                <w:color w:val="auto"/>
                <w:spacing w:val="3"/>
                <w:sz w:val="21"/>
                <w:szCs w:val="21"/>
                <w:highlight w:val="none"/>
                <w:lang w:val="en-US" w:eastAsia="zh-CN"/>
              </w:rPr>
              <w:t>1个得1分</w:t>
            </w:r>
            <w:r>
              <w:rPr>
                <w:rFonts w:hint="eastAsia" w:cs="宋体"/>
                <w:color w:val="auto"/>
                <w:spacing w:val="3"/>
                <w:sz w:val="21"/>
                <w:szCs w:val="21"/>
                <w:highlight w:val="none"/>
                <w:lang w:eastAsia="zh-CN"/>
              </w:rPr>
              <w:t>，</w:t>
            </w:r>
            <w:r>
              <w:rPr>
                <w:rFonts w:hint="eastAsia" w:ascii="宋体" w:hAnsi="宋体" w:eastAsia="宋体" w:cs="宋体"/>
                <w:color w:val="auto"/>
                <w:spacing w:val="3"/>
                <w:sz w:val="21"/>
                <w:szCs w:val="21"/>
                <w:highlight w:val="none"/>
              </w:rPr>
              <w:t>本项最高得</w:t>
            </w:r>
            <w:r>
              <w:rPr>
                <w:rFonts w:hint="eastAsia" w:ascii="宋体" w:hAnsi="宋体" w:eastAsia="宋体" w:cs="宋体"/>
                <w:color w:val="auto"/>
                <w:spacing w:val="3"/>
                <w:sz w:val="21"/>
                <w:szCs w:val="21"/>
                <w:highlight w:val="none"/>
                <w:lang w:val="en-US" w:eastAsia="zh-CN"/>
              </w:rPr>
              <w:t>2</w:t>
            </w:r>
            <w:r>
              <w:rPr>
                <w:rFonts w:hint="eastAsia" w:ascii="宋体" w:hAnsi="宋体" w:eastAsia="宋体" w:cs="宋体"/>
                <w:color w:val="auto"/>
                <w:spacing w:val="3"/>
                <w:sz w:val="21"/>
                <w:szCs w:val="21"/>
                <w:highlight w:val="none"/>
              </w:rPr>
              <w:t>分。</w:t>
            </w:r>
          </w:p>
          <w:p w14:paraId="7F2B71FE">
            <w:pPr>
              <w:pStyle w:val="56"/>
              <w:keepNext w:val="0"/>
              <w:keepLines w:val="0"/>
              <w:pageBreakBefore w:val="0"/>
              <w:widowControl w:val="0"/>
              <w:suppressLineNumbers w:val="0"/>
              <w:kinsoku/>
              <w:wordWrap/>
              <w:overflowPunct/>
              <w:topLinePunct w:val="0"/>
              <w:autoSpaceDE/>
              <w:autoSpaceDN/>
              <w:bidi w:val="0"/>
              <w:spacing w:before="132" w:beforeAutospacing="0" w:after="0" w:afterAutospacing="0" w:line="360" w:lineRule="auto"/>
              <w:ind w:left="112" w:right="109" w:firstLine="424"/>
              <w:jc w:val="both"/>
              <w:textAlignment w:val="auto"/>
              <w:rPr>
                <w:rFonts w:hint="eastAsia" w:ascii="宋体" w:hAnsi="宋体" w:eastAsia="宋体" w:cs="宋体"/>
                <w:b/>
                <w:color w:val="auto"/>
                <w:kern w:val="0"/>
                <w:sz w:val="21"/>
                <w:szCs w:val="21"/>
                <w:highlight w:val="none"/>
              </w:rPr>
            </w:pPr>
            <w:r>
              <w:rPr>
                <w:rFonts w:hint="eastAsia" w:ascii="宋体" w:hAnsi="宋体" w:eastAsia="宋体" w:cs="宋体"/>
                <w:color w:val="auto"/>
                <w:spacing w:val="3"/>
                <w:sz w:val="21"/>
                <w:szCs w:val="21"/>
                <w:highlight w:val="none"/>
              </w:rPr>
              <w:t>（</w:t>
            </w:r>
            <w:r>
              <w:rPr>
                <w:rFonts w:hint="eastAsia" w:cs="宋体"/>
                <w:color w:val="auto"/>
                <w:spacing w:val="3"/>
                <w:sz w:val="21"/>
                <w:szCs w:val="21"/>
                <w:highlight w:val="none"/>
                <w:lang w:val="en-US" w:eastAsia="zh-CN"/>
              </w:rPr>
              <w:t>4</w:t>
            </w:r>
            <w:r>
              <w:rPr>
                <w:rFonts w:hint="eastAsia" w:ascii="宋体" w:hAnsi="宋体" w:eastAsia="宋体" w:cs="宋体"/>
                <w:color w:val="auto"/>
                <w:spacing w:val="3"/>
                <w:sz w:val="21"/>
                <w:szCs w:val="21"/>
                <w:highlight w:val="none"/>
              </w:rPr>
              <w:t>）标本养护</w:t>
            </w:r>
            <w:r>
              <w:rPr>
                <w:rFonts w:hint="eastAsia" w:cs="宋体"/>
                <w:color w:val="auto"/>
                <w:spacing w:val="3"/>
                <w:sz w:val="21"/>
                <w:szCs w:val="21"/>
                <w:highlight w:val="none"/>
                <w:lang w:eastAsia="zh-CN"/>
              </w:rPr>
              <w:t>人员</w:t>
            </w:r>
            <w:r>
              <w:rPr>
                <w:rFonts w:hint="eastAsia" w:ascii="宋体" w:hAnsi="宋体" w:eastAsia="宋体" w:cs="宋体"/>
                <w:color w:val="auto"/>
                <w:spacing w:val="3"/>
                <w:sz w:val="21"/>
                <w:szCs w:val="21"/>
                <w:highlight w:val="none"/>
              </w:rPr>
              <w:t>：不少于2人，具有标本养护的实际案例阅历，熟悉标本养护的正确操作流程，防护药品的配制理论与丰富的实践经验；</w:t>
            </w:r>
            <w:r>
              <w:rPr>
                <w:rFonts w:hint="eastAsia" w:cs="宋体"/>
                <w:color w:val="auto"/>
                <w:spacing w:val="3"/>
                <w:sz w:val="21"/>
                <w:szCs w:val="21"/>
                <w:highlight w:val="none"/>
                <w:lang w:eastAsia="zh-CN"/>
              </w:rPr>
              <w:t>注：拟投入人员不足</w:t>
            </w:r>
            <w:r>
              <w:rPr>
                <w:rFonts w:hint="eastAsia" w:cs="宋体"/>
                <w:color w:val="auto"/>
                <w:spacing w:val="3"/>
                <w:sz w:val="21"/>
                <w:szCs w:val="21"/>
                <w:highlight w:val="none"/>
                <w:lang w:val="en-US" w:eastAsia="zh-CN"/>
              </w:rPr>
              <w:t>2人的不得分，</w:t>
            </w:r>
            <w:r>
              <w:rPr>
                <w:rFonts w:hint="eastAsia" w:cs="宋体"/>
                <w:color w:val="auto"/>
                <w:spacing w:val="3"/>
                <w:sz w:val="21"/>
                <w:szCs w:val="21"/>
                <w:highlight w:val="none"/>
                <w:lang w:eastAsia="zh-CN"/>
              </w:rPr>
              <w:t>提供业绩合同或中标（成交）通知书或案例实施材料每提供</w:t>
            </w:r>
            <w:r>
              <w:rPr>
                <w:rFonts w:hint="eastAsia" w:cs="宋体"/>
                <w:color w:val="auto"/>
                <w:spacing w:val="3"/>
                <w:sz w:val="21"/>
                <w:szCs w:val="21"/>
                <w:highlight w:val="none"/>
                <w:lang w:val="en-US" w:eastAsia="zh-CN"/>
              </w:rPr>
              <w:t>1个得1分</w:t>
            </w:r>
            <w:r>
              <w:rPr>
                <w:rFonts w:hint="eastAsia" w:cs="宋体"/>
                <w:color w:val="auto"/>
                <w:spacing w:val="3"/>
                <w:sz w:val="21"/>
                <w:szCs w:val="21"/>
                <w:highlight w:val="none"/>
                <w:lang w:eastAsia="zh-CN"/>
              </w:rPr>
              <w:t>，</w:t>
            </w:r>
            <w:r>
              <w:rPr>
                <w:rFonts w:hint="eastAsia" w:ascii="宋体" w:hAnsi="宋体" w:eastAsia="宋体" w:cs="宋体"/>
                <w:color w:val="auto"/>
                <w:spacing w:val="3"/>
                <w:sz w:val="21"/>
                <w:szCs w:val="21"/>
                <w:highlight w:val="none"/>
              </w:rPr>
              <w:t>本项最高得</w:t>
            </w:r>
            <w:r>
              <w:rPr>
                <w:rFonts w:hint="eastAsia" w:ascii="宋体" w:hAnsi="宋体" w:eastAsia="宋体" w:cs="宋体"/>
                <w:color w:val="auto"/>
                <w:spacing w:val="3"/>
                <w:sz w:val="21"/>
                <w:szCs w:val="21"/>
                <w:highlight w:val="none"/>
                <w:lang w:val="en-US" w:eastAsia="zh-CN"/>
              </w:rPr>
              <w:t>2</w:t>
            </w:r>
            <w:r>
              <w:rPr>
                <w:rFonts w:hint="eastAsia" w:ascii="宋体" w:hAnsi="宋体" w:eastAsia="宋体" w:cs="宋体"/>
                <w:color w:val="auto"/>
                <w:spacing w:val="3"/>
                <w:sz w:val="21"/>
                <w:szCs w:val="21"/>
                <w:highlight w:val="none"/>
              </w:rPr>
              <w:t>分。</w:t>
            </w:r>
          </w:p>
        </w:tc>
      </w:tr>
      <w:tr w14:paraId="74FEE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noWrap w:val="0"/>
            <w:vAlign w:val="center"/>
          </w:tcPr>
          <w:p w14:paraId="72A67357">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b/>
                <w:bCs/>
                <w:color w:val="auto"/>
                <w:spacing w:val="4"/>
                <w:sz w:val="21"/>
                <w:szCs w:val="21"/>
                <w:highlight w:val="none"/>
              </w:rPr>
            </w:pPr>
          </w:p>
        </w:tc>
        <w:tc>
          <w:tcPr>
            <w:tcW w:w="1451" w:type="dxa"/>
            <w:vMerge w:val="continue"/>
            <w:noWrap w:val="0"/>
            <w:vAlign w:val="center"/>
          </w:tcPr>
          <w:p w14:paraId="1C1D7A75">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b/>
                <w:bCs/>
                <w:color w:val="auto"/>
                <w:spacing w:val="4"/>
                <w:sz w:val="21"/>
                <w:szCs w:val="21"/>
                <w:highlight w:val="none"/>
              </w:rPr>
            </w:pPr>
          </w:p>
        </w:tc>
        <w:tc>
          <w:tcPr>
            <w:tcW w:w="1534" w:type="dxa"/>
            <w:noWrap w:val="0"/>
            <w:vAlign w:val="center"/>
          </w:tcPr>
          <w:p w14:paraId="5C92B942">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3.3业绩分（满分</w:t>
            </w:r>
            <w:r>
              <w:rPr>
                <w:rFonts w:hint="eastAsia" w:cs="宋体"/>
                <w:b/>
                <w:bCs/>
                <w:color w:val="auto"/>
                <w:spacing w:val="4"/>
                <w:sz w:val="21"/>
                <w:szCs w:val="21"/>
                <w:highlight w:val="none"/>
                <w:lang w:val="en-US" w:eastAsia="zh-CN"/>
              </w:rPr>
              <w:t>8</w:t>
            </w:r>
            <w:r>
              <w:rPr>
                <w:rFonts w:hint="eastAsia" w:ascii="宋体" w:hAnsi="宋体" w:eastAsia="宋体" w:cs="宋体"/>
                <w:b/>
                <w:bCs/>
                <w:color w:val="auto"/>
                <w:spacing w:val="4"/>
                <w:sz w:val="21"/>
                <w:szCs w:val="21"/>
                <w:highlight w:val="none"/>
                <w:lang w:val="en-US" w:eastAsia="zh-CN"/>
              </w:rPr>
              <w:t>分）</w:t>
            </w:r>
          </w:p>
        </w:tc>
        <w:tc>
          <w:tcPr>
            <w:tcW w:w="6444" w:type="dxa"/>
            <w:noWrap w:val="0"/>
            <w:vAlign w:val="center"/>
          </w:tcPr>
          <w:p w14:paraId="53DBE99B">
            <w:pPr>
              <w:pStyle w:val="56"/>
              <w:keepNext w:val="0"/>
              <w:keepLines w:val="0"/>
              <w:pageBreakBefore w:val="0"/>
              <w:widowControl w:val="0"/>
              <w:suppressLineNumbers w:val="0"/>
              <w:kinsoku/>
              <w:wordWrap/>
              <w:overflowPunct/>
              <w:topLinePunct w:val="0"/>
              <w:autoSpaceDE/>
              <w:autoSpaceDN/>
              <w:bidi w:val="0"/>
              <w:spacing w:before="99" w:beforeAutospacing="0" w:after="0" w:afterAutospacing="0" w:line="360" w:lineRule="auto"/>
              <w:ind w:left="114" w:right="109" w:firstLine="419"/>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202</w:t>
            </w:r>
            <w:r>
              <w:rPr>
                <w:rFonts w:hint="eastAsia" w:cs="宋体"/>
                <w:color w:val="auto"/>
                <w:spacing w:val="3"/>
                <w:sz w:val="21"/>
                <w:szCs w:val="21"/>
                <w:highlight w:val="none"/>
                <w:lang w:val="en-US" w:eastAsia="zh-CN"/>
              </w:rPr>
              <w:t>0</w:t>
            </w:r>
            <w:r>
              <w:rPr>
                <w:rFonts w:hint="eastAsia" w:ascii="宋体" w:hAnsi="宋体" w:eastAsia="宋体" w:cs="宋体"/>
                <w:color w:val="auto"/>
                <w:spacing w:val="3"/>
                <w:sz w:val="21"/>
                <w:szCs w:val="21"/>
                <w:highlight w:val="none"/>
              </w:rPr>
              <w:t>年1月1日起至提交响应文件截止时间止</w:t>
            </w:r>
            <w:r>
              <w:rPr>
                <w:rFonts w:hint="eastAsia" w:ascii="宋体" w:hAnsi="宋体" w:eastAsia="宋体" w:cs="宋体"/>
                <w:color w:val="auto"/>
                <w:spacing w:val="3"/>
                <w:sz w:val="21"/>
                <w:szCs w:val="21"/>
                <w:highlight w:val="none"/>
                <w:lang w:val="en-US" w:eastAsia="zh-CN"/>
              </w:rPr>
              <w:t>具有类似</w:t>
            </w:r>
            <w:r>
              <w:rPr>
                <w:rFonts w:hint="eastAsia" w:ascii="宋体" w:hAnsi="宋体" w:eastAsia="宋体" w:cs="宋体"/>
                <w:color w:val="auto"/>
                <w:spacing w:val="3"/>
                <w:sz w:val="21"/>
                <w:szCs w:val="21"/>
                <w:highlight w:val="none"/>
              </w:rPr>
              <w:t>项目业绩，每提供一项</w:t>
            </w:r>
            <w:r>
              <w:rPr>
                <w:rFonts w:hint="eastAsia" w:ascii="宋体" w:hAnsi="宋体" w:eastAsia="宋体" w:cs="宋体"/>
                <w:color w:val="auto"/>
                <w:spacing w:val="4"/>
                <w:sz w:val="21"/>
                <w:szCs w:val="21"/>
                <w:highlight w:val="none"/>
              </w:rPr>
              <w:t>得</w:t>
            </w:r>
            <w:r>
              <w:rPr>
                <w:rFonts w:hint="eastAsia" w:ascii="宋体" w:hAnsi="宋体" w:eastAsia="宋体" w:cs="宋体"/>
                <w:color w:val="auto"/>
                <w:spacing w:val="-22"/>
                <w:sz w:val="21"/>
                <w:szCs w:val="21"/>
                <w:highlight w:val="none"/>
              </w:rPr>
              <w:t xml:space="preserve"> </w:t>
            </w:r>
            <w:r>
              <w:rPr>
                <w:rFonts w:hint="eastAsia" w:ascii="宋体" w:hAnsi="宋体" w:eastAsia="宋体" w:cs="宋体"/>
                <w:color w:val="auto"/>
                <w:spacing w:val="4"/>
                <w:sz w:val="21"/>
                <w:szCs w:val="21"/>
                <w:highlight w:val="none"/>
                <w:lang w:val="en-US" w:eastAsia="zh-CN"/>
              </w:rPr>
              <w:t>2</w:t>
            </w:r>
            <w:r>
              <w:rPr>
                <w:rFonts w:hint="eastAsia" w:ascii="宋体" w:hAnsi="宋体" w:eastAsia="宋体" w:cs="宋体"/>
                <w:color w:val="auto"/>
                <w:spacing w:val="4"/>
                <w:sz w:val="21"/>
                <w:szCs w:val="21"/>
                <w:highlight w:val="none"/>
              </w:rPr>
              <w:t>分，满分</w:t>
            </w:r>
            <w:r>
              <w:rPr>
                <w:rFonts w:hint="eastAsia" w:cs="宋体"/>
                <w:color w:val="auto"/>
                <w:spacing w:val="-33"/>
                <w:sz w:val="21"/>
                <w:szCs w:val="21"/>
                <w:highlight w:val="none"/>
                <w:lang w:val="en-US" w:eastAsia="zh-CN"/>
              </w:rPr>
              <w:t>8</w:t>
            </w:r>
            <w:r>
              <w:rPr>
                <w:rFonts w:hint="eastAsia" w:ascii="宋体" w:hAnsi="宋体" w:eastAsia="宋体" w:cs="宋体"/>
                <w:color w:val="auto"/>
                <w:spacing w:val="4"/>
                <w:sz w:val="21"/>
                <w:szCs w:val="21"/>
                <w:highlight w:val="none"/>
              </w:rPr>
              <w:t>分。不提供不得分。</w:t>
            </w:r>
          </w:p>
          <w:p w14:paraId="691782D4">
            <w:pPr>
              <w:pStyle w:val="56"/>
              <w:keepNext w:val="0"/>
              <w:keepLines w:val="0"/>
              <w:pageBreakBefore w:val="0"/>
              <w:widowControl w:val="0"/>
              <w:suppressLineNumbers w:val="0"/>
              <w:kinsoku/>
              <w:wordWrap/>
              <w:overflowPunct/>
              <w:topLinePunct w:val="0"/>
              <w:autoSpaceDE/>
              <w:autoSpaceDN/>
              <w:bidi w:val="0"/>
              <w:spacing w:before="75" w:beforeAutospacing="0" w:after="0" w:afterAutospacing="0" w:line="360" w:lineRule="auto"/>
              <w:ind w:left="117" w:right="159" w:hanging="4"/>
              <w:textAlignment w:val="auto"/>
              <w:rPr>
                <w:rFonts w:hint="eastAsia" w:ascii="宋体" w:hAnsi="宋体" w:eastAsia="宋体" w:cs="宋体"/>
                <w:b/>
                <w:bCs/>
                <w:color w:val="auto"/>
                <w:spacing w:val="6"/>
                <w:sz w:val="21"/>
                <w:szCs w:val="21"/>
                <w:highlight w:val="none"/>
              </w:rPr>
            </w:pPr>
            <w:r>
              <w:rPr>
                <w:rFonts w:hint="eastAsia" w:ascii="宋体" w:hAnsi="宋体" w:eastAsia="宋体" w:cs="宋体"/>
                <w:b/>
                <w:bCs/>
                <w:color w:val="auto"/>
                <w:spacing w:val="8"/>
                <w:sz w:val="21"/>
                <w:szCs w:val="21"/>
                <w:highlight w:val="none"/>
              </w:rPr>
              <w:t>注：需提供项目业绩合同或中标（成交）通知书复印件并加盖供应</w:t>
            </w:r>
            <w:r>
              <w:rPr>
                <w:rFonts w:hint="eastAsia" w:ascii="宋体" w:hAnsi="宋体" w:eastAsia="宋体" w:cs="宋体"/>
                <w:b/>
                <w:bCs/>
                <w:color w:val="auto"/>
                <w:spacing w:val="6"/>
                <w:sz w:val="21"/>
                <w:szCs w:val="21"/>
                <w:highlight w:val="none"/>
              </w:rPr>
              <w:t>商公章，否则不予计分。</w:t>
            </w:r>
          </w:p>
          <w:p w14:paraId="08702890">
            <w:pPr>
              <w:pStyle w:val="56"/>
              <w:keepNext w:val="0"/>
              <w:keepLines w:val="0"/>
              <w:pageBreakBefore w:val="0"/>
              <w:widowControl w:val="0"/>
              <w:suppressLineNumbers w:val="0"/>
              <w:kinsoku/>
              <w:wordWrap/>
              <w:overflowPunct/>
              <w:topLinePunct w:val="0"/>
              <w:autoSpaceDE/>
              <w:autoSpaceDN/>
              <w:bidi w:val="0"/>
              <w:spacing w:before="75" w:beforeAutospacing="0" w:after="0" w:afterAutospacing="0" w:line="360" w:lineRule="auto"/>
              <w:ind w:left="117" w:right="159" w:hanging="4"/>
              <w:textAlignment w:val="auto"/>
              <w:rPr>
                <w:rFonts w:hint="eastAsia" w:ascii="宋体" w:hAnsi="宋体" w:eastAsia="宋体" w:cs="宋体"/>
                <w:b/>
                <w:color w:val="auto"/>
                <w:kern w:val="0"/>
                <w:sz w:val="21"/>
                <w:szCs w:val="21"/>
                <w:highlight w:val="none"/>
              </w:rPr>
            </w:pPr>
            <w:r>
              <w:rPr>
                <w:rFonts w:hint="eastAsia" w:ascii="宋体" w:hAnsi="宋体" w:eastAsia="宋体" w:cs="宋体"/>
                <w:b/>
                <w:bCs/>
                <w:color w:val="auto"/>
                <w:spacing w:val="8"/>
                <w:sz w:val="21"/>
                <w:szCs w:val="21"/>
                <w:highlight w:val="none"/>
                <w:lang w:val="en-US" w:eastAsia="zh-CN"/>
              </w:rPr>
              <w:t>类似</w:t>
            </w:r>
            <w:r>
              <w:rPr>
                <w:rFonts w:hint="eastAsia" w:ascii="宋体" w:hAnsi="宋体" w:eastAsia="宋体" w:cs="宋体"/>
                <w:b/>
                <w:bCs/>
                <w:color w:val="auto"/>
                <w:spacing w:val="8"/>
                <w:sz w:val="21"/>
                <w:szCs w:val="21"/>
                <w:highlight w:val="none"/>
              </w:rPr>
              <w:t>项目是指银杉救护</w:t>
            </w:r>
            <w:r>
              <w:rPr>
                <w:rFonts w:hint="eastAsia" w:cs="宋体"/>
                <w:b/>
                <w:bCs/>
                <w:color w:val="auto"/>
                <w:spacing w:val="8"/>
                <w:sz w:val="21"/>
                <w:szCs w:val="21"/>
                <w:highlight w:val="none"/>
                <w:lang w:eastAsia="zh-CN"/>
              </w:rPr>
              <w:t>、珍稀濒危植物监测技术、</w:t>
            </w:r>
            <w:r>
              <w:rPr>
                <w:rFonts w:hint="eastAsia" w:ascii="宋体" w:hAnsi="宋体" w:eastAsia="宋体" w:cs="宋体"/>
                <w:b/>
                <w:bCs/>
                <w:color w:val="auto"/>
                <w:spacing w:val="8"/>
                <w:sz w:val="21"/>
                <w:szCs w:val="21"/>
                <w:highlight w:val="none"/>
              </w:rPr>
              <w:t>自然保护区调查</w:t>
            </w:r>
            <w:r>
              <w:rPr>
                <w:rFonts w:hint="eastAsia" w:ascii="宋体" w:hAnsi="宋体" w:eastAsia="宋体" w:cs="宋体"/>
                <w:b/>
                <w:bCs/>
                <w:color w:val="auto"/>
                <w:spacing w:val="8"/>
                <w:sz w:val="21"/>
                <w:szCs w:val="21"/>
                <w:highlight w:val="none"/>
                <w:lang w:eastAsia="zh-CN"/>
              </w:rPr>
              <w:t>、</w:t>
            </w:r>
            <w:r>
              <w:rPr>
                <w:rFonts w:hint="eastAsia" w:ascii="宋体" w:hAnsi="宋体" w:eastAsia="宋体" w:cs="宋体"/>
                <w:b/>
                <w:bCs/>
                <w:color w:val="auto"/>
                <w:spacing w:val="7"/>
                <w:sz w:val="21"/>
                <w:szCs w:val="21"/>
                <w:highlight w:val="none"/>
              </w:rPr>
              <w:t>野生动植物资源调查</w:t>
            </w:r>
            <w:r>
              <w:rPr>
                <w:rFonts w:hint="eastAsia" w:ascii="宋体" w:hAnsi="宋体" w:eastAsia="宋体" w:cs="宋体"/>
                <w:b/>
                <w:bCs/>
                <w:color w:val="auto"/>
                <w:spacing w:val="7"/>
                <w:sz w:val="21"/>
                <w:szCs w:val="21"/>
                <w:highlight w:val="none"/>
                <w:lang w:eastAsia="zh-CN"/>
              </w:rPr>
              <w:t>、</w:t>
            </w:r>
            <w:r>
              <w:rPr>
                <w:rFonts w:hint="eastAsia" w:ascii="宋体" w:hAnsi="宋体" w:eastAsia="宋体" w:cs="宋体"/>
                <w:b/>
                <w:bCs/>
                <w:color w:val="auto"/>
                <w:spacing w:val="7"/>
                <w:sz w:val="21"/>
                <w:szCs w:val="21"/>
                <w:highlight w:val="none"/>
                <w:lang w:val="en-US" w:eastAsia="zh-CN"/>
              </w:rPr>
              <w:t>森林资源二类调查</w:t>
            </w:r>
            <w:r>
              <w:rPr>
                <w:rFonts w:hint="eastAsia" w:cs="宋体"/>
                <w:b/>
                <w:bCs/>
                <w:color w:val="auto"/>
                <w:spacing w:val="7"/>
                <w:sz w:val="21"/>
                <w:szCs w:val="21"/>
                <w:highlight w:val="none"/>
                <w:lang w:val="en-US" w:eastAsia="zh-CN"/>
              </w:rPr>
              <w:t>，野生动植物资源标本养护与制作的阅历，资料印刷和同类型视频制作案例展示</w:t>
            </w:r>
            <w:r>
              <w:rPr>
                <w:rFonts w:hint="eastAsia" w:ascii="宋体" w:hAnsi="宋体" w:eastAsia="宋体" w:cs="宋体"/>
                <w:b/>
                <w:bCs/>
                <w:color w:val="auto"/>
                <w:spacing w:val="7"/>
                <w:sz w:val="21"/>
                <w:szCs w:val="21"/>
                <w:highlight w:val="none"/>
                <w:lang w:eastAsia="zh-CN"/>
              </w:rPr>
              <w:t>以及</w:t>
            </w:r>
            <w:r>
              <w:rPr>
                <w:rFonts w:hint="eastAsia" w:ascii="宋体" w:hAnsi="宋体" w:eastAsia="宋体" w:cs="宋体"/>
                <w:b/>
                <w:bCs/>
                <w:color w:val="auto"/>
                <w:spacing w:val="6"/>
                <w:sz w:val="21"/>
                <w:szCs w:val="21"/>
                <w:highlight w:val="none"/>
              </w:rPr>
              <w:t>与采购内容相关的项目等。</w:t>
            </w:r>
          </w:p>
        </w:tc>
      </w:tr>
      <w:tr w14:paraId="6B792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29" w:type="dxa"/>
            <w:gridSpan w:val="4"/>
            <w:noWrap w:val="0"/>
            <w:vAlign w:val="center"/>
          </w:tcPr>
          <w:p w14:paraId="7DCEAF87">
            <w:pPr>
              <w:pStyle w:val="56"/>
              <w:keepNext w:val="0"/>
              <w:keepLines w:val="0"/>
              <w:pageBreakBefore w:val="0"/>
              <w:widowControl w:val="0"/>
              <w:suppressLineNumbers w:val="0"/>
              <w:kinsoku/>
              <w:wordWrap/>
              <w:overflowPunct/>
              <w:topLinePunct w:val="0"/>
              <w:autoSpaceDE/>
              <w:autoSpaceDN/>
              <w:bidi w:val="0"/>
              <w:spacing w:before="2" w:beforeAutospacing="0" w:after="0" w:afterAutospacing="0" w:line="360" w:lineRule="exact"/>
              <w:ind w:left="117" w:leftChars="0" w:right="160" w:rightChars="0" w:firstLine="16" w:firstLineChars="0"/>
              <w:textAlignment w:val="auto"/>
              <w:rPr>
                <w:rFonts w:hint="default" w:ascii="宋体" w:hAnsi="宋体" w:eastAsia="宋体" w:cs="宋体"/>
                <w:b/>
                <w:bCs/>
                <w:color w:val="auto"/>
                <w:spacing w:val="3"/>
                <w:sz w:val="21"/>
                <w:szCs w:val="21"/>
                <w:highlight w:val="none"/>
                <w:lang w:val="en-US" w:eastAsia="zh-CN"/>
              </w:rPr>
            </w:pPr>
            <w:r>
              <w:rPr>
                <w:rFonts w:hint="eastAsia" w:ascii="宋体" w:hAnsi="宋体" w:eastAsia="宋体" w:cs="宋体"/>
                <w:b/>
                <w:bCs/>
                <w:color w:val="auto"/>
                <w:spacing w:val="3"/>
                <w:sz w:val="21"/>
                <w:szCs w:val="21"/>
                <w:highlight w:val="none"/>
              </w:rPr>
              <w:t>总得分=1+2</w:t>
            </w:r>
            <w:r>
              <w:rPr>
                <w:rFonts w:hint="eastAsia" w:cs="宋体"/>
                <w:b/>
                <w:bCs/>
                <w:color w:val="auto"/>
                <w:spacing w:val="3"/>
                <w:sz w:val="21"/>
                <w:szCs w:val="21"/>
                <w:highlight w:val="none"/>
                <w:lang w:val="en-US" w:eastAsia="zh-CN"/>
              </w:rPr>
              <w:t>+3</w:t>
            </w:r>
          </w:p>
          <w:p w14:paraId="5227ECAA">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both"/>
              <w:textAlignment w:val="auto"/>
              <w:rPr>
                <w:rFonts w:hint="eastAsia" w:ascii="宋体" w:hAnsi="宋体" w:eastAsia="宋体" w:cs="宋体"/>
                <w:b/>
                <w:color w:val="auto"/>
                <w:kern w:val="0"/>
                <w:sz w:val="21"/>
                <w:szCs w:val="21"/>
                <w:highlight w:val="none"/>
              </w:rPr>
            </w:pPr>
            <w:r>
              <w:rPr>
                <w:rFonts w:hint="eastAsia" w:ascii="宋体" w:hAnsi="宋体" w:eastAsia="宋体" w:cs="宋体"/>
                <w:b/>
                <w:bCs/>
                <w:color w:val="auto"/>
                <w:kern w:val="2"/>
                <w:sz w:val="21"/>
                <w:szCs w:val="21"/>
                <w:highlight w:val="none"/>
              </w:rPr>
              <w:t>注：</w:t>
            </w:r>
            <w:r>
              <w:rPr>
                <w:rFonts w:hint="eastAsia" w:ascii="宋体" w:hAnsi="宋体" w:eastAsia="宋体" w:cs="宋体"/>
                <w:b/>
                <w:bCs/>
                <w:color w:val="auto"/>
                <w:spacing w:val="-8"/>
                <w:kern w:val="2"/>
                <w:sz w:val="21"/>
                <w:szCs w:val="21"/>
                <w:highlight w:val="none"/>
              </w:rPr>
              <w:t>本项目为服务类项目，不涉及节能环保政策考核，也不涉及本国产品政策考核。</w:t>
            </w:r>
          </w:p>
        </w:tc>
      </w:tr>
    </w:tbl>
    <w:p w14:paraId="22AFA4BA">
      <w:pPr>
        <w:spacing w:line="400" w:lineRule="exact"/>
        <w:ind w:firstLine="422" w:firstLineChars="200"/>
        <w:outlineLvl w:val="9"/>
        <w:rPr>
          <w:rFonts w:ascii="宋体" w:hAnsi="宋体" w:cs="宋体"/>
          <w:b/>
          <w:bCs/>
          <w:color w:val="auto"/>
          <w:szCs w:val="21"/>
          <w:highlight w:val="none"/>
        </w:rPr>
      </w:pPr>
      <w:r>
        <w:rPr>
          <w:rFonts w:hint="eastAsia" w:ascii="宋体" w:hAnsi="宋体" w:cs="宋体"/>
          <w:b/>
          <w:bCs/>
          <w:color w:val="auto"/>
          <w:szCs w:val="21"/>
          <w:highlight w:val="none"/>
        </w:rPr>
        <w:t>三、推荐成交候选供应商原则</w:t>
      </w:r>
    </w:p>
    <w:p w14:paraId="333855C5">
      <w:pPr>
        <w:spacing w:line="400" w:lineRule="exact"/>
        <w:ind w:firstLine="422" w:firstLineChars="200"/>
        <w:outlineLvl w:val="9"/>
        <w:rPr>
          <w:rFonts w:ascii="宋体" w:hAnsi="宋体" w:cs="宋体"/>
          <w:b/>
          <w:bCs/>
          <w:color w:val="auto"/>
          <w:szCs w:val="21"/>
          <w:highlight w:val="none"/>
        </w:rPr>
      </w:pPr>
      <w:r>
        <w:rPr>
          <w:rFonts w:hint="eastAsia" w:ascii="宋体" w:hAnsi="宋体" w:cs="宋体"/>
          <w:b/>
          <w:bCs/>
          <w:color w:val="auto"/>
          <w:szCs w:val="21"/>
          <w:highlight w:val="none"/>
        </w:rPr>
        <w:t>（1）磋商小组应当根据综合评分情况，按照综合得分由高到低顺序推荐成交候选供应商，并编写评审报告。磋商小组根据综合得分由高到低排列次序，若得分相同时，依次按照磋商报价、技术、商务得分由高到低顺序排列。</w:t>
      </w:r>
    </w:p>
    <w:p w14:paraId="69F2BC66">
      <w:pPr>
        <w:spacing w:line="400" w:lineRule="exact"/>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（2）采购单位应当确定磋商小组推荐排名第一的成交候选人为成交供应商。</w:t>
      </w:r>
    </w:p>
    <w:p w14:paraId="68265096">
      <w:pPr>
        <w:spacing w:line="400" w:lineRule="exact"/>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（3）排名第一的成交候选人放弃成交、因不可抗力提出不能履行合同，或者磋商文件规定应当提交履约保证金而在规定的期限内未能提交的，采购单位可以确定排名第二的成交候选人为成交供应商。</w:t>
      </w:r>
    </w:p>
    <w:p w14:paraId="5C8AD68E">
      <w:pPr>
        <w:pStyle w:val="10"/>
        <w:spacing w:line="360" w:lineRule="auto"/>
        <w:ind w:firstLine="421"/>
        <w:rPr>
          <w:rFonts w:hint="eastAsia" w:ascii="宋体" w:hAnsi="宋体" w:cs="宋体"/>
          <w:b/>
          <w:bCs/>
          <w:color w:val="auto"/>
          <w:szCs w:val="21"/>
          <w:highlight w:val="none"/>
        </w:rPr>
      </w:pPr>
      <w:r>
        <w:rPr>
          <w:rFonts w:hint="eastAsia" w:ascii="宋体" w:hAnsi="宋体" w:cs="宋体"/>
          <w:b/>
          <w:bCs/>
          <w:color w:val="auto"/>
          <w:szCs w:val="21"/>
          <w:highlight w:val="none"/>
        </w:rPr>
        <w:t>（4）排名第二的成交候选人因前款规定的同样原因不能签订合同的，采购单位可以确定排名第三的成交候选人为成交供应商。</w:t>
      </w:r>
    </w:p>
    <w:p w14:paraId="2581F5D5">
      <w:pPr>
        <w:pStyle w:val="10"/>
        <w:spacing w:line="360" w:lineRule="auto"/>
        <w:ind w:firstLine="421"/>
        <w:rPr>
          <w:rFonts w:hint="eastAsia" w:ascii="宋体" w:hAnsi="宋体" w:cs="宋体"/>
          <w:b/>
          <w:bCs/>
          <w:color w:val="auto"/>
          <w:szCs w:val="21"/>
          <w:highlight w:val="none"/>
          <w:lang w:eastAsia="zh-CN"/>
        </w:rPr>
      </w:pPr>
    </w:p>
    <w:p w14:paraId="103293DB">
      <w:pPr>
        <w:pStyle w:val="10"/>
        <w:spacing w:line="360" w:lineRule="auto"/>
        <w:ind w:firstLine="421"/>
        <w:rPr>
          <w:rFonts w:hint="eastAsia" w:ascii="宋体" w:hAnsi="宋体" w:eastAsia="宋体" w:cs="宋体"/>
          <w:b/>
          <w:bCs/>
          <w:color w:val="auto"/>
          <w:szCs w:val="21"/>
          <w:highlight w:val="none"/>
          <w:lang w:eastAsia="zh-CN"/>
        </w:rPr>
        <w:sectPr>
          <w:headerReference r:id="rId3" w:type="default"/>
          <w:footerReference r:id="rId4" w:type="default"/>
          <w:pgSz w:w="11906" w:h="16838"/>
          <w:pgMar w:top="1134" w:right="1134" w:bottom="1134" w:left="1134" w:header="851" w:footer="992" w:gutter="0"/>
          <w:pgNumType w:fmt="decimal"/>
          <w:cols w:space="720" w:num="1"/>
          <w:docGrid w:type="lines" w:linePitch="312" w:charSpace="0"/>
        </w:sectPr>
      </w:pPr>
    </w:p>
    <w:p w14:paraId="49D01689">
      <w:pPr>
        <w:spacing w:line="280" w:lineRule="exact"/>
        <w:rPr>
          <w:rFonts w:ascii="宋体" w:hAnsi="宋体" w:cs="宋体"/>
          <w:b/>
          <w:bCs/>
          <w:color w:val="auto"/>
          <w:sz w:val="24"/>
          <w:highlight w:val="none"/>
        </w:rPr>
      </w:pPr>
      <w:r>
        <w:rPr>
          <w:rFonts w:hint="eastAsia" w:ascii="宋体" w:hAnsi="宋体" w:cs="宋体"/>
          <w:b/>
          <w:bCs/>
          <w:color w:val="auto"/>
          <w:sz w:val="24"/>
          <w:highlight w:val="none"/>
        </w:rPr>
        <w:t>附表</w:t>
      </w:r>
    </w:p>
    <w:p w14:paraId="75413D69">
      <w:pPr>
        <w:widowControl/>
        <w:spacing w:beforeLines="50" w:afterLines="50" w:line="280" w:lineRule="exact"/>
        <w:jc w:val="center"/>
        <w:rPr>
          <w:rFonts w:ascii="宋体" w:hAnsi="宋体" w:cs="宋体"/>
          <w:b/>
          <w:bCs/>
          <w:color w:val="auto"/>
          <w:kern w:val="0"/>
          <w:sz w:val="30"/>
          <w:szCs w:val="30"/>
          <w:highlight w:val="none"/>
        </w:rPr>
      </w:pPr>
      <w:bookmarkStart w:id="141" w:name="_Toc28361_WPSOffice_Level2"/>
      <w:r>
        <w:rPr>
          <w:rFonts w:hint="eastAsia" w:ascii="宋体" w:hAnsi="宋体" w:cs="宋体"/>
          <w:b/>
          <w:bCs/>
          <w:color w:val="auto"/>
          <w:kern w:val="0"/>
          <w:sz w:val="30"/>
          <w:szCs w:val="30"/>
          <w:highlight w:val="none"/>
        </w:rPr>
        <w:t>统计上大中小微型企业划分标准</w:t>
      </w:r>
      <w:bookmarkEnd w:id="141"/>
    </w:p>
    <w:tbl>
      <w:tblPr>
        <w:tblStyle w:val="24"/>
        <w:tblW w:w="9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3"/>
        <w:gridCol w:w="1369"/>
        <w:gridCol w:w="709"/>
        <w:gridCol w:w="1125"/>
        <w:gridCol w:w="1701"/>
        <w:gridCol w:w="1426"/>
        <w:gridCol w:w="992"/>
      </w:tblGrid>
      <w:tr w14:paraId="01693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blHeader/>
          <w:jc w:val="center"/>
        </w:trPr>
        <w:tc>
          <w:tcPr>
            <w:tcW w:w="2113" w:type="dxa"/>
            <w:shd w:val="clear" w:color="auto" w:fill="FFFFFF"/>
            <w:vAlign w:val="center"/>
          </w:tcPr>
          <w:p w14:paraId="144BEE53">
            <w:pPr>
              <w:keepNext w:val="0"/>
              <w:keepLines w:val="0"/>
              <w:widowControl/>
              <w:suppressLineNumbers w:val="0"/>
              <w:spacing w:before="0" w:beforeAutospacing="0" w:after="0" w:afterAutospacing="0" w:line="280" w:lineRule="exact"/>
              <w:ind w:left="0" w:right="0"/>
              <w:jc w:val="center"/>
              <w:rPr>
                <w:rFonts w:hint="eastAsia" w:ascii="宋体" w:hAnsi="宋体" w:cs="宋体"/>
                <w:b/>
                <w:bCs/>
                <w:color w:val="auto"/>
                <w:kern w:val="0"/>
                <w:sz w:val="18"/>
                <w:szCs w:val="21"/>
                <w:highlight w:val="none"/>
              </w:rPr>
            </w:pPr>
            <w:r>
              <w:rPr>
                <w:rFonts w:hint="eastAsia" w:ascii="宋体" w:hAnsi="宋体" w:cs="宋体"/>
                <w:b/>
                <w:bCs/>
                <w:color w:val="auto"/>
                <w:kern w:val="0"/>
                <w:sz w:val="18"/>
                <w:szCs w:val="21"/>
                <w:highlight w:val="none"/>
              </w:rPr>
              <w:t>行业名称</w:t>
            </w:r>
          </w:p>
        </w:tc>
        <w:tc>
          <w:tcPr>
            <w:tcW w:w="1369" w:type="dxa"/>
            <w:shd w:val="clear" w:color="auto" w:fill="FFFFFF"/>
            <w:vAlign w:val="center"/>
          </w:tcPr>
          <w:p w14:paraId="47F9CC0D">
            <w:pPr>
              <w:keepNext w:val="0"/>
              <w:keepLines w:val="0"/>
              <w:widowControl/>
              <w:suppressLineNumbers w:val="0"/>
              <w:spacing w:before="0" w:beforeAutospacing="0" w:after="0" w:afterAutospacing="0" w:line="280" w:lineRule="exact"/>
              <w:ind w:left="0" w:right="0"/>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指标名称</w:t>
            </w:r>
          </w:p>
        </w:tc>
        <w:tc>
          <w:tcPr>
            <w:tcW w:w="709" w:type="dxa"/>
            <w:shd w:val="clear" w:color="auto" w:fill="FFFFFF"/>
            <w:vAlign w:val="center"/>
          </w:tcPr>
          <w:p w14:paraId="235B4BF3">
            <w:pPr>
              <w:keepNext w:val="0"/>
              <w:keepLines w:val="0"/>
              <w:widowControl/>
              <w:suppressLineNumbers w:val="0"/>
              <w:spacing w:before="0" w:beforeAutospacing="0" w:after="0" w:afterAutospacing="0" w:line="280" w:lineRule="exact"/>
              <w:ind w:left="0" w:right="0"/>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计量</w:t>
            </w:r>
            <w:r>
              <w:rPr>
                <w:rFonts w:hint="eastAsia" w:ascii="宋体" w:hAnsi="宋体" w:cs="宋体"/>
                <w:b/>
                <w:bCs/>
                <w:color w:val="auto"/>
                <w:kern w:val="0"/>
                <w:sz w:val="18"/>
                <w:szCs w:val="18"/>
                <w:highlight w:val="none"/>
              </w:rPr>
              <w:br w:type="textWrapping"/>
            </w:r>
            <w:r>
              <w:rPr>
                <w:rFonts w:hint="eastAsia" w:ascii="宋体" w:hAnsi="宋体" w:cs="宋体"/>
                <w:b/>
                <w:bCs/>
                <w:color w:val="auto"/>
                <w:kern w:val="0"/>
                <w:sz w:val="18"/>
                <w:szCs w:val="18"/>
                <w:highlight w:val="none"/>
              </w:rPr>
              <w:t>单位</w:t>
            </w:r>
          </w:p>
        </w:tc>
        <w:tc>
          <w:tcPr>
            <w:tcW w:w="1125" w:type="dxa"/>
            <w:shd w:val="clear" w:color="auto" w:fill="FFFFFF"/>
            <w:vAlign w:val="center"/>
          </w:tcPr>
          <w:p w14:paraId="72D4C515">
            <w:pPr>
              <w:keepNext w:val="0"/>
              <w:keepLines w:val="0"/>
              <w:widowControl/>
              <w:suppressLineNumbers w:val="0"/>
              <w:spacing w:before="0" w:beforeAutospacing="0" w:after="0" w:afterAutospacing="0" w:line="280" w:lineRule="exact"/>
              <w:ind w:left="0" w:right="0"/>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大型</w:t>
            </w:r>
          </w:p>
        </w:tc>
        <w:tc>
          <w:tcPr>
            <w:tcW w:w="1701" w:type="dxa"/>
            <w:shd w:val="clear" w:color="auto" w:fill="FFFFFF"/>
            <w:vAlign w:val="center"/>
          </w:tcPr>
          <w:p w14:paraId="0D36A9AC">
            <w:pPr>
              <w:keepNext w:val="0"/>
              <w:keepLines w:val="0"/>
              <w:widowControl/>
              <w:suppressLineNumbers w:val="0"/>
              <w:spacing w:before="0" w:beforeAutospacing="0" w:after="0" w:afterAutospacing="0" w:line="280" w:lineRule="exact"/>
              <w:ind w:left="0" w:right="0"/>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中型</w:t>
            </w:r>
          </w:p>
        </w:tc>
        <w:tc>
          <w:tcPr>
            <w:tcW w:w="1426" w:type="dxa"/>
            <w:shd w:val="clear" w:color="auto" w:fill="FFFFFF"/>
            <w:vAlign w:val="center"/>
          </w:tcPr>
          <w:p w14:paraId="6F98A4BF">
            <w:pPr>
              <w:keepNext w:val="0"/>
              <w:keepLines w:val="0"/>
              <w:widowControl/>
              <w:suppressLineNumbers w:val="0"/>
              <w:spacing w:before="0" w:beforeAutospacing="0" w:after="0" w:afterAutospacing="0" w:line="280" w:lineRule="exact"/>
              <w:ind w:left="0" w:right="0"/>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小型</w:t>
            </w:r>
          </w:p>
        </w:tc>
        <w:tc>
          <w:tcPr>
            <w:tcW w:w="992" w:type="dxa"/>
            <w:shd w:val="clear" w:color="auto" w:fill="FFFFFF"/>
            <w:vAlign w:val="center"/>
          </w:tcPr>
          <w:p w14:paraId="3812D27E">
            <w:pPr>
              <w:keepNext w:val="0"/>
              <w:keepLines w:val="0"/>
              <w:widowControl/>
              <w:suppressLineNumbers w:val="0"/>
              <w:spacing w:before="0" w:beforeAutospacing="0" w:after="0" w:afterAutospacing="0" w:line="280" w:lineRule="exact"/>
              <w:ind w:left="0" w:right="0"/>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微型</w:t>
            </w:r>
          </w:p>
        </w:tc>
      </w:tr>
      <w:tr w14:paraId="580CC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Align w:val="center"/>
          </w:tcPr>
          <w:p w14:paraId="7D85D152">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农、林、牧、渔业</w:t>
            </w:r>
          </w:p>
        </w:tc>
        <w:tc>
          <w:tcPr>
            <w:tcW w:w="1369" w:type="dxa"/>
            <w:vAlign w:val="center"/>
          </w:tcPr>
          <w:p w14:paraId="427134C1">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64882D16">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084A3B0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Y≥20000</w:t>
            </w:r>
          </w:p>
        </w:tc>
        <w:tc>
          <w:tcPr>
            <w:tcW w:w="1701" w:type="dxa"/>
            <w:vAlign w:val="center"/>
          </w:tcPr>
          <w:p w14:paraId="77D08137">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426" w:type="dxa"/>
            <w:vAlign w:val="center"/>
          </w:tcPr>
          <w:p w14:paraId="1AA0B3C5">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50≤Y＜500</w:t>
            </w:r>
          </w:p>
        </w:tc>
        <w:tc>
          <w:tcPr>
            <w:tcW w:w="992" w:type="dxa"/>
            <w:vAlign w:val="center"/>
          </w:tcPr>
          <w:p w14:paraId="74808CFB">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367F9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63EDBEF7">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工业 *</w:t>
            </w:r>
          </w:p>
        </w:tc>
        <w:tc>
          <w:tcPr>
            <w:tcW w:w="1369" w:type="dxa"/>
            <w:vAlign w:val="center"/>
          </w:tcPr>
          <w:p w14:paraId="12030A02">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097F93A7">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09C5AEC7">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vAlign w:val="center"/>
          </w:tcPr>
          <w:p w14:paraId="1BC34C13">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vAlign w:val="center"/>
          </w:tcPr>
          <w:p w14:paraId="6D0C8E19">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992" w:type="dxa"/>
            <w:vAlign w:val="center"/>
          </w:tcPr>
          <w:p w14:paraId="355624B3">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61A3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222F83DC">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p>
        </w:tc>
        <w:tc>
          <w:tcPr>
            <w:tcW w:w="1369" w:type="dxa"/>
            <w:vAlign w:val="center"/>
          </w:tcPr>
          <w:p w14:paraId="665EF3EA">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0B4BDA1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520AECA6">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Y≥40000</w:t>
            </w:r>
          </w:p>
        </w:tc>
        <w:tc>
          <w:tcPr>
            <w:tcW w:w="1701" w:type="dxa"/>
            <w:vAlign w:val="center"/>
          </w:tcPr>
          <w:p w14:paraId="646C1EEF">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2000≤Y＜40000</w:t>
            </w:r>
          </w:p>
        </w:tc>
        <w:tc>
          <w:tcPr>
            <w:tcW w:w="1426" w:type="dxa"/>
            <w:vAlign w:val="center"/>
          </w:tcPr>
          <w:p w14:paraId="6F22F4CA">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300≤Y＜2000</w:t>
            </w:r>
          </w:p>
        </w:tc>
        <w:tc>
          <w:tcPr>
            <w:tcW w:w="992" w:type="dxa"/>
            <w:vAlign w:val="center"/>
          </w:tcPr>
          <w:p w14:paraId="3381985B">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1F324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6578275E">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建筑业</w:t>
            </w:r>
          </w:p>
        </w:tc>
        <w:tc>
          <w:tcPr>
            <w:tcW w:w="1369" w:type="dxa"/>
            <w:vAlign w:val="center"/>
          </w:tcPr>
          <w:p w14:paraId="719AE728">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502907B7">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1A285EF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Y≥80000</w:t>
            </w:r>
          </w:p>
        </w:tc>
        <w:tc>
          <w:tcPr>
            <w:tcW w:w="1701" w:type="dxa"/>
            <w:vAlign w:val="center"/>
          </w:tcPr>
          <w:p w14:paraId="448FC842">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6000≤Y＜80000</w:t>
            </w:r>
          </w:p>
        </w:tc>
        <w:tc>
          <w:tcPr>
            <w:tcW w:w="1426" w:type="dxa"/>
            <w:vAlign w:val="center"/>
          </w:tcPr>
          <w:p w14:paraId="79ABB211">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300≤Y＜6000</w:t>
            </w:r>
          </w:p>
        </w:tc>
        <w:tc>
          <w:tcPr>
            <w:tcW w:w="992" w:type="dxa"/>
            <w:vAlign w:val="center"/>
          </w:tcPr>
          <w:p w14:paraId="0E95EB07">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79A99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0DDDF9CC">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p>
        </w:tc>
        <w:tc>
          <w:tcPr>
            <w:tcW w:w="1369" w:type="dxa"/>
            <w:vAlign w:val="center"/>
          </w:tcPr>
          <w:p w14:paraId="5CDE0130">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vAlign w:val="center"/>
          </w:tcPr>
          <w:p w14:paraId="01EE3258">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4A605DA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Z≥80000</w:t>
            </w:r>
          </w:p>
        </w:tc>
        <w:tc>
          <w:tcPr>
            <w:tcW w:w="1701" w:type="dxa"/>
            <w:vAlign w:val="center"/>
          </w:tcPr>
          <w:p w14:paraId="2E775D30">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5000≤Z＜80000</w:t>
            </w:r>
          </w:p>
        </w:tc>
        <w:tc>
          <w:tcPr>
            <w:tcW w:w="1426" w:type="dxa"/>
            <w:vAlign w:val="center"/>
          </w:tcPr>
          <w:p w14:paraId="6432BADB">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300≤Z＜5000</w:t>
            </w:r>
          </w:p>
        </w:tc>
        <w:tc>
          <w:tcPr>
            <w:tcW w:w="992" w:type="dxa"/>
            <w:vAlign w:val="center"/>
          </w:tcPr>
          <w:p w14:paraId="536974B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Z＜300</w:t>
            </w:r>
          </w:p>
        </w:tc>
      </w:tr>
      <w:tr w14:paraId="6D4AF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09789C1C">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批发业</w:t>
            </w:r>
          </w:p>
        </w:tc>
        <w:tc>
          <w:tcPr>
            <w:tcW w:w="1369" w:type="dxa"/>
            <w:vAlign w:val="center"/>
          </w:tcPr>
          <w:p w14:paraId="4E72028B">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1483DC62">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78DC9920">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X≥200</w:t>
            </w:r>
          </w:p>
        </w:tc>
        <w:tc>
          <w:tcPr>
            <w:tcW w:w="1701" w:type="dxa"/>
            <w:vAlign w:val="center"/>
          </w:tcPr>
          <w:p w14:paraId="77AB449E">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20≤X＜200</w:t>
            </w:r>
          </w:p>
        </w:tc>
        <w:tc>
          <w:tcPr>
            <w:tcW w:w="1426" w:type="dxa"/>
            <w:vAlign w:val="center"/>
          </w:tcPr>
          <w:p w14:paraId="7E37D6A7">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5≤X＜20</w:t>
            </w:r>
          </w:p>
        </w:tc>
        <w:tc>
          <w:tcPr>
            <w:tcW w:w="992" w:type="dxa"/>
            <w:vAlign w:val="center"/>
          </w:tcPr>
          <w:p w14:paraId="3B65FA2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X＜5</w:t>
            </w:r>
          </w:p>
        </w:tc>
      </w:tr>
      <w:tr w14:paraId="77542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5B0CAF76">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p>
        </w:tc>
        <w:tc>
          <w:tcPr>
            <w:tcW w:w="1369" w:type="dxa"/>
            <w:vAlign w:val="center"/>
          </w:tcPr>
          <w:p w14:paraId="51C3B0D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2104C161">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4D1A6938">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Y≥40000</w:t>
            </w:r>
          </w:p>
        </w:tc>
        <w:tc>
          <w:tcPr>
            <w:tcW w:w="1701" w:type="dxa"/>
            <w:vAlign w:val="center"/>
          </w:tcPr>
          <w:p w14:paraId="4CAC25AB">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5000≤Y＜40000</w:t>
            </w:r>
          </w:p>
        </w:tc>
        <w:tc>
          <w:tcPr>
            <w:tcW w:w="1426" w:type="dxa"/>
            <w:vAlign w:val="center"/>
          </w:tcPr>
          <w:p w14:paraId="59C84ECE">
            <w:pPr>
              <w:keepNext w:val="0"/>
              <w:keepLines w:val="0"/>
              <w:widowControl/>
              <w:suppressLineNumbers w:val="0"/>
              <w:spacing w:before="0" w:beforeAutospacing="0" w:after="0" w:afterAutospacing="0" w:line="280" w:lineRule="exact"/>
              <w:ind w:left="-1" w:leftChars="-1" w:right="0" w:hanging="1"/>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992" w:type="dxa"/>
            <w:vAlign w:val="center"/>
          </w:tcPr>
          <w:p w14:paraId="39D216F4">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w:t>
            </w:r>
          </w:p>
        </w:tc>
      </w:tr>
      <w:tr w14:paraId="21196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3F18C14D">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零售业</w:t>
            </w:r>
          </w:p>
        </w:tc>
        <w:tc>
          <w:tcPr>
            <w:tcW w:w="1369" w:type="dxa"/>
            <w:vAlign w:val="center"/>
          </w:tcPr>
          <w:p w14:paraId="5B3A3B88">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41FA77F5">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75740DE3">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vAlign w:val="center"/>
          </w:tcPr>
          <w:p w14:paraId="14950271">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50≤X＜300</w:t>
            </w:r>
          </w:p>
        </w:tc>
        <w:tc>
          <w:tcPr>
            <w:tcW w:w="1426" w:type="dxa"/>
            <w:vAlign w:val="center"/>
          </w:tcPr>
          <w:p w14:paraId="6BC87F33">
            <w:pPr>
              <w:keepNext w:val="0"/>
              <w:keepLines w:val="0"/>
              <w:widowControl/>
              <w:suppressLineNumbers w:val="0"/>
              <w:spacing w:before="0" w:beforeAutospacing="0" w:after="0" w:afterAutospacing="0" w:line="280" w:lineRule="exact"/>
              <w:ind w:left="-1" w:leftChars="-1" w:right="0" w:hanging="1"/>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10≤X＜50 </w:t>
            </w:r>
          </w:p>
        </w:tc>
        <w:tc>
          <w:tcPr>
            <w:tcW w:w="992" w:type="dxa"/>
            <w:vAlign w:val="center"/>
          </w:tcPr>
          <w:p w14:paraId="548EDE30">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4D187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6D7F7E6D">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p>
        </w:tc>
        <w:tc>
          <w:tcPr>
            <w:tcW w:w="1369" w:type="dxa"/>
            <w:vAlign w:val="center"/>
          </w:tcPr>
          <w:p w14:paraId="7891F0C2">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480597FB">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407A8E05">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Y≥20000</w:t>
            </w:r>
          </w:p>
        </w:tc>
        <w:tc>
          <w:tcPr>
            <w:tcW w:w="1701" w:type="dxa"/>
            <w:vAlign w:val="center"/>
          </w:tcPr>
          <w:p w14:paraId="7CA5D6D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426" w:type="dxa"/>
            <w:vAlign w:val="center"/>
          </w:tcPr>
          <w:p w14:paraId="5F8888DB">
            <w:pPr>
              <w:keepNext w:val="0"/>
              <w:keepLines w:val="0"/>
              <w:widowControl/>
              <w:suppressLineNumbers w:val="0"/>
              <w:spacing w:before="0" w:beforeAutospacing="0" w:after="0" w:afterAutospacing="0" w:line="280" w:lineRule="exact"/>
              <w:ind w:left="-1" w:leftChars="-1" w:right="0" w:hanging="1"/>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100≤Y＜500</w:t>
            </w:r>
          </w:p>
        </w:tc>
        <w:tc>
          <w:tcPr>
            <w:tcW w:w="992" w:type="dxa"/>
            <w:vAlign w:val="center"/>
          </w:tcPr>
          <w:p w14:paraId="694856C8">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0A547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4FF458EA">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交通运输业 *</w:t>
            </w:r>
          </w:p>
        </w:tc>
        <w:tc>
          <w:tcPr>
            <w:tcW w:w="1369" w:type="dxa"/>
            <w:vAlign w:val="center"/>
          </w:tcPr>
          <w:p w14:paraId="0C726B8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5B107712">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7B320456">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vAlign w:val="center"/>
          </w:tcPr>
          <w:p w14:paraId="560D9BDB">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vAlign w:val="center"/>
          </w:tcPr>
          <w:p w14:paraId="4C4853FE">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992" w:type="dxa"/>
            <w:vAlign w:val="center"/>
          </w:tcPr>
          <w:p w14:paraId="5249455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705BC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29A06329">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p>
        </w:tc>
        <w:tc>
          <w:tcPr>
            <w:tcW w:w="1369" w:type="dxa"/>
            <w:vAlign w:val="center"/>
          </w:tcPr>
          <w:p w14:paraId="13CA37D0">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0EE2B2C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71762933">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vAlign w:val="center"/>
          </w:tcPr>
          <w:p w14:paraId="5874D7D4">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3000≤Y＜30000</w:t>
            </w:r>
          </w:p>
        </w:tc>
        <w:tc>
          <w:tcPr>
            <w:tcW w:w="1426" w:type="dxa"/>
            <w:vAlign w:val="center"/>
          </w:tcPr>
          <w:p w14:paraId="083DC691">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200≤Y＜3000</w:t>
            </w:r>
          </w:p>
        </w:tc>
        <w:tc>
          <w:tcPr>
            <w:tcW w:w="992" w:type="dxa"/>
            <w:vAlign w:val="center"/>
          </w:tcPr>
          <w:p w14:paraId="11AEEF53">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w:t>
            </w:r>
          </w:p>
        </w:tc>
      </w:tr>
      <w:tr w14:paraId="4F192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35BC970A">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仓储业*</w:t>
            </w:r>
          </w:p>
        </w:tc>
        <w:tc>
          <w:tcPr>
            <w:tcW w:w="1369" w:type="dxa"/>
            <w:vAlign w:val="center"/>
          </w:tcPr>
          <w:p w14:paraId="35F71F75">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18CD12DA">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2E6A4884">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X≥200</w:t>
            </w:r>
          </w:p>
        </w:tc>
        <w:tc>
          <w:tcPr>
            <w:tcW w:w="1701" w:type="dxa"/>
            <w:vAlign w:val="center"/>
          </w:tcPr>
          <w:p w14:paraId="4AF53623">
            <w:pPr>
              <w:keepNext w:val="0"/>
              <w:keepLines w:val="0"/>
              <w:widowControl/>
              <w:suppressLineNumbers w:val="0"/>
              <w:spacing w:before="0" w:beforeAutospacing="0" w:after="0" w:afterAutospacing="0" w:line="280" w:lineRule="exact"/>
              <w:ind w:left="1" w:leftChars="-51" w:right="0"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w:t>
            </w:r>
          </w:p>
        </w:tc>
        <w:tc>
          <w:tcPr>
            <w:tcW w:w="1426" w:type="dxa"/>
            <w:vAlign w:val="center"/>
          </w:tcPr>
          <w:p w14:paraId="12D82759">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20≤X＜100</w:t>
            </w:r>
          </w:p>
        </w:tc>
        <w:tc>
          <w:tcPr>
            <w:tcW w:w="992" w:type="dxa"/>
            <w:vAlign w:val="center"/>
          </w:tcPr>
          <w:p w14:paraId="1D096FBA">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6E63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71F34B66">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p>
        </w:tc>
        <w:tc>
          <w:tcPr>
            <w:tcW w:w="1369" w:type="dxa"/>
            <w:vAlign w:val="center"/>
          </w:tcPr>
          <w:p w14:paraId="696E0FD0">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56E3B55E">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11CC643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vAlign w:val="center"/>
          </w:tcPr>
          <w:p w14:paraId="0ECEFE5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1000≤Y＜30000</w:t>
            </w:r>
          </w:p>
        </w:tc>
        <w:tc>
          <w:tcPr>
            <w:tcW w:w="1426" w:type="dxa"/>
            <w:vAlign w:val="center"/>
          </w:tcPr>
          <w:p w14:paraId="79F0528F">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992" w:type="dxa"/>
            <w:vAlign w:val="center"/>
          </w:tcPr>
          <w:p w14:paraId="0B647714">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39663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2BECED05">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邮政业</w:t>
            </w:r>
          </w:p>
        </w:tc>
        <w:tc>
          <w:tcPr>
            <w:tcW w:w="1369" w:type="dxa"/>
            <w:vAlign w:val="center"/>
          </w:tcPr>
          <w:p w14:paraId="347590CE">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790BCC8B">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5F5082D6">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vAlign w:val="center"/>
          </w:tcPr>
          <w:p w14:paraId="02CE1D98">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vAlign w:val="center"/>
          </w:tcPr>
          <w:p w14:paraId="771F16D2">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992" w:type="dxa"/>
            <w:vAlign w:val="center"/>
          </w:tcPr>
          <w:p w14:paraId="4BAEDB82">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2A388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1C66E77C">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p>
        </w:tc>
        <w:tc>
          <w:tcPr>
            <w:tcW w:w="1369" w:type="dxa"/>
            <w:vAlign w:val="center"/>
          </w:tcPr>
          <w:p w14:paraId="020A443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36B8235F">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7EA31BC4">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vAlign w:val="center"/>
          </w:tcPr>
          <w:p w14:paraId="677941FE">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2000≤Y＜30000</w:t>
            </w:r>
          </w:p>
        </w:tc>
        <w:tc>
          <w:tcPr>
            <w:tcW w:w="1426" w:type="dxa"/>
            <w:vAlign w:val="center"/>
          </w:tcPr>
          <w:p w14:paraId="79E5A9B2">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992" w:type="dxa"/>
            <w:vAlign w:val="center"/>
          </w:tcPr>
          <w:p w14:paraId="2BF99014">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52657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69493974">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住宿业</w:t>
            </w:r>
          </w:p>
        </w:tc>
        <w:tc>
          <w:tcPr>
            <w:tcW w:w="1369" w:type="dxa"/>
            <w:vAlign w:val="center"/>
          </w:tcPr>
          <w:p w14:paraId="4F49A086">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18DE9731">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5135848A">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vAlign w:val="center"/>
          </w:tcPr>
          <w:p w14:paraId="4F458E22">
            <w:pPr>
              <w:keepNext w:val="0"/>
              <w:keepLines w:val="0"/>
              <w:widowControl/>
              <w:suppressLineNumbers w:val="0"/>
              <w:spacing w:before="0" w:beforeAutospacing="0" w:after="0" w:afterAutospacing="0" w:line="280" w:lineRule="exact"/>
              <w:ind w:left="1" w:leftChars="-51" w:right="0"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26" w:type="dxa"/>
            <w:vAlign w:val="center"/>
          </w:tcPr>
          <w:p w14:paraId="314D4600">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vAlign w:val="center"/>
          </w:tcPr>
          <w:p w14:paraId="4F1CB569">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287BB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6D3A9C90">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p>
        </w:tc>
        <w:tc>
          <w:tcPr>
            <w:tcW w:w="1369" w:type="dxa"/>
            <w:vAlign w:val="center"/>
          </w:tcPr>
          <w:p w14:paraId="0EC5E027">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08A96E6A">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2A624E0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vAlign w:val="center"/>
          </w:tcPr>
          <w:p w14:paraId="75A5E8C1">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426" w:type="dxa"/>
            <w:vAlign w:val="center"/>
          </w:tcPr>
          <w:p w14:paraId="148FEDB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992" w:type="dxa"/>
            <w:vAlign w:val="center"/>
          </w:tcPr>
          <w:p w14:paraId="7CA09E37">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31174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761D104F">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餐饮业</w:t>
            </w:r>
          </w:p>
        </w:tc>
        <w:tc>
          <w:tcPr>
            <w:tcW w:w="1369" w:type="dxa"/>
            <w:vAlign w:val="center"/>
          </w:tcPr>
          <w:p w14:paraId="2F29D17F">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78814F95">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5917AB78">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vAlign w:val="center"/>
          </w:tcPr>
          <w:p w14:paraId="21C3BF85">
            <w:pPr>
              <w:keepNext w:val="0"/>
              <w:keepLines w:val="0"/>
              <w:widowControl/>
              <w:suppressLineNumbers w:val="0"/>
              <w:spacing w:before="0" w:beforeAutospacing="0" w:after="0" w:afterAutospacing="0" w:line="280" w:lineRule="exact"/>
              <w:ind w:left="1" w:leftChars="-51" w:right="0"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1426" w:type="dxa"/>
            <w:vAlign w:val="center"/>
          </w:tcPr>
          <w:p w14:paraId="543F8E02">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vAlign w:val="center"/>
          </w:tcPr>
          <w:p w14:paraId="03B85096">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25516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6E3C2ED4">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p>
        </w:tc>
        <w:tc>
          <w:tcPr>
            <w:tcW w:w="1369" w:type="dxa"/>
            <w:vAlign w:val="center"/>
          </w:tcPr>
          <w:p w14:paraId="680FF21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43183D97">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21F5389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vAlign w:val="center"/>
          </w:tcPr>
          <w:p w14:paraId="57B7C826">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426" w:type="dxa"/>
            <w:vAlign w:val="center"/>
          </w:tcPr>
          <w:p w14:paraId="271078DF">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992" w:type="dxa"/>
            <w:vAlign w:val="center"/>
          </w:tcPr>
          <w:p w14:paraId="37A2A23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73E95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54065962">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信息传输业 *</w:t>
            </w:r>
          </w:p>
        </w:tc>
        <w:tc>
          <w:tcPr>
            <w:tcW w:w="1369" w:type="dxa"/>
            <w:vAlign w:val="center"/>
          </w:tcPr>
          <w:p w14:paraId="443B84E6">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00826CC1">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0F2A5BC1">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X≥2000</w:t>
            </w:r>
          </w:p>
        </w:tc>
        <w:tc>
          <w:tcPr>
            <w:tcW w:w="1701" w:type="dxa"/>
            <w:vAlign w:val="center"/>
          </w:tcPr>
          <w:p w14:paraId="54790C2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100≤X＜2000</w:t>
            </w:r>
          </w:p>
        </w:tc>
        <w:tc>
          <w:tcPr>
            <w:tcW w:w="1426" w:type="dxa"/>
            <w:vAlign w:val="center"/>
          </w:tcPr>
          <w:p w14:paraId="01FD1AE0">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vAlign w:val="center"/>
          </w:tcPr>
          <w:p w14:paraId="0B5E1F10">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001F8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56E32BD2">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p>
        </w:tc>
        <w:tc>
          <w:tcPr>
            <w:tcW w:w="1369" w:type="dxa"/>
            <w:vAlign w:val="center"/>
          </w:tcPr>
          <w:p w14:paraId="3BDD1BD3">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46FE29EA">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5E5D2B25">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Y≥100000</w:t>
            </w:r>
          </w:p>
        </w:tc>
        <w:tc>
          <w:tcPr>
            <w:tcW w:w="1701" w:type="dxa"/>
            <w:vAlign w:val="center"/>
          </w:tcPr>
          <w:p w14:paraId="34E02BF1">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1000≤Y＜100000</w:t>
            </w:r>
          </w:p>
        </w:tc>
        <w:tc>
          <w:tcPr>
            <w:tcW w:w="1426" w:type="dxa"/>
            <w:vAlign w:val="center"/>
          </w:tcPr>
          <w:p w14:paraId="26077BFA">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992" w:type="dxa"/>
            <w:vAlign w:val="center"/>
          </w:tcPr>
          <w:p w14:paraId="56A0ADC7">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686AB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1577F5FF">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spacing w:val="-12"/>
                <w:kern w:val="0"/>
                <w:sz w:val="18"/>
                <w:szCs w:val="18"/>
                <w:highlight w:val="none"/>
              </w:rPr>
            </w:pPr>
            <w:r>
              <w:rPr>
                <w:rFonts w:hint="eastAsia" w:ascii="宋体" w:hAnsi="宋体" w:cs="宋体"/>
                <w:color w:val="auto"/>
                <w:spacing w:val="-12"/>
                <w:kern w:val="0"/>
                <w:sz w:val="18"/>
                <w:szCs w:val="18"/>
                <w:highlight w:val="none"/>
              </w:rPr>
              <w:t>软件和信息技术服</w:t>
            </w:r>
            <w:r>
              <w:rPr>
                <w:rFonts w:hint="eastAsia" w:ascii="宋体" w:hAnsi="宋体" w:cs="宋体"/>
                <w:color w:val="auto"/>
                <w:kern w:val="0"/>
                <w:sz w:val="18"/>
                <w:szCs w:val="18"/>
                <w:highlight w:val="none"/>
              </w:rPr>
              <w:t>务业</w:t>
            </w:r>
          </w:p>
        </w:tc>
        <w:tc>
          <w:tcPr>
            <w:tcW w:w="1369" w:type="dxa"/>
            <w:vAlign w:val="center"/>
          </w:tcPr>
          <w:p w14:paraId="58D46529">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1B9B23A8">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581A6611">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vAlign w:val="center"/>
          </w:tcPr>
          <w:p w14:paraId="5DD83B79">
            <w:pPr>
              <w:keepNext w:val="0"/>
              <w:keepLines w:val="0"/>
              <w:widowControl/>
              <w:suppressLineNumbers w:val="0"/>
              <w:spacing w:before="0" w:beforeAutospacing="0" w:after="0" w:afterAutospacing="0" w:line="280" w:lineRule="exact"/>
              <w:ind w:left="1" w:leftChars="-51" w:right="0"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1426" w:type="dxa"/>
            <w:vAlign w:val="center"/>
          </w:tcPr>
          <w:p w14:paraId="3199443A">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vAlign w:val="center"/>
          </w:tcPr>
          <w:p w14:paraId="5096B685">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1B1D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208F9852">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spacing w:val="-12"/>
                <w:kern w:val="0"/>
                <w:sz w:val="18"/>
                <w:szCs w:val="18"/>
                <w:highlight w:val="none"/>
              </w:rPr>
            </w:pPr>
          </w:p>
        </w:tc>
        <w:tc>
          <w:tcPr>
            <w:tcW w:w="1369" w:type="dxa"/>
            <w:vAlign w:val="center"/>
          </w:tcPr>
          <w:p w14:paraId="499C51C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0DF4F9E5">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582A9B32">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vAlign w:val="center"/>
          </w:tcPr>
          <w:p w14:paraId="0D0D3641">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1000≤Y＜10000</w:t>
            </w:r>
          </w:p>
        </w:tc>
        <w:tc>
          <w:tcPr>
            <w:tcW w:w="1426" w:type="dxa"/>
            <w:vAlign w:val="center"/>
          </w:tcPr>
          <w:p w14:paraId="4A9317B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50≤Y＜1000</w:t>
            </w:r>
          </w:p>
        </w:tc>
        <w:tc>
          <w:tcPr>
            <w:tcW w:w="992" w:type="dxa"/>
            <w:vAlign w:val="center"/>
          </w:tcPr>
          <w:p w14:paraId="4E267CB4">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67014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6CDCC629">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房地产开发经营</w:t>
            </w:r>
          </w:p>
        </w:tc>
        <w:tc>
          <w:tcPr>
            <w:tcW w:w="1369" w:type="dxa"/>
            <w:vAlign w:val="center"/>
          </w:tcPr>
          <w:p w14:paraId="7CE8053F">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27B3DC33">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4AD5BA98">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Y≥200000</w:t>
            </w:r>
          </w:p>
        </w:tc>
        <w:tc>
          <w:tcPr>
            <w:tcW w:w="1701" w:type="dxa"/>
            <w:vAlign w:val="center"/>
          </w:tcPr>
          <w:p w14:paraId="46D37F88">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1000≤Y＜200000</w:t>
            </w:r>
          </w:p>
        </w:tc>
        <w:tc>
          <w:tcPr>
            <w:tcW w:w="1426" w:type="dxa"/>
            <w:vAlign w:val="center"/>
          </w:tcPr>
          <w:p w14:paraId="6D92D3A5">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992" w:type="dxa"/>
            <w:vAlign w:val="center"/>
          </w:tcPr>
          <w:p w14:paraId="786908F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7154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49444E68">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p>
        </w:tc>
        <w:tc>
          <w:tcPr>
            <w:tcW w:w="1369" w:type="dxa"/>
            <w:vAlign w:val="center"/>
          </w:tcPr>
          <w:p w14:paraId="6BC55FA8">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vAlign w:val="center"/>
          </w:tcPr>
          <w:p w14:paraId="2D2318F4">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5D518311">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Z≥10000</w:t>
            </w:r>
          </w:p>
        </w:tc>
        <w:tc>
          <w:tcPr>
            <w:tcW w:w="1701" w:type="dxa"/>
            <w:vAlign w:val="center"/>
          </w:tcPr>
          <w:p w14:paraId="1A64E2DB">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5000≤Z＜10000</w:t>
            </w:r>
          </w:p>
        </w:tc>
        <w:tc>
          <w:tcPr>
            <w:tcW w:w="1426" w:type="dxa"/>
            <w:vAlign w:val="center"/>
          </w:tcPr>
          <w:p w14:paraId="626C7A44">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2000≤Z＜5000</w:t>
            </w:r>
          </w:p>
        </w:tc>
        <w:tc>
          <w:tcPr>
            <w:tcW w:w="992" w:type="dxa"/>
            <w:vAlign w:val="center"/>
          </w:tcPr>
          <w:p w14:paraId="5492016B">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Z＜2000</w:t>
            </w:r>
          </w:p>
        </w:tc>
      </w:tr>
      <w:tr w14:paraId="55B43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56A39ADD">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物业管理</w:t>
            </w:r>
          </w:p>
        </w:tc>
        <w:tc>
          <w:tcPr>
            <w:tcW w:w="1369" w:type="dxa"/>
            <w:vAlign w:val="center"/>
          </w:tcPr>
          <w:p w14:paraId="3EF32A9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22AD0146">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5C9AD319">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vAlign w:val="center"/>
          </w:tcPr>
          <w:p w14:paraId="60E4C7A4">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vAlign w:val="center"/>
          </w:tcPr>
          <w:p w14:paraId="7E834563">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992" w:type="dxa"/>
            <w:vAlign w:val="center"/>
          </w:tcPr>
          <w:p w14:paraId="0DC45F11">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70B3D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72C0E392">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p>
        </w:tc>
        <w:tc>
          <w:tcPr>
            <w:tcW w:w="1369" w:type="dxa"/>
            <w:vAlign w:val="center"/>
          </w:tcPr>
          <w:p w14:paraId="10E03DF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3A024ED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5D81D68A">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Y≥5000</w:t>
            </w:r>
          </w:p>
        </w:tc>
        <w:tc>
          <w:tcPr>
            <w:tcW w:w="1701" w:type="dxa"/>
            <w:vAlign w:val="center"/>
          </w:tcPr>
          <w:p w14:paraId="57E2DF21">
            <w:pPr>
              <w:keepNext w:val="0"/>
              <w:keepLines w:val="0"/>
              <w:widowControl/>
              <w:suppressLineNumbers w:val="0"/>
              <w:spacing w:before="0" w:beforeAutospacing="0" w:after="0" w:afterAutospacing="0" w:line="280" w:lineRule="exact"/>
              <w:ind w:left="1" w:leftChars="-51" w:right="0"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1426" w:type="dxa"/>
            <w:vAlign w:val="center"/>
          </w:tcPr>
          <w:p w14:paraId="4472DBF4">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500≤Y＜1000</w:t>
            </w:r>
          </w:p>
        </w:tc>
        <w:tc>
          <w:tcPr>
            <w:tcW w:w="992" w:type="dxa"/>
            <w:vAlign w:val="center"/>
          </w:tcPr>
          <w:p w14:paraId="1D8EA209">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Y＜500</w:t>
            </w:r>
          </w:p>
        </w:tc>
      </w:tr>
      <w:tr w14:paraId="3C974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7FA50456">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租赁和商务服务业</w:t>
            </w:r>
          </w:p>
        </w:tc>
        <w:tc>
          <w:tcPr>
            <w:tcW w:w="1369" w:type="dxa"/>
            <w:vAlign w:val="center"/>
          </w:tcPr>
          <w:p w14:paraId="5BC7F373">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17A756A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20D284C9">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vAlign w:val="center"/>
          </w:tcPr>
          <w:p w14:paraId="5E4E35FC">
            <w:pPr>
              <w:keepNext w:val="0"/>
              <w:keepLines w:val="0"/>
              <w:widowControl/>
              <w:suppressLineNumbers w:val="0"/>
              <w:spacing w:before="0" w:beforeAutospacing="0" w:after="0" w:afterAutospacing="0" w:line="280" w:lineRule="exact"/>
              <w:ind w:left="1" w:leftChars="-51" w:right="0"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26" w:type="dxa"/>
            <w:vAlign w:val="center"/>
          </w:tcPr>
          <w:p w14:paraId="17037393">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vAlign w:val="center"/>
          </w:tcPr>
          <w:p w14:paraId="01756B46">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50469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1272AEDB">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p>
        </w:tc>
        <w:tc>
          <w:tcPr>
            <w:tcW w:w="1369" w:type="dxa"/>
            <w:vAlign w:val="center"/>
          </w:tcPr>
          <w:p w14:paraId="245CD4A8">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vAlign w:val="center"/>
          </w:tcPr>
          <w:p w14:paraId="102B2BC9">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6971ECE6">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Z≥120000</w:t>
            </w:r>
          </w:p>
        </w:tc>
        <w:tc>
          <w:tcPr>
            <w:tcW w:w="1701" w:type="dxa"/>
            <w:vAlign w:val="center"/>
          </w:tcPr>
          <w:p w14:paraId="44C5E279">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8000≤Z＜120000</w:t>
            </w:r>
          </w:p>
        </w:tc>
        <w:tc>
          <w:tcPr>
            <w:tcW w:w="1426" w:type="dxa"/>
            <w:vAlign w:val="center"/>
          </w:tcPr>
          <w:p w14:paraId="04EC7E14">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100≤Z＜8000</w:t>
            </w:r>
          </w:p>
        </w:tc>
        <w:tc>
          <w:tcPr>
            <w:tcW w:w="992" w:type="dxa"/>
            <w:vAlign w:val="center"/>
          </w:tcPr>
          <w:p w14:paraId="7C73D36A">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Z＜100</w:t>
            </w:r>
          </w:p>
        </w:tc>
      </w:tr>
      <w:tr w14:paraId="50D3E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Align w:val="center"/>
          </w:tcPr>
          <w:p w14:paraId="4FC02B94">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其他未列明行业 *</w:t>
            </w:r>
          </w:p>
        </w:tc>
        <w:tc>
          <w:tcPr>
            <w:tcW w:w="1369" w:type="dxa"/>
            <w:vAlign w:val="center"/>
          </w:tcPr>
          <w:p w14:paraId="5742BCDF">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68285456">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3A8DAF36">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vAlign w:val="center"/>
          </w:tcPr>
          <w:p w14:paraId="11B69E94">
            <w:pPr>
              <w:keepNext w:val="0"/>
              <w:keepLines w:val="0"/>
              <w:widowControl/>
              <w:suppressLineNumbers w:val="0"/>
              <w:spacing w:before="0" w:beforeAutospacing="0" w:after="0" w:afterAutospacing="0" w:line="280" w:lineRule="exact"/>
              <w:ind w:left="1" w:leftChars="-51" w:right="0"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26" w:type="dxa"/>
            <w:vAlign w:val="center"/>
          </w:tcPr>
          <w:p w14:paraId="5E13F8E1">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vAlign w:val="center"/>
          </w:tcPr>
          <w:p w14:paraId="541DA812">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bl>
    <w:p w14:paraId="4BF3FD91">
      <w:pPr>
        <w:widowControl/>
        <w:spacing w:line="280" w:lineRule="exact"/>
        <w:rPr>
          <w:rFonts w:ascii="宋体" w:hAnsi="宋体" w:cs="宋体"/>
          <w:color w:val="auto"/>
          <w:spacing w:val="8"/>
          <w:kern w:val="0"/>
          <w:sz w:val="21"/>
          <w:szCs w:val="21"/>
          <w:highlight w:val="none"/>
        </w:rPr>
      </w:pPr>
    </w:p>
    <w:p w14:paraId="37292238">
      <w:pPr>
        <w:widowControl/>
        <w:spacing w:line="280" w:lineRule="exact"/>
        <w:rPr>
          <w:rFonts w:ascii="宋体" w:hAnsi="宋体" w:cs="宋体"/>
          <w:color w:val="auto"/>
          <w:spacing w:val="8"/>
          <w:kern w:val="0"/>
          <w:sz w:val="21"/>
          <w:szCs w:val="21"/>
          <w:highlight w:val="none"/>
        </w:rPr>
      </w:pPr>
      <w:r>
        <w:rPr>
          <w:rFonts w:hint="eastAsia" w:ascii="宋体" w:hAnsi="宋体" w:cs="宋体"/>
          <w:color w:val="auto"/>
          <w:spacing w:val="8"/>
          <w:kern w:val="0"/>
          <w:sz w:val="21"/>
          <w:szCs w:val="21"/>
          <w:highlight w:val="none"/>
        </w:rPr>
        <w:t>说明：</w:t>
      </w:r>
    </w:p>
    <w:p w14:paraId="405C187A">
      <w:pPr>
        <w:pStyle w:val="15"/>
        <w:adjustRightInd w:val="0"/>
        <w:spacing w:line="280" w:lineRule="exact"/>
        <w:ind w:firstLine="452" w:firstLineChars="200"/>
        <w:contextualSpacing/>
        <w:rPr>
          <w:rFonts w:hAnsi="宋体" w:cs="宋体"/>
          <w:color w:val="auto"/>
          <w:spacing w:val="8"/>
          <w:kern w:val="0"/>
          <w:sz w:val="21"/>
          <w:szCs w:val="21"/>
          <w:highlight w:val="none"/>
        </w:rPr>
      </w:pPr>
      <w:r>
        <w:rPr>
          <w:rFonts w:hint="eastAsia" w:hAnsi="宋体" w:cs="宋体"/>
          <w:color w:val="auto"/>
          <w:spacing w:val="8"/>
          <w:kern w:val="0"/>
          <w:sz w:val="21"/>
          <w:szCs w:val="21"/>
          <w:highlight w:val="none"/>
        </w:rPr>
        <w:t>1.大型、中型和小型企业须同时满足所列指标的下限，否则下划一档；微型企业只须满足所列指标中的一项即可。</w:t>
      </w:r>
    </w:p>
    <w:p w14:paraId="230399B3">
      <w:pPr>
        <w:pStyle w:val="15"/>
        <w:adjustRightInd w:val="0"/>
        <w:spacing w:line="280" w:lineRule="exact"/>
        <w:ind w:firstLine="452" w:firstLineChars="200"/>
        <w:contextualSpacing/>
        <w:rPr>
          <w:rFonts w:hAnsi="宋体" w:cs="宋体"/>
          <w:color w:val="auto"/>
          <w:spacing w:val="8"/>
          <w:kern w:val="0"/>
          <w:sz w:val="21"/>
          <w:szCs w:val="21"/>
          <w:highlight w:val="none"/>
        </w:rPr>
      </w:pPr>
      <w:r>
        <w:rPr>
          <w:rFonts w:hint="eastAsia" w:hAnsi="宋体" w:cs="宋体"/>
          <w:color w:val="auto"/>
          <w:spacing w:val="8"/>
          <w:kern w:val="0"/>
          <w:sz w:val="21"/>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3475B93D">
      <w:pPr>
        <w:pStyle w:val="15"/>
        <w:spacing w:line="280" w:lineRule="exact"/>
        <w:ind w:firstLine="452" w:firstLineChars="200"/>
        <w:rPr>
          <w:rFonts w:hAnsi="宋体" w:cs="宋体"/>
          <w:color w:val="auto"/>
          <w:spacing w:val="8"/>
          <w:kern w:val="0"/>
          <w:sz w:val="21"/>
          <w:szCs w:val="21"/>
          <w:highlight w:val="none"/>
        </w:rPr>
        <w:sectPr>
          <w:pgSz w:w="11906" w:h="16838"/>
          <w:pgMar w:top="1500" w:right="1134" w:bottom="1258" w:left="1134" w:header="850" w:footer="992" w:gutter="0"/>
          <w:pgNumType w:fmt="decimal"/>
          <w:cols w:space="720" w:num="1"/>
          <w:docGrid w:type="linesAndChars" w:linePitch="331" w:charSpace="0"/>
        </w:sectPr>
      </w:pPr>
      <w:r>
        <w:rPr>
          <w:rFonts w:hint="eastAsia" w:hAnsi="宋体" w:cs="宋体"/>
          <w:color w:val="auto"/>
          <w:spacing w:val="8"/>
          <w:kern w:val="0"/>
          <w:sz w:val="21"/>
          <w:szCs w:val="21"/>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bookmarkStart w:id="142" w:name="_Toc4774"/>
      <w:bookmarkStart w:id="143" w:name="_Toc8466"/>
    </w:p>
    <w:p w14:paraId="4C3D3A88">
      <w:pPr>
        <w:pStyle w:val="2"/>
        <w:rPr>
          <w:color w:val="auto"/>
          <w:highlight w:val="none"/>
        </w:rPr>
      </w:pPr>
      <w:bookmarkStart w:id="144" w:name="_Toc5351"/>
      <w:bookmarkStart w:id="145" w:name="_Toc25360"/>
      <w:r>
        <w:rPr>
          <w:rFonts w:hint="eastAsia"/>
          <w:color w:val="auto"/>
          <w:highlight w:val="none"/>
        </w:rPr>
        <w:t>第五章 采购合同（合同主要条款及格式）</w:t>
      </w:r>
      <w:bookmarkEnd w:id="142"/>
      <w:bookmarkEnd w:id="143"/>
      <w:bookmarkEnd w:id="144"/>
      <w:bookmarkEnd w:id="145"/>
    </w:p>
    <w:p w14:paraId="68992430">
      <w:pPr>
        <w:spacing w:line="420" w:lineRule="exact"/>
        <w:rPr>
          <w:rFonts w:ascii="宋体" w:hAnsi="宋体" w:cs="宋体"/>
          <w:color w:val="auto"/>
          <w:szCs w:val="21"/>
          <w:highlight w:val="none"/>
        </w:rPr>
      </w:pPr>
      <w:bookmarkStart w:id="146" w:name="_Toc24269"/>
      <w:bookmarkStart w:id="147" w:name="_Toc10014"/>
      <w:bookmarkStart w:id="148" w:name="_Toc5077"/>
      <w:r>
        <w:rPr>
          <w:rFonts w:hint="eastAsia" w:ascii="宋体" w:hAnsi="宋体" w:cs="宋体"/>
          <w:color w:val="auto"/>
          <w:szCs w:val="21"/>
          <w:highlight w:val="none"/>
        </w:rPr>
        <w:t>合同编号：</w:t>
      </w:r>
    </w:p>
    <w:p w14:paraId="739CD04E">
      <w:pPr>
        <w:spacing w:line="420" w:lineRule="exact"/>
        <w:rPr>
          <w:rFonts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Cs w:val="21"/>
          <w:highlight w:val="none"/>
          <w:lang w:eastAsia="zh-CN"/>
        </w:rPr>
        <w:t>广西花坪国家级自然保护区特种救护、宣传（资料）视频制作、标本养护及古树名木资源普查项目A分标（重）</w:t>
      </w:r>
      <w:r>
        <w:rPr>
          <w:rFonts w:hint="eastAsia" w:ascii="宋体" w:hAnsi="宋体" w:cs="宋体"/>
          <w:color w:val="auto"/>
          <w:szCs w:val="21"/>
          <w:highlight w:val="none"/>
        </w:rPr>
        <w:t xml:space="preserve">  </w:t>
      </w:r>
    </w:p>
    <w:p w14:paraId="3F5A1C6B">
      <w:pPr>
        <w:spacing w:line="42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项目编号：</w:t>
      </w:r>
      <w:r>
        <w:rPr>
          <w:rFonts w:hint="eastAsia" w:ascii="宋体" w:hAnsi="宋体" w:cs="宋体"/>
          <w:color w:val="auto"/>
          <w:szCs w:val="21"/>
          <w:highlight w:val="none"/>
          <w:lang w:eastAsia="zh-CN"/>
        </w:rPr>
        <w:t>GLZC2026-C3-990456-GXTG</w:t>
      </w:r>
    </w:p>
    <w:p w14:paraId="746E74E6">
      <w:pPr>
        <w:spacing w:line="360" w:lineRule="auto"/>
        <w:rPr>
          <w:rFonts w:hint="eastAsia" w:ascii="宋体" w:hAnsi="宋体" w:eastAsia="宋体" w:cs="宋体"/>
          <w:color w:val="auto"/>
          <w:highlight w:val="none"/>
          <w:lang w:eastAsia="zh-CN"/>
        </w:rPr>
      </w:pPr>
      <w:r>
        <w:rPr>
          <w:rFonts w:hint="eastAsia" w:ascii="宋体" w:hAnsi="宋体" w:cs="宋体"/>
          <w:color w:val="auto"/>
          <w:szCs w:val="21"/>
          <w:highlight w:val="none"/>
        </w:rPr>
        <w:t>服务名称</w:t>
      </w:r>
      <w:r>
        <w:rPr>
          <w:rFonts w:hint="eastAsia" w:ascii="宋体" w:hAnsi="宋体" w:cs="宋体"/>
          <w:color w:val="auto"/>
          <w:szCs w:val="21"/>
          <w:highlight w:val="none"/>
          <w:lang w:eastAsia="zh-CN"/>
        </w:rPr>
        <w:t>：特种救护、宣传（资料）视频制作、标本养护</w:t>
      </w:r>
    </w:p>
    <w:p w14:paraId="43A59318">
      <w:pPr>
        <w:spacing w:line="360" w:lineRule="auto"/>
        <w:rPr>
          <w:rFonts w:ascii="宋体" w:hAnsi="宋体" w:cs="宋体"/>
          <w:color w:val="auto"/>
          <w:highlight w:val="none"/>
        </w:rPr>
      </w:pPr>
      <w:r>
        <w:rPr>
          <w:rFonts w:hint="eastAsia" w:ascii="宋体" w:hAnsi="宋体" w:cs="宋体"/>
          <w:color w:val="auto"/>
          <w:highlight w:val="none"/>
        </w:rPr>
        <w:t>甲方：</w:t>
      </w:r>
      <w:r>
        <w:rPr>
          <w:rFonts w:hint="eastAsia" w:ascii="宋体" w:hAnsi="宋体" w:cs="宋体"/>
          <w:color w:val="auto"/>
          <w:highlight w:val="none"/>
          <w:u w:val="single"/>
        </w:rPr>
        <w:t xml:space="preserve">    广西桂林花坪国家级自然保护区管理处    </w:t>
      </w:r>
      <w:r>
        <w:rPr>
          <w:rFonts w:hint="eastAsia" w:ascii="宋体" w:hAnsi="宋体" w:cs="宋体"/>
          <w:color w:val="auto"/>
          <w:highlight w:val="none"/>
        </w:rPr>
        <w:t>（采购人）</w:t>
      </w:r>
    </w:p>
    <w:p w14:paraId="2244EDC2">
      <w:pPr>
        <w:spacing w:line="360" w:lineRule="auto"/>
        <w:rPr>
          <w:rFonts w:ascii="宋体" w:hAnsi="宋体" w:cs="宋体"/>
          <w:color w:val="auto"/>
          <w:highlight w:val="none"/>
        </w:rPr>
      </w:pPr>
      <w:r>
        <w:rPr>
          <w:rFonts w:hint="eastAsia" w:ascii="宋体" w:hAnsi="宋体" w:cs="宋体"/>
          <w:color w:val="auto"/>
          <w:highlight w:val="none"/>
        </w:rPr>
        <w:t>乙方：</w:t>
      </w:r>
      <w:r>
        <w:rPr>
          <w:rFonts w:hint="eastAsia" w:ascii="宋体" w:hAnsi="宋体" w:cs="宋体"/>
          <w:color w:val="auto"/>
          <w:highlight w:val="none"/>
          <w:u w:val="single"/>
        </w:rPr>
        <w:t xml:space="preserve">                             </w:t>
      </w:r>
      <w:r>
        <w:rPr>
          <w:rFonts w:hint="eastAsia" w:ascii="宋体" w:hAnsi="宋体" w:cs="宋体"/>
          <w:color w:val="auto"/>
          <w:highlight w:val="none"/>
        </w:rPr>
        <w:t>（成交供应商）</w:t>
      </w:r>
    </w:p>
    <w:p w14:paraId="53880703">
      <w:pPr>
        <w:widowControl/>
        <w:ind w:firstLine="420" w:firstLineChars="200"/>
        <w:jc w:val="left"/>
        <w:rPr>
          <w:rFonts w:ascii="宋体" w:hAnsi="宋体" w:cs="宋体"/>
          <w:color w:val="auto"/>
          <w:highlight w:val="none"/>
        </w:rPr>
      </w:pPr>
      <w:r>
        <w:rPr>
          <w:rFonts w:hint="eastAsia" w:ascii="宋体" w:hAnsi="宋体" w:cs="宋体"/>
          <w:color w:val="auto"/>
          <w:highlight w:val="none"/>
        </w:rPr>
        <w:t>根据《中华人民共和国政府采购法》《中华人民共和国政府采购法实施条例》《中华人民共和国民法典》等法律、法规规定，按照竞争性磋商文件（以下简称磋商文件）、竞争性磋商响应文件（以下简称响应文件）规定条款和成交供应商的承诺、甲乙双方签订本合同。</w:t>
      </w:r>
    </w:p>
    <w:p w14:paraId="5B0C9905">
      <w:pPr>
        <w:pStyle w:val="3"/>
        <w:ind w:left="567" w:leftChars="200" w:hanging="147" w:hangingChars="70"/>
        <w:rPr>
          <w:rFonts w:ascii="宋体" w:hAnsi="宋体" w:cs="宋体"/>
          <w:b/>
          <w:bCs w:val="0"/>
          <w:color w:val="auto"/>
          <w:sz w:val="21"/>
          <w:szCs w:val="21"/>
          <w:highlight w:val="none"/>
        </w:rPr>
      </w:pPr>
      <w:bookmarkStart w:id="149" w:name="_Toc845"/>
      <w:bookmarkStart w:id="150" w:name="_Toc20217"/>
      <w:bookmarkStart w:id="151" w:name="_Toc30275"/>
      <w:r>
        <w:rPr>
          <w:rFonts w:hint="eastAsia" w:ascii="宋体" w:hAnsi="宋体" w:cs="宋体"/>
          <w:b/>
          <w:bCs w:val="0"/>
          <w:color w:val="auto"/>
          <w:sz w:val="21"/>
          <w:szCs w:val="21"/>
          <w:highlight w:val="none"/>
        </w:rPr>
        <w:t>第一条 合同文件</w:t>
      </w:r>
      <w:bookmarkEnd w:id="149"/>
      <w:bookmarkEnd w:id="150"/>
      <w:bookmarkEnd w:id="151"/>
    </w:p>
    <w:p w14:paraId="3E7981BF">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1、本合同所附下列文件是构成本合同不可分割的部分：</w:t>
      </w:r>
    </w:p>
    <w:p w14:paraId="2D8DB82C">
      <w:pPr>
        <w:spacing w:line="360" w:lineRule="auto"/>
        <w:ind w:firstLine="315" w:firstLineChars="150"/>
        <w:rPr>
          <w:rFonts w:ascii="宋体" w:hAnsi="宋体" w:cs="宋体"/>
          <w:color w:val="auto"/>
          <w:highlight w:val="none"/>
        </w:rPr>
      </w:pPr>
      <w:r>
        <w:rPr>
          <w:rFonts w:hint="eastAsia" w:ascii="宋体" w:hAnsi="宋体" w:cs="宋体"/>
          <w:color w:val="auto"/>
          <w:highlight w:val="none"/>
        </w:rPr>
        <w:t>（1）成交供应商提交的</w:t>
      </w:r>
      <w:r>
        <w:rPr>
          <w:rFonts w:hint="eastAsia" w:ascii="宋体" w:hAnsi="宋体" w:cs="宋体"/>
          <w:color w:val="auto"/>
          <w:szCs w:val="21"/>
          <w:highlight w:val="none"/>
        </w:rPr>
        <w:t>磋商</w:t>
      </w:r>
      <w:r>
        <w:rPr>
          <w:rFonts w:hint="eastAsia" w:ascii="宋体" w:hAnsi="宋体" w:cs="宋体"/>
          <w:color w:val="auto"/>
          <w:highlight w:val="none"/>
        </w:rPr>
        <w:t>报价表、</w:t>
      </w:r>
      <w:r>
        <w:rPr>
          <w:rFonts w:hint="eastAsia" w:ascii="宋体" w:hAnsi="宋体" w:cs="宋体"/>
          <w:color w:val="auto"/>
          <w:szCs w:val="21"/>
          <w:highlight w:val="none"/>
        </w:rPr>
        <w:t>针对本项目的服务承诺书</w:t>
      </w:r>
      <w:r>
        <w:rPr>
          <w:rFonts w:hint="eastAsia" w:ascii="宋体" w:hAnsi="宋体" w:cs="宋体"/>
          <w:color w:val="auto"/>
          <w:highlight w:val="none"/>
        </w:rPr>
        <w:t>；</w:t>
      </w:r>
    </w:p>
    <w:p w14:paraId="36C9B4C1">
      <w:pPr>
        <w:spacing w:line="360" w:lineRule="auto"/>
        <w:ind w:firstLine="315" w:firstLineChars="150"/>
        <w:rPr>
          <w:rFonts w:ascii="宋体" w:hAnsi="宋体" w:cs="宋体"/>
          <w:color w:val="auto"/>
          <w:highlight w:val="none"/>
        </w:rPr>
      </w:pPr>
      <w:r>
        <w:rPr>
          <w:rFonts w:hint="eastAsia" w:ascii="宋体" w:hAnsi="宋体" w:cs="宋体"/>
          <w:color w:val="auto"/>
          <w:highlight w:val="none"/>
        </w:rPr>
        <w:t>（2）成交通知书；</w:t>
      </w:r>
    </w:p>
    <w:p w14:paraId="1BAB64CE">
      <w:pPr>
        <w:spacing w:line="360" w:lineRule="auto"/>
        <w:ind w:firstLine="315" w:firstLineChars="150"/>
        <w:rPr>
          <w:rFonts w:ascii="宋体" w:hAnsi="宋体" w:cs="宋体"/>
          <w:color w:val="auto"/>
          <w:highlight w:val="none"/>
        </w:rPr>
      </w:pPr>
      <w:r>
        <w:rPr>
          <w:rFonts w:hint="eastAsia" w:ascii="宋体" w:hAnsi="宋体" w:cs="宋体"/>
          <w:color w:val="auto"/>
          <w:highlight w:val="none"/>
        </w:rPr>
        <w:t>（3）本合同协议书及有关补充资料；</w:t>
      </w:r>
    </w:p>
    <w:p w14:paraId="66F0E59D">
      <w:pPr>
        <w:spacing w:line="360" w:lineRule="auto"/>
        <w:ind w:firstLine="315" w:firstLineChars="150"/>
        <w:rPr>
          <w:rFonts w:ascii="宋体" w:hAnsi="宋体" w:cs="宋体"/>
          <w:color w:val="auto"/>
          <w:highlight w:val="none"/>
        </w:rPr>
      </w:pPr>
      <w:r>
        <w:rPr>
          <w:rFonts w:hint="eastAsia" w:ascii="宋体" w:hAnsi="宋体" w:cs="宋体"/>
          <w:color w:val="auto"/>
          <w:highlight w:val="none"/>
        </w:rPr>
        <w:t>（4）磋商文件的条款要求。</w:t>
      </w:r>
    </w:p>
    <w:p w14:paraId="0A7EDAB0">
      <w:pPr>
        <w:tabs>
          <w:tab w:val="left" w:pos="1305"/>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2、合同价金额包括：服务过程中相关的一切费用。</w:t>
      </w:r>
    </w:p>
    <w:p w14:paraId="62BC8022">
      <w:pPr>
        <w:pStyle w:val="3"/>
        <w:ind w:left="567" w:leftChars="200" w:hanging="147" w:hangingChars="70"/>
        <w:rPr>
          <w:color w:val="auto"/>
          <w:highlight w:val="none"/>
        </w:rPr>
      </w:pPr>
      <w:bookmarkStart w:id="152" w:name="_Toc6972"/>
      <w:bookmarkStart w:id="153" w:name="_Toc28710"/>
      <w:bookmarkStart w:id="154" w:name="_Toc25572"/>
      <w:r>
        <w:rPr>
          <w:rFonts w:hint="eastAsia" w:ascii="宋体" w:hAnsi="宋体" w:cs="宋体"/>
          <w:b/>
          <w:bCs w:val="0"/>
          <w:color w:val="auto"/>
          <w:sz w:val="21"/>
          <w:szCs w:val="21"/>
          <w:highlight w:val="none"/>
        </w:rPr>
        <w:t>第二条</w:t>
      </w:r>
      <w:r>
        <w:rPr>
          <w:rFonts w:hint="eastAsia" w:ascii="宋体" w:hAnsi="宋体" w:cs="宋体"/>
          <w:b/>
          <w:bCs w:val="0"/>
          <w:color w:val="auto"/>
          <w:sz w:val="21"/>
          <w:szCs w:val="21"/>
          <w:highlight w:val="none"/>
          <w:lang w:val="en-US" w:eastAsia="zh-CN"/>
        </w:rPr>
        <w:t xml:space="preserve"> </w:t>
      </w:r>
      <w:r>
        <w:rPr>
          <w:rFonts w:hint="eastAsia" w:ascii="宋体" w:hAnsi="宋体" w:cs="宋体"/>
          <w:b/>
          <w:bCs w:val="0"/>
          <w:color w:val="auto"/>
          <w:sz w:val="21"/>
          <w:szCs w:val="21"/>
          <w:highlight w:val="none"/>
        </w:rPr>
        <w:t>合同金额</w:t>
      </w:r>
      <w:bookmarkEnd w:id="152"/>
      <w:bookmarkEnd w:id="153"/>
      <w:bookmarkEnd w:id="154"/>
    </w:p>
    <w:p w14:paraId="693B65CD">
      <w:pPr>
        <w:spacing w:line="360" w:lineRule="auto"/>
        <w:ind w:firstLine="411" w:firstLineChars="196"/>
        <w:rPr>
          <w:rFonts w:ascii="宋体" w:hAnsi="宋体" w:cs="宋体"/>
          <w:color w:val="auto"/>
          <w:szCs w:val="21"/>
          <w:highlight w:val="none"/>
        </w:rPr>
      </w:pPr>
      <w:r>
        <w:rPr>
          <w:rFonts w:hint="eastAsia" w:ascii="宋体" w:hAnsi="宋体" w:cs="宋体"/>
          <w:color w:val="auto"/>
          <w:szCs w:val="21"/>
          <w:highlight w:val="none"/>
        </w:rPr>
        <w:t>根据《成交通知书》的成交内容，合同的总金额为：（大写）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人民币（¥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p>
    <w:p w14:paraId="16ED9D54">
      <w:pPr>
        <w:pStyle w:val="3"/>
        <w:ind w:left="567" w:leftChars="200" w:hanging="147" w:hangingChars="70"/>
        <w:rPr>
          <w:rFonts w:ascii="宋体" w:hAnsi="宋体" w:cs="宋体"/>
          <w:b/>
          <w:bCs w:val="0"/>
          <w:color w:val="auto"/>
          <w:sz w:val="21"/>
          <w:szCs w:val="21"/>
          <w:highlight w:val="none"/>
        </w:rPr>
      </w:pPr>
      <w:bookmarkStart w:id="155" w:name="_Toc5557"/>
      <w:bookmarkStart w:id="156" w:name="_Toc9581"/>
      <w:bookmarkStart w:id="157" w:name="_Toc16138"/>
      <w:r>
        <w:rPr>
          <w:rFonts w:hint="eastAsia" w:ascii="宋体" w:hAnsi="宋体" w:cs="宋体"/>
          <w:b/>
          <w:bCs w:val="0"/>
          <w:color w:val="auto"/>
          <w:sz w:val="21"/>
          <w:szCs w:val="21"/>
          <w:highlight w:val="none"/>
        </w:rPr>
        <w:t>第三条</w:t>
      </w:r>
      <w:r>
        <w:rPr>
          <w:rFonts w:hint="eastAsia" w:ascii="宋体" w:hAnsi="宋体" w:cs="宋体"/>
          <w:b/>
          <w:bCs w:val="0"/>
          <w:color w:val="auto"/>
          <w:sz w:val="21"/>
          <w:szCs w:val="21"/>
          <w:highlight w:val="none"/>
          <w:lang w:val="en-US" w:eastAsia="zh-CN"/>
        </w:rPr>
        <w:t xml:space="preserve"> </w:t>
      </w:r>
      <w:r>
        <w:rPr>
          <w:rFonts w:hint="eastAsia" w:ascii="宋体" w:hAnsi="宋体" w:cs="宋体"/>
          <w:b/>
          <w:bCs w:val="0"/>
          <w:color w:val="auto"/>
          <w:sz w:val="21"/>
          <w:szCs w:val="21"/>
          <w:highlight w:val="none"/>
        </w:rPr>
        <w:t>服务保证</w:t>
      </w:r>
      <w:bookmarkEnd w:id="155"/>
      <w:bookmarkEnd w:id="156"/>
      <w:bookmarkEnd w:id="157"/>
    </w:p>
    <w:p w14:paraId="565CA9BF">
      <w:pPr>
        <w:snapToGrid w:val="0"/>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成交供应商应按磋商文件、响应文件、承诺规定和竞争性磋商文件第三章采购需求服务内容向采购人提供相应服务。</w:t>
      </w:r>
    </w:p>
    <w:p w14:paraId="56C47DD9">
      <w:pPr>
        <w:pStyle w:val="3"/>
        <w:ind w:left="567" w:leftChars="200" w:hanging="147" w:hangingChars="70"/>
        <w:rPr>
          <w:rFonts w:ascii="宋体" w:hAnsi="宋体" w:cs="宋体"/>
          <w:b/>
          <w:bCs w:val="0"/>
          <w:color w:val="auto"/>
          <w:sz w:val="21"/>
          <w:szCs w:val="21"/>
          <w:highlight w:val="none"/>
        </w:rPr>
      </w:pPr>
      <w:bookmarkStart w:id="158" w:name="_Toc16565"/>
      <w:bookmarkStart w:id="159" w:name="_Toc25056"/>
      <w:bookmarkStart w:id="160" w:name="_Toc8669"/>
      <w:r>
        <w:rPr>
          <w:rFonts w:hint="eastAsia" w:ascii="宋体" w:hAnsi="宋体" w:cs="宋体"/>
          <w:b/>
          <w:bCs w:val="0"/>
          <w:color w:val="auto"/>
          <w:sz w:val="21"/>
          <w:szCs w:val="21"/>
          <w:highlight w:val="none"/>
        </w:rPr>
        <w:t>第四条</w:t>
      </w:r>
      <w:r>
        <w:rPr>
          <w:rFonts w:hint="eastAsia" w:ascii="宋体" w:hAnsi="宋体" w:cs="宋体"/>
          <w:b/>
          <w:bCs w:val="0"/>
          <w:color w:val="auto"/>
          <w:sz w:val="21"/>
          <w:szCs w:val="21"/>
          <w:highlight w:val="none"/>
          <w:lang w:val="en-US" w:eastAsia="zh-CN"/>
        </w:rPr>
        <w:t xml:space="preserve"> </w:t>
      </w:r>
      <w:r>
        <w:rPr>
          <w:rFonts w:hint="eastAsia" w:ascii="宋体" w:hAnsi="宋体" w:cs="宋体"/>
          <w:b/>
          <w:bCs w:val="0"/>
          <w:color w:val="auto"/>
          <w:sz w:val="21"/>
          <w:szCs w:val="21"/>
          <w:highlight w:val="none"/>
        </w:rPr>
        <w:t>服务期限</w:t>
      </w:r>
      <w:bookmarkEnd w:id="158"/>
      <w:bookmarkEnd w:id="159"/>
      <w:bookmarkEnd w:id="160"/>
    </w:p>
    <w:p w14:paraId="43CB6C82">
      <w:pPr>
        <w:spacing w:line="360" w:lineRule="auto"/>
        <w:ind w:firstLine="411" w:firstLineChars="196"/>
        <w:rPr>
          <w:rFonts w:ascii="宋体" w:hAnsi="宋体" w:cs="宋体"/>
          <w:color w:val="auto"/>
          <w:szCs w:val="21"/>
          <w:highlight w:val="none"/>
          <w:u w:val="single"/>
        </w:rPr>
      </w:pPr>
      <w:r>
        <w:rPr>
          <w:rFonts w:hint="eastAsia" w:ascii="宋体" w:hAnsi="宋体" w:cs="宋体"/>
          <w:color w:val="auto"/>
          <w:szCs w:val="21"/>
          <w:highlight w:val="none"/>
        </w:rPr>
        <w:t xml:space="preserve">服务期限: </w:t>
      </w:r>
      <w:r>
        <w:rPr>
          <w:rFonts w:hint="eastAsia" w:ascii="宋体" w:hAnsi="宋体" w:cs="宋体"/>
          <w:color w:val="auto"/>
          <w:szCs w:val="21"/>
          <w:highlight w:val="none"/>
          <w:u w:val="single"/>
        </w:rPr>
        <w:t>自合同签订之日起至2026年12月31日完成全部工作，提交成果并通过采购人内部验收</w:t>
      </w:r>
      <w:r>
        <w:rPr>
          <w:rFonts w:hint="eastAsia" w:ascii="宋体" w:hAnsi="宋体" w:cs="宋体"/>
          <w:color w:val="auto"/>
          <w:szCs w:val="21"/>
          <w:highlight w:val="none"/>
        </w:rPr>
        <w:t>。</w:t>
      </w:r>
    </w:p>
    <w:p w14:paraId="6A641CAF">
      <w:pPr>
        <w:pStyle w:val="3"/>
        <w:ind w:left="567" w:leftChars="200" w:hanging="147" w:hangingChars="70"/>
        <w:rPr>
          <w:rFonts w:ascii="宋体" w:hAnsi="宋体" w:cs="宋体"/>
          <w:b/>
          <w:bCs w:val="0"/>
          <w:color w:val="auto"/>
          <w:sz w:val="21"/>
          <w:szCs w:val="21"/>
          <w:highlight w:val="none"/>
        </w:rPr>
      </w:pPr>
      <w:bookmarkStart w:id="161" w:name="_Toc15179"/>
      <w:bookmarkStart w:id="162" w:name="_Toc25521"/>
      <w:bookmarkStart w:id="163" w:name="_Toc3282"/>
      <w:r>
        <w:rPr>
          <w:rFonts w:hint="eastAsia" w:ascii="宋体" w:hAnsi="宋体" w:cs="宋体"/>
          <w:b/>
          <w:bCs w:val="0"/>
          <w:color w:val="auto"/>
          <w:sz w:val="21"/>
          <w:szCs w:val="21"/>
          <w:highlight w:val="none"/>
        </w:rPr>
        <w:t>第五条</w:t>
      </w:r>
      <w:r>
        <w:rPr>
          <w:rFonts w:hint="eastAsia" w:ascii="宋体" w:hAnsi="宋体" w:cs="宋体"/>
          <w:b/>
          <w:bCs w:val="0"/>
          <w:color w:val="auto"/>
          <w:sz w:val="21"/>
          <w:szCs w:val="21"/>
          <w:highlight w:val="none"/>
          <w:lang w:val="en-US" w:eastAsia="zh-CN"/>
        </w:rPr>
        <w:t xml:space="preserve"> </w:t>
      </w:r>
      <w:r>
        <w:rPr>
          <w:rFonts w:hint="eastAsia" w:ascii="宋体" w:hAnsi="宋体" w:cs="宋体"/>
          <w:b/>
          <w:bCs w:val="0"/>
          <w:color w:val="auto"/>
          <w:sz w:val="21"/>
          <w:szCs w:val="21"/>
          <w:highlight w:val="none"/>
        </w:rPr>
        <w:t>交付</w:t>
      </w:r>
      <w:bookmarkEnd w:id="161"/>
      <w:bookmarkEnd w:id="162"/>
      <w:bookmarkEnd w:id="163"/>
    </w:p>
    <w:p w14:paraId="119BA2A9">
      <w:pPr>
        <w:widowControl/>
        <w:snapToGrid w:val="0"/>
        <w:spacing w:line="400" w:lineRule="exact"/>
        <w:ind w:firstLine="420" w:firstLineChars="0"/>
        <w:jc w:val="left"/>
        <w:rPr>
          <w:rFonts w:ascii="宋体" w:hAnsi="宋体" w:cs="宋体"/>
          <w:color w:val="auto"/>
          <w:szCs w:val="21"/>
          <w:highlight w:val="none"/>
        </w:rPr>
      </w:pPr>
      <w:r>
        <w:rPr>
          <w:rFonts w:hint="eastAsia" w:ascii="宋体" w:hAnsi="宋体" w:cs="宋体"/>
          <w:color w:val="auto"/>
          <w:szCs w:val="21"/>
          <w:highlight w:val="none"/>
        </w:rPr>
        <w:t>1、服务时间</w:t>
      </w:r>
      <w:r>
        <w:rPr>
          <w:rFonts w:hint="eastAsia" w:ascii="宋体" w:hAnsi="宋体" w:cs="宋体"/>
          <w:color w:val="auto"/>
          <w:szCs w:val="21"/>
          <w:highlight w:val="none"/>
          <w:lang w:eastAsia="zh-CN"/>
        </w:rPr>
        <w:t>：</w:t>
      </w:r>
      <w:r>
        <w:rPr>
          <w:rFonts w:hint="eastAsia" w:ascii="宋体" w:hAnsi="宋体" w:cs="宋体"/>
          <w:color w:val="auto"/>
          <w:szCs w:val="21"/>
          <w:highlight w:val="none"/>
        </w:rPr>
        <w:t>自合同签订之日起至2026年12月31日完成全部工作，提交成果并通过采购人内部验收。地点：</w:t>
      </w:r>
      <w:r>
        <w:rPr>
          <w:rFonts w:hint="eastAsia" w:ascii="宋体" w:hAnsi="宋体" w:cs="宋体"/>
          <w:color w:val="auto"/>
          <w:szCs w:val="21"/>
          <w:highlight w:val="none"/>
          <w:u w:val="single"/>
        </w:rPr>
        <w:t xml:space="preserve"> 采购人指定地点  </w:t>
      </w:r>
      <w:r>
        <w:rPr>
          <w:rFonts w:hint="eastAsia" w:ascii="宋体" w:hAnsi="宋体" w:cs="宋体"/>
          <w:color w:val="auto"/>
          <w:szCs w:val="21"/>
          <w:highlight w:val="none"/>
        </w:rPr>
        <w:t>。</w:t>
      </w:r>
    </w:p>
    <w:p w14:paraId="5E500A1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2、成交供应商提供不符合磋商文件、响应文件和本合同规定的服务，采购人有权拒绝接受。</w:t>
      </w:r>
    </w:p>
    <w:p w14:paraId="5D00A18E">
      <w:pPr>
        <w:keepNext w:val="0"/>
        <w:keepLines w:val="0"/>
        <w:pageBreakBefore w:val="0"/>
        <w:widowControl w:val="0"/>
        <w:kinsoku/>
        <w:wordWrap/>
        <w:overflowPunct/>
        <w:topLinePunct w:val="0"/>
        <w:autoSpaceDE/>
        <w:autoSpaceDN/>
        <w:bidi w:val="0"/>
        <w:adjustRightInd/>
        <w:snapToGrid/>
        <w:spacing w:line="500" w:lineRule="exact"/>
        <w:ind w:firstLine="371" w:firstLineChars="177"/>
        <w:textAlignment w:val="auto"/>
        <w:rPr>
          <w:b/>
          <w:bCs/>
          <w:color w:val="auto"/>
          <w:sz w:val="32"/>
          <w:szCs w:val="32"/>
          <w:highlight w:val="none"/>
        </w:rPr>
      </w:pPr>
      <w:bookmarkStart w:id="164" w:name="_Toc8253"/>
      <w:bookmarkStart w:id="165" w:name="_Toc22519"/>
      <w:bookmarkStart w:id="166" w:name="_Toc21969"/>
      <w:r>
        <w:rPr>
          <w:rFonts w:hint="eastAsia"/>
          <w:b/>
          <w:bCs/>
          <w:color w:val="auto"/>
          <w:sz w:val="21"/>
          <w:szCs w:val="21"/>
          <w:highlight w:val="none"/>
          <w:lang w:val="en-US" w:eastAsia="zh-CN"/>
        </w:rPr>
        <w:t>第六条 源代码交付</w:t>
      </w:r>
    </w:p>
    <w:p w14:paraId="109F3F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highlight w:val="none"/>
          <w:lang w:val="en-US"/>
        </w:rPr>
      </w:pPr>
      <w:r>
        <w:rPr>
          <w:rFonts w:hint="eastAsia" w:ascii="宋体" w:hAnsi="宋体" w:eastAsia="宋体" w:cs="宋体"/>
          <w:color w:val="auto"/>
          <w:kern w:val="2"/>
          <w:sz w:val="21"/>
          <w:szCs w:val="22"/>
          <w:highlight w:val="none"/>
          <w:lang w:val="en-US" w:eastAsia="zh-CN" w:bidi="ar"/>
        </w:rPr>
        <w:t>一、源代码交付内容：</w:t>
      </w:r>
    </w:p>
    <w:p w14:paraId="68031A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1、乙方应在软件交付验收合格后10个工作日内向甲方提供该软件不涉及第三方知识产权组件的源代码、开发文档和数据库等，包括但不限于所有程序文件、脚本、配置文件等，以ZIP压缩包、光盘存储等形式提交给甲方。存储介质应确保无损坏，且能够方便地被甲方读取和使用。以便甲方后续进行维护和二次开发。</w:t>
      </w:r>
    </w:p>
    <w:p w14:paraId="6400FE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2、甲方在对系统进行升级、修复、完善、迭代功能的情况下有权对源代码进行修改、编译，乙方不得对此提出任何异议或主张额外的费用。</w:t>
      </w:r>
    </w:p>
    <w:p w14:paraId="2B981A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3、如甲方需要申请系统的相关软件著作权，乙方承诺协助完成相关软件著作权的申请。</w:t>
      </w:r>
    </w:p>
    <w:p w14:paraId="18009E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4、甲方被授权在内部按合同约定使用该源码，仅限于自用、修改、维护及备份目的，不得将源代码用于任何形式的商业用途（包括但不限于再销售、分发等）或转让给任何第三方。</w:t>
      </w:r>
    </w:p>
    <w:p w14:paraId="36EC89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5、甲方应在保证源码完整性的前提下按约使用源码。如原有源代码的完整性被破坏（包括但不限于二次开发，故意避开或者破坏为保护其软件著作权而采取的技术措施、故意删除或者改变软件权利管理电子信息等），乙方将不再承担任何维护责任。</w:t>
      </w:r>
    </w:p>
    <w:p w14:paraId="798649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二、保密与安全要求</w:t>
      </w:r>
    </w:p>
    <w:p w14:paraId="4D36A7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1、乙方应严格遵守保密义务，对完整源代码、开发文档、数据库的内容进行保密，不得向任何无关人员透露具体内容和技术细节。</w:t>
      </w:r>
    </w:p>
    <w:p w14:paraId="3806FF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2、双方承认，源代码及其相关文档资料包含本项目软件的商业秘密和技术秘密，甲、乙双方应采取合理措施保护这些信息不被泄露给任何第三方。</w:t>
      </w:r>
    </w:p>
    <w:p w14:paraId="07F01B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3、乙方应保证甲方及其授权使用者在使用该项目系统时免受第三方在知识产权方面的起诉。如第三方提出侵权指控，乙方须承担由此而引起的一切法律责任和费用，甲方保留进一步追究责任的权利。</w:t>
      </w:r>
    </w:p>
    <w:p w14:paraId="6A1D62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4、违约责任：</w:t>
      </w:r>
    </w:p>
    <w:p w14:paraId="459276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若乙方违反保密义务或未能提供该软件不涉及第三方知识产权组件的源代码和必要的开发文档、数据库，应承担相应的法律责任。</w:t>
      </w:r>
    </w:p>
    <w:p w14:paraId="09B4B4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三、验收标准：</w:t>
      </w:r>
    </w:p>
    <w:p w14:paraId="4599D9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甲方应对该软件不涉及第三方知识产权组件的源代码和必要的开发文档进行验收，验收标准包括代码的完整性、可读性、规范性和可编译性。</w:t>
      </w:r>
    </w:p>
    <w:p w14:paraId="7B28EC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1、甲方应在项目启动前提供源代码验收标准。</w:t>
      </w:r>
    </w:p>
    <w:p w14:paraId="24C8AEB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2、甲方在收到交付内容后应在5个工作日内提供书面验收意见，如未能按时提供验收意见则视验收通过。</w:t>
      </w:r>
    </w:p>
    <w:p w14:paraId="5BA3DB7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bCs w:val="0"/>
          <w:color w:val="auto"/>
          <w:sz w:val="21"/>
          <w:szCs w:val="21"/>
          <w:highlight w:val="none"/>
        </w:rPr>
      </w:pPr>
      <w:r>
        <w:rPr>
          <w:rFonts w:hint="eastAsia" w:ascii="宋体" w:hAnsi="宋体" w:eastAsia="宋体" w:cs="宋体"/>
          <w:color w:val="auto"/>
          <w:kern w:val="2"/>
          <w:sz w:val="21"/>
          <w:szCs w:val="22"/>
          <w:highlight w:val="none"/>
          <w:lang w:val="en-US" w:eastAsia="zh-CN" w:bidi="ar"/>
        </w:rPr>
        <w:t>3、若不符合验收标准，乙方应按照验收意见书在5个工作日内进行整改，重新提交验收。</w:t>
      </w:r>
    </w:p>
    <w:p w14:paraId="0C30E378">
      <w:pPr>
        <w:pStyle w:val="3"/>
        <w:ind w:left="567" w:leftChars="200" w:hanging="147" w:hangingChars="70"/>
        <w:rPr>
          <w:rFonts w:ascii="宋体" w:hAnsi="宋体" w:cs="宋体"/>
          <w:b/>
          <w:bCs w:val="0"/>
          <w:color w:val="auto"/>
          <w:sz w:val="21"/>
          <w:szCs w:val="21"/>
          <w:highlight w:val="none"/>
        </w:rPr>
      </w:pPr>
      <w:r>
        <w:rPr>
          <w:rFonts w:hint="eastAsia" w:ascii="宋体" w:hAnsi="宋体" w:cs="宋体"/>
          <w:b/>
          <w:bCs w:val="0"/>
          <w:color w:val="auto"/>
          <w:sz w:val="21"/>
          <w:szCs w:val="21"/>
          <w:highlight w:val="none"/>
        </w:rPr>
        <w:t>第</w:t>
      </w:r>
      <w:r>
        <w:rPr>
          <w:rFonts w:hint="eastAsia" w:ascii="宋体" w:hAnsi="宋体" w:cs="宋体"/>
          <w:b/>
          <w:bCs w:val="0"/>
          <w:color w:val="auto"/>
          <w:sz w:val="21"/>
          <w:szCs w:val="21"/>
          <w:highlight w:val="none"/>
          <w:lang w:val="en-US" w:eastAsia="zh-CN"/>
        </w:rPr>
        <w:t>七</w:t>
      </w:r>
      <w:r>
        <w:rPr>
          <w:rFonts w:hint="eastAsia" w:ascii="宋体" w:hAnsi="宋体" w:cs="宋体"/>
          <w:b/>
          <w:bCs w:val="0"/>
          <w:color w:val="auto"/>
          <w:sz w:val="21"/>
          <w:szCs w:val="21"/>
          <w:highlight w:val="none"/>
        </w:rPr>
        <w:t>条</w:t>
      </w:r>
      <w:r>
        <w:rPr>
          <w:rFonts w:hint="eastAsia" w:ascii="宋体" w:hAnsi="宋体" w:cs="宋体"/>
          <w:b/>
          <w:bCs w:val="0"/>
          <w:color w:val="auto"/>
          <w:sz w:val="21"/>
          <w:szCs w:val="21"/>
          <w:highlight w:val="none"/>
          <w:lang w:val="en-US" w:eastAsia="zh-CN"/>
        </w:rPr>
        <w:t xml:space="preserve"> </w:t>
      </w:r>
      <w:r>
        <w:rPr>
          <w:rFonts w:hint="eastAsia" w:ascii="宋体" w:hAnsi="宋体" w:cs="宋体"/>
          <w:b/>
          <w:bCs w:val="0"/>
          <w:color w:val="auto"/>
          <w:sz w:val="21"/>
          <w:szCs w:val="21"/>
          <w:highlight w:val="none"/>
        </w:rPr>
        <w:t>税费</w:t>
      </w:r>
      <w:bookmarkEnd w:id="164"/>
      <w:bookmarkEnd w:id="165"/>
      <w:bookmarkEnd w:id="166"/>
    </w:p>
    <w:p w14:paraId="717D896D">
      <w:pPr>
        <w:spacing w:line="360" w:lineRule="auto"/>
        <w:ind w:firstLine="411" w:firstLineChars="196"/>
        <w:rPr>
          <w:rFonts w:ascii="宋体" w:hAnsi="宋体" w:cs="宋体"/>
          <w:color w:val="auto"/>
          <w:szCs w:val="21"/>
          <w:highlight w:val="none"/>
        </w:rPr>
      </w:pPr>
      <w:r>
        <w:rPr>
          <w:rFonts w:hint="eastAsia" w:ascii="宋体" w:hAnsi="宋体" w:cs="宋体"/>
          <w:color w:val="auto"/>
          <w:szCs w:val="21"/>
          <w:highlight w:val="none"/>
        </w:rPr>
        <w:t>本合同执行中相关的一切税费均由成交供应商负担。</w:t>
      </w:r>
    </w:p>
    <w:p w14:paraId="00C5747F">
      <w:pPr>
        <w:pStyle w:val="3"/>
        <w:numPr>
          <w:ilvl w:val="0"/>
          <w:numId w:val="0"/>
        </w:numPr>
        <w:ind w:leftChars="130"/>
        <w:rPr>
          <w:rFonts w:hint="eastAsia"/>
          <w:color w:val="auto"/>
          <w:highlight w:val="none"/>
        </w:rPr>
      </w:pPr>
      <w:bookmarkStart w:id="167" w:name="_Toc29885"/>
      <w:bookmarkStart w:id="168" w:name="_Toc11829"/>
      <w:bookmarkStart w:id="169" w:name="_Toc31516"/>
      <w:r>
        <w:rPr>
          <w:rFonts w:hint="eastAsia" w:ascii="宋体" w:hAnsi="宋体" w:cs="宋体"/>
          <w:b/>
          <w:bCs w:val="0"/>
          <w:color w:val="auto"/>
          <w:sz w:val="21"/>
          <w:szCs w:val="21"/>
          <w:highlight w:val="none"/>
          <w:lang w:val="en-US" w:eastAsia="zh-CN"/>
        </w:rPr>
        <w:t xml:space="preserve">第八条 </w:t>
      </w:r>
      <w:r>
        <w:rPr>
          <w:rFonts w:hint="eastAsia" w:ascii="宋体" w:hAnsi="宋体" w:cs="宋体"/>
          <w:b/>
          <w:bCs w:val="0"/>
          <w:color w:val="auto"/>
          <w:sz w:val="21"/>
          <w:szCs w:val="21"/>
          <w:highlight w:val="none"/>
        </w:rPr>
        <w:t>付款方式</w:t>
      </w:r>
      <w:bookmarkEnd w:id="167"/>
      <w:bookmarkEnd w:id="168"/>
      <w:bookmarkEnd w:id="169"/>
    </w:p>
    <w:p w14:paraId="6EAF171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1、前期按项目完成进度申请项目款支付；</w:t>
      </w:r>
    </w:p>
    <w:p w14:paraId="125DCBC9">
      <w:pPr>
        <w:pStyle w:val="4"/>
        <w:numPr>
          <w:ilvl w:val="0"/>
          <w:numId w:val="0"/>
        </w:numPr>
        <w:ind w:firstLine="420" w:firstLineChars="200"/>
        <w:rPr>
          <w:rFonts w:hint="default"/>
          <w:color w:val="auto"/>
          <w:highlight w:val="none"/>
          <w:lang w:val="en-US"/>
        </w:rPr>
      </w:pPr>
      <w:r>
        <w:rPr>
          <w:rFonts w:hint="eastAsia"/>
          <w:color w:val="auto"/>
          <w:highlight w:val="none"/>
          <w:lang w:val="en-US" w:eastAsia="zh-CN"/>
        </w:rPr>
        <w:t>2、乙方完成本次特种救护、宣传（资料）视频制作、标本养护工作内容提交全部成果材料并通过采购人初步验收后10个工作日内支付合同价款的</w:t>
      </w:r>
      <w:r>
        <w:rPr>
          <w:rFonts w:hint="default"/>
          <w:color w:val="auto"/>
          <w:highlight w:val="none"/>
          <w:lang w:val="en-US" w:eastAsia="zh-CN"/>
        </w:rPr>
        <w:t>80</w:t>
      </w:r>
      <w:r>
        <w:rPr>
          <w:rFonts w:hint="eastAsia"/>
          <w:color w:val="auto"/>
          <w:highlight w:val="none"/>
          <w:lang w:val="en-US" w:eastAsia="zh-CN"/>
        </w:rPr>
        <w:t>%</w:t>
      </w:r>
      <w:r>
        <w:rPr>
          <w:rFonts w:ascii="Ubuntu" w:hAnsi="Ubuntu" w:eastAsia="Ubuntu" w:cs="Ubuntu"/>
          <w:i w:val="0"/>
          <w:caps w:val="0"/>
          <w:color w:val="auto"/>
          <w:spacing w:val="0"/>
          <w:kern w:val="0"/>
          <w:sz w:val="24"/>
          <w:szCs w:val="24"/>
          <w:shd w:val="clear" w:fill="FFFFFF"/>
          <w:lang w:val="en-US" w:eastAsia="zh-CN" w:bidi="ar"/>
        </w:rPr>
        <w:t>（含前期已支付款项）</w:t>
      </w:r>
      <w:r>
        <w:rPr>
          <w:rFonts w:hint="eastAsia"/>
          <w:color w:val="auto"/>
          <w:highlight w:val="none"/>
          <w:lang w:val="en-US" w:eastAsia="zh-CN"/>
        </w:rPr>
        <w:t>；</w:t>
      </w:r>
    </w:p>
    <w:p w14:paraId="5B65B8A1">
      <w:pPr>
        <w:pStyle w:val="4"/>
        <w:numPr>
          <w:ilvl w:val="0"/>
          <w:numId w:val="0"/>
        </w:numPr>
        <w:ind w:firstLine="420" w:firstLineChars="200"/>
        <w:rPr>
          <w:rFonts w:hint="eastAsia"/>
          <w:color w:val="auto"/>
          <w:highlight w:val="none"/>
        </w:rPr>
      </w:pPr>
      <w:r>
        <w:rPr>
          <w:rFonts w:hint="eastAsia"/>
          <w:color w:val="auto"/>
          <w:highlight w:val="none"/>
          <w:lang w:val="en-US" w:eastAsia="zh-CN"/>
        </w:rPr>
        <w:t>3、提交的全部成果文件通过采购人的主管部门竣工验收合格后10个工作日内，采购人一次性结清结余款，即合同总价的20%。</w:t>
      </w:r>
    </w:p>
    <w:p w14:paraId="0E677DFB">
      <w:pPr>
        <w:spacing w:line="400" w:lineRule="exact"/>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4、乙方在采购人支付每笔款项前5个工作日内开具等额有效发票给采购人。</w:t>
      </w:r>
    </w:p>
    <w:p w14:paraId="2D5AEC5B">
      <w:pPr>
        <w:spacing w:line="400" w:lineRule="exact"/>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注：以上支付事宜，如遇国库支付程序原因，支付日期顺延（无息），采购人不承担延期付款责任。</w:t>
      </w:r>
    </w:p>
    <w:p w14:paraId="19DE85AC">
      <w:pPr>
        <w:widowControl/>
        <w:spacing w:line="400" w:lineRule="exact"/>
        <w:ind w:firstLine="422" w:firstLineChars="201"/>
        <w:jc w:val="left"/>
        <w:rPr>
          <w:rFonts w:ascii="宋体" w:hAnsi="宋体" w:cs="宋体"/>
          <w:color w:val="auto"/>
          <w:kern w:val="0"/>
          <w:szCs w:val="21"/>
          <w:highlight w:val="none"/>
        </w:rPr>
      </w:pPr>
      <w:bookmarkStart w:id="170" w:name="_Toc2652"/>
      <w:bookmarkStart w:id="171" w:name="_Toc7272"/>
      <w:bookmarkStart w:id="172" w:name="_Toc25711"/>
      <w:r>
        <w:rPr>
          <w:rFonts w:hint="eastAsia" w:ascii="宋体" w:hAnsi="宋体" w:cs="宋体"/>
          <w:b/>
          <w:color w:val="auto"/>
          <w:szCs w:val="21"/>
          <w:highlight w:val="none"/>
        </w:rPr>
        <w:t>第</w:t>
      </w:r>
      <w:r>
        <w:rPr>
          <w:rFonts w:hint="eastAsia" w:ascii="宋体" w:hAnsi="宋体" w:cs="宋体"/>
          <w:b/>
          <w:color w:val="auto"/>
          <w:szCs w:val="21"/>
          <w:highlight w:val="none"/>
          <w:lang w:val="en-US" w:eastAsia="zh-CN"/>
        </w:rPr>
        <w:t>九</w:t>
      </w:r>
      <w:r>
        <w:rPr>
          <w:rFonts w:hint="eastAsia" w:ascii="宋体" w:hAnsi="宋体" w:cs="宋体"/>
          <w:b/>
          <w:color w:val="auto"/>
          <w:szCs w:val="21"/>
          <w:highlight w:val="none"/>
        </w:rPr>
        <w:t>条</w:t>
      </w:r>
      <w:r>
        <w:rPr>
          <w:rFonts w:hint="eastAsia" w:ascii="宋体" w:hAnsi="宋体" w:cs="宋体"/>
          <w:b/>
          <w:color w:val="auto"/>
          <w:szCs w:val="21"/>
          <w:highlight w:val="none"/>
          <w:lang w:val="en-US" w:eastAsia="zh-CN"/>
        </w:rPr>
        <w:t xml:space="preserve"> </w:t>
      </w:r>
      <w:r>
        <w:rPr>
          <w:rFonts w:hint="eastAsia" w:ascii="宋体" w:hAnsi="宋体" w:cs="宋体"/>
          <w:b/>
          <w:bCs w:val="0"/>
          <w:color w:val="auto"/>
          <w:sz w:val="21"/>
          <w:szCs w:val="21"/>
          <w:highlight w:val="none"/>
          <w:lang w:val="en-US" w:eastAsia="zh-CN"/>
        </w:rPr>
        <w:t>安全生产</w:t>
      </w:r>
    </w:p>
    <w:p w14:paraId="5C51E358">
      <w:pPr>
        <w:pStyle w:val="3"/>
        <w:ind w:left="567" w:leftChars="200" w:hanging="147" w:hangingChars="70"/>
        <w:rPr>
          <w:rFonts w:hint="eastAsia" w:ascii="宋体" w:hAnsi="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承诺在（施工）作业期间，严格按花坪保护区的要求，依照相关施工法律法规要求，明确安全责任，</w:t>
      </w:r>
    </w:p>
    <w:p w14:paraId="4A3675FD">
      <w:pPr>
        <w:pStyle w:val="3"/>
        <w:ind w:left="0" w:leftChars="0" w:firstLine="0" w:firstLineChars="0"/>
        <w:rPr>
          <w:rFonts w:hint="default" w:ascii="宋体" w:hAnsi="宋体" w:eastAsia="宋体" w:cs="宋体"/>
          <w:color w:val="auto"/>
          <w:sz w:val="21"/>
          <w:szCs w:val="21"/>
          <w:highlight w:val="none"/>
          <w:lang w:val="en-US" w:eastAsia="zh-CN"/>
        </w:rPr>
      </w:pPr>
      <w:r>
        <w:rPr>
          <w:rFonts w:hint="eastAsia" w:ascii="宋体" w:hAnsi="宋体" w:cs="宋体"/>
          <w:b w:val="0"/>
          <w:bCs/>
          <w:color w:val="auto"/>
          <w:sz w:val="21"/>
          <w:szCs w:val="21"/>
          <w:highlight w:val="none"/>
          <w:lang w:val="en-US" w:eastAsia="zh-CN"/>
        </w:rPr>
        <w:t>做好施工组织设计和施工安全技术交底，服从保护区相关部门的日常管理和检查。</w:t>
      </w:r>
    </w:p>
    <w:p w14:paraId="43C5D9DB">
      <w:pPr>
        <w:pStyle w:val="3"/>
        <w:ind w:left="567" w:leftChars="200" w:hanging="147" w:hangingChars="70"/>
        <w:rPr>
          <w:rFonts w:ascii="宋体" w:hAnsi="宋体" w:cs="宋体"/>
          <w:b/>
          <w:bCs w:val="0"/>
          <w:color w:val="auto"/>
          <w:sz w:val="21"/>
          <w:szCs w:val="21"/>
          <w:highlight w:val="none"/>
        </w:rPr>
      </w:pPr>
      <w:r>
        <w:rPr>
          <w:rFonts w:hint="eastAsia" w:ascii="宋体" w:hAnsi="宋体" w:cs="宋体"/>
          <w:b/>
          <w:bCs w:val="0"/>
          <w:color w:val="auto"/>
          <w:sz w:val="21"/>
          <w:szCs w:val="21"/>
          <w:highlight w:val="none"/>
        </w:rPr>
        <w:t>第</w:t>
      </w:r>
      <w:r>
        <w:rPr>
          <w:rFonts w:hint="eastAsia" w:ascii="宋体" w:hAnsi="宋体" w:cs="宋体"/>
          <w:b/>
          <w:bCs w:val="0"/>
          <w:color w:val="auto"/>
          <w:sz w:val="21"/>
          <w:szCs w:val="21"/>
          <w:highlight w:val="none"/>
          <w:lang w:val="en-US" w:eastAsia="zh-CN"/>
        </w:rPr>
        <w:t>十</w:t>
      </w:r>
      <w:r>
        <w:rPr>
          <w:rFonts w:hint="eastAsia" w:ascii="宋体" w:hAnsi="宋体" w:cs="宋体"/>
          <w:b/>
          <w:bCs w:val="0"/>
          <w:color w:val="auto"/>
          <w:sz w:val="21"/>
          <w:szCs w:val="21"/>
          <w:highlight w:val="none"/>
        </w:rPr>
        <w:t>条</w:t>
      </w:r>
      <w:r>
        <w:rPr>
          <w:rFonts w:hint="eastAsia" w:ascii="宋体" w:hAnsi="宋体" w:cs="宋体"/>
          <w:b/>
          <w:bCs w:val="0"/>
          <w:color w:val="auto"/>
          <w:sz w:val="21"/>
          <w:szCs w:val="21"/>
          <w:highlight w:val="none"/>
          <w:lang w:val="en-US" w:eastAsia="zh-CN"/>
        </w:rPr>
        <w:t xml:space="preserve"> </w:t>
      </w:r>
      <w:r>
        <w:rPr>
          <w:rFonts w:hint="eastAsia" w:ascii="宋体" w:hAnsi="宋体" w:cs="宋体"/>
          <w:b/>
          <w:bCs w:val="0"/>
          <w:color w:val="auto"/>
          <w:sz w:val="21"/>
          <w:szCs w:val="21"/>
          <w:highlight w:val="none"/>
        </w:rPr>
        <w:t>违约责任</w:t>
      </w:r>
      <w:bookmarkEnd w:id="170"/>
      <w:bookmarkEnd w:id="171"/>
      <w:bookmarkEnd w:id="172"/>
    </w:p>
    <w:p w14:paraId="24A83456">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1、乙方所提供的服务质量不合格的，应及时调整，调整不及时的按逾期处罚，乙方应向甲方支付合同金额</w:t>
      </w:r>
      <w:r>
        <w:rPr>
          <w:rFonts w:hint="eastAsia" w:ascii="宋体" w:hAnsi="宋体" w:cs="宋体"/>
          <w:color w:val="auto"/>
          <w:szCs w:val="21"/>
          <w:highlight w:val="none"/>
          <w:u w:val="single"/>
        </w:rPr>
        <w:t xml:space="preserve"> 5 %</w:t>
      </w:r>
      <w:r>
        <w:rPr>
          <w:rFonts w:hint="eastAsia" w:ascii="宋体" w:hAnsi="宋体" w:cs="宋体"/>
          <w:color w:val="auto"/>
          <w:szCs w:val="21"/>
          <w:highlight w:val="none"/>
        </w:rPr>
        <w:t>违约金并赔偿甲方经济损失。</w:t>
      </w:r>
    </w:p>
    <w:p w14:paraId="23FF8281">
      <w:pPr>
        <w:spacing w:line="380" w:lineRule="exact"/>
        <w:ind w:firstLine="411" w:firstLineChars="196"/>
        <w:rPr>
          <w:rFonts w:ascii="宋体" w:hAnsi="宋体" w:cs="宋体"/>
          <w:color w:val="auto"/>
          <w:szCs w:val="21"/>
          <w:highlight w:val="none"/>
        </w:rPr>
      </w:pPr>
      <w:r>
        <w:rPr>
          <w:rFonts w:hint="eastAsia" w:ascii="宋体" w:hAnsi="宋体" w:cs="宋体"/>
          <w:color w:val="auto"/>
          <w:szCs w:val="21"/>
          <w:highlight w:val="none"/>
        </w:rPr>
        <w:t>2、乙方提供的服务如果侵犯了第三方合法权益而引发的任何纠纷或诉讼，均由乙方负责交涉并承担全部责任。</w:t>
      </w:r>
    </w:p>
    <w:p w14:paraId="55995CE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3、乙方无故延期服务交付的，每天向甲方偿付违约合同金额</w:t>
      </w:r>
      <w:r>
        <w:rPr>
          <w:rFonts w:hint="eastAsia" w:ascii="宋体" w:hAnsi="宋体" w:cs="宋体"/>
          <w:color w:val="auto"/>
          <w:szCs w:val="21"/>
          <w:highlight w:val="none"/>
          <w:u w:val="single"/>
        </w:rPr>
        <w:t>2‰</w:t>
      </w:r>
      <w:r>
        <w:rPr>
          <w:rFonts w:hint="eastAsia" w:ascii="宋体" w:hAnsi="宋体" w:cs="宋体"/>
          <w:color w:val="auto"/>
          <w:szCs w:val="21"/>
          <w:highlight w:val="none"/>
        </w:rPr>
        <w:t>违约金，但违约金累计不得超过合同金额</w:t>
      </w:r>
      <w:r>
        <w:rPr>
          <w:rFonts w:hint="eastAsia" w:ascii="宋体" w:hAnsi="宋体" w:cs="宋体"/>
          <w:color w:val="auto"/>
          <w:szCs w:val="21"/>
          <w:highlight w:val="none"/>
          <w:u w:val="single"/>
        </w:rPr>
        <w:t>5%</w:t>
      </w:r>
      <w:r>
        <w:rPr>
          <w:rFonts w:hint="eastAsia" w:ascii="宋体" w:hAnsi="宋体" w:cs="宋体"/>
          <w:color w:val="auto"/>
          <w:szCs w:val="21"/>
          <w:highlight w:val="none"/>
        </w:rPr>
        <w:t>，超过</w:t>
      </w:r>
      <w:r>
        <w:rPr>
          <w:rFonts w:hint="eastAsia" w:ascii="宋体" w:hAnsi="宋体" w:cs="宋体"/>
          <w:color w:val="auto"/>
          <w:szCs w:val="21"/>
          <w:highlight w:val="none"/>
          <w:u w:val="single"/>
        </w:rPr>
        <w:t>20</w:t>
      </w:r>
      <w:r>
        <w:rPr>
          <w:rFonts w:hint="eastAsia" w:ascii="宋体" w:hAnsi="宋体" w:cs="宋体"/>
          <w:color w:val="auto"/>
          <w:szCs w:val="21"/>
          <w:highlight w:val="none"/>
        </w:rPr>
        <w:t>天甲方有权解除合同，违约方承担因此给对方造成经济损失；甲方不能按期付款的，每天向乙方偿付延合同金额</w:t>
      </w:r>
      <w:r>
        <w:rPr>
          <w:rFonts w:hint="eastAsia" w:ascii="宋体" w:hAnsi="宋体" w:cs="宋体"/>
          <w:color w:val="auto"/>
          <w:szCs w:val="21"/>
          <w:highlight w:val="none"/>
          <w:u w:val="single"/>
        </w:rPr>
        <w:t>3‰</w:t>
      </w:r>
      <w:r>
        <w:rPr>
          <w:rFonts w:hint="eastAsia" w:ascii="宋体" w:hAnsi="宋体" w:cs="宋体"/>
          <w:color w:val="auto"/>
          <w:szCs w:val="21"/>
          <w:highlight w:val="none"/>
        </w:rPr>
        <w:t>滞纳金，但滞纳金累计不得超过合同金额</w:t>
      </w:r>
      <w:r>
        <w:rPr>
          <w:rFonts w:hint="eastAsia" w:ascii="宋体" w:hAnsi="宋体" w:cs="宋体"/>
          <w:color w:val="auto"/>
          <w:szCs w:val="21"/>
          <w:highlight w:val="none"/>
          <w:u w:val="single"/>
        </w:rPr>
        <w:t>5%</w:t>
      </w:r>
      <w:r>
        <w:rPr>
          <w:rFonts w:hint="eastAsia" w:ascii="宋体" w:hAnsi="宋体" w:cs="宋体"/>
          <w:color w:val="auto"/>
          <w:szCs w:val="21"/>
          <w:highlight w:val="none"/>
        </w:rPr>
        <w:t>。</w:t>
      </w:r>
    </w:p>
    <w:p w14:paraId="220CB31D">
      <w:pPr>
        <w:spacing w:line="380" w:lineRule="exact"/>
        <w:ind w:firstLine="411" w:firstLineChars="196"/>
        <w:rPr>
          <w:rFonts w:ascii="宋体" w:hAnsi="宋体" w:cs="宋体"/>
          <w:color w:val="auto"/>
          <w:szCs w:val="21"/>
          <w:highlight w:val="none"/>
        </w:rPr>
      </w:pPr>
      <w:r>
        <w:rPr>
          <w:rFonts w:hint="eastAsia" w:ascii="宋体" w:hAnsi="宋体" w:cs="宋体"/>
          <w:color w:val="auto"/>
          <w:szCs w:val="21"/>
          <w:highlight w:val="none"/>
        </w:rPr>
        <w:t>4、乙方未按本合同和响应文件中规定的服务承诺提供服务的，乙方应按本合同合同金额</w:t>
      </w:r>
      <w:r>
        <w:rPr>
          <w:rFonts w:hint="eastAsia" w:ascii="宋体" w:hAnsi="宋体" w:cs="宋体"/>
          <w:color w:val="auto"/>
          <w:szCs w:val="21"/>
          <w:highlight w:val="none"/>
          <w:u w:val="single"/>
        </w:rPr>
        <w:t xml:space="preserve"> 5 %</w:t>
      </w:r>
      <w:r>
        <w:rPr>
          <w:rFonts w:hint="eastAsia" w:ascii="宋体" w:hAnsi="宋体" w:cs="宋体"/>
          <w:color w:val="auto"/>
          <w:szCs w:val="21"/>
          <w:highlight w:val="none"/>
        </w:rPr>
        <w:t>向甲方支付违约金。</w:t>
      </w:r>
    </w:p>
    <w:p w14:paraId="4DFE10D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5、其他违约行为按照合同金额额</w:t>
      </w:r>
      <w:r>
        <w:rPr>
          <w:rFonts w:hint="eastAsia" w:ascii="宋体" w:hAnsi="宋体" w:cs="宋体"/>
          <w:color w:val="auto"/>
          <w:szCs w:val="21"/>
          <w:highlight w:val="none"/>
          <w:u w:val="single"/>
        </w:rPr>
        <w:t xml:space="preserve"> 5 %</w:t>
      </w:r>
      <w:r>
        <w:rPr>
          <w:rFonts w:hint="eastAsia" w:ascii="宋体" w:hAnsi="宋体" w:cs="宋体"/>
          <w:color w:val="auto"/>
          <w:szCs w:val="21"/>
          <w:highlight w:val="none"/>
        </w:rPr>
        <w:t>收取违约金并赔偿经济损失。</w:t>
      </w:r>
    </w:p>
    <w:p w14:paraId="5A275D51">
      <w:pPr>
        <w:pStyle w:val="3"/>
        <w:ind w:left="567" w:leftChars="200" w:hanging="147" w:hangingChars="70"/>
        <w:rPr>
          <w:color w:val="auto"/>
          <w:highlight w:val="none"/>
        </w:rPr>
      </w:pPr>
      <w:bookmarkStart w:id="173" w:name="_Toc1538"/>
      <w:bookmarkStart w:id="174" w:name="_Toc16745"/>
      <w:bookmarkStart w:id="175" w:name="_Toc8363"/>
      <w:r>
        <w:rPr>
          <w:rFonts w:hint="eastAsia" w:ascii="宋体" w:hAnsi="宋体" w:cs="宋体"/>
          <w:b/>
          <w:bCs w:val="0"/>
          <w:color w:val="auto"/>
          <w:sz w:val="21"/>
          <w:szCs w:val="21"/>
          <w:highlight w:val="none"/>
        </w:rPr>
        <w:t>第十</w:t>
      </w:r>
      <w:r>
        <w:rPr>
          <w:rFonts w:hint="eastAsia" w:ascii="宋体" w:hAnsi="宋体" w:cs="宋体"/>
          <w:b/>
          <w:bCs w:val="0"/>
          <w:color w:val="auto"/>
          <w:sz w:val="21"/>
          <w:szCs w:val="21"/>
          <w:highlight w:val="none"/>
          <w:lang w:val="en-US" w:eastAsia="zh-CN"/>
        </w:rPr>
        <w:t>一</w:t>
      </w:r>
      <w:r>
        <w:rPr>
          <w:rFonts w:hint="eastAsia" w:ascii="宋体" w:hAnsi="宋体" w:cs="宋体"/>
          <w:b/>
          <w:bCs w:val="0"/>
          <w:color w:val="auto"/>
          <w:sz w:val="21"/>
          <w:szCs w:val="21"/>
          <w:highlight w:val="none"/>
        </w:rPr>
        <w:t>条</w:t>
      </w:r>
      <w:r>
        <w:rPr>
          <w:rFonts w:hint="eastAsia" w:ascii="宋体" w:hAnsi="宋体" w:cs="宋体"/>
          <w:b/>
          <w:bCs w:val="0"/>
          <w:color w:val="auto"/>
          <w:sz w:val="21"/>
          <w:szCs w:val="21"/>
          <w:highlight w:val="none"/>
          <w:lang w:val="en-US" w:eastAsia="zh-CN"/>
        </w:rPr>
        <w:t xml:space="preserve"> </w:t>
      </w:r>
      <w:r>
        <w:rPr>
          <w:rFonts w:hint="eastAsia" w:ascii="宋体" w:hAnsi="宋体" w:cs="宋体"/>
          <w:b/>
          <w:bCs w:val="0"/>
          <w:color w:val="auto"/>
          <w:sz w:val="21"/>
          <w:szCs w:val="21"/>
          <w:highlight w:val="none"/>
        </w:rPr>
        <w:t>不可抗力事件处理</w:t>
      </w:r>
      <w:bookmarkEnd w:id="173"/>
      <w:bookmarkEnd w:id="174"/>
      <w:bookmarkEnd w:id="175"/>
    </w:p>
    <w:p w14:paraId="3F3B223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1、在合同有效期内，成交供应商因不可抗力事件导致不能履行合同，则合同履行期可延长，其延长期与不可抗力影响期相同。</w:t>
      </w:r>
    </w:p>
    <w:p w14:paraId="5537EB6D">
      <w:pPr>
        <w:numPr>
          <w:ilvl w:val="0"/>
          <w:numId w:val="8"/>
        </w:numPr>
        <w:spacing w:line="360" w:lineRule="auto"/>
        <w:rPr>
          <w:rFonts w:ascii="宋体" w:hAnsi="宋体" w:cs="宋体"/>
          <w:color w:val="auto"/>
          <w:szCs w:val="21"/>
          <w:highlight w:val="none"/>
        </w:rPr>
      </w:pPr>
      <w:r>
        <w:rPr>
          <w:rFonts w:hint="eastAsia" w:ascii="宋体" w:hAnsi="宋体" w:cs="宋体"/>
          <w:color w:val="auto"/>
          <w:szCs w:val="21"/>
          <w:highlight w:val="none"/>
        </w:rPr>
        <w:t>不可抗力事件发生后，应立即通知对方，并寄送有关权威机构出具的证明。</w:t>
      </w:r>
    </w:p>
    <w:p w14:paraId="523531D5">
      <w:pPr>
        <w:numPr>
          <w:ilvl w:val="0"/>
          <w:numId w:val="8"/>
        </w:numPr>
        <w:spacing w:line="360" w:lineRule="auto"/>
        <w:rPr>
          <w:rFonts w:ascii="宋体" w:hAnsi="宋体" w:cs="宋体"/>
          <w:color w:val="auto"/>
          <w:szCs w:val="21"/>
          <w:highlight w:val="none"/>
        </w:rPr>
      </w:pPr>
      <w:r>
        <w:rPr>
          <w:rFonts w:hint="eastAsia" w:ascii="宋体" w:hAnsi="宋体" w:cs="宋体"/>
          <w:color w:val="auto"/>
          <w:szCs w:val="21"/>
          <w:highlight w:val="none"/>
        </w:rPr>
        <w:t>不可抗力事件延续一百二十天以上，双方应通过友好协商，确定是否继续履行合同。</w:t>
      </w:r>
    </w:p>
    <w:p w14:paraId="3BEE896E">
      <w:pPr>
        <w:pStyle w:val="3"/>
        <w:ind w:left="567" w:leftChars="200" w:hanging="147" w:hangingChars="70"/>
        <w:rPr>
          <w:rFonts w:ascii="宋体" w:hAnsi="宋体" w:cs="宋体"/>
          <w:b/>
          <w:bCs w:val="0"/>
          <w:color w:val="auto"/>
          <w:sz w:val="21"/>
          <w:szCs w:val="21"/>
          <w:highlight w:val="none"/>
        </w:rPr>
      </w:pPr>
      <w:bookmarkStart w:id="176" w:name="_Toc12796"/>
      <w:bookmarkStart w:id="177" w:name="_Toc8638"/>
      <w:bookmarkStart w:id="178" w:name="_Toc7311"/>
      <w:r>
        <w:rPr>
          <w:rFonts w:hint="eastAsia" w:ascii="宋体" w:hAnsi="宋体" w:cs="宋体"/>
          <w:b/>
          <w:bCs w:val="0"/>
          <w:color w:val="auto"/>
          <w:sz w:val="21"/>
          <w:szCs w:val="21"/>
          <w:highlight w:val="none"/>
        </w:rPr>
        <w:t>第十</w:t>
      </w:r>
      <w:r>
        <w:rPr>
          <w:rFonts w:hint="eastAsia" w:ascii="宋体" w:hAnsi="宋体" w:cs="宋体"/>
          <w:b/>
          <w:bCs w:val="0"/>
          <w:color w:val="auto"/>
          <w:sz w:val="21"/>
          <w:szCs w:val="21"/>
          <w:highlight w:val="none"/>
          <w:lang w:val="en-US" w:eastAsia="zh-CN"/>
        </w:rPr>
        <w:t>二</w:t>
      </w:r>
      <w:r>
        <w:rPr>
          <w:rFonts w:hint="eastAsia" w:ascii="宋体" w:hAnsi="宋体" w:cs="宋体"/>
          <w:b/>
          <w:bCs w:val="0"/>
          <w:color w:val="auto"/>
          <w:sz w:val="21"/>
          <w:szCs w:val="21"/>
          <w:highlight w:val="none"/>
        </w:rPr>
        <w:t>条</w:t>
      </w:r>
      <w:r>
        <w:rPr>
          <w:rFonts w:hint="eastAsia" w:ascii="宋体" w:hAnsi="宋体" w:cs="宋体"/>
          <w:b/>
          <w:bCs w:val="0"/>
          <w:color w:val="auto"/>
          <w:sz w:val="21"/>
          <w:szCs w:val="21"/>
          <w:highlight w:val="none"/>
          <w:lang w:val="en-US" w:eastAsia="zh-CN"/>
        </w:rPr>
        <w:t xml:space="preserve"> </w:t>
      </w:r>
      <w:r>
        <w:rPr>
          <w:rFonts w:hint="eastAsia" w:ascii="宋体" w:hAnsi="宋体" w:cs="宋体"/>
          <w:b/>
          <w:bCs w:val="0"/>
          <w:color w:val="auto"/>
          <w:sz w:val="21"/>
          <w:szCs w:val="21"/>
          <w:highlight w:val="none"/>
        </w:rPr>
        <w:t>合同争议解决</w:t>
      </w:r>
      <w:bookmarkEnd w:id="176"/>
      <w:bookmarkEnd w:id="177"/>
      <w:bookmarkEnd w:id="178"/>
    </w:p>
    <w:p w14:paraId="4834DCF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1、因服务问题发生争议的，应邀请国家认可的相关机构进行鉴定。服务符合要求的，鉴定费由采购人承担；服务不符合要求的，鉴定费由成交供应商承担。</w:t>
      </w:r>
    </w:p>
    <w:p w14:paraId="351BAD1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2、因履行本合同引起的或与本合同有关的争议，甲乙双方应首先通过友好协商解决，如果协商不能解决，可向</w:t>
      </w:r>
      <w:r>
        <w:rPr>
          <w:rStyle w:val="48"/>
          <w:rFonts w:hint="eastAsia" w:ascii="宋体" w:hAnsi="宋体" w:cs="宋体"/>
          <w:color w:val="auto"/>
          <w:szCs w:val="21"/>
          <w:highlight w:val="none"/>
        </w:rPr>
        <w:t>项目所在地人</w:t>
      </w:r>
      <w:r>
        <w:rPr>
          <w:rFonts w:hint="eastAsia" w:ascii="宋体" w:hAnsi="宋体" w:cs="宋体"/>
          <w:color w:val="auto"/>
          <w:szCs w:val="21"/>
          <w:highlight w:val="none"/>
        </w:rPr>
        <w:t>民法院提起诉讼。</w:t>
      </w:r>
    </w:p>
    <w:p w14:paraId="40E89F0A">
      <w:pPr>
        <w:spacing w:line="360" w:lineRule="auto"/>
        <w:ind w:left="435"/>
        <w:rPr>
          <w:rFonts w:ascii="宋体" w:hAnsi="宋体" w:cs="宋体"/>
          <w:color w:val="auto"/>
          <w:szCs w:val="21"/>
          <w:highlight w:val="none"/>
        </w:rPr>
      </w:pPr>
      <w:r>
        <w:rPr>
          <w:rFonts w:hint="eastAsia" w:ascii="宋体" w:hAnsi="宋体" w:cs="宋体"/>
          <w:color w:val="auto"/>
          <w:szCs w:val="21"/>
          <w:highlight w:val="none"/>
        </w:rPr>
        <w:t>3、诉讼期间，本合同继续履行。</w:t>
      </w:r>
    </w:p>
    <w:p w14:paraId="1063121E">
      <w:pPr>
        <w:pStyle w:val="3"/>
        <w:ind w:left="567" w:leftChars="200" w:hanging="147" w:hangingChars="70"/>
        <w:rPr>
          <w:rFonts w:ascii="宋体" w:hAnsi="宋体" w:cs="宋体"/>
          <w:b/>
          <w:bCs w:val="0"/>
          <w:color w:val="auto"/>
          <w:sz w:val="21"/>
          <w:szCs w:val="21"/>
          <w:highlight w:val="none"/>
        </w:rPr>
      </w:pPr>
      <w:bookmarkStart w:id="179" w:name="_Toc26285"/>
      <w:bookmarkStart w:id="180" w:name="_Toc27483"/>
      <w:bookmarkStart w:id="181" w:name="_Toc17823"/>
      <w:r>
        <w:rPr>
          <w:rFonts w:hint="eastAsia" w:ascii="宋体" w:hAnsi="宋体" w:cs="宋体"/>
          <w:b/>
          <w:bCs w:val="0"/>
          <w:color w:val="auto"/>
          <w:sz w:val="21"/>
          <w:szCs w:val="21"/>
          <w:highlight w:val="none"/>
        </w:rPr>
        <w:t>第十</w:t>
      </w:r>
      <w:r>
        <w:rPr>
          <w:rFonts w:hint="eastAsia" w:ascii="宋体" w:hAnsi="宋体" w:cs="宋体"/>
          <w:b/>
          <w:bCs w:val="0"/>
          <w:color w:val="auto"/>
          <w:sz w:val="21"/>
          <w:szCs w:val="21"/>
          <w:highlight w:val="none"/>
          <w:lang w:val="en-US" w:eastAsia="zh-CN"/>
        </w:rPr>
        <w:t>三</w:t>
      </w:r>
      <w:r>
        <w:rPr>
          <w:rFonts w:hint="eastAsia" w:ascii="宋体" w:hAnsi="宋体" w:cs="宋体"/>
          <w:b/>
          <w:bCs w:val="0"/>
          <w:color w:val="auto"/>
          <w:sz w:val="21"/>
          <w:szCs w:val="21"/>
          <w:highlight w:val="none"/>
        </w:rPr>
        <w:t>条</w:t>
      </w:r>
      <w:r>
        <w:rPr>
          <w:rFonts w:hint="eastAsia" w:ascii="宋体" w:hAnsi="宋体" w:cs="宋体"/>
          <w:b/>
          <w:bCs w:val="0"/>
          <w:color w:val="auto"/>
          <w:sz w:val="21"/>
          <w:szCs w:val="21"/>
          <w:highlight w:val="none"/>
          <w:lang w:val="en-US" w:eastAsia="zh-CN"/>
        </w:rPr>
        <w:t xml:space="preserve"> </w:t>
      </w:r>
      <w:r>
        <w:rPr>
          <w:rFonts w:hint="eastAsia" w:ascii="宋体" w:hAnsi="宋体" w:cs="宋体"/>
          <w:b/>
          <w:bCs w:val="0"/>
          <w:color w:val="auto"/>
          <w:sz w:val="21"/>
          <w:szCs w:val="21"/>
          <w:highlight w:val="none"/>
        </w:rPr>
        <w:t>合同生效及其它</w:t>
      </w:r>
      <w:bookmarkEnd w:id="179"/>
      <w:bookmarkEnd w:id="180"/>
      <w:bookmarkEnd w:id="181"/>
    </w:p>
    <w:p w14:paraId="443118D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1、合同经甲乙双方法定代表人或授权代表签字并加盖单位公章后生效。</w:t>
      </w:r>
    </w:p>
    <w:p w14:paraId="2BF6BF3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2、合同执行中涉及采购资金和采购内容修改或补充的，需本级财政部门审批，并签订书面补充协议报</w:t>
      </w:r>
      <w:r>
        <w:rPr>
          <w:rFonts w:hint="eastAsia" w:ascii="宋体" w:hAnsi="宋体" w:cs="宋体"/>
          <w:color w:val="auto"/>
          <w:highlight w:val="none"/>
        </w:rPr>
        <w:t>本级财政部门</w:t>
      </w:r>
      <w:r>
        <w:rPr>
          <w:rFonts w:hint="eastAsia" w:ascii="宋体" w:hAnsi="宋体" w:cs="宋体"/>
          <w:color w:val="auto"/>
          <w:szCs w:val="21"/>
          <w:highlight w:val="none"/>
        </w:rPr>
        <w:t>备案，方可作为主合同不可分割的一部分。</w:t>
      </w:r>
    </w:p>
    <w:p w14:paraId="0C2E5C6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3、本合同未尽事宜，遵照《中华人民共和国民法典》有关条文执行。</w:t>
      </w:r>
    </w:p>
    <w:p w14:paraId="1E56937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4、服务项目开展期间，乙方必须严格遵守《中华人民共和国野生植物保护条例》《中华人民共和国自然保护区条例》和《中华人民共和国森林防火条例》，安全开展施工作业，禁止携带引起山火的工具和火种，若工作开展期间，因乙方责任发生安全事故，一切后果均由乙方自行负责，甲方概不承担由此引起的连带责任。</w:t>
      </w:r>
    </w:p>
    <w:p w14:paraId="60810D99">
      <w:pPr>
        <w:pStyle w:val="3"/>
        <w:ind w:left="567" w:leftChars="200" w:hanging="147" w:hangingChars="70"/>
        <w:rPr>
          <w:rFonts w:ascii="宋体" w:hAnsi="宋体" w:cs="宋体"/>
          <w:b/>
          <w:bCs w:val="0"/>
          <w:color w:val="auto"/>
          <w:sz w:val="21"/>
          <w:szCs w:val="21"/>
          <w:highlight w:val="none"/>
        </w:rPr>
      </w:pPr>
      <w:bookmarkStart w:id="182" w:name="_Toc12956"/>
      <w:bookmarkStart w:id="183" w:name="_Toc7824"/>
      <w:bookmarkStart w:id="184" w:name="_Toc31438"/>
      <w:r>
        <w:rPr>
          <w:rFonts w:hint="eastAsia" w:ascii="宋体" w:hAnsi="宋体" w:cs="宋体"/>
          <w:b/>
          <w:bCs w:val="0"/>
          <w:color w:val="auto"/>
          <w:sz w:val="21"/>
          <w:szCs w:val="21"/>
          <w:highlight w:val="none"/>
        </w:rPr>
        <w:t>第十</w:t>
      </w:r>
      <w:r>
        <w:rPr>
          <w:rFonts w:hint="eastAsia" w:ascii="宋体" w:hAnsi="宋体" w:cs="宋体"/>
          <w:b/>
          <w:bCs w:val="0"/>
          <w:color w:val="auto"/>
          <w:sz w:val="21"/>
          <w:szCs w:val="21"/>
          <w:highlight w:val="none"/>
          <w:lang w:val="en-US" w:eastAsia="zh-CN"/>
        </w:rPr>
        <w:t>四</w:t>
      </w:r>
      <w:r>
        <w:rPr>
          <w:rFonts w:hint="eastAsia" w:ascii="宋体" w:hAnsi="宋体" w:cs="宋体"/>
          <w:b/>
          <w:bCs w:val="0"/>
          <w:color w:val="auto"/>
          <w:sz w:val="21"/>
          <w:szCs w:val="21"/>
          <w:highlight w:val="none"/>
        </w:rPr>
        <w:t>条</w:t>
      </w:r>
      <w:r>
        <w:rPr>
          <w:rFonts w:hint="eastAsia" w:ascii="宋体" w:hAnsi="宋体" w:cs="宋体"/>
          <w:b/>
          <w:bCs w:val="0"/>
          <w:color w:val="auto"/>
          <w:sz w:val="21"/>
          <w:szCs w:val="21"/>
          <w:highlight w:val="none"/>
          <w:lang w:val="en-US" w:eastAsia="zh-CN"/>
        </w:rPr>
        <w:t xml:space="preserve"> </w:t>
      </w:r>
      <w:r>
        <w:rPr>
          <w:rFonts w:hint="eastAsia" w:ascii="宋体" w:hAnsi="宋体" w:cs="宋体"/>
          <w:b/>
          <w:bCs w:val="0"/>
          <w:color w:val="auto"/>
          <w:sz w:val="21"/>
          <w:szCs w:val="21"/>
          <w:highlight w:val="none"/>
        </w:rPr>
        <w:t>合同的变更、终止与转让</w:t>
      </w:r>
      <w:bookmarkEnd w:id="182"/>
      <w:bookmarkEnd w:id="183"/>
      <w:bookmarkEnd w:id="184"/>
    </w:p>
    <w:p w14:paraId="4596038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1、除《中华人民共和国政府采购法》第五十条规定的情形外，本合同一经签订，甲乙双方不得擅自变更，中止或终止。</w:t>
      </w:r>
    </w:p>
    <w:p w14:paraId="632B2BEC">
      <w:pPr>
        <w:numPr>
          <w:ilvl w:val="0"/>
          <w:numId w:val="9"/>
        </w:numPr>
        <w:spacing w:line="360" w:lineRule="auto"/>
        <w:rPr>
          <w:rFonts w:ascii="宋体" w:hAnsi="宋体" w:cs="宋体"/>
          <w:color w:val="auto"/>
          <w:szCs w:val="21"/>
          <w:highlight w:val="none"/>
        </w:rPr>
      </w:pPr>
      <w:r>
        <w:rPr>
          <w:rFonts w:hint="eastAsia" w:ascii="宋体" w:hAnsi="宋体" w:cs="宋体"/>
          <w:color w:val="auto"/>
          <w:szCs w:val="21"/>
          <w:highlight w:val="none"/>
        </w:rPr>
        <w:t>成交供应商不得擅自转让其应履行的合同义务。</w:t>
      </w:r>
    </w:p>
    <w:p w14:paraId="3E57A503">
      <w:pPr>
        <w:pStyle w:val="3"/>
        <w:ind w:left="567" w:leftChars="200" w:hanging="147" w:hangingChars="70"/>
        <w:rPr>
          <w:rFonts w:ascii="宋体" w:hAnsi="宋体" w:cs="宋体"/>
          <w:b/>
          <w:bCs w:val="0"/>
          <w:color w:val="auto"/>
          <w:sz w:val="21"/>
          <w:szCs w:val="21"/>
          <w:highlight w:val="none"/>
        </w:rPr>
      </w:pPr>
      <w:bookmarkStart w:id="185" w:name="_Toc32608"/>
      <w:bookmarkStart w:id="186" w:name="_Toc14327"/>
      <w:bookmarkStart w:id="187" w:name="_Toc31091"/>
      <w:r>
        <w:rPr>
          <w:rFonts w:hint="eastAsia" w:ascii="宋体" w:hAnsi="宋体" w:cs="宋体"/>
          <w:b/>
          <w:bCs w:val="0"/>
          <w:color w:val="auto"/>
          <w:sz w:val="21"/>
          <w:szCs w:val="21"/>
          <w:highlight w:val="none"/>
        </w:rPr>
        <w:t>第十</w:t>
      </w:r>
      <w:r>
        <w:rPr>
          <w:rFonts w:hint="eastAsia" w:ascii="宋体" w:hAnsi="宋体" w:cs="宋体"/>
          <w:b/>
          <w:bCs w:val="0"/>
          <w:color w:val="auto"/>
          <w:sz w:val="21"/>
          <w:szCs w:val="21"/>
          <w:highlight w:val="none"/>
          <w:lang w:val="en-US" w:eastAsia="zh-CN"/>
        </w:rPr>
        <w:t>五</w:t>
      </w:r>
      <w:r>
        <w:rPr>
          <w:rFonts w:hint="eastAsia" w:ascii="宋体" w:hAnsi="宋体" w:cs="宋体"/>
          <w:b/>
          <w:bCs w:val="0"/>
          <w:color w:val="auto"/>
          <w:sz w:val="21"/>
          <w:szCs w:val="21"/>
          <w:highlight w:val="none"/>
        </w:rPr>
        <w:t>条</w:t>
      </w:r>
      <w:r>
        <w:rPr>
          <w:rFonts w:hint="eastAsia" w:ascii="宋体" w:hAnsi="宋体" w:cs="宋体"/>
          <w:b/>
          <w:bCs w:val="0"/>
          <w:color w:val="auto"/>
          <w:sz w:val="21"/>
          <w:szCs w:val="21"/>
          <w:highlight w:val="none"/>
          <w:lang w:val="en-US" w:eastAsia="zh-CN"/>
        </w:rPr>
        <w:t xml:space="preserve"> </w:t>
      </w:r>
      <w:r>
        <w:rPr>
          <w:rFonts w:hint="eastAsia" w:ascii="宋体" w:hAnsi="宋体" w:cs="宋体"/>
          <w:b/>
          <w:bCs w:val="0"/>
          <w:color w:val="auto"/>
          <w:sz w:val="21"/>
          <w:szCs w:val="21"/>
          <w:highlight w:val="none"/>
        </w:rPr>
        <w:t>签订本合同依据</w:t>
      </w:r>
      <w:bookmarkEnd w:id="185"/>
      <w:bookmarkEnd w:id="186"/>
      <w:bookmarkEnd w:id="187"/>
    </w:p>
    <w:p w14:paraId="710B3408">
      <w:pPr>
        <w:spacing w:line="360" w:lineRule="auto"/>
        <w:ind w:left="420"/>
        <w:rPr>
          <w:rFonts w:ascii="宋体" w:hAnsi="宋体" w:cs="宋体"/>
          <w:color w:val="auto"/>
          <w:szCs w:val="21"/>
          <w:highlight w:val="none"/>
        </w:rPr>
      </w:pPr>
      <w:r>
        <w:rPr>
          <w:rFonts w:hint="eastAsia" w:ascii="宋体" w:hAnsi="宋体" w:cs="宋体"/>
          <w:color w:val="auto"/>
          <w:szCs w:val="21"/>
          <w:highlight w:val="none"/>
        </w:rPr>
        <w:t>1、竞争性磋商文件；</w:t>
      </w:r>
    </w:p>
    <w:p w14:paraId="2CB9AA4A">
      <w:pPr>
        <w:spacing w:line="360" w:lineRule="auto"/>
        <w:ind w:left="224" w:leftChars="107" w:firstLine="210" w:firstLineChars="100"/>
        <w:rPr>
          <w:rFonts w:ascii="宋体" w:hAnsi="宋体" w:cs="宋体"/>
          <w:color w:val="auto"/>
          <w:szCs w:val="21"/>
          <w:highlight w:val="none"/>
        </w:rPr>
      </w:pPr>
      <w:r>
        <w:rPr>
          <w:rFonts w:hint="eastAsia" w:ascii="宋体" w:hAnsi="宋体" w:cs="宋体"/>
          <w:color w:val="auto"/>
          <w:szCs w:val="21"/>
          <w:highlight w:val="none"/>
        </w:rPr>
        <w:t>2、成交供应商的响应（或应答）文件；</w:t>
      </w:r>
    </w:p>
    <w:p w14:paraId="12026B03">
      <w:pPr>
        <w:spacing w:line="360" w:lineRule="auto"/>
        <w:ind w:left="224" w:leftChars="107" w:firstLine="210" w:firstLineChars="100"/>
        <w:rPr>
          <w:rFonts w:ascii="宋体" w:hAnsi="宋体" w:cs="宋体"/>
          <w:color w:val="auto"/>
          <w:szCs w:val="21"/>
          <w:highlight w:val="none"/>
        </w:rPr>
      </w:pPr>
      <w:r>
        <w:rPr>
          <w:rFonts w:hint="eastAsia" w:ascii="宋体" w:hAnsi="宋体" w:cs="宋体"/>
          <w:color w:val="auto"/>
          <w:szCs w:val="21"/>
          <w:highlight w:val="none"/>
        </w:rPr>
        <w:t>3、服务承诺书；</w:t>
      </w:r>
    </w:p>
    <w:p w14:paraId="348056C2">
      <w:pPr>
        <w:spacing w:line="360" w:lineRule="auto"/>
        <w:ind w:left="224" w:leftChars="107" w:firstLine="210" w:firstLineChars="100"/>
        <w:rPr>
          <w:rFonts w:ascii="宋体" w:hAnsi="宋体" w:cs="宋体"/>
          <w:color w:val="auto"/>
          <w:szCs w:val="21"/>
          <w:highlight w:val="none"/>
        </w:rPr>
      </w:pPr>
      <w:r>
        <w:rPr>
          <w:rFonts w:hint="eastAsia" w:ascii="宋体" w:hAnsi="宋体" w:cs="宋体"/>
          <w:color w:val="auto"/>
          <w:szCs w:val="21"/>
          <w:highlight w:val="none"/>
        </w:rPr>
        <w:t>4、磋商中的磋商记录；</w:t>
      </w:r>
    </w:p>
    <w:p w14:paraId="38B79D32">
      <w:pPr>
        <w:spacing w:line="360" w:lineRule="auto"/>
        <w:ind w:left="224" w:leftChars="107" w:firstLine="210" w:firstLineChars="100"/>
        <w:rPr>
          <w:rFonts w:ascii="宋体" w:hAnsi="宋体" w:cs="宋体"/>
          <w:color w:val="auto"/>
          <w:szCs w:val="21"/>
          <w:highlight w:val="none"/>
        </w:rPr>
      </w:pPr>
      <w:r>
        <w:rPr>
          <w:rFonts w:hint="eastAsia" w:ascii="宋体" w:hAnsi="宋体" w:cs="宋体"/>
          <w:color w:val="auto"/>
          <w:szCs w:val="21"/>
          <w:highlight w:val="none"/>
        </w:rPr>
        <w:t>5、成交通知书。</w:t>
      </w:r>
    </w:p>
    <w:p w14:paraId="1FC3C3EE">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本合同甲乙双方签字盖章后生效，一式六份，具有同等法律效力，甲乙双方各持二份。双方自签订之日起一个工作日内，乙方将合同原件一份交采购代理机构。采购人于合同签订之日起七个工作日内将一份合同原件送本级财政部门备案。</w:t>
      </w:r>
    </w:p>
    <w:p w14:paraId="5B82BACC">
      <w:pPr>
        <w:spacing w:line="360" w:lineRule="auto"/>
        <w:rPr>
          <w:rFonts w:ascii="宋体" w:hAnsi="宋体" w:cs="宋体"/>
          <w:color w:val="auto"/>
          <w:szCs w:val="21"/>
          <w:highlight w:val="none"/>
        </w:rPr>
      </w:pPr>
    </w:p>
    <w:p w14:paraId="06CD6E1F">
      <w:pPr>
        <w:spacing w:line="360" w:lineRule="auto"/>
        <w:rPr>
          <w:rFonts w:ascii="宋体" w:hAnsi="宋体" w:cs="宋体"/>
          <w:color w:val="auto"/>
          <w:szCs w:val="21"/>
          <w:highlight w:val="none"/>
          <w:u w:val="single"/>
        </w:rPr>
      </w:pPr>
      <w:r>
        <w:rPr>
          <w:rFonts w:hint="eastAsia" w:ascii="宋体" w:hAnsi="宋体" w:cs="宋体"/>
          <w:color w:val="auto"/>
          <w:szCs w:val="21"/>
          <w:highlight w:val="none"/>
        </w:rPr>
        <w:t>采购人名称（公章）：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成交供应商名称（公章）：</w:t>
      </w:r>
      <w:r>
        <w:rPr>
          <w:rFonts w:hint="eastAsia" w:ascii="宋体" w:hAnsi="宋体" w:cs="宋体"/>
          <w:color w:val="auto"/>
          <w:szCs w:val="21"/>
          <w:highlight w:val="none"/>
          <w:u w:val="single"/>
        </w:rPr>
        <w:t xml:space="preserve">                                                    </w:t>
      </w:r>
    </w:p>
    <w:p w14:paraId="708C735A">
      <w:pPr>
        <w:spacing w:line="360" w:lineRule="auto"/>
        <w:rPr>
          <w:rFonts w:ascii="宋体" w:hAnsi="宋体" w:cs="宋体"/>
          <w:color w:val="auto"/>
          <w:szCs w:val="21"/>
          <w:highlight w:val="none"/>
          <w:u w:val="singl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法定代表人：</w:t>
      </w:r>
      <w:r>
        <w:rPr>
          <w:rFonts w:hint="eastAsia" w:ascii="宋体" w:hAnsi="宋体" w:cs="宋体"/>
          <w:color w:val="auto"/>
          <w:szCs w:val="21"/>
          <w:highlight w:val="none"/>
          <w:u w:val="single"/>
        </w:rPr>
        <w:t xml:space="preserve">                                 </w:t>
      </w:r>
    </w:p>
    <w:p w14:paraId="68DE43A5">
      <w:pPr>
        <w:tabs>
          <w:tab w:val="left" w:pos="4680"/>
        </w:tabs>
        <w:spacing w:line="360" w:lineRule="auto"/>
        <w:rPr>
          <w:rFonts w:ascii="宋体" w:hAnsi="宋体" w:cs="宋体"/>
          <w:color w:val="auto"/>
          <w:szCs w:val="21"/>
          <w:highlight w:val="none"/>
          <w:u w:val="single"/>
        </w:rPr>
      </w:pPr>
      <w:r>
        <w:rPr>
          <w:rFonts w:hint="eastAsia" w:ascii="宋体" w:hAnsi="宋体" w:cs="宋体"/>
          <w:color w:val="auto"/>
          <w:szCs w:val="21"/>
          <w:highlight w:val="none"/>
        </w:rPr>
        <w:t>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委托代理人：</w:t>
      </w:r>
      <w:r>
        <w:rPr>
          <w:rFonts w:hint="eastAsia" w:ascii="宋体" w:hAnsi="宋体" w:cs="宋体"/>
          <w:color w:val="auto"/>
          <w:szCs w:val="21"/>
          <w:highlight w:val="none"/>
          <w:u w:val="single"/>
        </w:rPr>
        <w:t xml:space="preserve">                                 </w:t>
      </w:r>
    </w:p>
    <w:p w14:paraId="19B0BDED">
      <w:pPr>
        <w:tabs>
          <w:tab w:val="left" w:pos="5040"/>
        </w:tabs>
        <w:spacing w:line="360" w:lineRule="auto"/>
        <w:rPr>
          <w:rFonts w:ascii="宋体" w:hAnsi="宋体" w:cs="宋体"/>
          <w:color w:val="auto"/>
          <w:szCs w:val="21"/>
          <w:highlight w:val="none"/>
          <w:u w:val="single"/>
        </w:rPr>
      </w:pPr>
      <w:r>
        <w:rPr>
          <w:rFonts w:hint="eastAsia" w:ascii="宋体" w:hAnsi="宋体" w:cs="宋体"/>
          <w:color w:val="auto"/>
          <w:szCs w:val="21"/>
          <w:highlight w:val="none"/>
        </w:rPr>
        <w:t>电  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电   话： </w:t>
      </w:r>
      <w:r>
        <w:rPr>
          <w:rFonts w:hint="eastAsia" w:ascii="宋体" w:hAnsi="宋体" w:cs="宋体"/>
          <w:color w:val="auto"/>
          <w:szCs w:val="21"/>
          <w:highlight w:val="none"/>
          <w:u w:val="single"/>
        </w:rPr>
        <w:t xml:space="preserve">                                  </w:t>
      </w:r>
    </w:p>
    <w:p w14:paraId="2BF42ED1">
      <w:pPr>
        <w:tabs>
          <w:tab w:val="left" w:pos="5040"/>
        </w:tabs>
        <w:spacing w:line="360" w:lineRule="auto"/>
        <w:rPr>
          <w:rFonts w:ascii="宋体" w:hAnsi="宋体" w:cs="宋体"/>
          <w:color w:val="auto"/>
          <w:szCs w:val="21"/>
          <w:highlight w:val="none"/>
        </w:rPr>
      </w:pPr>
      <w:r>
        <w:rPr>
          <w:rFonts w:hint="eastAsia" w:ascii="宋体" w:hAnsi="宋体" w:cs="宋体"/>
          <w:color w:val="auto"/>
          <w:szCs w:val="21"/>
          <w:highlight w:val="none"/>
        </w:rPr>
        <w:t>开户名称：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开户名称：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7EADD856">
      <w:pPr>
        <w:tabs>
          <w:tab w:val="left" w:pos="5040"/>
        </w:tabs>
        <w:spacing w:line="360" w:lineRule="auto"/>
        <w:rPr>
          <w:rFonts w:ascii="宋体" w:hAnsi="宋体" w:cs="宋体"/>
          <w:color w:val="auto"/>
          <w:szCs w:val="21"/>
          <w:highlight w:val="none"/>
        </w:rPr>
      </w:pPr>
      <w:r>
        <w:rPr>
          <w:rFonts w:hint="eastAsia" w:ascii="宋体" w:hAnsi="宋体" w:cs="宋体"/>
          <w:color w:val="auto"/>
          <w:szCs w:val="21"/>
          <w:highlight w:val="none"/>
        </w:rPr>
        <w:t>开户银行：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开户银行：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42EFAAD3">
      <w:pPr>
        <w:tabs>
          <w:tab w:val="left" w:pos="5040"/>
        </w:tabs>
        <w:spacing w:line="360" w:lineRule="auto"/>
        <w:rPr>
          <w:rFonts w:ascii="宋体" w:hAnsi="宋体" w:cs="宋体"/>
          <w:color w:val="auto"/>
          <w:szCs w:val="21"/>
          <w:highlight w:val="none"/>
        </w:rPr>
      </w:pPr>
      <w:r>
        <w:rPr>
          <w:rFonts w:hint="eastAsia" w:ascii="宋体" w:hAnsi="宋体" w:cs="宋体"/>
          <w:color w:val="auto"/>
          <w:szCs w:val="21"/>
          <w:highlight w:val="none"/>
        </w:rPr>
        <w:t>银行账号：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银行账号：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17115DF4">
      <w:pPr>
        <w:tabs>
          <w:tab w:val="left" w:pos="5040"/>
        </w:tabs>
        <w:spacing w:line="360" w:lineRule="auto"/>
        <w:rPr>
          <w:rFonts w:ascii="宋体" w:hAnsi="宋体" w:cs="宋体"/>
          <w:b/>
          <w:bCs/>
          <w:color w:val="auto"/>
          <w:kern w:val="44"/>
          <w:sz w:val="32"/>
          <w:szCs w:val="32"/>
          <w:highlight w:val="none"/>
        </w:rPr>
      </w:pPr>
      <w:r>
        <w:rPr>
          <w:rFonts w:hint="eastAsia" w:ascii="宋体" w:hAnsi="宋体" w:cs="宋体"/>
          <w:color w:val="auto"/>
          <w:szCs w:val="21"/>
          <w:highlight w:val="none"/>
        </w:rPr>
        <w:t>日    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日    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7240FC6B">
      <w:pPr>
        <w:pStyle w:val="23"/>
        <w:rPr>
          <w:color w:val="auto"/>
          <w:highlight w:val="none"/>
        </w:rPr>
      </w:pPr>
      <w:bookmarkStart w:id="188" w:name="_Toc16171"/>
    </w:p>
    <w:p w14:paraId="50329D7C">
      <w:pPr>
        <w:outlineLvl w:val="9"/>
        <w:rPr>
          <w:rFonts w:hint="eastAsia"/>
          <w:color w:val="auto"/>
          <w:highlight w:val="none"/>
        </w:rPr>
      </w:pPr>
    </w:p>
    <w:p w14:paraId="32499864">
      <w:pPr>
        <w:rPr>
          <w:rFonts w:hint="eastAsia"/>
          <w:color w:val="auto"/>
          <w:highlight w:val="none"/>
        </w:rPr>
      </w:pPr>
      <w:r>
        <w:rPr>
          <w:rFonts w:hint="eastAsia"/>
          <w:color w:val="auto"/>
          <w:highlight w:val="none"/>
        </w:rPr>
        <w:br w:type="page"/>
      </w:r>
    </w:p>
    <w:p w14:paraId="60935796">
      <w:pPr>
        <w:pStyle w:val="2"/>
        <w:rPr>
          <w:color w:val="auto"/>
          <w:highlight w:val="none"/>
        </w:rPr>
      </w:pPr>
      <w:r>
        <w:rPr>
          <w:rFonts w:hint="eastAsia"/>
          <w:color w:val="auto"/>
          <w:highlight w:val="none"/>
        </w:rPr>
        <w:t xml:space="preserve">第六章  </w:t>
      </w:r>
      <w:bookmarkEnd w:id="146"/>
      <w:bookmarkEnd w:id="147"/>
      <w:bookmarkStart w:id="189" w:name="_Toc13185"/>
      <w:r>
        <w:rPr>
          <w:rFonts w:hint="eastAsia"/>
          <w:color w:val="auto"/>
          <w:highlight w:val="none"/>
        </w:rPr>
        <w:t>响应文件（格式）</w:t>
      </w:r>
      <w:bookmarkEnd w:id="148"/>
      <w:bookmarkEnd w:id="188"/>
      <w:bookmarkEnd w:id="189"/>
    </w:p>
    <w:p w14:paraId="01701E2A">
      <w:pPr>
        <w:rPr>
          <w:rFonts w:ascii="宋体" w:hAnsi="宋体" w:cs="宋体"/>
          <w:color w:val="auto"/>
          <w:highlight w:val="none"/>
        </w:rPr>
      </w:pPr>
    </w:p>
    <w:p w14:paraId="26D56EF7">
      <w:pPr>
        <w:pStyle w:val="15"/>
        <w:outlineLvl w:val="1"/>
        <w:rPr>
          <w:rFonts w:hAnsi="宋体" w:cs="宋体"/>
          <w:b/>
          <w:color w:val="auto"/>
          <w:sz w:val="32"/>
          <w:highlight w:val="none"/>
        </w:rPr>
      </w:pPr>
      <w:bookmarkStart w:id="190" w:name="_Toc21496"/>
      <w:bookmarkStart w:id="191" w:name="_Toc497927069"/>
      <w:bookmarkStart w:id="192" w:name="_Toc18351"/>
      <w:r>
        <w:rPr>
          <w:rFonts w:hint="eastAsia" w:hAnsi="宋体" w:cs="宋体"/>
          <w:b/>
          <w:color w:val="auto"/>
          <w:sz w:val="32"/>
          <w:highlight w:val="none"/>
        </w:rPr>
        <w:t>一、响应文件袋（盒、箱）标记</w:t>
      </w:r>
      <w:bookmarkEnd w:id="190"/>
      <w:bookmarkEnd w:id="191"/>
      <w:bookmarkEnd w:id="192"/>
    </w:p>
    <w:p w14:paraId="6944F9A5">
      <w:pPr>
        <w:adjustRightInd w:val="0"/>
        <w:snapToGrid w:val="0"/>
        <w:rPr>
          <w:rFonts w:ascii="宋体" w:hAnsi="宋体" w:cs="宋体"/>
          <w:b/>
          <w:color w:val="auto"/>
          <w:sz w:val="44"/>
          <w:szCs w:val="44"/>
          <w:highlight w:val="none"/>
        </w:rPr>
      </w:pPr>
    </w:p>
    <w:p w14:paraId="555CD9D5">
      <w:pPr>
        <w:pStyle w:val="40"/>
        <w:rPr>
          <w:rFonts w:ascii="宋体" w:hAnsi="宋体" w:cs="宋体"/>
          <w:color w:val="auto"/>
          <w:highlight w:val="none"/>
        </w:rPr>
      </w:pPr>
    </w:p>
    <w:p w14:paraId="39C3FE90">
      <w:pPr>
        <w:snapToGrid w:val="0"/>
        <w:spacing w:beforeLines="50" w:after="50"/>
        <w:jc w:val="center"/>
        <w:rPr>
          <w:rFonts w:ascii="宋体" w:hAnsi="宋体" w:cs="宋体"/>
          <w:b/>
          <w:color w:val="auto"/>
          <w:sz w:val="36"/>
          <w:szCs w:val="36"/>
          <w:highlight w:val="none"/>
        </w:rPr>
      </w:pPr>
      <w:r>
        <w:rPr>
          <w:rFonts w:hint="eastAsia" w:ascii="宋体" w:hAnsi="宋体" w:cs="宋体"/>
          <w:b/>
          <w:color w:val="auto"/>
          <w:sz w:val="36"/>
          <w:szCs w:val="36"/>
          <w:highlight w:val="none"/>
        </w:rPr>
        <w:t>响 应 文 件</w:t>
      </w:r>
    </w:p>
    <w:p w14:paraId="70583EFE">
      <w:pPr>
        <w:snapToGrid w:val="0"/>
        <w:spacing w:beforeLines="50" w:after="50"/>
        <w:ind w:firstLine="480" w:firstLineChars="150"/>
        <w:rPr>
          <w:rFonts w:ascii="宋体" w:hAnsi="宋体" w:cs="宋体"/>
          <w:b/>
          <w:color w:val="auto"/>
          <w:sz w:val="28"/>
          <w:szCs w:val="28"/>
          <w:highlight w:val="none"/>
        </w:rPr>
      </w:pPr>
      <w:r>
        <w:rPr>
          <w:rFonts w:hint="eastAsia" w:ascii="宋体" w:hAnsi="宋体" w:cs="宋体"/>
          <w:color w:val="auto"/>
          <w:sz w:val="32"/>
          <w:szCs w:val="32"/>
          <w:highlight w:val="none"/>
        </w:rPr>
        <w:t xml:space="preserve">                       </w:t>
      </w:r>
    </w:p>
    <w:p w14:paraId="214CE622">
      <w:pPr>
        <w:snapToGrid w:val="0"/>
        <w:spacing w:beforeLines="50" w:after="50"/>
        <w:ind w:firstLine="420" w:firstLineChars="150"/>
        <w:rPr>
          <w:rFonts w:ascii="宋体" w:hAnsi="宋体" w:cs="宋体"/>
          <w:b/>
          <w:color w:val="auto"/>
          <w:sz w:val="28"/>
          <w:szCs w:val="28"/>
          <w:highlight w:val="none"/>
        </w:rPr>
      </w:pPr>
    </w:p>
    <w:p w14:paraId="2F15568D">
      <w:pPr>
        <w:snapToGrid w:val="0"/>
        <w:spacing w:beforeLines="50" w:after="50"/>
        <w:ind w:firstLine="420" w:firstLineChars="150"/>
        <w:rPr>
          <w:rFonts w:ascii="宋体" w:hAnsi="宋体" w:cs="宋体"/>
          <w:b/>
          <w:color w:val="auto"/>
          <w:sz w:val="28"/>
          <w:szCs w:val="28"/>
          <w:highlight w:val="none"/>
        </w:rPr>
      </w:pPr>
    </w:p>
    <w:p w14:paraId="26D947CB">
      <w:pPr>
        <w:snapToGrid w:val="0"/>
        <w:spacing w:beforeLines="50" w:after="50"/>
        <w:jc w:val="center"/>
        <w:rPr>
          <w:rFonts w:hint="eastAsia" w:ascii="宋体" w:hAnsi="宋体" w:eastAsia="宋体" w:cs="宋体"/>
          <w:b/>
          <w:color w:val="auto"/>
          <w:sz w:val="28"/>
          <w:szCs w:val="28"/>
          <w:highlight w:val="none"/>
          <w:u w:val="single"/>
          <w:lang w:eastAsia="zh-CN"/>
        </w:rPr>
      </w:pPr>
      <w:r>
        <w:rPr>
          <w:rFonts w:hint="eastAsia" w:ascii="宋体" w:hAnsi="宋体" w:cs="宋体"/>
          <w:b/>
          <w:color w:val="auto"/>
          <w:sz w:val="28"/>
          <w:szCs w:val="28"/>
          <w:highlight w:val="none"/>
        </w:rPr>
        <w:t>项目名称：</w:t>
      </w:r>
      <w:r>
        <w:rPr>
          <w:rFonts w:hint="eastAsia" w:ascii="宋体" w:hAnsi="宋体" w:cs="宋体"/>
          <w:b/>
          <w:bCs/>
          <w:color w:val="auto"/>
          <w:sz w:val="28"/>
          <w:szCs w:val="28"/>
          <w:highlight w:val="none"/>
          <w:u w:val="single"/>
          <w:lang w:eastAsia="zh-CN"/>
        </w:rPr>
        <w:t>广西花坪国家级自然保护区特种救护、宣传（资料）视频制作、标本养护及古树名木资源普查项目A分标（重）</w:t>
      </w:r>
    </w:p>
    <w:p w14:paraId="235C7FD0">
      <w:pPr>
        <w:snapToGrid w:val="0"/>
        <w:spacing w:beforeLines="50" w:after="50"/>
        <w:ind w:firstLine="2693" w:firstLineChars="962"/>
        <w:rPr>
          <w:rFonts w:ascii="宋体" w:hAnsi="宋体" w:cs="宋体"/>
          <w:b/>
          <w:color w:val="auto"/>
          <w:sz w:val="28"/>
          <w:szCs w:val="28"/>
          <w:highlight w:val="none"/>
        </w:rPr>
      </w:pPr>
    </w:p>
    <w:p w14:paraId="3ADEC30B">
      <w:pPr>
        <w:snapToGrid w:val="0"/>
        <w:spacing w:beforeLines="50" w:after="50"/>
        <w:rPr>
          <w:rFonts w:hint="eastAsia" w:ascii="宋体" w:hAnsi="宋体" w:eastAsia="宋体" w:cs="宋体"/>
          <w:b/>
          <w:color w:val="auto"/>
          <w:sz w:val="28"/>
          <w:szCs w:val="28"/>
          <w:highlight w:val="none"/>
          <w:lang w:eastAsia="zh-CN"/>
        </w:rPr>
      </w:pPr>
      <w:r>
        <w:rPr>
          <w:rFonts w:hint="eastAsia" w:ascii="宋体" w:hAnsi="宋体" w:cs="宋体"/>
          <w:b/>
          <w:color w:val="auto"/>
          <w:sz w:val="28"/>
          <w:szCs w:val="28"/>
          <w:highlight w:val="none"/>
        </w:rPr>
        <w:t>项目编号：</w:t>
      </w:r>
      <w:r>
        <w:rPr>
          <w:rFonts w:hint="eastAsia" w:ascii="宋体" w:hAnsi="宋体" w:cs="宋体"/>
          <w:b/>
          <w:color w:val="auto"/>
          <w:sz w:val="28"/>
          <w:szCs w:val="28"/>
          <w:highlight w:val="none"/>
          <w:lang w:eastAsia="zh-CN"/>
        </w:rPr>
        <w:t>GLZC2026-C3-990456-GXTG</w:t>
      </w:r>
    </w:p>
    <w:p w14:paraId="28B7BA78">
      <w:pPr>
        <w:pStyle w:val="40"/>
        <w:rPr>
          <w:rFonts w:ascii="宋体" w:hAnsi="宋体" w:cs="宋体"/>
          <w:b/>
          <w:color w:val="auto"/>
          <w:sz w:val="28"/>
          <w:szCs w:val="28"/>
          <w:highlight w:val="none"/>
        </w:rPr>
      </w:pPr>
    </w:p>
    <w:p w14:paraId="5C5A6D7E">
      <w:pPr>
        <w:pStyle w:val="40"/>
        <w:rPr>
          <w:rFonts w:ascii="宋体" w:hAnsi="宋体" w:cs="宋体"/>
          <w:b/>
          <w:color w:val="auto"/>
          <w:sz w:val="28"/>
          <w:szCs w:val="28"/>
          <w:highlight w:val="none"/>
        </w:rPr>
      </w:pPr>
    </w:p>
    <w:p w14:paraId="6A0B2ABA">
      <w:pPr>
        <w:snapToGrid w:val="0"/>
        <w:spacing w:beforeLines="50" w:after="50"/>
        <w:rPr>
          <w:rFonts w:ascii="宋体" w:hAnsi="宋体" w:cs="宋体"/>
          <w:b/>
          <w:color w:val="auto"/>
          <w:sz w:val="28"/>
          <w:szCs w:val="28"/>
          <w:highlight w:val="none"/>
          <w:u w:val="single"/>
        </w:rPr>
      </w:pPr>
      <w:r>
        <w:rPr>
          <w:rFonts w:hint="eastAsia" w:ascii="宋体" w:hAnsi="宋体" w:cs="宋体"/>
          <w:b/>
          <w:color w:val="auto"/>
          <w:sz w:val="28"/>
          <w:szCs w:val="28"/>
          <w:highlight w:val="none"/>
        </w:rPr>
        <w:t xml:space="preserve">  </w:t>
      </w:r>
      <w:r>
        <w:rPr>
          <w:rFonts w:hint="eastAsia" w:ascii="宋体" w:hAnsi="宋体" w:cs="宋体"/>
          <w:bCs/>
          <w:color w:val="auto"/>
          <w:sz w:val="28"/>
          <w:szCs w:val="28"/>
          <w:highlight w:val="none"/>
        </w:rPr>
        <w:t xml:space="preserve"> 采购代理机构：</w:t>
      </w:r>
      <w:r>
        <w:rPr>
          <w:rFonts w:hint="eastAsia" w:ascii="宋体" w:hAnsi="宋体" w:cs="宋体"/>
          <w:bCs/>
          <w:color w:val="auto"/>
          <w:sz w:val="28"/>
          <w:szCs w:val="28"/>
          <w:highlight w:val="none"/>
          <w:u w:val="single"/>
        </w:rPr>
        <w:t xml:space="preserve"> 广西天罡工程项目管理有限公司   </w:t>
      </w:r>
    </w:p>
    <w:p w14:paraId="40D41EFB">
      <w:pPr>
        <w:pStyle w:val="11"/>
        <w:ind w:left="980" w:hanging="560" w:hangingChars="200"/>
        <w:rPr>
          <w:rFonts w:ascii="宋体" w:hAnsi="宋体" w:cs="宋体"/>
          <w:bCs/>
          <w:color w:val="auto"/>
          <w:sz w:val="28"/>
          <w:szCs w:val="28"/>
          <w:highlight w:val="none"/>
        </w:rPr>
      </w:pPr>
      <w:bookmarkStart w:id="193" w:name="_Toc4932_WPSOffice_Level2"/>
      <w:bookmarkStart w:id="194" w:name="_Toc20319_WPSOffice_Level2"/>
      <w:r>
        <w:rPr>
          <w:rFonts w:hint="eastAsia" w:ascii="宋体" w:hAnsi="宋体" w:cs="宋体"/>
          <w:bCs/>
          <w:color w:val="auto"/>
          <w:sz w:val="28"/>
          <w:szCs w:val="28"/>
          <w:highlight w:val="none"/>
        </w:rPr>
        <w:t>磋商供应商[(CA证书签章)、自然人除外]：</w:t>
      </w:r>
      <w:r>
        <w:rPr>
          <w:rFonts w:hint="eastAsia" w:ascii="宋体" w:hAnsi="宋体" w:cs="宋体"/>
          <w:bCs/>
          <w:color w:val="auto"/>
          <w:sz w:val="28"/>
          <w:szCs w:val="28"/>
          <w:highlight w:val="none"/>
          <w:u w:val="single"/>
        </w:rPr>
        <w:t xml:space="preserve">                       </w:t>
      </w:r>
      <w:bookmarkEnd w:id="193"/>
      <w:bookmarkEnd w:id="194"/>
      <w:r>
        <w:rPr>
          <w:rFonts w:hint="eastAsia" w:ascii="宋体" w:hAnsi="宋体" w:cs="宋体"/>
          <w:bCs/>
          <w:color w:val="auto"/>
          <w:sz w:val="28"/>
          <w:szCs w:val="28"/>
          <w:highlight w:val="none"/>
          <w:u w:val="single"/>
        </w:rPr>
        <w:t xml:space="preserve">       </w:t>
      </w:r>
    </w:p>
    <w:p w14:paraId="4FD8F2E6">
      <w:pPr>
        <w:pStyle w:val="15"/>
        <w:spacing w:line="320" w:lineRule="exact"/>
        <w:ind w:firstLine="420"/>
        <w:rPr>
          <w:rFonts w:hAnsi="宋体" w:cs="宋体"/>
          <w:color w:val="auto"/>
          <w:sz w:val="28"/>
          <w:szCs w:val="28"/>
          <w:highlight w:val="none"/>
        </w:rPr>
      </w:pPr>
      <w:bookmarkStart w:id="195" w:name="_Toc32056_WPSOffice_Level2"/>
      <w:bookmarkStart w:id="196" w:name="_Toc9622_WPSOffice_Level2"/>
      <w:r>
        <w:rPr>
          <w:rFonts w:hint="eastAsia" w:hAnsi="宋体" w:cs="宋体"/>
          <w:color w:val="auto"/>
          <w:sz w:val="28"/>
          <w:szCs w:val="28"/>
          <w:highlight w:val="none"/>
        </w:rPr>
        <w:t>法定代表人、负责人、自然人或相应的委托代理人签字[或盖章(CA证书签章)]</w:t>
      </w:r>
    </w:p>
    <w:p w14:paraId="78AA98F7">
      <w:pPr>
        <w:pStyle w:val="11"/>
        <w:ind w:left="980" w:hanging="560" w:hangingChars="200"/>
        <w:rPr>
          <w:rFonts w:ascii="宋体" w:hAnsi="宋体" w:cs="宋体"/>
          <w:color w:val="auto"/>
          <w:sz w:val="28"/>
          <w:szCs w:val="28"/>
          <w:highlight w:val="none"/>
          <w:u w:val="single"/>
        </w:rPr>
      </w:pPr>
      <w:r>
        <w:rPr>
          <w:rFonts w:hint="eastAsia" w:ascii="宋体" w:hAnsi="宋体" w:cs="宋体"/>
          <w:color w:val="auto"/>
          <w:sz w:val="28"/>
          <w:szCs w:val="28"/>
          <w:highlight w:val="none"/>
        </w:rPr>
        <w:t>（属自然人的应在签名处加盖大拇指指印或个人CA证书签章）：</w:t>
      </w:r>
      <w:r>
        <w:rPr>
          <w:rFonts w:hint="eastAsia" w:ascii="宋体" w:hAnsi="宋体" w:cs="宋体"/>
          <w:color w:val="auto"/>
          <w:sz w:val="28"/>
          <w:szCs w:val="28"/>
          <w:highlight w:val="none"/>
          <w:u w:val="single"/>
        </w:rPr>
        <w:t xml:space="preserve">              </w:t>
      </w:r>
    </w:p>
    <w:p w14:paraId="38FB531C">
      <w:pPr>
        <w:pStyle w:val="11"/>
        <w:ind w:left="980" w:hanging="560" w:hangingChars="200"/>
        <w:rPr>
          <w:rFonts w:ascii="宋体" w:hAnsi="宋体" w:cs="宋体"/>
          <w:bCs/>
          <w:color w:val="auto"/>
          <w:sz w:val="28"/>
          <w:szCs w:val="28"/>
          <w:highlight w:val="none"/>
          <w:u w:val="single"/>
        </w:rPr>
      </w:pPr>
      <w:r>
        <w:rPr>
          <w:rFonts w:hint="eastAsia" w:ascii="宋体" w:hAnsi="宋体" w:cs="宋体"/>
          <w:bCs/>
          <w:color w:val="auto"/>
          <w:sz w:val="28"/>
          <w:szCs w:val="28"/>
          <w:highlight w:val="none"/>
        </w:rPr>
        <w:t>联系电话：</w:t>
      </w:r>
      <w:bookmarkEnd w:id="195"/>
      <w:bookmarkEnd w:id="196"/>
      <w:r>
        <w:rPr>
          <w:rFonts w:hint="eastAsia" w:ascii="宋体" w:hAnsi="宋体" w:cs="宋体"/>
          <w:bCs/>
          <w:color w:val="auto"/>
          <w:sz w:val="28"/>
          <w:szCs w:val="28"/>
          <w:highlight w:val="none"/>
          <w:u w:val="single"/>
        </w:rPr>
        <w:t xml:space="preserve">                                                </w:t>
      </w:r>
    </w:p>
    <w:p w14:paraId="4662150C">
      <w:pPr>
        <w:pStyle w:val="11"/>
        <w:ind w:left="980" w:hanging="560" w:hangingChars="200"/>
        <w:rPr>
          <w:rFonts w:ascii="宋体" w:hAnsi="宋体" w:cs="宋体"/>
          <w:bCs/>
          <w:color w:val="auto"/>
          <w:sz w:val="28"/>
          <w:szCs w:val="28"/>
          <w:highlight w:val="none"/>
        </w:rPr>
        <w:sectPr>
          <w:pgSz w:w="11906" w:h="16838"/>
          <w:pgMar w:top="1500" w:right="1134" w:bottom="1258" w:left="1134" w:header="850" w:footer="992" w:gutter="0"/>
          <w:pgNumType w:fmt="decimal"/>
          <w:cols w:space="720" w:num="1"/>
          <w:docGrid w:type="linesAndChars" w:linePitch="331" w:charSpace="0"/>
        </w:sectPr>
      </w:pPr>
      <w:bookmarkStart w:id="197" w:name="_Toc15933_WPSOffice_Level2"/>
      <w:bookmarkStart w:id="198" w:name="_Toc26465_WPSOffice_Level2"/>
      <w:r>
        <w:rPr>
          <w:rFonts w:hint="eastAsia" w:ascii="宋体" w:hAnsi="宋体" w:cs="宋体"/>
          <w:bCs/>
          <w:color w:val="auto"/>
          <w:sz w:val="28"/>
          <w:szCs w:val="28"/>
          <w:highlight w:val="none"/>
        </w:rPr>
        <w:t>日期：</w:t>
      </w:r>
      <w:r>
        <w:rPr>
          <w:rFonts w:hint="eastAsia" w:ascii="宋体" w:hAnsi="宋体" w:cs="宋体"/>
          <w:bCs/>
          <w:color w:val="auto"/>
          <w:sz w:val="28"/>
          <w:szCs w:val="28"/>
          <w:highlight w:val="none"/>
          <w:u w:val="single"/>
        </w:rPr>
        <w:t xml:space="preserve">              </w:t>
      </w:r>
      <w:r>
        <w:rPr>
          <w:rFonts w:hint="eastAsia" w:ascii="宋体" w:hAnsi="宋体" w:cs="宋体"/>
          <w:bCs/>
          <w:color w:val="auto"/>
          <w:sz w:val="28"/>
          <w:szCs w:val="28"/>
          <w:highlight w:val="none"/>
        </w:rPr>
        <w:t>年</w:t>
      </w:r>
      <w:r>
        <w:rPr>
          <w:rFonts w:hint="eastAsia" w:ascii="宋体" w:hAnsi="宋体" w:cs="宋体"/>
          <w:bCs/>
          <w:color w:val="auto"/>
          <w:sz w:val="28"/>
          <w:szCs w:val="28"/>
          <w:highlight w:val="none"/>
          <w:u w:val="single"/>
        </w:rPr>
        <w:t xml:space="preserve">           </w:t>
      </w:r>
      <w:r>
        <w:rPr>
          <w:rFonts w:hint="eastAsia" w:ascii="宋体" w:hAnsi="宋体" w:cs="宋体"/>
          <w:bCs/>
          <w:color w:val="auto"/>
          <w:sz w:val="28"/>
          <w:szCs w:val="28"/>
          <w:highlight w:val="none"/>
        </w:rPr>
        <w:t>月</w:t>
      </w:r>
      <w:r>
        <w:rPr>
          <w:rFonts w:hint="eastAsia" w:ascii="宋体" w:hAnsi="宋体" w:cs="宋体"/>
          <w:bCs/>
          <w:color w:val="auto"/>
          <w:sz w:val="28"/>
          <w:szCs w:val="28"/>
          <w:highlight w:val="none"/>
          <w:u w:val="single"/>
        </w:rPr>
        <w:t xml:space="preserve">           </w:t>
      </w:r>
      <w:r>
        <w:rPr>
          <w:rFonts w:hint="eastAsia" w:ascii="宋体" w:hAnsi="宋体" w:cs="宋体"/>
          <w:bCs/>
          <w:color w:val="auto"/>
          <w:sz w:val="28"/>
          <w:szCs w:val="28"/>
          <w:highlight w:val="none"/>
        </w:rPr>
        <w:t>日</w:t>
      </w:r>
      <w:bookmarkEnd w:id="197"/>
      <w:bookmarkEnd w:id="198"/>
    </w:p>
    <w:p w14:paraId="3089237D">
      <w:pPr>
        <w:outlineLvl w:val="1"/>
        <w:rPr>
          <w:rFonts w:ascii="宋体" w:hAnsi="宋体" w:cs="宋体"/>
          <w:b/>
          <w:bCs/>
          <w:color w:val="auto"/>
          <w:sz w:val="32"/>
          <w:szCs w:val="32"/>
          <w:highlight w:val="none"/>
        </w:rPr>
      </w:pPr>
      <w:bookmarkStart w:id="199" w:name="_Toc21615"/>
      <w:bookmarkStart w:id="200" w:name="_Toc497927070"/>
      <w:bookmarkStart w:id="201" w:name="_Toc19430"/>
      <w:r>
        <w:rPr>
          <w:rFonts w:hint="eastAsia" w:ascii="宋体" w:hAnsi="宋体" w:cs="宋体"/>
          <w:b/>
          <w:bCs/>
          <w:color w:val="auto"/>
          <w:sz w:val="32"/>
          <w:szCs w:val="32"/>
          <w:highlight w:val="none"/>
        </w:rPr>
        <w:t>二、响应文件组成</w:t>
      </w:r>
      <w:bookmarkEnd w:id="199"/>
      <w:bookmarkEnd w:id="200"/>
      <w:bookmarkEnd w:id="201"/>
    </w:p>
    <w:p w14:paraId="0382F79C">
      <w:pPr>
        <w:pStyle w:val="10"/>
        <w:rPr>
          <w:rFonts w:ascii="宋体" w:hAnsi="宋体" w:cs="宋体"/>
          <w:color w:val="auto"/>
          <w:highlight w:val="none"/>
        </w:rPr>
      </w:pPr>
    </w:p>
    <w:p w14:paraId="0482FCB4">
      <w:pPr>
        <w:pStyle w:val="10"/>
        <w:rPr>
          <w:rFonts w:ascii="宋体" w:hAnsi="宋体" w:cs="宋体"/>
          <w:color w:val="auto"/>
          <w:highlight w:val="none"/>
        </w:rPr>
      </w:pPr>
    </w:p>
    <w:p w14:paraId="759A4675">
      <w:pPr>
        <w:spacing w:line="400" w:lineRule="exact"/>
        <w:rPr>
          <w:rFonts w:ascii="宋体" w:hAnsi="宋体" w:cs="宋体"/>
          <w:b/>
          <w:bCs/>
          <w:color w:val="auto"/>
          <w:sz w:val="28"/>
          <w:szCs w:val="28"/>
          <w:highlight w:val="none"/>
        </w:rPr>
      </w:pPr>
    </w:p>
    <w:p w14:paraId="150A5B93">
      <w:pPr>
        <w:pStyle w:val="10"/>
        <w:rPr>
          <w:rFonts w:ascii="宋体" w:hAnsi="宋体" w:cs="宋体"/>
          <w:b/>
          <w:bCs/>
          <w:color w:val="auto"/>
          <w:sz w:val="28"/>
          <w:szCs w:val="28"/>
          <w:highlight w:val="none"/>
        </w:rPr>
      </w:pPr>
    </w:p>
    <w:p w14:paraId="469A1233">
      <w:pPr>
        <w:numPr>
          <w:ilvl w:val="0"/>
          <w:numId w:val="10"/>
        </w:numPr>
        <w:spacing w:line="400" w:lineRule="exact"/>
        <w:ind w:firstLine="565" w:firstLineChars="202"/>
        <w:rPr>
          <w:rFonts w:ascii="宋体" w:hAnsi="宋体" w:cs="宋体"/>
          <w:b/>
          <w:bCs/>
          <w:color w:val="auto"/>
          <w:sz w:val="28"/>
          <w:szCs w:val="28"/>
          <w:highlight w:val="none"/>
        </w:rPr>
      </w:pPr>
      <w:r>
        <w:rPr>
          <w:rFonts w:hint="eastAsia" w:ascii="宋体" w:hAnsi="宋体" w:cs="宋体"/>
          <w:b/>
          <w:bCs/>
          <w:color w:val="auto"/>
          <w:sz w:val="28"/>
          <w:szCs w:val="28"/>
          <w:highlight w:val="none"/>
        </w:rPr>
        <w:t>资格性响应证明材料</w:t>
      </w:r>
    </w:p>
    <w:p w14:paraId="2451DCFA">
      <w:pPr>
        <w:pStyle w:val="10"/>
        <w:rPr>
          <w:rFonts w:ascii="宋体" w:hAnsi="宋体" w:cs="宋体"/>
          <w:b/>
          <w:bCs/>
          <w:color w:val="auto"/>
          <w:sz w:val="28"/>
          <w:szCs w:val="28"/>
          <w:highlight w:val="none"/>
        </w:rPr>
      </w:pPr>
    </w:p>
    <w:p w14:paraId="09EFCD41">
      <w:pPr>
        <w:pStyle w:val="10"/>
        <w:rPr>
          <w:rFonts w:ascii="宋体" w:hAnsi="宋体" w:cs="宋体"/>
          <w:b/>
          <w:bCs/>
          <w:color w:val="auto"/>
          <w:sz w:val="28"/>
          <w:szCs w:val="28"/>
          <w:highlight w:val="none"/>
        </w:rPr>
      </w:pPr>
    </w:p>
    <w:p w14:paraId="41FECF96">
      <w:pPr>
        <w:numPr>
          <w:ilvl w:val="0"/>
          <w:numId w:val="10"/>
        </w:numPr>
        <w:spacing w:line="400" w:lineRule="exact"/>
        <w:ind w:firstLine="565" w:firstLineChars="202"/>
        <w:rPr>
          <w:rFonts w:ascii="宋体" w:hAnsi="宋体" w:cs="宋体"/>
          <w:b/>
          <w:bCs/>
          <w:color w:val="auto"/>
          <w:sz w:val="28"/>
          <w:szCs w:val="28"/>
          <w:highlight w:val="none"/>
        </w:rPr>
      </w:pPr>
      <w:r>
        <w:rPr>
          <w:rFonts w:hint="eastAsia" w:ascii="宋体" w:hAnsi="宋体" w:cs="宋体"/>
          <w:b/>
          <w:bCs/>
          <w:color w:val="auto"/>
          <w:sz w:val="28"/>
          <w:szCs w:val="28"/>
          <w:highlight w:val="none"/>
        </w:rPr>
        <w:t>符合性响应证明材料</w:t>
      </w:r>
    </w:p>
    <w:p w14:paraId="090AE2BF">
      <w:pPr>
        <w:pStyle w:val="10"/>
        <w:rPr>
          <w:rFonts w:ascii="宋体" w:hAnsi="宋体" w:cs="宋体"/>
          <w:b/>
          <w:bCs/>
          <w:color w:val="auto"/>
          <w:sz w:val="28"/>
          <w:szCs w:val="28"/>
          <w:highlight w:val="none"/>
        </w:rPr>
      </w:pPr>
    </w:p>
    <w:p w14:paraId="5CEC4DBA">
      <w:pPr>
        <w:pStyle w:val="10"/>
        <w:rPr>
          <w:rFonts w:ascii="宋体" w:hAnsi="宋体" w:cs="宋体"/>
          <w:b/>
          <w:bCs/>
          <w:color w:val="auto"/>
          <w:sz w:val="28"/>
          <w:szCs w:val="28"/>
          <w:highlight w:val="none"/>
        </w:rPr>
      </w:pPr>
    </w:p>
    <w:p w14:paraId="56E33F0C">
      <w:pPr>
        <w:numPr>
          <w:ilvl w:val="0"/>
          <w:numId w:val="10"/>
        </w:numPr>
        <w:spacing w:line="400" w:lineRule="exact"/>
        <w:ind w:firstLine="565" w:firstLineChars="202"/>
        <w:rPr>
          <w:rFonts w:ascii="宋体" w:hAnsi="宋体" w:cs="宋体"/>
          <w:b/>
          <w:bCs/>
          <w:color w:val="auto"/>
          <w:sz w:val="28"/>
          <w:szCs w:val="28"/>
          <w:highlight w:val="none"/>
        </w:rPr>
      </w:pPr>
      <w:r>
        <w:rPr>
          <w:rFonts w:hint="eastAsia" w:ascii="宋体" w:hAnsi="宋体" w:cs="宋体"/>
          <w:b/>
          <w:bCs/>
          <w:color w:val="auto"/>
          <w:sz w:val="28"/>
          <w:szCs w:val="28"/>
          <w:highlight w:val="none"/>
        </w:rPr>
        <w:t>其他有效证明材料</w:t>
      </w:r>
    </w:p>
    <w:p w14:paraId="72616BF6">
      <w:pPr>
        <w:pStyle w:val="40"/>
        <w:rPr>
          <w:rFonts w:ascii="宋体" w:hAnsi="宋体" w:cs="宋体"/>
          <w:color w:val="auto"/>
          <w:highlight w:val="none"/>
        </w:rPr>
      </w:pPr>
    </w:p>
    <w:p w14:paraId="246609B3">
      <w:pPr>
        <w:tabs>
          <w:tab w:val="left" w:pos="5040"/>
        </w:tabs>
        <w:spacing w:line="400" w:lineRule="exact"/>
        <w:rPr>
          <w:rFonts w:ascii="宋体" w:hAnsi="宋体" w:cs="宋体"/>
          <w:color w:val="auto"/>
          <w:szCs w:val="21"/>
          <w:highlight w:val="none"/>
        </w:rPr>
      </w:pPr>
    </w:p>
    <w:p w14:paraId="7BE53795">
      <w:pPr>
        <w:pStyle w:val="10"/>
        <w:rPr>
          <w:rFonts w:ascii="宋体" w:hAnsi="宋体" w:cs="宋体"/>
          <w:color w:val="auto"/>
          <w:szCs w:val="21"/>
          <w:highlight w:val="none"/>
        </w:rPr>
      </w:pPr>
    </w:p>
    <w:p w14:paraId="3BE7C28E">
      <w:pPr>
        <w:pStyle w:val="10"/>
        <w:rPr>
          <w:rFonts w:ascii="宋体" w:hAnsi="宋体" w:cs="宋体"/>
          <w:color w:val="auto"/>
          <w:szCs w:val="21"/>
          <w:highlight w:val="none"/>
        </w:rPr>
      </w:pPr>
    </w:p>
    <w:p w14:paraId="186A8C4C">
      <w:pPr>
        <w:pStyle w:val="10"/>
        <w:rPr>
          <w:rFonts w:ascii="宋体" w:hAnsi="宋体" w:cs="宋体"/>
          <w:color w:val="auto"/>
          <w:szCs w:val="21"/>
          <w:highlight w:val="none"/>
        </w:rPr>
      </w:pPr>
    </w:p>
    <w:p w14:paraId="62E3DB56">
      <w:pPr>
        <w:pStyle w:val="10"/>
        <w:rPr>
          <w:rFonts w:ascii="宋体" w:hAnsi="宋体" w:cs="宋体"/>
          <w:color w:val="auto"/>
          <w:szCs w:val="21"/>
          <w:highlight w:val="none"/>
        </w:rPr>
      </w:pPr>
    </w:p>
    <w:p w14:paraId="6412F388">
      <w:pPr>
        <w:rPr>
          <w:rFonts w:ascii="宋体" w:hAnsi="宋体" w:cs="宋体"/>
          <w:color w:val="auto"/>
          <w:szCs w:val="21"/>
          <w:highlight w:val="none"/>
        </w:rPr>
      </w:pPr>
    </w:p>
    <w:p w14:paraId="6970102C">
      <w:pPr>
        <w:pStyle w:val="40"/>
        <w:rPr>
          <w:rFonts w:ascii="宋体" w:hAnsi="宋体" w:cs="宋体"/>
          <w:color w:val="auto"/>
          <w:szCs w:val="21"/>
          <w:highlight w:val="none"/>
        </w:rPr>
      </w:pPr>
    </w:p>
    <w:p w14:paraId="66170812">
      <w:pPr>
        <w:pStyle w:val="40"/>
        <w:rPr>
          <w:rFonts w:ascii="宋体" w:hAnsi="宋体" w:cs="宋体"/>
          <w:color w:val="auto"/>
          <w:szCs w:val="21"/>
          <w:highlight w:val="none"/>
        </w:rPr>
      </w:pPr>
    </w:p>
    <w:p w14:paraId="7292A10A">
      <w:pPr>
        <w:pStyle w:val="40"/>
        <w:rPr>
          <w:rFonts w:ascii="宋体" w:hAnsi="宋体" w:cs="宋体"/>
          <w:color w:val="auto"/>
          <w:szCs w:val="21"/>
          <w:highlight w:val="none"/>
        </w:rPr>
      </w:pPr>
    </w:p>
    <w:p w14:paraId="6E7E3A6C">
      <w:pPr>
        <w:pStyle w:val="40"/>
        <w:rPr>
          <w:rFonts w:ascii="宋体" w:hAnsi="宋体" w:cs="宋体"/>
          <w:color w:val="auto"/>
          <w:szCs w:val="21"/>
          <w:highlight w:val="none"/>
        </w:rPr>
      </w:pPr>
    </w:p>
    <w:p w14:paraId="152195F6">
      <w:pPr>
        <w:pStyle w:val="40"/>
        <w:rPr>
          <w:rFonts w:ascii="宋体" w:hAnsi="宋体" w:cs="宋体"/>
          <w:color w:val="auto"/>
          <w:szCs w:val="21"/>
          <w:highlight w:val="none"/>
        </w:rPr>
      </w:pPr>
    </w:p>
    <w:p w14:paraId="672CDB47">
      <w:pPr>
        <w:pStyle w:val="40"/>
        <w:rPr>
          <w:rFonts w:ascii="宋体" w:hAnsi="宋体" w:cs="宋体"/>
          <w:color w:val="auto"/>
          <w:szCs w:val="21"/>
          <w:highlight w:val="none"/>
        </w:rPr>
      </w:pPr>
    </w:p>
    <w:p w14:paraId="3D931C43">
      <w:pPr>
        <w:pStyle w:val="40"/>
        <w:rPr>
          <w:rFonts w:ascii="宋体" w:hAnsi="宋体" w:cs="宋体"/>
          <w:color w:val="auto"/>
          <w:szCs w:val="21"/>
          <w:highlight w:val="none"/>
        </w:rPr>
      </w:pPr>
    </w:p>
    <w:p w14:paraId="1C387CEF">
      <w:pPr>
        <w:pStyle w:val="40"/>
        <w:rPr>
          <w:rFonts w:ascii="宋体" w:hAnsi="宋体" w:cs="宋体"/>
          <w:color w:val="auto"/>
          <w:szCs w:val="21"/>
          <w:highlight w:val="none"/>
        </w:rPr>
      </w:pPr>
    </w:p>
    <w:p w14:paraId="458CAD05">
      <w:pPr>
        <w:pStyle w:val="40"/>
        <w:rPr>
          <w:rFonts w:ascii="宋体" w:hAnsi="宋体" w:cs="宋体"/>
          <w:color w:val="auto"/>
          <w:szCs w:val="21"/>
          <w:highlight w:val="none"/>
        </w:rPr>
      </w:pPr>
    </w:p>
    <w:p w14:paraId="36FDE77F">
      <w:pPr>
        <w:pStyle w:val="40"/>
        <w:rPr>
          <w:rFonts w:ascii="宋体" w:hAnsi="宋体" w:cs="宋体"/>
          <w:color w:val="auto"/>
          <w:szCs w:val="21"/>
          <w:highlight w:val="none"/>
        </w:rPr>
      </w:pPr>
    </w:p>
    <w:p w14:paraId="140592A3">
      <w:pPr>
        <w:pStyle w:val="40"/>
        <w:rPr>
          <w:rFonts w:ascii="宋体" w:hAnsi="宋体" w:cs="宋体"/>
          <w:color w:val="auto"/>
          <w:szCs w:val="21"/>
          <w:highlight w:val="none"/>
        </w:rPr>
      </w:pPr>
    </w:p>
    <w:p w14:paraId="03CB0F17">
      <w:pPr>
        <w:pStyle w:val="40"/>
        <w:rPr>
          <w:rFonts w:ascii="宋体" w:hAnsi="宋体" w:cs="宋体"/>
          <w:color w:val="auto"/>
          <w:szCs w:val="21"/>
          <w:highlight w:val="none"/>
        </w:rPr>
      </w:pPr>
    </w:p>
    <w:p w14:paraId="7E2E73DA">
      <w:pPr>
        <w:pStyle w:val="40"/>
        <w:rPr>
          <w:rFonts w:ascii="宋体" w:hAnsi="宋体" w:cs="宋体"/>
          <w:color w:val="auto"/>
          <w:szCs w:val="21"/>
          <w:highlight w:val="none"/>
        </w:rPr>
      </w:pPr>
    </w:p>
    <w:p w14:paraId="74CA63EB">
      <w:pPr>
        <w:pStyle w:val="40"/>
        <w:rPr>
          <w:rFonts w:ascii="宋体" w:hAnsi="宋体" w:cs="宋体"/>
          <w:color w:val="auto"/>
          <w:szCs w:val="21"/>
          <w:highlight w:val="none"/>
        </w:rPr>
      </w:pPr>
    </w:p>
    <w:p w14:paraId="30C16874">
      <w:pPr>
        <w:pStyle w:val="40"/>
        <w:rPr>
          <w:rFonts w:ascii="宋体" w:hAnsi="宋体" w:cs="宋体"/>
          <w:color w:val="auto"/>
          <w:szCs w:val="21"/>
          <w:highlight w:val="none"/>
        </w:rPr>
      </w:pPr>
    </w:p>
    <w:p w14:paraId="62D3D47C">
      <w:pPr>
        <w:rPr>
          <w:rFonts w:ascii="宋体" w:hAnsi="宋体" w:cs="宋体"/>
          <w:color w:val="auto"/>
          <w:highlight w:val="none"/>
        </w:rPr>
      </w:pPr>
      <w:bookmarkStart w:id="202" w:name="_Toc11067"/>
      <w:bookmarkStart w:id="203" w:name="_Toc497927071"/>
      <w:bookmarkStart w:id="204" w:name="_Toc7185"/>
    </w:p>
    <w:p w14:paraId="36AF7058">
      <w:pPr>
        <w:jc w:val="center"/>
        <w:outlineLvl w:val="2"/>
        <w:rPr>
          <w:rFonts w:ascii="宋体" w:hAnsi="宋体" w:cs="宋体"/>
          <w:color w:val="auto"/>
          <w:sz w:val="32"/>
          <w:szCs w:val="32"/>
          <w:highlight w:val="none"/>
        </w:rPr>
      </w:pPr>
      <w:r>
        <w:rPr>
          <w:rFonts w:hint="eastAsia" w:ascii="宋体" w:hAnsi="宋体" w:cs="宋体"/>
          <w:b/>
          <w:bCs/>
          <w:color w:val="auto"/>
          <w:sz w:val="32"/>
          <w:szCs w:val="32"/>
          <w:highlight w:val="none"/>
        </w:rPr>
        <w:t>（一）资格性响应证明材料目录</w:t>
      </w:r>
      <w:bookmarkEnd w:id="202"/>
      <w:bookmarkEnd w:id="203"/>
      <w:bookmarkEnd w:id="204"/>
    </w:p>
    <w:p w14:paraId="307640ED">
      <w:pPr>
        <w:rPr>
          <w:rFonts w:ascii="宋体" w:hAnsi="宋体" w:cs="宋体"/>
          <w:color w:val="auto"/>
          <w:highlight w:val="none"/>
        </w:rPr>
      </w:pPr>
    </w:p>
    <w:p w14:paraId="2138214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1.供应商相应的法定代表人、负责人、自然人身份证正反两面复印件</w:t>
      </w:r>
      <w:r>
        <w:rPr>
          <w:rFonts w:hint="eastAsia" w:ascii="宋体" w:hAnsi="宋体" w:cs="宋体"/>
          <w:b/>
          <w:bCs/>
          <w:color w:val="auto"/>
          <w:sz w:val="24"/>
          <w:highlight w:val="none"/>
        </w:rPr>
        <w:t>（必须提供）</w:t>
      </w:r>
      <w:r>
        <w:rPr>
          <w:rFonts w:hint="eastAsia" w:ascii="宋体" w:hAnsi="宋体" w:cs="宋体"/>
          <w:color w:val="auto"/>
          <w:sz w:val="24"/>
          <w:highlight w:val="none"/>
        </w:rPr>
        <w:t>；</w:t>
      </w:r>
    </w:p>
    <w:p w14:paraId="3A9B2968">
      <w:pPr>
        <w:spacing w:line="360" w:lineRule="auto"/>
        <w:ind w:firstLine="480" w:firstLineChars="200"/>
        <w:rPr>
          <w:rFonts w:ascii="宋体" w:hAnsi="宋体" w:cs="宋体"/>
          <w:b/>
          <w:bCs/>
          <w:color w:val="auto"/>
          <w:sz w:val="24"/>
          <w:highlight w:val="none"/>
        </w:rPr>
      </w:pPr>
      <w:r>
        <w:rPr>
          <w:rFonts w:hint="eastAsia" w:ascii="宋体" w:hAnsi="宋体" w:cs="宋体"/>
          <w:color w:val="auto"/>
          <w:sz w:val="24"/>
          <w:highlight w:val="none"/>
        </w:rPr>
        <w:t>2.供应商的授权委托书原件、委托代理人身份证正反面复印件</w:t>
      </w:r>
      <w:r>
        <w:rPr>
          <w:rFonts w:hint="eastAsia" w:ascii="宋体" w:hAnsi="宋体" w:cs="宋体"/>
          <w:b/>
          <w:bCs/>
          <w:color w:val="auto"/>
          <w:sz w:val="24"/>
          <w:highlight w:val="none"/>
        </w:rPr>
        <w:t>（委托代理时必须提供；如为联合体的，授权委托书原件须由牵头人出具）；</w:t>
      </w:r>
    </w:p>
    <w:p w14:paraId="76F12045">
      <w:pPr>
        <w:spacing w:line="360" w:lineRule="auto"/>
        <w:ind w:firstLine="480" w:firstLineChars="200"/>
        <w:rPr>
          <w:rFonts w:ascii="宋体" w:hAnsi="宋体" w:cs="宋体"/>
          <w:b/>
          <w:bCs/>
          <w:color w:val="auto"/>
          <w:sz w:val="24"/>
          <w:highlight w:val="none"/>
        </w:rPr>
      </w:pPr>
      <w:r>
        <w:rPr>
          <w:rFonts w:hint="eastAsia" w:ascii="宋体" w:hAnsi="宋体" w:cs="宋体"/>
          <w:color w:val="auto"/>
          <w:sz w:val="24"/>
          <w:highlight w:val="none"/>
        </w:rPr>
        <w:t>3.供应商参加政府采购活动前3年内在经营活动中没有重大违法记录及有关信用信息的书面声明</w:t>
      </w:r>
      <w:r>
        <w:rPr>
          <w:rFonts w:hint="eastAsia" w:ascii="宋体" w:hAnsi="宋体" w:cs="宋体"/>
          <w:b/>
          <w:bCs/>
          <w:color w:val="auto"/>
          <w:sz w:val="24"/>
          <w:highlight w:val="none"/>
        </w:rPr>
        <w:t>（必须提供）；</w:t>
      </w:r>
    </w:p>
    <w:p w14:paraId="0A29A436">
      <w:pPr>
        <w:spacing w:line="360" w:lineRule="auto"/>
        <w:ind w:firstLine="480" w:firstLineChars="200"/>
        <w:rPr>
          <w:rFonts w:ascii="宋体" w:hAnsi="宋体" w:cs="宋体"/>
          <w:b/>
          <w:bCs/>
          <w:color w:val="auto"/>
          <w:sz w:val="24"/>
          <w:highlight w:val="none"/>
        </w:rPr>
      </w:pPr>
      <w:r>
        <w:rPr>
          <w:rFonts w:hint="eastAsia" w:ascii="宋体" w:hAnsi="宋体" w:cs="宋体"/>
          <w:color w:val="auto"/>
          <w:sz w:val="24"/>
          <w:highlight w:val="none"/>
        </w:rPr>
        <w:t>4.供应商的法人或者其他组织营业执照等证明文件复印件</w:t>
      </w:r>
      <w:r>
        <w:rPr>
          <w:rFonts w:hint="eastAsia" w:ascii="宋体" w:hAnsi="宋体" w:cs="宋体"/>
          <w:b/>
          <w:bCs/>
          <w:color w:val="auto"/>
          <w:sz w:val="24"/>
          <w:highlight w:val="none"/>
        </w:rPr>
        <w:t>（必须提供，自然人除外）；</w:t>
      </w:r>
    </w:p>
    <w:p w14:paraId="394E3068">
      <w:pPr>
        <w:spacing w:line="360" w:lineRule="auto"/>
        <w:ind w:firstLine="480" w:firstLineChars="200"/>
        <w:rPr>
          <w:rFonts w:ascii="宋体" w:hAnsi="宋体" w:cs="宋体"/>
          <w:b/>
          <w:bCs/>
          <w:color w:val="auto"/>
          <w:sz w:val="24"/>
          <w:highlight w:val="none"/>
        </w:rPr>
      </w:pPr>
      <w:r>
        <w:rPr>
          <w:rFonts w:hint="eastAsia" w:ascii="宋体" w:hAnsi="宋体" w:cs="宋体"/>
          <w:color w:val="auto"/>
          <w:sz w:val="24"/>
          <w:highlight w:val="none"/>
          <w:lang w:val="en-US" w:eastAsia="zh-CN"/>
        </w:rPr>
        <w:t>5.联合体协议书</w:t>
      </w:r>
      <w:r>
        <w:rPr>
          <w:rFonts w:hint="eastAsia" w:ascii="宋体" w:hAnsi="宋体" w:cs="宋体"/>
          <w:b/>
          <w:bCs/>
          <w:color w:val="auto"/>
          <w:sz w:val="24"/>
          <w:highlight w:val="none"/>
          <w:lang w:val="en-US" w:eastAsia="zh-CN"/>
        </w:rPr>
        <w:t>（以联合体形式参与竞争的必须提供）</w:t>
      </w:r>
      <w:r>
        <w:rPr>
          <w:rFonts w:hint="eastAsia" w:ascii="宋体" w:hAnsi="宋体" w:cs="宋体"/>
          <w:b/>
          <w:bCs/>
          <w:color w:val="auto"/>
          <w:sz w:val="24"/>
          <w:highlight w:val="none"/>
        </w:rPr>
        <w:t>；</w:t>
      </w:r>
    </w:p>
    <w:p w14:paraId="1842205F">
      <w:pPr>
        <w:spacing w:line="360" w:lineRule="auto"/>
        <w:ind w:firstLine="480" w:firstLineChars="200"/>
        <w:rPr>
          <w:rFonts w:ascii="宋体" w:hAnsi="宋体" w:cs="宋体"/>
          <w:b/>
          <w:bCs/>
          <w:color w:val="auto"/>
          <w:sz w:val="24"/>
          <w:highlight w:val="none"/>
        </w:rPr>
      </w:pPr>
    </w:p>
    <w:p w14:paraId="5B2CA915">
      <w:pPr>
        <w:spacing w:line="360" w:lineRule="auto"/>
        <w:ind w:firstLine="480" w:firstLineChars="200"/>
        <w:rPr>
          <w:rFonts w:ascii="宋体" w:hAnsi="宋体" w:cs="宋体"/>
          <w:color w:val="auto"/>
          <w:sz w:val="24"/>
          <w:highlight w:val="none"/>
        </w:rPr>
      </w:pPr>
    </w:p>
    <w:p w14:paraId="7A408A63">
      <w:pPr>
        <w:pStyle w:val="10"/>
        <w:rPr>
          <w:rFonts w:ascii="宋体" w:hAnsi="宋体" w:cs="宋体"/>
          <w:color w:val="auto"/>
          <w:sz w:val="24"/>
          <w:highlight w:val="none"/>
        </w:rPr>
      </w:pPr>
    </w:p>
    <w:p w14:paraId="0ACD98AA">
      <w:pPr>
        <w:pStyle w:val="23"/>
        <w:ind w:firstLine="480"/>
        <w:rPr>
          <w:rFonts w:ascii="宋体" w:hAnsi="宋体" w:cs="宋体"/>
          <w:color w:val="auto"/>
          <w:sz w:val="24"/>
          <w:highlight w:val="none"/>
        </w:rPr>
      </w:pPr>
    </w:p>
    <w:p w14:paraId="641268A1">
      <w:pPr>
        <w:pStyle w:val="23"/>
        <w:ind w:firstLine="480"/>
        <w:rPr>
          <w:rFonts w:ascii="宋体" w:hAnsi="宋体" w:cs="宋体"/>
          <w:color w:val="auto"/>
          <w:sz w:val="24"/>
          <w:highlight w:val="none"/>
        </w:rPr>
      </w:pPr>
    </w:p>
    <w:p w14:paraId="63ADF76F">
      <w:pPr>
        <w:pStyle w:val="23"/>
        <w:ind w:firstLine="480"/>
        <w:rPr>
          <w:rFonts w:ascii="宋体" w:hAnsi="宋体" w:cs="宋体"/>
          <w:color w:val="auto"/>
          <w:sz w:val="24"/>
          <w:highlight w:val="none"/>
        </w:rPr>
      </w:pPr>
    </w:p>
    <w:p w14:paraId="1CA7B5BE">
      <w:pPr>
        <w:pStyle w:val="22"/>
        <w:ind w:firstLine="240"/>
        <w:rPr>
          <w:rFonts w:ascii="宋体" w:hAnsi="宋体" w:cs="宋体"/>
          <w:color w:val="auto"/>
          <w:sz w:val="24"/>
          <w:highlight w:val="none"/>
        </w:rPr>
      </w:pPr>
    </w:p>
    <w:p w14:paraId="49912451">
      <w:pPr>
        <w:pStyle w:val="22"/>
        <w:ind w:firstLine="240"/>
        <w:rPr>
          <w:rFonts w:ascii="宋体" w:hAnsi="宋体" w:cs="宋体"/>
          <w:color w:val="auto"/>
          <w:sz w:val="24"/>
          <w:highlight w:val="none"/>
        </w:rPr>
      </w:pPr>
    </w:p>
    <w:p w14:paraId="07C285DB">
      <w:pPr>
        <w:pStyle w:val="8"/>
        <w:rPr>
          <w:color w:val="auto"/>
          <w:highlight w:val="none"/>
        </w:rPr>
      </w:pPr>
    </w:p>
    <w:p w14:paraId="7D3608E7">
      <w:pP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br w:type="page"/>
      </w:r>
    </w:p>
    <w:p w14:paraId="5374F6E0">
      <w:pPr>
        <w:spacing w:line="360" w:lineRule="auto"/>
        <w:outlineLvl w:val="3"/>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1.供应商相应的法定代表人、负责人、自然人身份证正反两面复印件（必须提供）；</w:t>
      </w:r>
    </w:p>
    <w:p w14:paraId="697AC335">
      <w:pPr>
        <w:spacing w:line="360" w:lineRule="auto"/>
        <w:outlineLvl w:val="9"/>
        <w:rPr>
          <w:rFonts w:hint="eastAsia" w:ascii="宋体" w:hAnsi="宋体" w:cs="宋体"/>
          <w:b/>
          <w:bCs/>
          <w:color w:val="auto"/>
          <w:sz w:val="28"/>
          <w:szCs w:val="28"/>
          <w:highlight w:val="none"/>
        </w:rPr>
      </w:pPr>
    </w:p>
    <w:p w14:paraId="088FF362">
      <w:pPr>
        <w:spacing w:line="360" w:lineRule="auto"/>
        <w:rPr>
          <w:rFonts w:ascii="宋体" w:hAnsi="宋体" w:cs="宋体"/>
          <w:b/>
          <w:bCs/>
          <w:color w:val="auto"/>
          <w:sz w:val="28"/>
          <w:szCs w:val="28"/>
          <w:highlight w:val="none"/>
        </w:rPr>
      </w:pPr>
    </w:p>
    <w:p w14:paraId="34E1E740">
      <w:pPr>
        <w:pStyle w:val="10"/>
        <w:rPr>
          <w:rFonts w:ascii="宋体" w:hAnsi="宋体" w:cs="宋体"/>
          <w:b/>
          <w:bCs/>
          <w:color w:val="auto"/>
          <w:sz w:val="28"/>
          <w:szCs w:val="28"/>
          <w:highlight w:val="none"/>
        </w:rPr>
      </w:pPr>
    </w:p>
    <w:p w14:paraId="04E3D246">
      <w:pPr>
        <w:pStyle w:val="23"/>
        <w:rPr>
          <w:color w:val="auto"/>
          <w:highlight w:val="none"/>
        </w:rPr>
      </w:pPr>
    </w:p>
    <w:p w14:paraId="76BC399C">
      <w:pPr>
        <w:spacing w:line="360" w:lineRule="auto"/>
        <w:rPr>
          <w:rFonts w:ascii="宋体" w:hAnsi="宋体" w:cs="宋体"/>
          <w:b/>
          <w:bCs/>
          <w:color w:val="auto"/>
          <w:sz w:val="28"/>
          <w:szCs w:val="28"/>
          <w:highlight w:val="none"/>
        </w:rPr>
      </w:pPr>
    </w:p>
    <w:p w14:paraId="3246CD11">
      <w:pP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br w:type="page"/>
      </w:r>
    </w:p>
    <w:p w14:paraId="75D36321">
      <w:pPr>
        <w:spacing w:line="360" w:lineRule="auto"/>
        <w:outlineLvl w:val="3"/>
        <w:rPr>
          <w:rFonts w:ascii="宋体" w:hAnsi="宋体" w:cs="宋体"/>
          <w:b/>
          <w:bCs/>
          <w:color w:val="auto"/>
          <w:sz w:val="24"/>
          <w:highlight w:val="none"/>
        </w:rPr>
      </w:pPr>
      <w:r>
        <w:rPr>
          <w:rFonts w:hint="eastAsia" w:ascii="宋体" w:hAnsi="宋体" w:cs="宋体"/>
          <w:b/>
          <w:bCs/>
          <w:color w:val="auto"/>
          <w:sz w:val="28"/>
          <w:szCs w:val="28"/>
          <w:highlight w:val="none"/>
        </w:rPr>
        <w:t>2.供应商的授权委托书原件、委托代理人身份证正反面复印件（委托代理时必须提供；如为联合体的，授权委托书原件须由牵头人出具）</w:t>
      </w:r>
      <w:r>
        <w:rPr>
          <w:rFonts w:hint="eastAsia" w:ascii="宋体" w:hAnsi="宋体" w:cs="宋体"/>
          <w:b/>
          <w:bCs/>
          <w:color w:val="auto"/>
          <w:sz w:val="24"/>
          <w:highlight w:val="none"/>
        </w:rPr>
        <w:t>；</w:t>
      </w:r>
    </w:p>
    <w:p w14:paraId="36CA6492">
      <w:pPr>
        <w:pStyle w:val="15"/>
        <w:rPr>
          <w:rFonts w:hAnsi="宋体" w:cs="宋体"/>
          <w:b/>
          <w:color w:val="auto"/>
          <w:sz w:val="32"/>
          <w:highlight w:val="none"/>
        </w:rPr>
      </w:pPr>
      <w:r>
        <w:rPr>
          <w:rFonts w:hint="eastAsia" w:hAnsi="宋体" w:cs="宋体"/>
          <w:b/>
          <w:color w:val="auto"/>
          <w:sz w:val="32"/>
          <w:highlight w:val="none"/>
        </w:rPr>
        <w:t xml:space="preserve">附件：            </w:t>
      </w:r>
    </w:p>
    <w:p w14:paraId="32607BC2">
      <w:pPr>
        <w:pStyle w:val="15"/>
        <w:ind w:firstLine="627" w:firstLineChars="196"/>
        <w:jc w:val="center"/>
        <w:rPr>
          <w:rFonts w:hAnsi="宋体" w:cs="宋体"/>
          <w:b/>
          <w:color w:val="auto"/>
          <w:sz w:val="32"/>
          <w:highlight w:val="none"/>
        </w:rPr>
      </w:pPr>
      <w:bookmarkStart w:id="205" w:name="_Toc964_WPSOffice_Level1"/>
      <w:bookmarkStart w:id="206" w:name="_Toc5420_WPSOffice_Level1"/>
      <w:r>
        <w:rPr>
          <w:rFonts w:hint="eastAsia" w:hAnsi="宋体" w:cs="宋体"/>
          <w:b/>
          <w:color w:val="auto"/>
          <w:sz w:val="32"/>
          <w:highlight w:val="none"/>
        </w:rPr>
        <w:t>授权委托书（格式一）</w:t>
      </w:r>
      <w:bookmarkEnd w:id="205"/>
      <w:bookmarkEnd w:id="206"/>
    </w:p>
    <w:p w14:paraId="441FB234">
      <w:pPr>
        <w:pStyle w:val="15"/>
        <w:rPr>
          <w:rFonts w:hAnsi="宋体" w:cs="宋体"/>
          <w:color w:val="auto"/>
          <w:highlight w:val="none"/>
        </w:rPr>
      </w:pPr>
    </w:p>
    <w:p w14:paraId="60716A29">
      <w:pPr>
        <w:spacing w:line="400" w:lineRule="exact"/>
        <w:rPr>
          <w:rFonts w:ascii="宋体" w:hAnsi="宋体" w:cs="宋体"/>
          <w:color w:val="auto"/>
          <w:highlight w:val="none"/>
        </w:rPr>
      </w:pPr>
      <w:r>
        <w:rPr>
          <w:rFonts w:hint="eastAsia" w:ascii="宋体" w:hAnsi="宋体" w:cs="宋体"/>
          <w:color w:val="auto"/>
          <w:szCs w:val="21"/>
          <w:highlight w:val="none"/>
        </w:rPr>
        <w:t>致：</w:t>
      </w:r>
      <w:r>
        <w:rPr>
          <w:rFonts w:hint="eastAsia" w:ascii="宋体" w:hAnsi="宋体" w:cs="宋体"/>
          <w:color w:val="auto"/>
          <w:szCs w:val="21"/>
          <w:highlight w:val="none"/>
          <w:u w:val="single"/>
        </w:rPr>
        <w:t xml:space="preserve"> 广西天罡工程项目管理有限公司 </w:t>
      </w:r>
    </w:p>
    <w:p w14:paraId="35C746B3">
      <w:pPr>
        <w:spacing w:line="400" w:lineRule="exact"/>
        <w:rPr>
          <w:rFonts w:ascii="宋体" w:hAnsi="宋体" w:cs="宋体"/>
          <w:color w:val="auto"/>
          <w:szCs w:val="21"/>
          <w:highlight w:val="none"/>
        </w:rPr>
      </w:pPr>
    </w:p>
    <w:p w14:paraId="245E1A9E">
      <w:pPr>
        <w:pStyle w:val="15"/>
        <w:spacing w:line="400" w:lineRule="exact"/>
        <w:ind w:firstLine="420" w:firstLineChars="200"/>
        <w:rPr>
          <w:rFonts w:hAnsi="宋体" w:cs="宋体"/>
          <w:color w:val="auto"/>
          <w:highlight w:val="none"/>
        </w:rPr>
      </w:pPr>
      <w:r>
        <w:rPr>
          <w:rFonts w:hint="eastAsia" w:hAnsi="宋体" w:cs="宋体"/>
          <w:color w:val="auto"/>
          <w:kern w:val="0"/>
          <w:highlight w:val="none"/>
        </w:rPr>
        <w:t>我</w:t>
      </w:r>
      <w:r>
        <w:rPr>
          <w:rFonts w:hint="eastAsia" w:hAnsi="宋体" w:cs="宋体"/>
          <w:color w:val="auto"/>
          <w:kern w:val="0"/>
          <w:highlight w:val="none"/>
          <w:u w:val="single"/>
        </w:rPr>
        <w:t xml:space="preserve">              </w:t>
      </w:r>
      <w:r>
        <w:rPr>
          <w:rFonts w:hint="eastAsia" w:hAnsi="宋体" w:cs="宋体"/>
          <w:color w:val="auto"/>
          <w:kern w:val="0"/>
          <w:highlight w:val="none"/>
        </w:rPr>
        <w:t>（姓名）系</w:t>
      </w:r>
      <w:r>
        <w:rPr>
          <w:rFonts w:hint="eastAsia" w:hAnsi="宋体" w:cs="宋体"/>
          <w:color w:val="auto"/>
          <w:kern w:val="0"/>
          <w:highlight w:val="none"/>
          <w:u w:val="single"/>
        </w:rPr>
        <w:t xml:space="preserve">                              </w:t>
      </w:r>
      <w:r>
        <w:rPr>
          <w:rFonts w:hint="eastAsia" w:hAnsi="宋体" w:cs="宋体"/>
          <w:color w:val="auto"/>
          <w:kern w:val="0"/>
          <w:highlight w:val="none"/>
        </w:rPr>
        <w:t>（供应商名称）的法定代表人（负责人），现授权委托本单位在职职工</w:t>
      </w:r>
      <w:r>
        <w:rPr>
          <w:rFonts w:hint="eastAsia" w:hAnsi="宋体" w:cs="宋体"/>
          <w:color w:val="auto"/>
          <w:kern w:val="0"/>
          <w:highlight w:val="none"/>
          <w:u w:val="single"/>
        </w:rPr>
        <w:t xml:space="preserve">            </w:t>
      </w:r>
      <w:r>
        <w:rPr>
          <w:rFonts w:hint="eastAsia" w:hAnsi="宋体" w:cs="宋体"/>
          <w:color w:val="auto"/>
          <w:kern w:val="0"/>
          <w:highlight w:val="none"/>
        </w:rPr>
        <w:t>（姓 名）以我公司名义参加</w:t>
      </w:r>
      <w:r>
        <w:rPr>
          <w:rFonts w:hint="eastAsia" w:hAnsi="宋体" w:cs="宋体"/>
          <w:color w:val="auto"/>
          <w:kern w:val="0"/>
          <w:highlight w:val="none"/>
          <w:u w:val="single"/>
        </w:rPr>
        <w:t xml:space="preserve">      </w:t>
      </w:r>
      <w:r>
        <w:rPr>
          <w:rFonts w:hint="eastAsia" w:hAnsi="宋体" w:cs="宋体"/>
          <w:color w:val="auto"/>
          <w:highlight w:val="none"/>
          <w:u w:val="single"/>
        </w:rPr>
        <w:t xml:space="preserve">（项目名称及项目编号）        </w:t>
      </w:r>
      <w:r>
        <w:rPr>
          <w:rFonts w:hint="eastAsia" w:hAnsi="宋体" w:cs="宋体"/>
          <w:color w:val="auto"/>
          <w:highlight w:val="none"/>
        </w:rPr>
        <w:t>项目的磋商活动，并代表我方全权办理针对上述项目的磋商、签约等具体事务和签署相关文件。</w:t>
      </w:r>
    </w:p>
    <w:p w14:paraId="23F0F072">
      <w:pPr>
        <w:pStyle w:val="15"/>
        <w:spacing w:line="400" w:lineRule="exact"/>
        <w:ind w:firstLine="420" w:firstLineChars="200"/>
        <w:rPr>
          <w:rFonts w:hAnsi="宋体" w:cs="宋体"/>
          <w:color w:val="auto"/>
          <w:highlight w:val="none"/>
        </w:rPr>
      </w:pPr>
      <w:r>
        <w:rPr>
          <w:rFonts w:hint="eastAsia" w:hAnsi="宋体" w:cs="宋体"/>
          <w:color w:val="auto"/>
          <w:highlight w:val="none"/>
        </w:rPr>
        <w:t>我方对被授权人的签字事项负全部责任。</w:t>
      </w:r>
    </w:p>
    <w:p w14:paraId="7AA52AF5">
      <w:pPr>
        <w:pStyle w:val="15"/>
        <w:spacing w:line="400" w:lineRule="exact"/>
        <w:ind w:firstLine="420" w:firstLineChars="200"/>
        <w:rPr>
          <w:rFonts w:hAnsi="宋体" w:cs="宋体"/>
          <w:color w:val="auto"/>
          <w:highlight w:val="none"/>
          <w:u w:val="single"/>
        </w:rPr>
      </w:pPr>
      <w:r>
        <w:rPr>
          <w:rFonts w:hint="eastAsia" w:hAnsi="宋体" w:cs="宋体"/>
          <w:color w:val="auto"/>
          <w:highlight w:val="none"/>
        </w:rPr>
        <w:t>授权委托代理期限：从</w:t>
      </w:r>
      <w:r>
        <w:rPr>
          <w:rFonts w:hint="eastAsia" w:hAnsi="宋体" w:cs="宋体"/>
          <w:color w:val="auto"/>
          <w:highlight w:val="none"/>
          <w:u w:val="single"/>
        </w:rPr>
        <w:t xml:space="preserve">       </w:t>
      </w:r>
      <w:r>
        <w:rPr>
          <w:rFonts w:hint="eastAsia" w:hAnsi="宋体" w:cs="宋体"/>
          <w:color w:val="auto"/>
          <w:highlight w:val="none"/>
        </w:rPr>
        <w:t>年</w:t>
      </w:r>
      <w:r>
        <w:rPr>
          <w:rFonts w:hint="eastAsia" w:hAnsi="宋体" w:cs="宋体"/>
          <w:color w:val="auto"/>
          <w:highlight w:val="none"/>
          <w:u w:val="single"/>
        </w:rPr>
        <w:t xml:space="preserve">     </w:t>
      </w:r>
      <w:r>
        <w:rPr>
          <w:rFonts w:hint="eastAsia" w:hAnsi="宋体" w:cs="宋体"/>
          <w:color w:val="auto"/>
          <w:highlight w:val="none"/>
        </w:rPr>
        <w:t xml:space="preserve">月 </w:t>
      </w:r>
      <w:r>
        <w:rPr>
          <w:rFonts w:hint="eastAsia" w:hAnsi="宋体" w:cs="宋体"/>
          <w:color w:val="auto"/>
          <w:highlight w:val="none"/>
          <w:u w:val="single"/>
        </w:rPr>
        <w:t xml:space="preserve">    </w:t>
      </w:r>
      <w:r>
        <w:rPr>
          <w:rFonts w:hint="eastAsia" w:hAnsi="宋体" w:cs="宋体"/>
          <w:color w:val="auto"/>
          <w:highlight w:val="none"/>
        </w:rPr>
        <w:t xml:space="preserve"> 日起至</w:t>
      </w:r>
      <w:r>
        <w:rPr>
          <w:rFonts w:hint="eastAsia" w:hAnsi="宋体" w:cs="宋体"/>
          <w:color w:val="auto"/>
          <w:highlight w:val="none"/>
          <w:u w:val="single"/>
        </w:rPr>
        <w:t xml:space="preserve">         </w:t>
      </w:r>
      <w:r>
        <w:rPr>
          <w:rFonts w:hint="eastAsia" w:hAnsi="宋体" w:cs="宋体"/>
          <w:color w:val="auto"/>
          <w:highlight w:val="none"/>
        </w:rPr>
        <w:t>年</w:t>
      </w:r>
      <w:r>
        <w:rPr>
          <w:rFonts w:hint="eastAsia" w:hAnsi="宋体" w:cs="宋体"/>
          <w:color w:val="auto"/>
          <w:highlight w:val="none"/>
          <w:u w:val="single"/>
        </w:rPr>
        <w:t xml:space="preserve">     </w:t>
      </w:r>
      <w:r>
        <w:rPr>
          <w:rFonts w:hint="eastAsia" w:hAnsi="宋体" w:cs="宋体"/>
          <w:color w:val="auto"/>
          <w:highlight w:val="none"/>
        </w:rPr>
        <w:t xml:space="preserve">月 </w:t>
      </w:r>
      <w:r>
        <w:rPr>
          <w:rFonts w:hint="eastAsia" w:hAnsi="宋体" w:cs="宋体"/>
          <w:color w:val="auto"/>
          <w:highlight w:val="none"/>
          <w:u w:val="single"/>
        </w:rPr>
        <w:t xml:space="preserve">     </w:t>
      </w:r>
      <w:r>
        <w:rPr>
          <w:rFonts w:hint="eastAsia" w:hAnsi="宋体" w:cs="宋体"/>
          <w:color w:val="auto"/>
          <w:highlight w:val="none"/>
        </w:rPr>
        <w:t>日止。</w:t>
      </w:r>
    </w:p>
    <w:p w14:paraId="785FE5C8">
      <w:pPr>
        <w:pStyle w:val="15"/>
        <w:spacing w:line="400" w:lineRule="exact"/>
        <w:rPr>
          <w:rFonts w:hAnsi="宋体" w:cs="宋体"/>
          <w:color w:val="auto"/>
          <w:highlight w:val="none"/>
          <w:u w:val="single"/>
        </w:rPr>
      </w:pPr>
      <w:r>
        <w:rPr>
          <w:rFonts w:hint="eastAsia" w:hAnsi="宋体" w:cs="宋体"/>
          <w:color w:val="auto"/>
          <w:highlight w:val="none"/>
        </w:rPr>
        <w:t xml:space="preserve">                                                                                             </w:t>
      </w:r>
    </w:p>
    <w:p w14:paraId="0E249AB4">
      <w:pPr>
        <w:spacing w:line="400" w:lineRule="exact"/>
        <w:ind w:firstLine="420" w:firstLineChars="200"/>
        <w:rPr>
          <w:rFonts w:ascii="宋体" w:hAnsi="宋体" w:cs="宋体"/>
          <w:color w:val="auto"/>
          <w:kern w:val="0"/>
          <w:highlight w:val="none"/>
        </w:rPr>
      </w:pPr>
      <w:r>
        <w:rPr>
          <w:rFonts w:hint="eastAsia" w:ascii="宋体" w:hAnsi="宋体" w:cs="宋体"/>
          <w:color w:val="auto"/>
          <w:kern w:val="0"/>
          <w:highlight w:val="none"/>
        </w:rPr>
        <w:t xml:space="preserve">代理人无转委托权,特此委托。 </w:t>
      </w:r>
    </w:p>
    <w:p w14:paraId="7308991C">
      <w:pPr>
        <w:spacing w:line="400" w:lineRule="exact"/>
        <w:ind w:firstLine="420" w:firstLineChars="200"/>
        <w:rPr>
          <w:rFonts w:ascii="宋体" w:hAnsi="宋体" w:cs="宋体"/>
          <w:color w:val="auto"/>
          <w:kern w:val="0"/>
          <w:highlight w:val="none"/>
        </w:rPr>
      </w:pPr>
    </w:p>
    <w:p w14:paraId="1DBFCB2C">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我已在下面签字，以资证明。</w:t>
      </w:r>
    </w:p>
    <w:p w14:paraId="74D73405">
      <w:pPr>
        <w:spacing w:line="400" w:lineRule="exact"/>
        <w:ind w:firstLine="420" w:firstLineChars="200"/>
        <w:rPr>
          <w:rFonts w:ascii="宋体" w:hAnsi="宋体" w:cs="宋体"/>
          <w:color w:val="auto"/>
          <w:szCs w:val="21"/>
          <w:highlight w:val="none"/>
        </w:rPr>
      </w:pPr>
    </w:p>
    <w:p w14:paraId="2752B677">
      <w:pPr>
        <w:spacing w:line="400" w:lineRule="exact"/>
        <w:ind w:firstLine="420" w:firstLineChars="200"/>
        <w:rPr>
          <w:rFonts w:ascii="宋体" w:hAnsi="宋体" w:cs="宋体"/>
          <w:color w:val="auto"/>
          <w:szCs w:val="21"/>
          <w:highlight w:val="none"/>
        </w:rPr>
      </w:pPr>
    </w:p>
    <w:p w14:paraId="31242FD3">
      <w:pPr>
        <w:snapToGrid w:val="0"/>
        <w:spacing w:line="400" w:lineRule="exact"/>
        <w:ind w:firstLine="420"/>
        <w:rPr>
          <w:rFonts w:ascii="宋体" w:hAnsi="宋体" w:cs="宋体"/>
          <w:color w:val="auto"/>
          <w:szCs w:val="21"/>
          <w:highlight w:val="none"/>
          <w:u w:val="single"/>
        </w:rPr>
      </w:pPr>
      <w:r>
        <w:rPr>
          <w:rFonts w:hint="eastAsia" w:ascii="宋体" w:hAnsi="宋体" w:cs="宋体"/>
          <w:color w:val="auto"/>
          <w:szCs w:val="21"/>
          <w:highlight w:val="none"/>
        </w:rPr>
        <w:t>磋商供应商[（CA证书签章）]：</w:t>
      </w:r>
      <w:r>
        <w:rPr>
          <w:rFonts w:hint="eastAsia" w:ascii="宋体" w:hAnsi="宋体" w:cs="宋体"/>
          <w:color w:val="auto"/>
          <w:szCs w:val="21"/>
          <w:highlight w:val="none"/>
          <w:u w:val="single"/>
        </w:rPr>
        <w:t xml:space="preserve">                                   </w:t>
      </w:r>
    </w:p>
    <w:p w14:paraId="6DCF84F6">
      <w:pPr>
        <w:snapToGrid w:val="0"/>
        <w:spacing w:line="400" w:lineRule="exact"/>
        <w:ind w:firstLine="420"/>
        <w:rPr>
          <w:rFonts w:ascii="宋体" w:hAnsi="宋体" w:cs="宋体"/>
          <w:color w:val="auto"/>
          <w:szCs w:val="21"/>
          <w:highlight w:val="none"/>
        </w:rPr>
      </w:pPr>
    </w:p>
    <w:p w14:paraId="2B88EC7C">
      <w:pPr>
        <w:snapToGrid w:val="0"/>
        <w:spacing w:line="400" w:lineRule="exact"/>
        <w:ind w:firstLine="420"/>
        <w:rPr>
          <w:rFonts w:ascii="宋体" w:hAnsi="宋体" w:cs="宋体"/>
          <w:color w:val="auto"/>
          <w:szCs w:val="21"/>
          <w:highlight w:val="none"/>
        </w:rPr>
      </w:pPr>
      <w:r>
        <w:rPr>
          <w:rFonts w:hint="eastAsia" w:ascii="宋体" w:hAnsi="宋体" w:cs="宋体"/>
          <w:color w:val="auto"/>
          <w:szCs w:val="21"/>
          <w:highlight w:val="none"/>
        </w:rPr>
        <w:t>法定代表人（负责人）签字（或个人CA证书签章）：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280B0D40">
      <w:pPr>
        <w:snapToGrid w:val="0"/>
        <w:spacing w:line="400" w:lineRule="exact"/>
        <w:ind w:firstLine="420"/>
        <w:rPr>
          <w:rFonts w:ascii="宋体" w:hAnsi="宋体" w:cs="宋体"/>
          <w:color w:val="auto"/>
          <w:szCs w:val="21"/>
          <w:highlight w:val="none"/>
        </w:rPr>
      </w:pPr>
    </w:p>
    <w:p w14:paraId="487DDB9E">
      <w:pPr>
        <w:pStyle w:val="10"/>
        <w:rPr>
          <w:rFonts w:ascii="宋体" w:hAnsi="宋体" w:cs="宋体"/>
          <w:color w:val="auto"/>
          <w:highlight w:val="none"/>
        </w:rPr>
      </w:pPr>
    </w:p>
    <w:p w14:paraId="000E3F3B">
      <w:pPr>
        <w:pStyle w:val="15"/>
        <w:spacing w:line="340" w:lineRule="exact"/>
        <w:ind w:firstLine="480" w:firstLineChars="200"/>
        <w:rPr>
          <w:rFonts w:hAnsi="宋体" w:cs="宋体"/>
          <w:b/>
          <w:color w:val="auto"/>
          <w:sz w:val="24"/>
          <w:highlight w:val="none"/>
        </w:rPr>
        <w:sectPr>
          <w:pgSz w:w="11906" w:h="16838"/>
          <w:pgMar w:top="1500" w:right="1134" w:bottom="1258" w:left="1134" w:header="850" w:footer="992" w:gutter="0"/>
          <w:pgNumType w:fmt="decimal"/>
          <w:cols w:space="720" w:num="1"/>
          <w:docGrid w:type="linesAndChars" w:linePitch="331" w:charSpace="0"/>
        </w:sectPr>
      </w:pPr>
      <w:r>
        <w:rPr>
          <w:rFonts w:hint="eastAsia" w:hAnsi="宋体" w:cs="宋体"/>
          <w:b/>
          <w:color w:val="auto"/>
          <w:sz w:val="24"/>
          <w:highlight w:val="none"/>
        </w:rPr>
        <w:t>注：供应商的授权委托书原件、委托代理人身份证正反面复印件</w:t>
      </w:r>
      <w:r>
        <w:rPr>
          <w:rFonts w:hint="eastAsia" w:hAnsi="宋体" w:cs="宋体"/>
          <w:b/>
          <w:color w:val="auto"/>
          <w:sz w:val="24"/>
          <w:highlight w:val="none"/>
          <w:lang w:val="en-US" w:eastAsia="zh-CN"/>
        </w:rPr>
        <w:t>(</w:t>
      </w:r>
      <w:r>
        <w:rPr>
          <w:rFonts w:hint="eastAsia" w:hAnsi="宋体" w:cs="宋体"/>
          <w:b/>
          <w:color w:val="auto"/>
          <w:sz w:val="24"/>
          <w:highlight w:val="none"/>
        </w:rPr>
        <w:t>委托代理时必须提供</w:t>
      </w:r>
      <w:r>
        <w:rPr>
          <w:rFonts w:hint="eastAsia" w:hAnsi="宋体" w:cs="宋体"/>
          <w:b/>
          <w:color w:val="auto"/>
          <w:sz w:val="24"/>
          <w:highlight w:val="none"/>
          <w:lang w:val="en-US" w:eastAsia="zh-CN"/>
        </w:rPr>
        <w:t>)</w:t>
      </w:r>
      <w:r>
        <w:rPr>
          <w:rFonts w:hint="eastAsia" w:hAnsi="宋体" w:cs="宋体"/>
          <w:b/>
          <w:color w:val="auto"/>
          <w:sz w:val="24"/>
          <w:highlight w:val="none"/>
        </w:rPr>
        <w:t>。</w:t>
      </w:r>
    </w:p>
    <w:p w14:paraId="7C700405">
      <w:pPr>
        <w:pStyle w:val="15"/>
        <w:jc w:val="center"/>
        <w:rPr>
          <w:rFonts w:hAnsi="宋体" w:cs="宋体"/>
          <w:b/>
          <w:color w:val="auto"/>
          <w:sz w:val="32"/>
          <w:highlight w:val="none"/>
        </w:rPr>
      </w:pPr>
      <w:bookmarkStart w:id="207" w:name="_Toc6975_WPSOffice_Level1"/>
      <w:bookmarkStart w:id="208" w:name="_Toc21370_WPSOffice_Level1"/>
      <w:r>
        <w:rPr>
          <w:rFonts w:hint="eastAsia" w:hAnsi="宋体" w:cs="宋体"/>
          <w:b/>
          <w:color w:val="auto"/>
          <w:sz w:val="32"/>
          <w:highlight w:val="none"/>
        </w:rPr>
        <w:t>授权委托书（格式二）</w:t>
      </w:r>
      <w:bookmarkEnd w:id="207"/>
      <w:bookmarkEnd w:id="208"/>
    </w:p>
    <w:p w14:paraId="7EEA72A0">
      <w:pPr>
        <w:pStyle w:val="15"/>
        <w:rPr>
          <w:rFonts w:hAnsi="宋体" w:cs="宋体"/>
          <w:b/>
          <w:color w:val="auto"/>
          <w:sz w:val="32"/>
          <w:highlight w:val="none"/>
        </w:rPr>
      </w:pPr>
    </w:p>
    <w:p w14:paraId="30C78658">
      <w:pPr>
        <w:pStyle w:val="15"/>
        <w:rPr>
          <w:rFonts w:hAnsi="宋体" w:cs="宋体"/>
          <w:color w:val="auto"/>
          <w:szCs w:val="21"/>
          <w:highlight w:val="none"/>
          <w:u w:val="single"/>
        </w:rPr>
      </w:pPr>
      <w:r>
        <w:rPr>
          <w:rFonts w:hint="eastAsia" w:hAnsi="宋体" w:cs="宋体"/>
          <w:b/>
          <w:color w:val="auto"/>
          <w:szCs w:val="21"/>
          <w:highlight w:val="none"/>
        </w:rPr>
        <w:t>致</w:t>
      </w:r>
      <w:r>
        <w:rPr>
          <w:rFonts w:hint="eastAsia" w:hAnsi="宋体" w:cs="宋体"/>
          <w:color w:val="auto"/>
          <w:szCs w:val="21"/>
          <w:highlight w:val="none"/>
        </w:rPr>
        <w:t>：</w:t>
      </w:r>
      <w:r>
        <w:rPr>
          <w:rFonts w:hint="eastAsia" w:hAnsi="宋体" w:cs="宋体"/>
          <w:color w:val="auto"/>
          <w:szCs w:val="21"/>
          <w:highlight w:val="none"/>
          <w:u w:val="single"/>
        </w:rPr>
        <w:t xml:space="preserve"> 广西天罡工程项目管理有限公司 </w:t>
      </w:r>
    </w:p>
    <w:p w14:paraId="3F925856">
      <w:pPr>
        <w:rPr>
          <w:rFonts w:ascii="宋体" w:hAnsi="宋体" w:cs="宋体"/>
          <w:color w:val="auto"/>
          <w:highlight w:val="none"/>
        </w:rPr>
      </w:pPr>
    </w:p>
    <w:p w14:paraId="6802B8F8">
      <w:pPr>
        <w:pStyle w:val="15"/>
        <w:spacing w:line="340" w:lineRule="exact"/>
        <w:ind w:firstLine="420" w:firstLineChars="200"/>
        <w:rPr>
          <w:rFonts w:hAnsi="宋体" w:cs="宋体"/>
          <w:color w:val="auto"/>
          <w:highlight w:val="none"/>
        </w:rPr>
      </w:pPr>
      <w:r>
        <w:rPr>
          <w:rFonts w:hint="eastAsia" w:hAnsi="宋体" w:cs="宋体"/>
          <w:color w:val="auto"/>
          <w:kern w:val="0"/>
          <w:highlight w:val="none"/>
        </w:rPr>
        <w:t>我</w:t>
      </w:r>
      <w:r>
        <w:rPr>
          <w:rFonts w:hint="eastAsia" w:hAnsi="宋体" w:cs="宋体"/>
          <w:color w:val="auto"/>
          <w:kern w:val="0"/>
          <w:highlight w:val="none"/>
          <w:u w:val="single"/>
        </w:rPr>
        <w:t xml:space="preserve">              </w:t>
      </w:r>
      <w:r>
        <w:rPr>
          <w:rFonts w:hint="eastAsia" w:hAnsi="宋体" w:cs="宋体"/>
          <w:color w:val="auto"/>
          <w:kern w:val="0"/>
          <w:highlight w:val="none"/>
        </w:rPr>
        <w:t>（姓名）系自然人，现授权委托</w:t>
      </w:r>
      <w:r>
        <w:rPr>
          <w:rFonts w:hint="eastAsia" w:hAnsi="宋体" w:cs="宋体"/>
          <w:color w:val="auto"/>
          <w:kern w:val="0"/>
          <w:highlight w:val="none"/>
          <w:u w:val="single"/>
        </w:rPr>
        <w:t xml:space="preserve">            </w:t>
      </w:r>
      <w:r>
        <w:rPr>
          <w:rFonts w:hint="eastAsia" w:hAnsi="宋体" w:cs="宋体"/>
          <w:color w:val="auto"/>
          <w:kern w:val="0"/>
          <w:highlight w:val="none"/>
        </w:rPr>
        <w:t>（姓 名）以本人名义参加</w:t>
      </w:r>
      <w:r>
        <w:rPr>
          <w:rFonts w:hint="eastAsia" w:hAnsi="宋体" w:cs="宋体"/>
          <w:color w:val="auto"/>
          <w:kern w:val="0"/>
          <w:highlight w:val="none"/>
          <w:u w:val="single"/>
        </w:rPr>
        <w:t xml:space="preserve">      </w:t>
      </w:r>
      <w:r>
        <w:rPr>
          <w:rFonts w:hint="eastAsia" w:hAnsi="宋体" w:cs="宋体"/>
          <w:color w:val="auto"/>
          <w:highlight w:val="none"/>
          <w:u w:val="single"/>
        </w:rPr>
        <w:t xml:space="preserve">（项目名称及项目编号）        </w:t>
      </w:r>
      <w:r>
        <w:rPr>
          <w:rFonts w:hint="eastAsia" w:hAnsi="宋体" w:cs="宋体"/>
          <w:color w:val="auto"/>
          <w:highlight w:val="none"/>
        </w:rPr>
        <w:t>项目的磋商活动，并代表本人全权办理针对上述项目的磋商、签约等具体事务和签署相关文件。</w:t>
      </w:r>
    </w:p>
    <w:p w14:paraId="566CE8F4">
      <w:pPr>
        <w:pStyle w:val="15"/>
        <w:spacing w:line="340" w:lineRule="exact"/>
        <w:ind w:firstLine="420" w:firstLineChars="200"/>
        <w:rPr>
          <w:rFonts w:hAnsi="宋体" w:cs="宋体"/>
          <w:color w:val="auto"/>
          <w:highlight w:val="none"/>
        </w:rPr>
      </w:pPr>
      <w:r>
        <w:rPr>
          <w:rFonts w:hint="eastAsia" w:hAnsi="宋体" w:cs="宋体"/>
          <w:color w:val="auto"/>
          <w:highlight w:val="none"/>
        </w:rPr>
        <w:t>本人对被授权人的签字事项负全部责任。</w:t>
      </w:r>
    </w:p>
    <w:p w14:paraId="284B6B3E">
      <w:pPr>
        <w:pStyle w:val="15"/>
        <w:spacing w:line="340" w:lineRule="exact"/>
        <w:ind w:firstLine="420" w:firstLineChars="200"/>
        <w:rPr>
          <w:rFonts w:hAnsi="宋体" w:cs="宋体"/>
          <w:color w:val="auto"/>
          <w:highlight w:val="none"/>
          <w:u w:val="single"/>
        </w:rPr>
      </w:pPr>
      <w:r>
        <w:rPr>
          <w:rFonts w:hint="eastAsia" w:hAnsi="宋体" w:cs="宋体"/>
          <w:color w:val="auto"/>
          <w:highlight w:val="none"/>
        </w:rPr>
        <w:t>授权委托代理期限：从</w:t>
      </w:r>
      <w:r>
        <w:rPr>
          <w:rFonts w:hint="eastAsia" w:hAnsi="宋体" w:cs="宋体"/>
          <w:color w:val="auto"/>
          <w:highlight w:val="none"/>
          <w:u w:val="single"/>
        </w:rPr>
        <w:t xml:space="preserve">       </w:t>
      </w:r>
      <w:r>
        <w:rPr>
          <w:rFonts w:hint="eastAsia" w:hAnsi="宋体" w:cs="宋体"/>
          <w:color w:val="auto"/>
          <w:highlight w:val="none"/>
        </w:rPr>
        <w:t>年</w:t>
      </w:r>
      <w:r>
        <w:rPr>
          <w:rFonts w:hint="eastAsia" w:hAnsi="宋体" w:cs="宋体"/>
          <w:color w:val="auto"/>
          <w:highlight w:val="none"/>
          <w:u w:val="single"/>
        </w:rPr>
        <w:t xml:space="preserve">     </w:t>
      </w:r>
      <w:r>
        <w:rPr>
          <w:rFonts w:hint="eastAsia" w:hAnsi="宋体" w:cs="宋体"/>
          <w:color w:val="auto"/>
          <w:highlight w:val="none"/>
        </w:rPr>
        <w:t xml:space="preserve">月 </w:t>
      </w:r>
      <w:r>
        <w:rPr>
          <w:rFonts w:hint="eastAsia" w:hAnsi="宋体" w:cs="宋体"/>
          <w:color w:val="auto"/>
          <w:highlight w:val="none"/>
          <w:u w:val="single"/>
        </w:rPr>
        <w:t xml:space="preserve">    </w:t>
      </w:r>
      <w:r>
        <w:rPr>
          <w:rFonts w:hint="eastAsia" w:hAnsi="宋体" w:cs="宋体"/>
          <w:color w:val="auto"/>
          <w:highlight w:val="none"/>
        </w:rPr>
        <w:t xml:space="preserve"> 日起至</w:t>
      </w:r>
      <w:r>
        <w:rPr>
          <w:rFonts w:hint="eastAsia" w:hAnsi="宋体" w:cs="宋体"/>
          <w:color w:val="auto"/>
          <w:highlight w:val="none"/>
          <w:u w:val="single"/>
        </w:rPr>
        <w:t xml:space="preserve">         </w:t>
      </w:r>
      <w:r>
        <w:rPr>
          <w:rFonts w:hint="eastAsia" w:hAnsi="宋体" w:cs="宋体"/>
          <w:color w:val="auto"/>
          <w:highlight w:val="none"/>
        </w:rPr>
        <w:t>年</w:t>
      </w:r>
      <w:r>
        <w:rPr>
          <w:rFonts w:hint="eastAsia" w:hAnsi="宋体" w:cs="宋体"/>
          <w:color w:val="auto"/>
          <w:highlight w:val="none"/>
          <w:u w:val="single"/>
        </w:rPr>
        <w:t xml:space="preserve">     </w:t>
      </w:r>
      <w:r>
        <w:rPr>
          <w:rFonts w:hint="eastAsia" w:hAnsi="宋体" w:cs="宋体"/>
          <w:color w:val="auto"/>
          <w:highlight w:val="none"/>
        </w:rPr>
        <w:t xml:space="preserve">月 </w:t>
      </w:r>
      <w:r>
        <w:rPr>
          <w:rFonts w:hint="eastAsia" w:hAnsi="宋体" w:cs="宋体"/>
          <w:color w:val="auto"/>
          <w:highlight w:val="none"/>
          <w:u w:val="single"/>
        </w:rPr>
        <w:t xml:space="preserve">     </w:t>
      </w:r>
      <w:r>
        <w:rPr>
          <w:rFonts w:hint="eastAsia" w:hAnsi="宋体" w:cs="宋体"/>
          <w:color w:val="auto"/>
          <w:highlight w:val="none"/>
        </w:rPr>
        <w:t>日止。</w:t>
      </w:r>
    </w:p>
    <w:p w14:paraId="5611C48E">
      <w:pPr>
        <w:pStyle w:val="15"/>
        <w:spacing w:line="340" w:lineRule="exact"/>
        <w:rPr>
          <w:rFonts w:hAnsi="宋体" w:cs="宋体"/>
          <w:color w:val="auto"/>
          <w:highlight w:val="none"/>
          <w:u w:val="single"/>
        </w:rPr>
      </w:pPr>
      <w:r>
        <w:rPr>
          <w:rFonts w:hint="eastAsia" w:hAnsi="宋体" w:cs="宋体"/>
          <w:color w:val="auto"/>
          <w:highlight w:val="none"/>
        </w:rPr>
        <w:t xml:space="preserve">                                                                                             </w:t>
      </w:r>
    </w:p>
    <w:p w14:paraId="6797DB5A">
      <w:pPr>
        <w:spacing w:line="340" w:lineRule="exact"/>
        <w:ind w:firstLine="420" w:firstLineChars="200"/>
        <w:rPr>
          <w:rFonts w:ascii="宋体" w:hAnsi="宋体" w:cs="宋体"/>
          <w:color w:val="auto"/>
          <w:kern w:val="0"/>
          <w:highlight w:val="none"/>
        </w:rPr>
      </w:pPr>
      <w:r>
        <w:rPr>
          <w:rFonts w:hint="eastAsia" w:ascii="宋体" w:hAnsi="宋体" w:cs="宋体"/>
          <w:color w:val="auto"/>
          <w:kern w:val="0"/>
          <w:highlight w:val="none"/>
        </w:rPr>
        <w:t xml:space="preserve">代理人无转委托权,特此委托。 </w:t>
      </w:r>
    </w:p>
    <w:p w14:paraId="51FA81FD">
      <w:pPr>
        <w:spacing w:line="340" w:lineRule="exact"/>
        <w:ind w:firstLine="420" w:firstLineChars="200"/>
        <w:rPr>
          <w:rFonts w:ascii="宋体" w:hAnsi="宋体" w:cs="宋体"/>
          <w:color w:val="auto"/>
          <w:kern w:val="0"/>
          <w:highlight w:val="none"/>
        </w:rPr>
      </w:pPr>
    </w:p>
    <w:p w14:paraId="11F9D9E4">
      <w:pPr>
        <w:spacing w:line="3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我已在下面签字，以资证明。</w:t>
      </w:r>
    </w:p>
    <w:p w14:paraId="375746CE">
      <w:pPr>
        <w:spacing w:line="340" w:lineRule="exact"/>
        <w:ind w:firstLine="420" w:firstLineChars="200"/>
        <w:rPr>
          <w:rFonts w:ascii="宋体" w:hAnsi="宋体" w:cs="宋体"/>
          <w:color w:val="auto"/>
          <w:szCs w:val="21"/>
          <w:highlight w:val="none"/>
        </w:rPr>
      </w:pPr>
    </w:p>
    <w:p w14:paraId="2FB28ACC">
      <w:pPr>
        <w:snapToGrid w:val="0"/>
        <w:spacing w:line="340" w:lineRule="exact"/>
        <w:ind w:firstLine="420"/>
        <w:rPr>
          <w:rFonts w:ascii="宋体" w:hAnsi="宋体" w:cs="宋体"/>
          <w:color w:val="auto"/>
          <w:szCs w:val="21"/>
          <w:highlight w:val="none"/>
        </w:rPr>
      </w:pPr>
      <w:r>
        <w:rPr>
          <w:rFonts w:hint="eastAsia" w:ascii="宋体" w:hAnsi="宋体" w:cs="宋体"/>
          <w:color w:val="auto"/>
          <w:szCs w:val="21"/>
          <w:highlight w:val="none"/>
        </w:rPr>
        <w:t>自然人签字并在签名处加盖大拇指指印或个人CA证书签章：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0C3966DE">
      <w:pPr>
        <w:pStyle w:val="15"/>
        <w:spacing w:line="400" w:lineRule="exact"/>
        <w:ind w:left="420" w:leftChars="200"/>
        <w:rPr>
          <w:rFonts w:hAnsi="宋体" w:cs="宋体"/>
          <w:color w:val="auto"/>
          <w:szCs w:val="21"/>
          <w:highlight w:val="none"/>
        </w:rPr>
      </w:pPr>
    </w:p>
    <w:p w14:paraId="4ED6BA24">
      <w:pPr>
        <w:pStyle w:val="15"/>
        <w:spacing w:line="400" w:lineRule="exact"/>
        <w:rPr>
          <w:rFonts w:hAnsi="宋体" w:cs="宋体"/>
          <w:b/>
          <w:color w:val="auto"/>
          <w:szCs w:val="21"/>
          <w:highlight w:val="none"/>
        </w:rPr>
        <w:sectPr>
          <w:footerReference r:id="rId6" w:type="first"/>
          <w:footerReference r:id="rId5" w:type="default"/>
          <w:pgSz w:w="11906" w:h="16838"/>
          <w:pgMar w:top="1500" w:right="1134" w:bottom="1258" w:left="1134" w:header="720" w:footer="720" w:gutter="0"/>
          <w:pgNumType w:fmt="decimal"/>
          <w:cols w:space="720" w:num="1"/>
          <w:docGrid w:type="linesAndChars" w:linePitch="331" w:charSpace="0"/>
        </w:sectPr>
      </w:pPr>
      <w:r>
        <w:rPr>
          <w:rFonts w:hint="eastAsia" w:hAnsi="宋体" w:cs="宋体"/>
          <w:b/>
          <w:color w:val="auto"/>
          <w:szCs w:val="21"/>
          <w:highlight w:val="none"/>
        </w:rPr>
        <w:t>附：委托代理人身份证正反面复印件</w:t>
      </w:r>
    </w:p>
    <w:p w14:paraId="5FD8361C">
      <w:pPr>
        <w:spacing w:line="440" w:lineRule="atLeast"/>
        <w:outlineLvl w:val="3"/>
        <w:rPr>
          <w:rFonts w:ascii="宋体" w:hAnsi="宋体" w:cs="宋体"/>
          <w:b/>
          <w:color w:val="auto"/>
          <w:sz w:val="28"/>
          <w:szCs w:val="28"/>
          <w:highlight w:val="none"/>
        </w:rPr>
      </w:pPr>
      <w:r>
        <w:rPr>
          <w:rFonts w:hint="eastAsia" w:ascii="宋体" w:hAnsi="宋体" w:cs="宋体"/>
          <w:b/>
          <w:color w:val="auto"/>
          <w:sz w:val="28"/>
          <w:szCs w:val="28"/>
          <w:highlight w:val="none"/>
        </w:rPr>
        <w:t>3.供应商参加政府采购活动前3年内在经营活动中没有重大违法记录及有关信用信息的书面声明（必须提供）；</w:t>
      </w:r>
    </w:p>
    <w:p w14:paraId="46FBC567">
      <w:pPr>
        <w:pStyle w:val="15"/>
        <w:spacing w:line="400" w:lineRule="exact"/>
        <w:ind w:left="420" w:leftChars="200" w:firstLine="156" w:firstLineChars="49"/>
        <w:rPr>
          <w:rFonts w:hAnsi="宋体" w:cs="宋体"/>
          <w:b/>
          <w:color w:val="auto"/>
          <w:sz w:val="32"/>
          <w:szCs w:val="32"/>
          <w:highlight w:val="none"/>
        </w:rPr>
      </w:pPr>
      <w:r>
        <w:rPr>
          <w:rFonts w:hint="eastAsia" w:hAnsi="宋体" w:cs="宋体"/>
          <w:b/>
          <w:color w:val="auto"/>
          <w:sz w:val="32"/>
          <w:szCs w:val="32"/>
          <w:highlight w:val="none"/>
        </w:rPr>
        <w:t xml:space="preserve">                       </w:t>
      </w:r>
    </w:p>
    <w:p w14:paraId="6D22C34A">
      <w:pPr>
        <w:pStyle w:val="15"/>
        <w:spacing w:line="400" w:lineRule="exact"/>
        <w:rPr>
          <w:rFonts w:hAnsi="宋体" w:cs="宋体"/>
          <w:b/>
          <w:color w:val="auto"/>
          <w:sz w:val="32"/>
          <w:szCs w:val="32"/>
          <w:highlight w:val="none"/>
        </w:rPr>
      </w:pPr>
      <w:r>
        <w:rPr>
          <w:rFonts w:hint="eastAsia" w:hAnsi="宋体" w:cs="宋体"/>
          <w:b/>
          <w:color w:val="auto"/>
          <w:sz w:val="32"/>
          <w:szCs w:val="32"/>
          <w:highlight w:val="none"/>
        </w:rPr>
        <w:t>附件：</w:t>
      </w:r>
    </w:p>
    <w:p w14:paraId="2ADB4085">
      <w:pPr>
        <w:pStyle w:val="15"/>
        <w:spacing w:line="400" w:lineRule="exact"/>
        <w:jc w:val="center"/>
        <w:rPr>
          <w:rFonts w:hAnsi="宋体" w:cs="宋体"/>
          <w:b/>
          <w:color w:val="auto"/>
          <w:sz w:val="32"/>
          <w:szCs w:val="32"/>
          <w:highlight w:val="none"/>
        </w:rPr>
      </w:pPr>
      <w:bookmarkStart w:id="209" w:name="_Toc30890_WPSOffice_Level1"/>
      <w:bookmarkStart w:id="210" w:name="_Toc30304_WPSOffice_Level1"/>
      <w:r>
        <w:rPr>
          <w:rFonts w:hint="eastAsia" w:hAnsi="宋体" w:cs="宋体"/>
          <w:b/>
          <w:color w:val="auto"/>
          <w:sz w:val="32"/>
          <w:szCs w:val="32"/>
          <w:highlight w:val="none"/>
        </w:rPr>
        <w:t>声   明</w:t>
      </w:r>
      <w:bookmarkEnd w:id="209"/>
      <w:bookmarkEnd w:id="210"/>
    </w:p>
    <w:p w14:paraId="7B0FF98B">
      <w:pPr>
        <w:pStyle w:val="15"/>
        <w:spacing w:line="400" w:lineRule="exact"/>
        <w:rPr>
          <w:rFonts w:hAnsi="宋体" w:cs="宋体"/>
          <w:b/>
          <w:color w:val="auto"/>
          <w:sz w:val="32"/>
          <w:szCs w:val="32"/>
          <w:highlight w:val="none"/>
        </w:rPr>
      </w:pPr>
    </w:p>
    <w:p w14:paraId="20534693">
      <w:pPr>
        <w:pStyle w:val="15"/>
        <w:spacing w:line="400" w:lineRule="exact"/>
        <w:rPr>
          <w:rFonts w:hAnsi="宋体" w:cs="宋体"/>
          <w:color w:val="auto"/>
          <w:szCs w:val="21"/>
          <w:highlight w:val="none"/>
          <w:u w:val="single"/>
        </w:rPr>
      </w:pPr>
      <w:r>
        <w:rPr>
          <w:rFonts w:hint="eastAsia" w:hAnsi="宋体" w:cs="宋体"/>
          <w:b/>
          <w:color w:val="auto"/>
          <w:szCs w:val="21"/>
          <w:highlight w:val="none"/>
        </w:rPr>
        <w:t>致</w:t>
      </w:r>
      <w:r>
        <w:rPr>
          <w:rFonts w:hint="eastAsia" w:hAnsi="宋体" w:cs="宋体"/>
          <w:color w:val="auto"/>
          <w:szCs w:val="21"/>
          <w:highlight w:val="none"/>
        </w:rPr>
        <w:t>：</w:t>
      </w:r>
      <w:r>
        <w:rPr>
          <w:rFonts w:hint="eastAsia" w:hAnsi="宋体" w:cs="宋体"/>
          <w:color w:val="auto"/>
          <w:szCs w:val="21"/>
          <w:highlight w:val="none"/>
          <w:u w:val="single"/>
        </w:rPr>
        <w:t xml:space="preserve"> 广西天罡工程项目管理有限公司 </w:t>
      </w:r>
    </w:p>
    <w:p w14:paraId="348EB02F">
      <w:pPr>
        <w:rPr>
          <w:rFonts w:ascii="宋体" w:hAnsi="宋体" w:cs="宋体"/>
          <w:color w:val="auto"/>
          <w:szCs w:val="21"/>
          <w:highlight w:val="none"/>
          <w:u w:val="single"/>
        </w:rPr>
      </w:pPr>
    </w:p>
    <w:p w14:paraId="1156BCEA">
      <w:pPr>
        <w:pStyle w:val="10"/>
        <w:rPr>
          <w:rFonts w:ascii="宋体" w:hAnsi="宋体" w:cs="宋体"/>
          <w:color w:val="auto"/>
          <w:highlight w:val="none"/>
        </w:rPr>
      </w:pPr>
    </w:p>
    <w:p w14:paraId="3881C4AA">
      <w:pPr>
        <w:pStyle w:val="15"/>
        <w:spacing w:line="400" w:lineRule="exact"/>
        <w:ind w:firstLine="420" w:firstLineChars="200"/>
        <w:rPr>
          <w:rFonts w:hAnsi="宋体" w:cs="宋体"/>
          <w:color w:val="auto"/>
          <w:highlight w:val="none"/>
        </w:rPr>
      </w:pPr>
      <w:r>
        <w:rPr>
          <w:rFonts w:hint="eastAsia" w:hAnsi="宋体" w:cs="宋体"/>
          <w:color w:val="auto"/>
          <w:highlight w:val="none"/>
        </w:rPr>
        <w:t>我（公司）郑重声明，在参加本项目政府采购活动前3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14E00F5C">
      <w:pPr>
        <w:rPr>
          <w:rFonts w:ascii="宋体" w:hAnsi="宋体" w:cs="宋体"/>
          <w:color w:val="auto"/>
          <w:highlight w:val="none"/>
        </w:rPr>
      </w:pPr>
    </w:p>
    <w:p w14:paraId="4C606EE8">
      <w:pPr>
        <w:snapToGrid w:val="0"/>
        <w:spacing w:line="400" w:lineRule="exact"/>
        <w:ind w:firstLine="1890" w:firstLineChars="900"/>
        <w:rPr>
          <w:rFonts w:ascii="宋体" w:hAnsi="宋体" w:cs="宋体"/>
          <w:color w:val="auto"/>
          <w:highlight w:val="none"/>
        </w:rPr>
      </w:pPr>
      <w:r>
        <w:rPr>
          <w:rFonts w:hint="eastAsia" w:ascii="宋体" w:hAnsi="宋体" w:cs="宋体"/>
          <w:color w:val="auto"/>
          <w:szCs w:val="21"/>
          <w:highlight w:val="none"/>
        </w:rPr>
        <w:t>磋商供应商[(CA证书签章)，自然人签字或个人CA证书签章]：</w:t>
      </w:r>
      <w:r>
        <w:rPr>
          <w:rFonts w:hint="eastAsia" w:ascii="宋体" w:hAnsi="宋体" w:cs="宋体"/>
          <w:color w:val="auto"/>
          <w:szCs w:val="21"/>
          <w:highlight w:val="none"/>
          <w:u w:val="single"/>
        </w:rPr>
        <w:t xml:space="preserve">                                         </w:t>
      </w:r>
    </w:p>
    <w:p w14:paraId="2082D67B">
      <w:pPr>
        <w:pStyle w:val="15"/>
        <w:ind w:firstLine="3990" w:firstLineChars="1900"/>
        <w:rPr>
          <w:rFonts w:hAnsi="宋体" w:cs="宋体"/>
          <w:color w:val="auto"/>
          <w:highlight w:val="none"/>
          <w:u w:val="single"/>
        </w:rPr>
        <w:sectPr>
          <w:pgSz w:w="11906" w:h="16838"/>
          <w:pgMar w:top="1500" w:right="1134" w:bottom="1258" w:left="1134" w:header="850" w:footer="992" w:gutter="0"/>
          <w:pgNumType w:fmt="decimal"/>
          <w:cols w:space="720" w:num="1"/>
          <w:docGrid w:type="linesAndChars" w:linePitch="331" w:charSpace="0"/>
        </w:sectPr>
      </w:pPr>
      <w:r>
        <w:rPr>
          <w:rFonts w:hint="eastAsia" w:hAnsi="宋体" w:cs="宋体"/>
          <w:color w:val="auto"/>
          <w:highlight w:val="none"/>
        </w:rPr>
        <w:t>日          期：</w:t>
      </w:r>
      <w:r>
        <w:rPr>
          <w:rFonts w:hint="eastAsia" w:hAnsi="宋体" w:cs="宋体"/>
          <w:color w:val="auto"/>
          <w:highlight w:val="none"/>
          <w:u w:val="single"/>
        </w:rPr>
        <w:t xml:space="preserve">                  </w:t>
      </w:r>
    </w:p>
    <w:p w14:paraId="518C7736">
      <w:pPr>
        <w:pStyle w:val="15"/>
        <w:outlineLvl w:val="3"/>
        <w:rPr>
          <w:rFonts w:hAnsi="宋体" w:cs="宋体"/>
          <w:b/>
          <w:color w:val="auto"/>
          <w:sz w:val="28"/>
          <w:szCs w:val="28"/>
          <w:highlight w:val="none"/>
        </w:rPr>
      </w:pPr>
      <w:r>
        <w:rPr>
          <w:rFonts w:hint="eastAsia" w:hAnsi="宋体" w:cs="宋体"/>
          <w:b/>
          <w:color w:val="auto"/>
          <w:sz w:val="28"/>
          <w:szCs w:val="28"/>
          <w:highlight w:val="none"/>
        </w:rPr>
        <w:t>4.供应商的法人或者其他组织营业执照等证明文件复印件（必须提供，自然人除外）；</w:t>
      </w:r>
    </w:p>
    <w:p w14:paraId="5089BCA3">
      <w:pPr>
        <w:tabs>
          <w:tab w:val="left" w:pos="1305"/>
        </w:tabs>
        <w:spacing w:line="340" w:lineRule="exact"/>
        <w:rPr>
          <w:rFonts w:ascii="宋体" w:hAnsi="宋体" w:cs="宋体"/>
          <w:b/>
          <w:color w:val="auto"/>
          <w:szCs w:val="21"/>
          <w:highlight w:val="none"/>
        </w:rPr>
      </w:pPr>
    </w:p>
    <w:p w14:paraId="6725633D">
      <w:pPr>
        <w:tabs>
          <w:tab w:val="left" w:pos="1305"/>
        </w:tabs>
        <w:spacing w:line="400" w:lineRule="exact"/>
        <w:rPr>
          <w:rFonts w:ascii="宋体" w:hAnsi="宋体" w:cs="宋体"/>
          <w:b/>
          <w:color w:val="auto"/>
          <w:szCs w:val="21"/>
          <w:highlight w:val="none"/>
        </w:rPr>
      </w:pPr>
      <w:r>
        <w:rPr>
          <w:rFonts w:hint="eastAsia" w:ascii="宋体" w:hAnsi="宋体" w:cs="宋体"/>
          <w:b/>
          <w:color w:val="auto"/>
          <w:szCs w:val="21"/>
          <w:highlight w:val="none"/>
        </w:rPr>
        <w:t>注：①法人包括企业法人、机关法人、事业单位法人和社会团体法人；其他组织主要包括合伙企业、非企业专业服务机构、个体工商户、农村承包经营户。②如供应商为企业（包括合伙企业），应提供工商部门注册的有效“企业法人营业执照”或“营业执照”；供应商为事业单位，应提供有效的“事业单位法人证书”；供应商为非企业专业服务机构的，应提供执业许可证等证明文件；供应商为个体工商户，应提供有效的“个体工商户营业执照”。</w:t>
      </w:r>
    </w:p>
    <w:p w14:paraId="0250899D">
      <w:pPr>
        <w:rPr>
          <w:rFonts w:ascii="宋体" w:hAnsi="宋体" w:cs="宋体"/>
          <w:b/>
          <w:bCs/>
          <w:color w:val="auto"/>
          <w:sz w:val="28"/>
          <w:szCs w:val="28"/>
          <w:highlight w:val="none"/>
        </w:rPr>
      </w:pPr>
    </w:p>
    <w:p w14:paraId="41DB6B81">
      <w:pPr>
        <w:rPr>
          <w:rFonts w:hint="eastAsia" w:hAnsi="宋体" w:cs="宋体"/>
          <w:b/>
          <w:color w:val="auto"/>
          <w:sz w:val="28"/>
          <w:szCs w:val="28"/>
          <w:highlight w:val="none"/>
          <w:lang w:val="en-US" w:eastAsia="zh-CN"/>
        </w:rPr>
      </w:pPr>
    </w:p>
    <w:p w14:paraId="162D224E">
      <w:pPr>
        <w:tabs>
          <w:tab w:val="left" w:pos="4860"/>
        </w:tabs>
        <w:spacing w:line="588" w:lineRule="exact"/>
        <w:ind w:right="1560" w:firstLine="624" w:firstLineChars="200"/>
        <w:jc w:val="center"/>
        <w:rPr>
          <w:rFonts w:asciiTheme="minorEastAsia" w:hAnsiTheme="minorEastAsia" w:eastAsiaTheme="minorEastAsia"/>
          <w:color w:val="auto"/>
          <w:spacing w:val="6"/>
          <w:sz w:val="30"/>
          <w:szCs w:val="30"/>
          <w:highlight w:val="none"/>
        </w:rPr>
      </w:pPr>
    </w:p>
    <w:p w14:paraId="43EC1CE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bCs/>
          <w:color w:val="auto"/>
          <w:sz w:val="28"/>
          <w:szCs w:val="28"/>
          <w:highlight w:val="none"/>
          <w:lang w:val="en-US" w:eastAsia="zh-CN"/>
        </w:rPr>
      </w:pPr>
    </w:p>
    <w:p w14:paraId="57E89E76">
      <w:pPr>
        <w:pStyle w:val="39"/>
        <w:ind w:firstLine="562"/>
        <w:rPr>
          <w:rFonts w:cs="宋体"/>
          <w:b/>
          <w:bCs/>
          <w:color w:val="auto"/>
          <w:sz w:val="28"/>
          <w:szCs w:val="28"/>
          <w:highlight w:val="none"/>
        </w:rPr>
      </w:pPr>
    </w:p>
    <w:p w14:paraId="2B87A4F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bCs/>
          <w:color w:val="auto"/>
          <w:sz w:val="28"/>
          <w:szCs w:val="28"/>
          <w:highlight w:val="none"/>
          <w:lang w:val="en-US" w:eastAsia="zh-CN"/>
        </w:rPr>
      </w:pPr>
    </w:p>
    <w:p w14:paraId="1CE26C0C">
      <w:pPr>
        <w:pStyle w:val="15"/>
        <w:outlineLvl w:val="3"/>
        <w:rPr>
          <w:rFonts w:hint="eastAsia" w:hAnsi="宋体" w:cs="宋体"/>
          <w:b/>
          <w:color w:val="auto"/>
          <w:sz w:val="28"/>
          <w:szCs w:val="28"/>
          <w:highlight w:val="none"/>
        </w:rPr>
      </w:pPr>
      <w:r>
        <w:rPr>
          <w:rFonts w:hint="eastAsia" w:ascii="宋体" w:hAnsi="宋体" w:cs="宋体"/>
          <w:b/>
          <w:bCs/>
          <w:color w:val="auto"/>
          <w:sz w:val="32"/>
          <w:szCs w:val="32"/>
          <w:highlight w:val="none"/>
        </w:rPr>
        <w:br w:type="page"/>
      </w:r>
      <w:r>
        <w:rPr>
          <w:rFonts w:hint="eastAsia" w:hAnsi="宋体" w:cs="宋体"/>
          <w:b/>
          <w:bCs/>
          <w:color w:val="auto"/>
          <w:sz w:val="32"/>
          <w:szCs w:val="32"/>
          <w:highlight w:val="none"/>
          <w:lang w:val="en-US" w:eastAsia="zh-CN"/>
        </w:rPr>
        <w:t>5</w:t>
      </w:r>
      <w:r>
        <w:rPr>
          <w:rFonts w:hint="eastAsia" w:hAnsi="宋体" w:cs="宋体"/>
          <w:b/>
          <w:color w:val="auto"/>
          <w:sz w:val="28"/>
          <w:szCs w:val="28"/>
          <w:highlight w:val="none"/>
        </w:rPr>
        <w:t>.</w:t>
      </w:r>
      <w:r>
        <w:rPr>
          <w:rFonts w:hint="eastAsia" w:hAnsi="宋体" w:cs="宋体"/>
          <w:b/>
          <w:color w:val="auto"/>
          <w:sz w:val="28"/>
          <w:szCs w:val="28"/>
          <w:highlight w:val="none"/>
          <w:lang w:eastAsia="zh-CN"/>
        </w:rPr>
        <w:t>联合体协议书</w:t>
      </w:r>
      <w:r>
        <w:rPr>
          <w:rFonts w:hint="eastAsia" w:hAnsi="宋体" w:cs="宋体"/>
          <w:b/>
          <w:color w:val="auto"/>
          <w:sz w:val="28"/>
          <w:szCs w:val="28"/>
          <w:highlight w:val="none"/>
        </w:rPr>
        <w:t>（</w:t>
      </w:r>
      <w:r>
        <w:rPr>
          <w:rFonts w:hint="eastAsia" w:hAnsi="宋体" w:cs="宋体"/>
          <w:b/>
          <w:color w:val="auto"/>
          <w:sz w:val="28"/>
          <w:szCs w:val="28"/>
          <w:highlight w:val="none"/>
          <w:lang w:val="en-US" w:eastAsia="zh-CN"/>
        </w:rPr>
        <w:t>以联合体形式参与竞争的</w:t>
      </w:r>
      <w:r>
        <w:rPr>
          <w:rFonts w:hint="eastAsia" w:hAnsi="宋体" w:cs="宋体"/>
          <w:b/>
          <w:color w:val="auto"/>
          <w:sz w:val="28"/>
          <w:szCs w:val="28"/>
          <w:highlight w:val="none"/>
        </w:rPr>
        <w:t>必须提供）；</w:t>
      </w:r>
    </w:p>
    <w:p w14:paraId="6AF0B5F1">
      <w:pPr>
        <w:pStyle w:val="15"/>
        <w:spacing w:line="600" w:lineRule="exact"/>
        <w:jc w:val="center"/>
        <w:rPr>
          <w:rFonts w:hint="eastAsia" w:ascii="Times New Roman" w:hAnsi="Times New Roman"/>
          <w:color w:val="auto"/>
          <w:highlight w:val="none"/>
        </w:rPr>
      </w:pPr>
      <w:r>
        <w:rPr>
          <w:rFonts w:hint="eastAsia" w:ascii="Times New Roman" w:hAnsi="Times New Roman"/>
          <w:b/>
          <w:bCs/>
          <w:color w:val="auto"/>
          <w:sz w:val="30"/>
          <w:szCs w:val="30"/>
          <w:highlight w:val="none"/>
        </w:rPr>
        <w:t>联合体协议书</w:t>
      </w:r>
    </w:p>
    <w:p w14:paraId="3E61CFA8">
      <w:pPr>
        <w:autoSpaceDE w:val="0"/>
        <w:autoSpaceDN w:val="0"/>
        <w:adjustRightInd w:val="0"/>
        <w:spacing w:line="360" w:lineRule="auto"/>
        <w:jc w:val="left"/>
        <w:rPr>
          <w:rFonts w:ascii="宋体" w:cs="宋体"/>
          <w:color w:val="auto"/>
          <w:kern w:val="0"/>
          <w:szCs w:val="21"/>
          <w:highlight w:val="none"/>
          <w:u w:val="single"/>
        </w:rPr>
      </w:pPr>
    </w:p>
    <w:p w14:paraId="35035612">
      <w:pPr>
        <w:autoSpaceDE w:val="0"/>
        <w:autoSpaceDN w:val="0"/>
        <w:adjustRightInd w:val="0"/>
        <w:spacing w:line="360" w:lineRule="auto"/>
        <w:jc w:val="left"/>
        <w:rPr>
          <w:rFonts w:hint="eastAsia" w:ascii="宋体" w:cs="宋体"/>
          <w:color w:val="auto"/>
          <w:kern w:val="0"/>
          <w:szCs w:val="21"/>
          <w:highlight w:val="none"/>
        </w:rPr>
      </w:pP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（所有成员单位名称）自愿组成联合体，共同参加</w:t>
      </w:r>
      <w:r>
        <w:rPr>
          <w:rFonts w:hint="eastAsia" w:ascii="宋体" w:cs="宋体"/>
          <w:color w:val="auto"/>
          <w:kern w:val="0"/>
          <w:szCs w:val="21"/>
          <w:highlight w:val="none"/>
          <w:u w:val="single"/>
        </w:rPr>
        <w:t xml:space="preserve">     （采购代理机构名称）  </w:t>
      </w:r>
      <w:r>
        <w:rPr>
          <w:rFonts w:hint="eastAsia" w:ascii="宋体" w:cs="宋体"/>
          <w:color w:val="auto"/>
          <w:kern w:val="0"/>
          <w:szCs w:val="21"/>
          <w:highlight w:val="none"/>
        </w:rPr>
        <w:t>组织的</w:t>
      </w:r>
      <w:r>
        <w:rPr>
          <w:rFonts w:hint="eastAsia" w:ascii="宋体" w:cs="宋体"/>
          <w:color w:val="auto"/>
          <w:kern w:val="0"/>
          <w:szCs w:val="21"/>
          <w:highlight w:val="none"/>
          <w:u w:val="single"/>
        </w:rPr>
        <w:t xml:space="preserve">         （项目名称）      </w:t>
      </w:r>
      <w:r>
        <w:rPr>
          <w:rFonts w:hint="eastAsia" w:ascii="宋体" w:cs="宋体"/>
          <w:color w:val="auto"/>
          <w:kern w:val="0"/>
          <w:szCs w:val="21"/>
          <w:highlight w:val="none"/>
        </w:rPr>
        <w:t>（项目编号：</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u w:val="single"/>
          <w:lang w:val="en-US" w:eastAsia="zh-CN"/>
        </w:rPr>
        <w:t xml:space="preserve">          </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）投标。现就联合体投标事宜订立如下协议：</w:t>
      </w:r>
    </w:p>
    <w:p w14:paraId="4C5838AC">
      <w:pPr>
        <w:numPr>
          <w:ilvl w:val="0"/>
          <w:numId w:val="11"/>
        </w:numPr>
        <w:autoSpaceDE w:val="0"/>
        <w:autoSpaceDN w:val="0"/>
        <w:adjustRightIn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u w:val="single"/>
          <w:lang w:val="en-US" w:eastAsia="zh-CN"/>
        </w:rPr>
        <w:t xml:space="preserve">                                    </w:t>
      </w:r>
      <w:r>
        <w:rPr>
          <w:rFonts w:hint="eastAsia" w:ascii="宋体" w:hAnsi="宋体" w:cs="宋体"/>
          <w:color w:val="auto"/>
          <w:kern w:val="0"/>
          <w:szCs w:val="21"/>
          <w:highlight w:val="none"/>
        </w:rPr>
        <w:t>（某成员单位名称）为联合体名称牵头人。</w:t>
      </w:r>
    </w:p>
    <w:p w14:paraId="3EBF9C21">
      <w:pPr>
        <w:autoSpaceDE w:val="0"/>
        <w:autoSpaceDN w:val="0"/>
        <w:adjustRightInd w:val="0"/>
        <w:spacing w:line="360" w:lineRule="auto"/>
        <w:ind w:firstLine="420"/>
        <w:jc w:val="left"/>
        <w:rPr>
          <w:rFonts w:hint="eastAsia" w:ascii="宋体" w:hAnsi="宋体" w:cs="宋体"/>
          <w:color w:val="auto"/>
          <w:kern w:val="0"/>
          <w:szCs w:val="21"/>
          <w:highlight w:val="none"/>
        </w:rPr>
      </w:pPr>
      <w:r>
        <w:rPr>
          <w:rFonts w:hint="eastAsia" w:ascii="宋体" w:hAnsi="宋体" w:cs="TimesNewRomanPSMT"/>
          <w:color w:val="auto"/>
          <w:kern w:val="0"/>
          <w:szCs w:val="21"/>
          <w:highlight w:val="none"/>
        </w:rPr>
        <w:t>2</w:t>
      </w:r>
      <w:r>
        <w:rPr>
          <w:rFonts w:hint="eastAsia" w:ascii="宋体" w:hAnsi="宋体" w:cs="宋体"/>
          <w:color w:val="auto"/>
          <w:kern w:val="0"/>
          <w:szCs w:val="21"/>
          <w:highlight w:val="none"/>
        </w:rPr>
        <w:t>、联合体牵头人合法代表联合体各成员负责本</w:t>
      </w:r>
      <w:r>
        <w:rPr>
          <w:rFonts w:hint="eastAsia" w:ascii="宋体" w:hAnsi="宋体" w:cs="宋体"/>
          <w:color w:val="auto"/>
          <w:kern w:val="0"/>
          <w:szCs w:val="21"/>
          <w:highlight w:val="none"/>
          <w:lang w:eastAsia="zh-CN"/>
        </w:rPr>
        <w:t>采购</w:t>
      </w:r>
      <w:r>
        <w:rPr>
          <w:rFonts w:hint="eastAsia" w:ascii="宋体" w:hAnsi="宋体" w:cs="宋体"/>
          <w:color w:val="auto"/>
          <w:kern w:val="0"/>
          <w:szCs w:val="21"/>
          <w:highlight w:val="none"/>
        </w:rPr>
        <w:t>项目</w:t>
      </w:r>
      <w:r>
        <w:rPr>
          <w:rFonts w:hint="eastAsia" w:ascii="宋体" w:hAnsi="宋体" w:cs="宋体"/>
          <w:color w:val="auto"/>
          <w:kern w:val="0"/>
          <w:szCs w:val="21"/>
          <w:highlight w:val="none"/>
          <w:lang w:eastAsia="zh-CN"/>
        </w:rPr>
        <w:t>响应</w:t>
      </w:r>
      <w:r>
        <w:rPr>
          <w:rFonts w:hint="eastAsia" w:ascii="宋体" w:hAnsi="宋体" w:cs="宋体"/>
          <w:color w:val="auto"/>
          <w:kern w:val="0"/>
          <w:szCs w:val="21"/>
          <w:highlight w:val="none"/>
        </w:rPr>
        <w:t>文件编制和合同谈判活动，并代表联合体提交和接收相关的资料、信息及指示，并处理与之有关的一切事务，负责合同实施阶段的主办、组织和协调工作。</w:t>
      </w:r>
    </w:p>
    <w:p w14:paraId="40570DFE">
      <w:pPr>
        <w:autoSpaceDE w:val="0"/>
        <w:autoSpaceDN w:val="0"/>
        <w:adjustRightIn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3、联合体牵头人在本项目中签署和盖章的一切文件和处理的一切事宜，联合体各成员均予以承认。联合体各成员将严格按照</w:t>
      </w:r>
      <w:r>
        <w:rPr>
          <w:rFonts w:hint="eastAsia" w:ascii="宋体" w:hAnsi="宋体" w:cs="宋体"/>
          <w:color w:val="auto"/>
          <w:kern w:val="0"/>
          <w:szCs w:val="21"/>
          <w:highlight w:val="none"/>
          <w:lang w:eastAsia="zh-CN"/>
        </w:rPr>
        <w:t>采购</w:t>
      </w:r>
      <w:r>
        <w:rPr>
          <w:rFonts w:hint="eastAsia" w:ascii="宋体" w:hAnsi="宋体" w:cs="宋体"/>
          <w:color w:val="auto"/>
          <w:kern w:val="0"/>
          <w:szCs w:val="21"/>
          <w:highlight w:val="none"/>
        </w:rPr>
        <w:t>文件、</w:t>
      </w:r>
      <w:r>
        <w:rPr>
          <w:rFonts w:hint="eastAsia" w:ascii="宋体" w:hAnsi="宋体" w:cs="宋体"/>
          <w:color w:val="auto"/>
          <w:kern w:val="0"/>
          <w:szCs w:val="21"/>
          <w:highlight w:val="none"/>
          <w:lang w:eastAsia="zh-CN"/>
        </w:rPr>
        <w:t>响应</w:t>
      </w:r>
      <w:r>
        <w:rPr>
          <w:rFonts w:hint="eastAsia" w:ascii="宋体" w:hAnsi="宋体" w:cs="宋体"/>
          <w:color w:val="auto"/>
          <w:kern w:val="0"/>
          <w:szCs w:val="21"/>
          <w:highlight w:val="none"/>
        </w:rPr>
        <w:t>文件和合同的要求全面履行义务，并向</w:t>
      </w:r>
      <w:r>
        <w:rPr>
          <w:rFonts w:hint="eastAsia" w:ascii="宋体" w:hAnsi="宋体" w:cs="宋体"/>
          <w:color w:val="auto"/>
          <w:kern w:val="0"/>
          <w:szCs w:val="21"/>
          <w:highlight w:val="none"/>
          <w:lang w:eastAsia="zh-CN"/>
        </w:rPr>
        <w:t>采购</w:t>
      </w:r>
      <w:r>
        <w:rPr>
          <w:rFonts w:hint="eastAsia" w:ascii="宋体" w:hAnsi="宋体" w:cs="宋体"/>
          <w:color w:val="auto"/>
          <w:kern w:val="0"/>
          <w:szCs w:val="21"/>
          <w:highlight w:val="none"/>
        </w:rPr>
        <w:t>人承担连带责任。</w:t>
      </w:r>
    </w:p>
    <w:p w14:paraId="3A268706">
      <w:pPr>
        <w:autoSpaceDE w:val="0"/>
        <w:autoSpaceDN w:val="0"/>
        <w:adjustRightInd w:val="0"/>
        <w:spacing w:line="360" w:lineRule="auto"/>
        <w:ind w:firstLine="420"/>
        <w:jc w:val="left"/>
        <w:rPr>
          <w:rFonts w:hint="eastAsia" w:ascii="宋体" w:hAnsi="宋体" w:cs="宋体"/>
          <w:color w:val="auto"/>
          <w:kern w:val="0"/>
          <w:szCs w:val="21"/>
          <w:highlight w:val="none"/>
        </w:rPr>
      </w:pPr>
      <w:r>
        <w:rPr>
          <w:rFonts w:hint="eastAsia" w:ascii="宋体" w:hAnsi="宋体" w:cs="TimesNewRomanPSMT"/>
          <w:color w:val="auto"/>
          <w:kern w:val="0"/>
          <w:szCs w:val="21"/>
          <w:highlight w:val="none"/>
        </w:rPr>
        <w:t>4</w:t>
      </w:r>
      <w:r>
        <w:rPr>
          <w:rFonts w:hint="eastAsia" w:ascii="宋体" w:hAnsi="宋体" w:cs="宋体"/>
          <w:color w:val="auto"/>
          <w:kern w:val="0"/>
          <w:szCs w:val="21"/>
          <w:highlight w:val="none"/>
        </w:rPr>
        <w:t>、联合体各成员单位内部的职责分工如下</w:t>
      </w:r>
      <w:r>
        <w:rPr>
          <w:rFonts w:hint="eastAsia" w:ascii="宋体" w:hAnsi="宋体" w:cs="宋体"/>
          <w:color w:val="auto"/>
          <w:kern w:val="0"/>
          <w:szCs w:val="21"/>
          <w:highlight w:val="none"/>
          <w:u w:val="single"/>
        </w:rPr>
        <w:t>：</w:t>
      </w:r>
      <w:r>
        <w:rPr>
          <w:rFonts w:hint="eastAsia" w:ascii="宋体" w:hAnsi="宋体" w:cs="宋体"/>
          <w:color w:val="auto"/>
          <w:kern w:val="0"/>
          <w:szCs w:val="21"/>
          <w:highlight w:val="none"/>
          <w:u w:val="single"/>
          <w:lang w:val="en-US" w:eastAsia="zh-CN"/>
        </w:rPr>
        <w:t xml:space="preserve">                                  </w:t>
      </w:r>
      <w:r>
        <w:rPr>
          <w:rFonts w:hint="eastAsia" w:ascii="宋体" w:hAnsi="宋体" w:cs="宋体"/>
          <w:color w:val="auto"/>
          <w:kern w:val="0"/>
          <w:szCs w:val="21"/>
          <w:highlight w:val="none"/>
        </w:rPr>
        <w:t>。</w:t>
      </w:r>
    </w:p>
    <w:p w14:paraId="0DDA51FD">
      <w:pPr>
        <w:pStyle w:val="15"/>
        <w:spacing w:line="360" w:lineRule="auto"/>
        <w:ind w:firstLine="420" w:firstLineChars="200"/>
        <w:rPr>
          <w:rFonts w:hint="eastAsia" w:ascii="Times New Roman" w:hAnsi="Times New Roman"/>
          <w:color w:val="auto"/>
          <w:szCs w:val="21"/>
          <w:highlight w:val="none"/>
        </w:rPr>
      </w:pPr>
      <w:r>
        <w:rPr>
          <w:rFonts w:hint="eastAsia" w:hAnsi="宋体" w:cs="宋体"/>
          <w:color w:val="auto"/>
          <w:kern w:val="0"/>
          <w:highlight w:val="none"/>
        </w:rPr>
        <w:t>5、本联合体中</w:t>
      </w:r>
      <w:r>
        <w:rPr>
          <w:rFonts w:hint="eastAsia" w:hAnsi="宋体" w:cs="宋体"/>
          <w:color w:val="auto"/>
          <w:kern w:val="0"/>
          <w:highlight w:val="none"/>
          <w:u w:val="single"/>
        </w:rPr>
        <w:t>，</w:t>
      </w:r>
      <w:r>
        <w:rPr>
          <w:rFonts w:hint="eastAsia" w:hAnsi="宋体" w:cs="宋体"/>
          <w:color w:val="auto"/>
          <w:kern w:val="0"/>
          <w:highlight w:val="none"/>
          <w:u w:val="single"/>
          <w:lang w:val="en-US" w:eastAsia="zh-CN"/>
        </w:rPr>
        <w:t xml:space="preserve">                  </w:t>
      </w:r>
      <w:r>
        <w:rPr>
          <w:rFonts w:hint="eastAsia" w:hAnsi="宋体" w:cs="宋体"/>
          <w:color w:val="auto"/>
          <w:kern w:val="0"/>
          <w:highlight w:val="none"/>
          <w:u w:val="single"/>
        </w:rPr>
        <w:t>（某成员单位名称）为</w:t>
      </w:r>
      <w:r>
        <w:rPr>
          <w:rFonts w:hint="eastAsia" w:hAnsi="宋体" w:cs="宋体"/>
          <w:color w:val="auto"/>
          <w:kern w:val="0"/>
          <w:highlight w:val="none"/>
          <w:u w:val="single"/>
          <w:lang w:val="en-US" w:eastAsia="zh-CN"/>
        </w:rPr>
        <w:t xml:space="preserve">              </w:t>
      </w:r>
      <w:r>
        <w:rPr>
          <w:rFonts w:hint="eastAsia"/>
          <w:color w:val="auto"/>
          <w:highlight w:val="none"/>
        </w:rPr>
        <w:t>（请填写：中型、小型、微型）企业，其协议合同金额占联合体协议合同总金额的</w:t>
      </w:r>
      <w:r>
        <w:rPr>
          <w:rFonts w:hint="eastAsia"/>
          <w:color w:val="auto"/>
          <w:highlight w:val="none"/>
          <w:u w:val="single"/>
          <w:lang w:val="en-US" w:eastAsia="zh-CN"/>
        </w:rPr>
        <w:t xml:space="preserve">        </w:t>
      </w:r>
      <w:r>
        <w:rPr>
          <w:rFonts w:hint="eastAsia"/>
          <w:color w:val="auto"/>
          <w:highlight w:val="none"/>
        </w:rPr>
        <w:t>%。【如联合体成员中有小型、微型企业的，请填写此条，否则无需填写；如联合体成员中有多个小型、微型企业的，请逐一列出。】</w:t>
      </w:r>
    </w:p>
    <w:p w14:paraId="50A52C6B">
      <w:pPr>
        <w:autoSpaceDE w:val="0"/>
        <w:autoSpaceDN w:val="0"/>
        <w:adjustRightIn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rPr>
        <w:t>、本协议书自签署之日起生效，合同履行完毕后自动失效。</w:t>
      </w:r>
    </w:p>
    <w:p w14:paraId="519F498F">
      <w:pPr>
        <w:autoSpaceDE w:val="0"/>
        <w:autoSpaceDN w:val="0"/>
        <w:adjustRightInd w:val="0"/>
        <w:spacing w:line="360" w:lineRule="auto"/>
        <w:ind w:firstLine="420"/>
        <w:jc w:val="left"/>
        <w:rPr>
          <w:rFonts w:hint="eastAsia" w:ascii="宋体" w:hAnsi="宋体" w:cs="宋体"/>
          <w:color w:val="auto"/>
          <w:kern w:val="0"/>
          <w:szCs w:val="21"/>
          <w:highlight w:val="none"/>
        </w:rPr>
      </w:pPr>
      <w:r>
        <w:rPr>
          <w:rFonts w:hint="eastAsia" w:ascii="宋体" w:hAnsi="宋体" w:cs="TimesNewRomanPSMT"/>
          <w:color w:val="auto"/>
          <w:kern w:val="0"/>
          <w:szCs w:val="21"/>
          <w:highlight w:val="none"/>
          <w:lang w:val="en-US" w:eastAsia="zh-CN"/>
        </w:rPr>
        <w:t>7</w:t>
      </w:r>
      <w:r>
        <w:rPr>
          <w:rFonts w:hint="eastAsia" w:ascii="宋体" w:hAnsi="宋体" w:cs="宋体"/>
          <w:color w:val="auto"/>
          <w:kern w:val="0"/>
          <w:szCs w:val="21"/>
          <w:highlight w:val="none"/>
        </w:rPr>
        <w:t>、本协议书一式</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份，联合体成员和采购代理机构各执一份。</w:t>
      </w:r>
    </w:p>
    <w:p w14:paraId="00C3BCD8">
      <w:pPr>
        <w:autoSpaceDE w:val="0"/>
        <w:autoSpaceDN w:val="0"/>
        <w:adjustRightInd w:val="0"/>
        <w:spacing w:line="360" w:lineRule="auto"/>
        <w:ind w:firstLine="420"/>
        <w:jc w:val="left"/>
        <w:rPr>
          <w:rFonts w:hint="eastAsia" w:ascii="宋体" w:cs="宋体"/>
          <w:color w:val="auto"/>
          <w:kern w:val="0"/>
          <w:szCs w:val="21"/>
          <w:highlight w:val="none"/>
        </w:rPr>
      </w:pPr>
      <w:r>
        <w:rPr>
          <w:rFonts w:hint="eastAsia" w:ascii="宋体" w:cs="宋体"/>
          <w:color w:val="auto"/>
          <w:kern w:val="0"/>
          <w:szCs w:val="21"/>
          <w:highlight w:val="none"/>
        </w:rPr>
        <w:t>注：本协议书由法定代表人签字的，应附法定代表人身份证明；本协议书由委托代理人签字的，应附法定代表人授权委托书。</w:t>
      </w:r>
    </w:p>
    <w:p w14:paraId="4D2B7E7D">
      <w:pPr>
        <w:autoSpaceDE w:val="0"/>
        <w:autoSpaceDN w:val="0"/>
        <w:adjustRightInd w:val="0"/>
        <w:spacing w:line="360" w:lineRule="auto"/>
        <w:jc w:val="left"/>
        <w:rPr>
          <w:rFonts w:hint="eastAsia" w:ascii="宋体" w:cs="宋体"/>
          <w:color w:val="auto"/>
          <w:kern w:val="0"/>
          <w:szCs w:val="21"/>
          <w:highlight w:val="none"/>
        </w:rPr>
      </w:pPr>
      <w:r>
        <w:rPr>
          <w:rFonts w:hint="eastAsia" w:ascii="宋体" w:cs="宋体"/>
          <w:color w:val="auto"/>
          <w:kern w:val="0"/>
          <w:szCs w:val="21"/>
          <w:highlight w:val="none"/>
        </w:rPr>
        <w:t>牵头人名称：</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（公章/电子签章）</w:t>
      </w:r>
    </w:p>
    <w:p w14:paraId="3C8945B5">
      <w:pPr>
        <w:autoSpaceDE w:val="0"/>
        <w:autoSpaceDN w:val="0"/>
        <w:adjustRightInd w:val="0"/>
        <w:spacing w:line="360" w:lineRule="auto"/>
        <w:jc w:val="left"/>
        <w:rPr>
          <w:rFonts w:hint="eastAsia" w:ascii="宋体" w:cs="宋体"/>
          <w:color w:val="auto"/>
          <w:kern w:val="0"/>
          <w:szCs w:val="21"/>
          <w:highlight w:val="none"/>
        </w:rPr>
      </w:pPr>
      <w:r>
        <w:rPr>
          <w:rFonts w:hint="eastAsia" w:ascii="宋体" w:cs="宋体"/>
          <w:color w:val="auto"/>
          <w:kern w:val="0"/>
          <w:szCs w:val="21"/>
          <w:highlight w:val="none"/>
        </w:rPr>
        <w:t>法定代表人或其委托代理人：</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（手写签名/电子签名）</w:t>
      </w:r>
    </w:p>
    <w:p w14:paraId="128E87D5">
      <w:pPr>
        <w:autoSpaceDE w:val="0"/>
        <w:autoSpaceDN w:val="0"/>
        <w:adjustRightInd w:val="0"/>
        <w:spacing w:line="360" w:lineRule="auto"/>
        <w:jc w:val="left"/>
        <w:rPr>
          <w:rFonts w:hint="eastAsia" w:ascii="宋体" w:cs="宋体"/>
          <w:color w:val="auto"/>
          <w:kern w:val="0"/>
          <w:szCs w:val="21"/>
          <w:highlight w:val="none"/>
        </w:rPr>
      </w:pPr>
    </w:p>
    <w:p w14:paraId="0D348684">
      <w:pPr>
        <w:autoSpaceDE w:val="0"/>
        <w:autoSpaceDN w:val="0"/>
        <w:adjustRightInd w:val="0"/>
        <w:spacing w:line="360" w:lineRule="auto"/>
        <w:jc w:val="left"/>
        <w:rPr>
          <w:rFonts w:hint="eastAsia" w:ascii="宋体" w:cs="宋体"/>
          <w:color w:val="auto"/>
          <w:kern w:val="0"/>
          <w:szCs w:val="21"/>
          <w:highlight w:val="none"/>
        </w:rPr>
      </w:pPr>
      <w:r>
        <w:rPr>
          <w:rFonts w:hint="eastAsia" w:ascii="宋体" w:cs="宋体"/>
          <w:color w:val="auto"/>
          <w:kern w:val="0"/>
          <w:szCs w:val="21"/>
          <w:highlight w:val="none"/>
        </w:rPr>
        <w:t>成员一名称：</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（公章/电子签章）</w:t>
      </w:r>
    </w:p>
    <w:p w14:paraId="14E4A100">
      <w:pPr>
        <w:autoSpaceDE w:val="0"/>
        <w:autoSpaceDN w:val="0"/>
        <w:adjustRightInd w:val="0"/>
        <w:spacing w:line="360" w:lineRule="auto"/>
        <w:jc w:val="left"/>
        <w:rPr>
          <w:rFonts w:hint="eastAsia" w:ascii="宋体" w:cs="宋体"/>
          <w:color w:val="auto"/>
          <w:kern w:val="0"/>
          <w:szCs w:val="21"/>
          <w:highlight w:val="none"/>
        </w:rPr>
      </w:pPr>
      <w:r>
        <w:rPr>
          <w:rFonts w:hint="eastAsia" w:ascii="宋体" w:cs="宋体"/>
          <w:color w:val="auto"/>
          <w:kern w:val="0"/>
          <w:szCs w:val="21"/>
          <w:highlight w:val="none"/>
        </w:rPr>
        <w:t>法定代表人或其委托代理人：</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（手写签名/电子签名）</w:t>
      </w:r>
    </w:p>
    <w:p w14:paraId="33BCC596">
      <w:pPr>
        <w:autoSpaceDE w:val="0"/>
        <w:autoSpaceDN w:val="0"/>
        <w:adjustRightInd w:val="0"/>
        <w:spacing w:line="360" w:lineRule="auto"/>
        <w:jc w:val="left"/>
        <w:rPr>
          <w:rFonts w:hint="eastAsia" w:ascii="宋体" w:cs="宋体"/>
          <w:color w:val="auto"/>
          <w:kern w:val="0"/>
          <w:szCs w:val="21"/>
          <w:highlight w:val="none"/>
        </w:rPr>
      </w:pPr>
    </w:p>
    <w:p w14:paraId="1761AC6D">
      <w:pPr>
        <w:autoSpaceDE w:val="0"/>
        <w:autoSpaceDN w:val="0"/>
        <w:adjustRightInd w:val="0"/>
        <w:spacing w:line="360" w:lineRule="auto"/>
        <w:jc w:val="left"/>
        <w:rPr>
          <w:rFonts w:hint="eastAsia" w:ascii="宋体" w:cs="宋体"/>
          <w:color w:val="auto"/>
          <w:kern w:val="0"/>
          <w:szCs w:val="21"/>
          <w:highlight w:val="none"/>
        </w:rPr>
      </w:pPr>
      <w:r>
        <w:rPr>
          <w:rFonts w:hint="eastAsia" w:ascii="宋体" w:cs="宋体"/>
          <w:color w:val="auto"/>
          <w:kern w:val="0"/>
          <w:szCs w:val="21"/>
          <w:highlight w:val="none"/>
        </w:rPr>
        <w:t>成员二名称：</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（公章/电子签章）</w:t>
      </w:r>
    </w:p>
    <w:p w14:paraId="7E8D5CDB">
      <w:pPr>
        <w:pStyle w:val="15"/>
        <w:spacing w:line="600" w:lineRule="exact"/>
        <w:jc w:val="both"/>
        <w:rPr>
          <w:color w:val="auto"/>
          <w:highlight w:val="none"/>
        </w:rPr>
      </w:pPr>
      <w:r>
        <w:rPr>
          <w:rFonts w:hint="eastAsia" w:cs="宋体"/>
          <w:color w:val="auto"/>
          <w:kern w:val="0"/>
          <w:szCs w:val="21"/>
          <w:highlight w:val="none"/>
        </w:rPr>
        <w:t>法定代表人或其委托代理人：</w:t>
      </w:r>
      <w:r>
        <w:rPr>
          <w:rFonts w:hint="eastAsia" w:cs="宋体"/>
          <w:color w:val="auto"/>
          <w:kern w:val="0"/>
          <w:szCs w:val="21"/>
          <w:highlight w:val="none"/>
          <w:u w:val="single"/>
        </w:rPr>
        <w:t xml:space="preserve">                         </w:t>
      </w:r>
      <w:r>
        <w:rPr>
          <w:rFonts w:hint="eastAsia" w:cs="宋体"/>
          <w:color w:val="auto"/>
          <w:kern w:val="0"/>
          <w:szCs w:val="21"/>
          <w:highlight w:val="none"/>
        </w:rPr>
        <w:t>（</w:t>
      </w:r>
      <w:r>
        <w:rPr>
          <w:rFonts w:hint="eastAsia" w:hAnsi="Times New Roman" w:cs="宋体"/>
          <w:color w:val="auto"/>
          <w:kern w:val="0"/>
          <w:szCs w:val="21"/>
          <w:highlight w:val="none"/>
        </w:rPr>
        <w:t>手写签名</w:t>
      </w:r>
      <w:r>
        <w:rPr>
          <w:rFonts w:hint="eastAsia" w:cs="宋体"/>
          <w:color w:val="auto"/>
          <w:kern w:val="0"/>
          <w:szCs w:val="21"/>
          <w:highlight w:val="none"/>
        </w:rPr>
        <w:t>/</w:t>
      </w:r>
      <w:r>
        <w:rPr>
          <w:rFonts w:hint="eastAsia" w:hAnsi="Times New Roman" w:cs="宋体"/>
          <w:color w:val="auto"/>
          <w:kern w:val="0"/>
          <w:szCs w:val="21"/>
          <w:highlight w:val="none"/>
        </w:rPr>
        <w:t>电子签名</w:t>
      </w:r>
      <w:r>
        <w:rPr>
          <w:rFonts w:hint="eastAsia" w:cs="宋体"/>
          <w:color w:val="auto"/>
          <w:kern w:val="0"/>
          <w:szCs w:val="21"/>
          <w:highlight w:val="none"/>
        </w:rPr>
        <w:t>）</w:t>
      </w:r>
    </w:p>
    <w:p w14:paraId="5D2B7AAF">
      <w:pPr>
        <w:rPr>
          <w:rFonts w:hint="eastAsia" w:ascii="宋体" w:hAnsi="宋体" w:cs="宋体"/>
          <w:b/>
          <w:bCs/>
          <w:color w:val="auto"/>
          <w:sz w:val="21"/>
          <w:szCs w:val="21"/>
          <w:highlight w:val="none"/>
        </w:rPr>
      </w:pPr>
      <w:r>
        <w:rPr>
          <w:rFonts w:hint="eastAsia" w:ascii="宋体" w:hAnsi="宋体" w:cs="宋体"/>
          <w:b w:val="0"/>
          <w:bCs w:val="0"/>
          <w:color w:val="auto"/>
          <w:sz w:val="21"/>
          <w:szCs w:val="21"/>
          <w:highlight w:val="none"/>
          <w:lang w:eastAsia="zh-CN"/>
        </w:rPr>
        <w:t>…………</w:t>
      </w:r>
      <w:r>
        <w:rPr>
          <w:rFonts w:hint="eastAsia" w:ascii="宋体" w:hAnsi="宋体" w:cs="宋体"/>
          <w:b/>
          <w:bCs/>
          <w:color w:val="auto"/>
          <w:sz w:val="21"/>
          <w:szCs w:val="21"/>
          <w:highlight w:val="none"/>
        </w:rPr>
        <w:br w:type="page"/>
      </w:r>
    </w:p>
    <w:p w14:paraId="603974EC">
      <w:pPr>
        <w:ind w:left="420"/>
        <w:jc w:val="center"/>
        <w:outlineLvl w:val="2"/>
        <w:rPr>
          <w:rFonts w:ascii="宋体" w:hAnsi="宋体" w:cs="宋体"/>
          <w:b/>
          <w:bCs/>
          <w:color w:val="auto"/>
          <w:sz w:val="32"/>
          <w:szCs w:val="32"/>
          <w:highlight w:val="none"/>
        </w:rPr>
      </w:pPr>
      <w:r>
        <w:rPr>
          <w:rFonts w:hint="eastAsia" w:ascii="宋体" w:hAnsi="宋体" w:cs="宋体"/>
          <w:b/>
          <w:bCs/>
          <w:color w:val="auto"/>
          <w:sz w:val="32"/>
          <w:szCs w:val="32"/>
          <w:highlight w:val="none"/>
        </w:rPr>
        <w:t>（二）符合性响应证明材料目录</w:t>
      </w:r>
    </w:p>
    <w:p w14:paraId="19A8CDF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0"/>
        <w:textAlignment w:val="auto"/>
        <w:rPr>
          <w:rFonts w:ascii="宋体" w:hAnsi="宋体" w:cs="宋体"/>
          <w:color w:val="auto"/>
          <w:sz w:val="24"/>
          <w:szCs w:val="24"/>
          <w:highlight w:val="none"/>
        </w:rPr>
      </w:pPr>
      <w:r>
        <w:rPr>
          <w:rFonts w:hint="default" w:ascii="宋体" w:hAnsi="宋体" w:eastAsia="宋体" w:cs="宋体"/>
          <w:b w:val="0"/>
          <w:bCs w:val="0"/>
          <w:color w:val="auto"/>
          <w:kern w:val="2"/>
          <w:sz w:val="24"/>
          <w:szCs w:val="24"/>
          <w:highlight w:val="none"/>
          <w:lang w:val="en-US" w:eastAsia="zh-CN" w:bidi="ar-SA"/>
        </w:rPr>
        <w:t>1．</w:t>
      </w:r>
      <w:r>
        <w:rPr>
          <w:rFonts w:hint="eastAsia" w:ascii="宋体" w:hAnsi="宋体" w:cs="宋体"/>
          <w:color w:val="auto"/>
          <w:sz w:val="24"/>
          <w:szCs w:val="24"/>
          <w:highlight w:val="none"/>
        </w:rPr>
        <w:t>响应函</w:t>
      </w:r>
      <w:r>
        <w:rPr>
          <w:rFonts w:hint="eastAsia" w:ascii="宋体" w:hAnsi="宋体" w:cs="宋体"/>
          <w:b/>
          <w:bCs/>
          <w:color w:val="auto"/>
          <w:sz w:val="24"/>
          <w:szCs w:val="24"/>
          <w:highlight w:val="none"/>
        </w:rPr>
        <w:t>（格式见附件）（必须提供</w:t>
      </w:r>
      <w:r>
        <w:rPr>
          <w:color w:val="auto"/>
          <w:sz w:val="24"/>
          <w:szCs w:val="24"/>
          <w:highlight w:val="none"/>
        </w:rPr>
        <w:t>）</w:t>
      </w:r>
      <w:r>
        <w:rPr>
          <w:rFonts w:hint="eastAsia" w:ascii="宋体" w:hAnsi="宋体" w:cs="宋体"/>
          <w:b/>
          <w:bCs/>
          <w:color w:val="auto"/>
          <w:sz w:val="24"/>
          <w:szCs w:val="24"/>
          <w:highlight w:val="none"/>
        </w:rPr>
        <w:t>；</w:t>
      </w:r>
    </w:p>
    <w:p w14:paraId="3F222DC8">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ascii="宋体" w:hAnsi="宋体" w:cs="宋体"/>
          <w:color w:val="auto"/>
          <w:sz w:val="24"/>
          <w:szCs w:val="24"/>
          <w:highlight w:val="none"/>
        </w:rPr>
      </w:pPr>
    </w:p>
    <w:p w14:paraId="0D4428F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0"/>
        <w:textAlignment w:val="auto"/>
        <w:rPr>
          <w:rFonts w:ascii="宋体" w:hAnsi="宋体" w:cs="宋体"/>
          <w:b/>
          <w:bCs/>
          <w:color w:val="auto"/>
          <w:sz w:val="24"/>
          <w:szCs w:val="24"/>
          <w:highlight w:val="none"/>
        </w:rPr>
      </w:pPr>
      <w:r>
        <w:rPr>
          <w:rFonts w:hint="default" w:ascii="宋体" w:hAnsi="宋体" w:eastAsia="宋体" w:cs="宋体"/>
          <w:b w:val="0"/>
          <w:bCs w:val="0"/>
          <w:color w:val="auto"/>
          <w:kern w:val="2"/>
          <w:sz w:val="24"/>
          <w:szCs w:val="24"/>
          <w:highlight w:val="none"/>
          <w:lang w:val="en-US" w:eastAsia="zh-CN" w:bidi="ar-SA"/>
        </w:rPr>
        <w:t>2．</w:t>
      </w:r>
      <w:r>
        <w:rPr>
          <w:rFonts w:hint="eastAsia" w:ascii="宋体" w:hAnsi="宋体" w:cs="宋体"/>
          <w:color w:val="auto"/>
          <w:sz w:val="24"/>
          <w:szCs w:val="24"/>
          <w:highlight w:val="none"/>
        </w:rPr>
        <w:t>磋商报价表</w:t>
      </w:r>
      <w:r>
        <w:rPr>
          <w:rFonts w:hint="eastAsia" w:ascii="宋体" w:hAnsi="宋体" w:cs="宋体"/>
          <w:b/>
          <w:bCs/>
          <w:color w:val="auto"/>
          <w:sz w:val="24"/>
          <w:szCs w:val="24"/>
          <w:highlight w:val="none"/>
        </w:rPr>
        <w:t>（格式见附件）（必须提供）；</w:t>
      </w:r>
    </w:p>
    <w:p w14:paraId="3A390847">
      <w:pPr>
        <w:pStyle w:val="10"/>
        <w:keepNext w:val="0"/>
        <w:keepLines w:val="0"/>
        <w:pageBreakBefore w:val="0"/>
        <w:widowControl w:val="0"/>
        <w:kinsoku/>
        <w:wordWrap/>
        <w:overflowPunct/>
        <w:topLinePunct w:val="0"/>
        <w:autoSpaceDE/>
        <w:autoSpaceDN/>
        <w:bidi w:val="0"/>
        <w:adjustRightInd/>
        <w:snapToGrid/>
        <w:spacing w:line="360" w:lineRule="auto"/>
        <w:ind w:left="0"/>
        <w:textAlignment w:val="auto"/>
        <w:rPr>
          <w:rFonts w:ascii="宋体" w:hAnsi="宋体" w:cs="宋体"/>
          <w:color w:val="auto"/>
          <w:sz w:val="24"/>
          <w:szCs w:val="24"/>
          <w:highlight w:val="none"/>
        </w:rPr>
      </w:pPr>
    </w:p>
    <w:p w14:paraId="6009A10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0"/>
        <w:textAlignment w:val="auto"/>
        <w:rPr>
          <w:rFonts w:ascii="宋体" w:hAnsi="宋体" w:cs="宋体"/>
          <w:color w:val="auto"/>
          <w:sz w:val="24"/>
          <w:szCs w:val="24"/>
          <w:highlight w:val="none"/>
        </w:rPr>
      </w:pPr>
      <w:r>
        <w:rPr>
          <w:rFonts w:hint="default" w:ascii="宋体" w:hAnsi="宋体" w:eastAsia="宋体" w:cs="宋体"/>
          <w:b w:val="0"/>
          <w:bCs w:val="0"/>
          <w:color w:val="auto"/>
          <w:kern w:val="2"/>
          <w:sz w:val="24"/>
          <w:szCs w:val="24"/>
          <w:highlight w:val="none"/>
          <w:lang w:val="en-US" w:eastAsia="zh-CN" w:bidi="ar-SA"/>
        </w:rPr>
        <w:t>3．</w:t>
      </w:r>
      <w:r>
        <w:rPr>
          <w:rFonts w:hint="eastAsia" w:ascii="宋体" w:hAnsi="宋体" w:cs="宋体"/>
          <w:color w:val="auto"/>
          <w:sz w:val="24"/>
          <w:szCs w:val="24"/>
          <w:highlight w:val="none"/>
        </w:rPr>
        <w:t>采购需求响应说明表</w:t>
      </w:r>
      <w:r>
        <w:rPr>
          <w:rFonts w:hint="eastAsia" w:ascii="宋体" w:hAnsi="宋体" w:cs="宋体"/>
          <w:b/>
          <w:bCs/>
          <w:color w:val="auto"/>
          <w:sz w:val="24"/>
          <w:szCs w:val="24"/>
          <w:highlight w:val="none"/>
        </w:rPr>
        <w:t>（格式见附件）（必须提供）；</w:t>
      </w:r>
    </w:p>
    <w:p w14:paraId="3E94FDF3">
      <w:pPr>
        <w:pStyle w:val="10"/>
        <w:keepNext w:val="0"/>
        <w:keepLines w:val="0"/>
        <w:pageBreakBefore w:val="0"/>
        <w:widowControl w:val="0"/>
        <w:kinsoku/>
        <w:wordWrap/>
        <w:overflowPunct/>
        <w:topLinePunct w:val="0"/>
        <w:autoSpaceDE/>
        <w:autoSpaceDN/>
        <w:bidi w:val="0"/>
        <w:adjustRightInd/>
        <w:snapToGrid/>
        <w:spacing w:line="360" w:lineRule="auto"/>
        <w:ind w:left="0"/>
        <w:textAlignment w:val="auto"/>
        <w:rPr>
          <w:rFonts w:ascii="宋体" w:hAnsi="宋体" w:cs="宋体"/>
          <w:color w:val="auto"/>
          <w:sz w:val="24"/>
          <w:szCs w:val="24"/>
          <w:highlight w:val="none"/>
        </w:rPr>
      </w:pPr>
    </w:p>
    <w:p w14:paraId="7F1499F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0"/>
        <w:textAlignment w:val="auto"/>
        <w:rPr>
          <w:rFonts w:ascii="宋体" w:hAnsi="宋体" w:cs="宋体"/>
          <w:b/>
          <w:bCs/>
          <w:color w:val="auto"/>
          <w:sz w:val="24"/>
          <w:szCs w:val="24"/>
          <w:highlight w:val="none"/>
        </w:rPr>
      </w:pPr>
      <w:r>
        <w:rPr>
          <w:rFonts w:hint="default" w:ascii="宋体" w:hAnsi="宋体" w:eastAsia="宋体" w:cs="宋体"/>
          <w:b w:val="0"/>
          <w:bCs w:val="0"/>
          <w:color w:val="auto"/>
          <w:kern w:val="2"/>
          <w:sz w:val="24"/>
          <w:szCs w:val="24"/>
          <w:highlight w:val="none"/>
          <w:lang w:val="en-US" w:eastAsia="zh-CN" w:bidi="ar-SA"/>
        </w:rPr>
        <w:t>4．</w:t>
      </w:r>
      <w:r>
        <w:rPr>
          <w:rFonts w:hint="eastAsia" w:ascii="宋体" w:hAnsi="宋体" w:cs="宋体"/>
          <w:color w:val="auto"/>
          <w:sz w:val="24"/>
          <w:szCs w:val="24"/>
          <w:highlight w:val="none"/>
        </w:rPr>
        <w:t>售后服务承诺书</w:t>
      </w:r>
      <w:r>
        <w:rPr>
          <w:rFonts w:hint="eastAsia" w:ascii="宋体" w:hAnsi="宋体" w:cs="宋体"/>
          <w:b/>
          <w:bCs/>
          <w:color w:val="auto"/>
          <w:sz w:val="24"/>
          <w:szCs w:val="24"/>
          <w:highlight w:val="none"/>
        </w:rPr>
        <w:t>（格式见附件）（必须提供）。</w:t>
      </w:r>
    </w:p>
    <w:p w14:paraId="032FF65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0"/>
        <w:textAlignment w:val="auto"/>
        <w:rPr>
          <w:rFonts w:ascii="宋体" w:hAnsi="宋体" w:cs="宋体"/>
          <w:b/>
          <w:bCs/>
          <w:color w:val="auto"/>
          <w:sz w:val="24"/>
          <w:szCs w:val="24"/>
          <w:highlight w:val="none"/>
        </w:rPr>
      </w:pPr>
    </w:p>
    <w:p w14:paraId="7CF854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0"/>
        <w:textAlignment w:val="auto"/>
        <w:rPr>
          <w:rFonts w:ascii="宋体" w:hAnsi="宋体" w:cs="宋体"/>
          <w:b/>
          <w:bCs/>
          <w:color w:val="auto"/>
          <w:sz w:val="24"/>
          <w:szCs w:val="24"/>
          <w:highlight w:val="none"/>
        </w:rPr>
      </w:pPr>
      <w:r>
        <w:rPr>
          <w:rFonts w:hint="eastAsia" w:ascii="宋体" w:hAnsi="宋体" w:cs="宋体"/>
          <w:b w:val="0"/>
          <w:bCs w:val="0"/>
          <w:color w:val="auto"/>
          <w:kern w:val="2"/>
          <w:sz w:val="24"/>
          <w:szCs w:val="24"/>
          <w:highlight w:val="none"/>
          <w:lang w:val="en-US" w:eastAsia="zh-CN" w:bidi="ar-SA"/>
        </w:rPr>
        <w:t>5</w:t>
      </w:r>
      <w:r>
        <w:rPr>
          <w:rFonts w:hint="default" w:ascii="宋体" w:hAnsi="宋体" w:eastAsia="宋体" w:cs="宋体"/>
          <w:b w:val="0"/>
          <w:bCs w:val="0"/>
          <w:color w:val="auto"/>
          <w:kern w:val="2"/>
          <w:sz w:val="24"/>
          <w:szCs w:val="24"/>
          <w:highlight w:val="none"/>
          <w:lang w:val="en-US" w:eastAsia="zh-CN" w:bidi="ar-SA"/>
        </w:rPr>
        <w:t>．</w:t>
      </w:r>
      <w:r>
        <w:rPr>
          <w:rFonts w:hint="eastAsia" w:ascii="宋体" w:hAnsi="宋体" w:cs="宋体"/>
          <w:b w:val="0"/>
          <w:bCs w:val="0"/>
          <w:color w:val="auto"/>
          <w:sz w:val="24"/>
          <w:szCs w:val="24"/>
          <w:highlight w:val="none"/>
        </w:rPr>
        <w:t>花坪保护区内（施工）作业（单位）人员安全生产承诺书</w:t>
      </w:r>
      <w:r>
        <w:rPr>
          <w:rFonts w:hint="eastAsia" w:ascii="宋体" w:hAnsi="宋体" w:cs="宋体"/>
          <w:b/>
          <w:bCs/>
          <w:color w:val="auto"/>
          <w:sz w:val="24"/>
          <w:szCs w:val="24"/>
          <w:highlight w:val="none"/>
        </w:rPr>
        <w:t>（格式见附件）（必须提供）；</w:t>
      </w:r>
    </w:p>
    <w:p w14:paraId="540F13E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0"/>
        <w:textAlignment w:val="auto"/>
        <w:rPr>
          <w:rFonts w:hint="eastAsia" w:ascii="宋体" w:hAnsi="宋体" w:cs="宋体"/>
          <w:b w:val="0"/>
          <w:bCs w:val="0"/>
          <w:color w:val="auto"/>
          <w:kern w:val="2"/>
          <w:sz w:val="24"/>
          <w:szCs w:val="24"/>
          <w:highlight w:val="none"/>
          <w:lang w:val="en-US" w:eastAsia="zh-CN" w:bidi="ar-SA"/>
        </w:rPr>
      </w:pPr>
    </w:p>
    <w:p w14:paraId="34A830C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0"/>
        <w:textAlignment w:val="auto"/>
        <w:rPr>
          <w:rFonts w:hint="eastAsia" w:ascii="宋体" w:hAnsi="宋体" w:cs="宋体"/>
          <w:b w:val="0"/>
          <w:bCs w:val="0"/>
          <w:color w:val="auto"/>
          <w:kern w:val="2"/>
          <w:sz w:val="24"/>
          <w:szCs w:val="24"/>
          <w:highlight w:val="none"/>
          <w:lang w:val="en-US" w:eastAsia="zh-CN" w:bidi="ar-SA"/>
        </w:rPr>
      </w:pPr>
      <w:r>
        <w:rPr>
          <w:rFonts w:hint="eastAsia" w:ascii="宋体" w:hAnsi="宋体" w:cs="宋体"/>
          <w:b w:val="0"/>
          <w:bCs w:val="0"/>
          <w:color w:val="auto"/>
          <w:kern w:val="2"/>
          <w:sz w:val="24"/>
          <w:szCs w:val="24"/>
          <w:highlight w:val="none"/>
          <w:lang w:val="en-US" w:eastAsia="zh-CN" w:bidi="ar-SA"/>
        </w:rPr>
        <w:t>6.供应商结合采购需求提交其它相关证明材料（如有）。</w:t>
      </w:r>
    </w:p>
    <w:p w14:paraId="23C8B20A">
      <w:pPr>
        <w:pStyle w:val="40"/>
        <w:rPr>
          <w:rFonts w:ascii="宋体" w:hAnsi="宋体" w:cs="宋体"/>
          <w:color w:val="auto"/>
          <w:highlight w:val="none"/>
        </w:rPr>
      </w:pPr>
    </w:p>
    <w:p w14:paraId="62179796">
      <w:pPr>
        <w:pStyle w:val="40"/>
        <w:rPr>
          <w:rFonts w:ascii="宋体" w:hAnsi="宋体" w:cs="宋体"/>
          <w:color w:val="auto"/>
          <w:highlight w:val="none"/>
        </w:rPr>
      </w:pPr>
    </w:p>
    <w:p w14:paraId="0F643721">
      <w:pPr>
        <w:pStyle w:val="40"/>
        <w:rPr>
          <w:rFonts w:ascii="宋体" w:hAnsi="宋体" w:cs="宋体"/>
          <w:color w:val="auto"/>
          <w:highlight w:val="none"/>
        </w:rPr>
      </w:pPr>
    </w:p>
    <w:p w14:paraId="2BB75798">
      <w:pPr>
        <w:pStyle w:val="40"/>
        <w:rPr>
          <w:rFonts w:ascii="宋体" w:hAnsi="宋体" w:cs="宋体"/>
          <w:color w:val="auto"/>
          <w:highlight w:val="none"/>
        </w:rPr>
      </w:pPr>
    </w:p>
    <w:p w14:paraId="253730E6">
      <w:pPr>
        <w:pStyle w:val="40"/>
        <w:rPr>
          <w:rFonts w:ascii="宋体" w:hAnsi="宋体" w:cs="宋体"/>
          <w:color w:val="auto"/>
          <w:highlight w:val="none"/>
        </w:rPr>
      </w:pPr>
    </w:p>
    <w:p w14:paraId="7FB9E6DA">
      <w:pPr>
        <w:pStyle w:val="40"/>
        <w:rPr>
          <w:rFonts w:ascii="宋体" w:hAnsi="宋体" w:cs="宋体"/>
          <w:color w:val="auto"/>
          <w:highlight w:val="none"/>
        </w:rPr>
      </w:pPr>
    </w:p>
    <w:p w14:paraId="65C2099B">
      <w:pPr>
        <w:pStyle w:val="40"/>
        <w:rPr>
          <w:rFonts w:ascii="宋体" w:hAnsi="宋体" w:cs="宋体"/>
          <w:color w:val="auto"/>
          <w:highlight w:val="none"/>
        </w:rPr>
      </w:pPr>
    </w:p>
    <w:p w14:paraId="53A3F676">
      <w:pPr>
        <w:pStyle w:val="40"/>
        <w:rPr>
          <w:rFonts w:ascii="宋体" w:hAnsi="宋体" w:cs="宋体"/>
          <w:color w:val="auto"/>
          <w:highlight w:val="none"/>
        </w:rPr>
      </w:pPr>
    </w:p>
    <w:p w14:paraId="2265A7CB">
      <w:pPr>
        <w:pStyle w:val="40"/>
        <w:rPr>
          <w:rFonts w:ascii="宋体" w:hAnsi="宋体" w:cs="宋体"/>
          <w:color w:val="auto"/>
          <w:highlight w:val="none"/>
        </w:rPr>
      </w:pPr>
    </w:p>
    <w:p w14:paraId="3384EE82">
      <w:pPr>
        <w:pStyle w:val="10"/>
        <w:rPr>
          <w:rFonts w:ascii="宋体" w:hAnsi="宋体" w:cs="宋体"/>
          <w:color w:val="auto"/>
          <w:highlight w:val="none"/>
        </w:rPr>
      </w:pPr>
    </w:p>
    <w:p w14:paraId="49B41963">
      <w:pPr>
        <w:pStyle w:val="15"/>
        <w:spacing w:line="340" w:lineRule="exact"/>
        <w:rPr>
          <w:rFonts w:hAnsi="宋体" w:cs="宋体"/>
          <w:b/>
          <w:color w:val="auto"/>
          <w:sz w:val="28"/>
          <w:szCs w:val="28"/>
          <w:highlight w:val="none"/>
        </w:rPr>
      </w:pPr>
    </w:p>
    <w:p w14:paraId="03FF9227">
      <w:pPr>
        <w:pStyle w:val="15"/>
        <w:spacing w:line="340" w:lineRule="exact"/>
        <w:rPr>
          <w:rFonts w:hAnsi="宋体" w:cs="宋体"/>
          <w:b/>
          <w:color w:val="auto"/>
          <w:sz w:val="28"/>
          <w:szCs w:val="28"/>
          <w:highlight w:val="none"/>
        </w:rPr>
      </w:pPr>
    </w:p>
    <w:p w14:paraId="3E4BBA45">
      <w:pPr>
        <w:rPr>
          <w:rFonts w:ascii="宋体" w:hAnsi="宋体" w:cs="宋体"/>
          <w:b/>
          <w:color w:val="auto"/>
          <w:sz w:val="28"/>
          <w:szCs w:val="28"/>
          <w:highlight w:val="none"/>
        </w:rPr>
      </w:pPr>
    </w:p>
    <w:p w14:paraId="3074DA39">
      <w:pPr>
        <w:pStyle w:val="10"/>
        <w:rPr>
          <w:rFonts w:ascii="宋体" w:hAnsi="宋体" w:cs="宋体"/>
          <w:b/>
          <w:color w:val="auto"/>
          <w:sz w:val="28"/>
          <w:szCs w:val="28"/>
          <w:highlight w:val="none"/>
        </w:rPr>
      </w:pPr>
    </w:p>
    <w:p w14:paraId="4A278A10">
      <w:pPr>
        <w:rPr>
          <w:rFonts w:ascii="宋体" w:hAnsi="宋体" w:cs="宋体"/>
          <w:b/>
          <w:color w:val="auto"/>
          <w:sz w:val="28"/>
          <w:szCs w:val="28"/>
          <w:highlight w:val="none"/>
        </w:rPr>
      </w:pPr>
    </w:p>
    <w:p w14:paraId="48A130C4">
      <w:pPr>
        <w:pStyle w:val="10"/>
        <w:rPr>
          <w:rFonts w:ascii="宋体" w:hAnsi="宋体" w:cs="宋体"/>
          <w:b/>
          <w:color w:val="auto"/>
          <w:sz w:val="28"/>
          <w:szCs w:val="28"/>
          <w:highlight w:val="none"/>
        </w:rPr>
      </w:pPr>
    </w:p>
    <w:p w14:paraId="6D343F6F">
      <w:pPr>
        <w:rPr>
          <w:rFonts w:ascii="宋体" w:hAnsi="宋体" w:cs="宋体"/>
          <w:b/>
          <w:color w:val="auto"/>
          <w:sz w:val="28"/>
          <w:szCs w:val="28"/>
          <w:highlight w:val="none"/>
        </w:rPr>
      </w:pPr>
    </w:p>
    <w:p w14:paraId="1A537E42">
      <w:pPr>
        <w:pStyle w:val="10"/>
        <w:rPr>
          <w:rFonts w:ascii="宋体" w:hAnsi="宋体" w:cs="宋体"/>
          <w:b/>
          <w:color w:val="auto"/>
          <w:sz w:val="28"/>
          <w:szCs w:val="28"/>
          <w:highlight w:val="none"/>
        </w:rPr>
      </w:pPr>
    </w:p>
    <w:p w14:paraId="360993F5">
      <w:pPr>
        <w:rPr>
          <w:rFonts w:ascii="宋体" w:hAnsi="宋体" w:cs="宋体"/>
          <w:b/>
          <w:color w:val="auto"/>
          <w:sz w:val="28"/>
          <w:szCs w:val="28"/>
          <w:highlight w:val="none"/>
        </w:rPr>
      </w:pPr>
    </w:p>
    <w:p w14:paraId="39B5FCA0">
      <w:pPr>
        <w:pStyle w:val="10"/>
        <w:rPr>
          <w:rFonts w:ascii="宋体" w:hAnsi="宋体" w:cs="宋体"/>
          <w:b/>
          <w:color w:val="auto"/>
          <w:sz w:val="28"/>
          <w:szCs w:val="28"/>
          <w:highlight w:val="none"/>
        </w:rPr>
      </w:pPr>
    </w:p>
    <w:p w14:paraId="23C10EF8">
      <w:pPr>
        <w:rPr>
          <w:rFonts w:ascii="宋体" w:hAnsi="宋体" w:cs="宋体"/>
          <w:b/>
          <w:color w:val="auto"/>
          <w:sz w:val="28"/>
          <w:szCs w:val="28"/>
          <w:highlight w:val="none"/>
        </w:rPr>
      </w:pPr>
    </w:p>
    <w:p w14:paraId="466946B7">
      <w:pPr>
        <w:tabs>
          <w:tab w:val="left" w:pos="567"/>
        </w:tabs>
        <w:outlineLvl w:val="9"/>
        <w:rPr>
          <w:color w:val="auto"/>
          <w:highlight w:val="none"/>
          <w:lang w:val="en-US"/>
        </w:rPr>
      </w:pPr>
    </w:p>
    <w:p w14:paraId="04ACF75A">
      <w:pPr>
        <w:pStyle w:val="10"/>
        <w:rPr>
          <w:color w:val="auto"/>
          <w:highlight w:val="none"/>
        </w:rPr>
      </w:pPr>
    </w:p>
    <w:p w14:paraId="540329F9">
      <w:pPr>
        <w:spacing w:line="400" w:lineRule="exact"/>
        <w:outlineLvl w:val="3"/>
        <w:rPr>
          <w:rFonts w:ascii="宋体" w:hAnsi="宋体" w:cs="宋体"/>
          <w:b/>
          <w:bCs/>
          <w:color w:val="auto"/>
          <w:sz w:val="28"/>
          <w:szCs w:val="28"/>
          <w:highlight w:val="none"/>
        </w:rPr>
      </w:pPr>
      <w:bookmarkStart w:id="211" w:name="_Toc497927072"/>
      <w:bookmarkStart w:id="212" w:name="_Toc12920"/>
      <w:bookmarkStart w:id="213" w:name="_Toc17617"/>
      <w:r>
        <w:rPr>
          <w:rFonts w:hint="eastAsia" w:ascii="宋体" w:hAnsi="宋体" w:cs="宋体"/>
          <w:b/>
          <w:bCs/>
          <w:color w:val="auto"/>
          <w:sz w:val="28"/>
          <w:szCs w:val="28"/>
          <w:highlight w:val="none"/>
        </w:rPr>
        <w:t>1.响应函（格式见附件）（必须提供）</w:t>
      </w:r>
      <w:bookmarkEnd w:id="211"/>
      <w:bookmarkEnd w:id="212"/>
      <w:bookmarkEnd w:id="213"/>
    </w:p>
    <w:p w14:paraId="06A684BA">
      <w:pPr>
        <w:pStyle w:val="40"/>
        <w:rPr>
          <w:rFonts w:ascii="宋体" w:hAnsi="宋体" w:cs="宋体"/>
          <w:color w:val="auto"/>
          <w:highlight w:val="none"/>
        </w:rPr>
      </w:pPr>
    </w:p>
    <w:p w14:paraId="268FE45A">
      <w:pPr>
        <w:pStyle w:val="15"/>
        <w:rPr>
          <w:rFonts w:hAnsi="宋体" w:cs="宋体"/>
          <w:b/>
          <w:color w:val="auto"/>
          <w:sz w:val="32"/>
          <w:highlight w:val="none"/>
        </w:rPr>
      </w:pPr>
      <w:r>
        <w:rPr>
          <w:rFonts w:hint="eastAsia" w:hAnsi="宋体" w:cs="宋体"/>
          <w:b/>
          <w:color w:val="auto"/>
          <w:sz w:val="32"/>
          <w:highlight w:val="none"/>
        </w:rPr>
        <w:t>附件：</w:t>
      </w:r>
    </w:p>
    <w:p w14:paraId="2B048C5A">
      <w:pPr>
        <w:pStyle w:val="15"/>
        <w:ind w:firstLine="800" w:firstLineChars="250"/>
        <w:jc w:val="center"/>
        <w:rPr>
          <w:rFonts w:hAnsi="宋体" w:cs="宋体"/>
          <w:b/>
          <w:color w:val="auto"/>
          <w:sz w:val="32"/>
          <w:highlight w:val="none"/>
        </w:rPr>
      </w:pPr>
      <w:bookmarkStart w:id="214" w:name="_Toc17832_WPSOffice_Level1"/>
      <w:bookmarkStart w:id="215" w:name="_Toc7273_WPSOffice_Level1"/>
      <w:r>
        <w:rPr>
          <w:rFonts w:hint="eastAsia" w:hAnsi="宋体" w:cs="宋体"/>
          <w:b/>
          <w:color w:val="auto"/>
          <w:sz w:val="32"/>
          <w:highlight w:val="none"/>
        </w:rPr>
        <w:t>响 应 函 （格 式）</w:t>
      </w:r>
      <w:bookmarkEnd w:id="214"/>
      <w:bookmarkEnd w:id="215"/>
    </w:p>
    <w:p w14:paraId="24D4FEAE">
      <w:pPr>
        <w:spacing w:line="240" w:lineRule="exact"/>
        <w:jc w:val="center"/>
        <w:rPr>
          <w:rFonts w:ascii="宋体" w:hAnsi="宋体" w:cs="宋体"/>
          <w:color w:val="auto"/>
          <w:sz w:val="32"/>
          <w:highlight w:val="none"/>
        </w:rPr>
      </w:pPr>
    </w:p>
    <w:p w14:paraId="318E9F68">
      <w:pPr>
        <w:spacing w:line="400" w:lineRule="exact"/>
        <w:rPr>
          <w:rFonts w:ascii="宋体" w:hAnsi="宋体" w:cs="宋体"/>
          <w:color w:val="auto"/>
          <w:highlight w:val="none"/>
        </w:rPr>
      </w:pPr>
      <w:r>
        <w:rPr>
          <w:rFonts w:hint="eastAsia" w:ascii="宋体" w:hAnsi="宋体" w:cs="宋体"/>
          <w:color w:val="auto"/>
          <w:szCs w:val="21"/>
          <w:highlight w:val="none"/>
        </w:rPr>
        <w:t>致</w:t>
      </w:r>
      <w:r>
        <w:rPr>
          <w:rFonts w:hint="eastAsia" w:ascii="宋体" w:hAnsi="宋体" w:cs="宋体"/>
          <w:color w:val="auto"/>
          <w:szCs w:val="21"/>
          <w:highlight w:val="none"/>
          <w:u w:val="single"/>
        </w:rPr>
        <w:t>：广西天罡工程项目管理有限公司</w:t>
      </w:r>
    </w:p>
    <w:p w14:paraId="31B65CAA">
      <w:pPr>
        <w:spacing w:line="400" w:lineRule="exact"/>
        <w:rPr>
          <w:rFonts w:ascii="宋体" w:hAnsi="宋体" w:cs="宋体"/>
          <w:color w:val="auto"/>
          <w:szCs w:val="21"/>
          <w:highlight w:val="none"/>
        </w:rPr>
      </w:pPr>
    </w:p>
    <w:p w14:paraId="5026D9A7">
      <w:pPr>
        <w:pStyle w:val="15"/>
        <w:spacing w:line="360" w:lineRule="exact"/>
        <w:ind w:firstLine="420"/>
        <w:rPr>
          <w:rFonts w:hAnsi="宋体" w:cs="宋体"/>
          <w:color w:val="auto"/>
          <w:highlight w:val="none"/>
        </w:rPr>
      </w:pPr>
      <w:r>
        <w:rPr>
          <w:rFonts w:hint="eastAsia" w:hAnsi="宋体" w:cs="宋体"/>
          <w:color w:val="auto"/>
          <w:highlight w:val="none"/>
        </w:rPr>
        <w:t>根据贵方</w:t>
      </w:r>
      <w:r>
        <w:rPr>
          <w:rFonts w:hint="eastAsia" w:hAnsi="宋体" w:cs="宋体"/>
          <w:color w:val="auto"/>
          <w:highlight w:val="none"/>
          <w:u w:val="single"/>
        </w:rPr>
        <w:t xml:space="preserve">       </w:t>
      </w:r>
      <w:r>
        <w:rPr>
          <w:rFonts w:hint="eastAsia" w:hAnsi="宋体" w:cs="宋体"/>
          <w:color w:val="auto"/>
          <w:highlight w:val="none"/>
        </w:rPr>
        <w:t>项目竞争性磋商文件，项目编号：</w:t>
      </w:r>
      <w:r>
        <w:rPr>
          <w:rFonts w:hint="eastAsia" w:hAnsi="宋体" w:cs="宋体"/>
          <w:color w:val="auto"/>
          <w:szCs w:val="21"/>
          <w:highlight w:val="none"/>
          <w:u w:val="single"/>
        </w:rPr>
        <w:t xml:space="preserve">            </w:t>
      </w:r>
      <w:r>
        <w:rPr>
          <w:rFonts w:hint="eastAsia" w:hAnsi="宋体" w:cs="宋体"/>
          <w:color w:val="auto"/>
          <w:szCs w:val="21"/>
          <w:highlight w:val="none"/>
        </w:rPr>
        <w:t>，签字代表</w:t>
      </w:r>
      <w:r>
        <w:rPr>
          <w:rFonts w:hint="eastAsia" w:hAnsi="宋体" w:cs="宋体"/>
          <w:color w:val="auto"/>
          <w:highlight w:val="none"/>
          <w:u w:val="single"/>
        </w:rPr>
        <w:t xml:space="preserve">         </w:t>
      </w:r>
      <w:r>
        <w:rPr>
          <w:rFonts w:hint="eastAsia" w:hAnsi="宋体" w:cs="宋体"/>
          <w:color w:val="auto"/>
          <w:highlight w:val="none"/>
        </w:rPr>
        <w:t xml:space="preserve">（姓名）经正式授权并代表供应商 </w:t>
      </w:r>
      <w:r>
        <w:rPr>
          <w:rFonts w:hint="eastAsia" w:hAnsi="宋体" w:cs="宋体"/>
          <w:color w:val="auto"/>
          <w:highlight w:val="none"/>
          <w:u w:val="single"/>
        </w:rPr>
        <w:t xml:space="preserve">                                   （</w:t>
      </w:r>
      <w:r>
        <w:rPr>
          <w:rFonts w:hint="eastAsia" w:hAnsi="宋体" w:cs="宋体"/>
          <w:color w:val="auto"/>
          <w:highlight w:val="none"/>
        </w:rPr>
        <w:t>供应商单位名称），提交电子响应文件。</w:t>
      </w:r>
    </w:p>
    <w:p w14:paraId="4EB94D51">
      <w:pPr>
        <w:pStyle w:val="15"/>
        <w:spacing w:line="360" w:lineRule="exact"/>
        <w:ind w:firstLine="420"/>
        <w:rPr>
          <w:rFonts w:hAnsi="宋体" w:cs="宋体"/>
          <w:color w:val="auto"/>
          <w:highlight w:val="none"/>
        </w:rPr>
      </w:pPr>
      <w:r>
        <w:rPr>
          <w:rFonts w:hint="eastAsia" w:hAnsi="宋体" w:cs="宋体"/>
          <w:color w:val="auto"/>
          <w:highlight w:val="none"/>
        </w:rPr>
        <w:t>据此函，签字代表宣布同意如下：</w:t>
      </w:r>
    </w:p>
    <w:p w14:paraId="1AF55CF6">
      <w:pPr>
        <w:pStyle w:val="15"/>
        <w:spacing w:line="360" w:lineRule="exact"/>
        <w:ind w:firstLine="420"/>
        <w:rPr>
          <w:rFonts w:hAnsi="宋体" w:cs="宋体"/>
          <w:color w:val="auto"/>
          <w:highlight w:val="none"/>
        </w:rPr>
      </w:pPr>
      <w:r>
        <w:rPr>
          <w:rFonts w:hint="eastAsia" w:hAnsi="宋体" w:cs="宋体"/>
          <w:color w:val="auto"/>
          <w:highlight w:val="none"/>
        </w:rPr>
        <w:t>1.按磋商文件采购需求和磋商报价表：</w:t>
      </w:r>
    </w:p>
    <w:p w14:paraId="08007486">
      <w:pPr>
        <w:pStyle w:val="15"/>
        <w:spacing w:line="360" w:lineRule="exact"/>
        <w:ind w:firstLine="420"/>
        <w:rPr>
          <w:rFonts w:hAnsi="宋体" w:cs="宋体"/>
          <w:color w:val="auto"/>
          <w:highlight w:val="none"/>
        </w:rPr>
      </w:pPr>
      <w:r>
        <w:rPr>
          <w:rFonts w:hint="eastAsia" w:hAnsi="宋体" w:cs="宋体"/>
          <w:color w:val="auto"/>
          <w:highlight w:val="none"/>
        </w:rPr>
        <w:t>磋商总报价：大写</w:t>
      </w:r>
      <w:r>
        <w:rPr>
          <w:rFonts w:hint="eastAsia" w:hAnsi="宋体" w:cs="宋体"/>
          <w:color w:val="auto"/>
          <w:highlight w:val="none"/>
          <w:u w:val="single"/>
        </w:rPr>
        <w:t xml:space="preserve">               </w:t>
      </w:r>
      <w:r>
        <w:rPr>
          <w:rFonts w:hint="eastAsia" w:hAnsi="宋体" w:cs="宋体"/>
          <w:color w:val="auto"/>
          <w:highlight w:val="none"/>
        </w:rPr>
        <w:t xml:space="preserve"> （</w:t>
      </w:r>
      <w:r>
        <w:rPr>
          <w:rFonts w:hint="eastAsia" w:hAnsi="宋体" w:cs="宋体"/>
          <w:color w:val="auto"/>
          <w:szCs w:val="21"/>
          <w:highlight w:val="none"/>
        </w:rPr>
        <w:t>小写</w:t>
      </w:r>
      <w:r>
        <w:rPr>
          <w:rFonts w:hint="eastAsia" w:hAnsi="宋体" w:cs="宋体"/>
          <w:color w:val="auto"/>
          <w:highlight w:val="none"/>
          <w:u w:val="single"/>
        </w:rPr>
        <w:t xml:space="preserve">         </w:t>
      </w:r>
      <w:r>
        <w:rPr>
          <w:rFonts w:hint="eastAsia" w:hAnsi="宋体" w:cs="宋体"/>
          <w:color w:val="auto"/>
          <w:highlight w:val="none"/>
        </w:rPr>
        <w:t>）。</w:t>
      </w:r>
    </w:p>
    <w:p w14:paraId="277E67BC">
      <w:pPr>
        <w:pStyle w:val="15"/>
        <w:spacing w:line="360" w:lineRule="exact"/>
        <w:ind w:firstLine="420"/>
        <w:rPr>
          <w:rFonts w:hAnsi="宋体" w:cs="宋体"/>
          <w:color w:val="auto"/>
          <w:highlight w:val="none"/>
        </w:rPr>
      </w:pPr>
      <w:r>
        <w:rPr>
          <w:rFonts w:hint="eastAsia" w:hAnsi="宋体" w:cs="宋体"/>
          <w:color w:val="auto"/>
          <w:highlight w:val="none"/>
        </w:rPr>
        <w:t>2.我方承诺已具备磋商文件规定的供应商资格条件。</w:t>
      </w:r>
    </w:p>
    <w:p w14:paraId="46D700BA">
      <w:pPr>
        <w:pStyle w:val="15"/>
        <w:spacing w:line="360" w:lineRule="exact"/>
        <w:ind w:firstLine="420"/>
        <w:rPr>
          <w:rFonts w:hAnsi="宋体" w:cs="宋体"/>
          <w:color w:val="auto"/>
          <w:highlight w:val="none"/>
        </w:rPr>
      </w:pPr>
      <w:r>
        <w:rPr>
          <w:rFonts w:hint="eastAsia" w:hAnsi="宋体" w:cs="宋体"/>
          <w:color w:val="auto"/>
          <w:highlight w:val="none"/>
        </w:rPr>
        <w:t>3.我方已详细审核磋商文件，包括修改文件（如有的话）和有关附件，将自行承担因对全部磋商文件理解不正确或误解而产生的相应后果。</w:t>
      </w:r>
    </w:p>
    <w:p w14:paraId="462D5DE9">
      <w:pPr>
        <w:pStyle w:val="15"/>
        <w:spacing w:line="360" w:lineRule="exact"/>
        <w:ind w:firstLine="420"/>
        <w:rPr>
          <w:rFonts w:hAnsi="宋体" w:cs="宋体"/>
          <w:color w:val="auto"/>
          <w:highlight w:val="none"/>
        </w:rPr>
      </w:pPr>
      <w:r>
        <w:rPr>
          <w:rFonts w:hint="eastAsia" w:hAnsi="宋体" w:cs="宋体"/>
          <w:color w:val="auto"/>
          <w:highlight w:val="none"/>
        </w:rPr>
        <w:t>4.响应文件有效期为</w:t>
      </w:r>
      <w:r>
        <w:rPr>
          <w:rFonts w:hint="eastAsia" w:hAnsi="宋体" w:cs="宋体"/>
          <w:color w:val="auto"/>
          <w:szCs w:val="21"/>
          <w:highlight w:val="none"/>
        </w:rPr>
        <w:t>响应文件递交截止时间之日起90天。</w:t>
      </w:r>
    </w:p>
    <w:p w14:paraId="5B1ED4AC">
      <w:pPr>
        <w:pStyle w:val="15"/>
        <w:spacing w:line="360" w:lineRule="exact"/>
        <w:ind w:firstLine="420"/>
        <w:rPr>
          <w:rFonts w:hAnsi="宋体" w:cs="宋体"/>
          <w:color w:val="auto"/>
          <w:highlight w:val="none"/>
        </w:rPr>
      </w:pPr>
      <w:r>
        <w:rPr>
          <w:rFonts w:hint="eastAsia" w:hAnsi="宋体" w:cs="宋体"/>
          <w:color w:val="auto"/>
          <w:highlight w:val="none"/>
        </w:rPr>
        <w:t>5.如我方成交：</w:t>
      </w:r>
    </w:p>
    <w:p w14:paraId="25AAA66C">
      <w:pPr>
        <w:pStyle w:val="15"/>
        <w:spacing w:line="360" w:lineRule="exact"/>
        <w:ind w:firstLine="420"/>
        <w:rPr>
          <w:rFonts w:hAnsi="宋体" w:cs="宋体"/>
          <w:color w:val="auto"/>
          <w:highlight w:val="none"/>
        </w:rPr>
      </w:pPr>
      <w:r>
        <w:rPr>
          <w:rFonts w:hint="eastAsia" w:hAnsi="宋体" w:cs="宋体"/>
          <w:color w:val="auto"/>
          <w:highlight w:val="none"/>
        </w:rPr>
        <w:t>（1）我方承诺在收到成交通知书后，在成交通知书规定的期限内与采购人签订合同。</w:t>
      </w:r>
    </w:p>
    <w:p w14:paraId="37BDC0FB">
      <w:pPr>
        <w:pStyle w:val="15"/>
        <w:spacing w:line="360" w:lineRule="exact"/>
        <w:ind w:firstLine="420"/>
        <w:rPr>
          <w:rFonts w:hAnsi="宋体" w:cs="宋体"/>
          <w:color w:val="auto"/>
          <w:szCs w:val="21"/>
          <w:highlight w:val="none"/>
        </w:rPr>
      </w:pPr>
      <w:r>
        <w:rPr>
          <w:rFonts w:hint="eastAsia" w:hAnsi="宋体" w:cs="宋体"/>
          <w:color w:val="auto"/>
          <w:szCs w:val="21"/>
          <w:highlight w:val="none"/>
        </w:rPr>
        <w:t>（2）我方承诺按照磋商文件规定递交履约担保。</w:t>
      </w:r>
    </w:p>
    <w:p w14:paraId="438D2D3E">
      <w:pPr>
        <w:pStyle w:val="15"/>
        <w:spacing w:line="360" w:lineRule="exact"/>
        <w:ind w:firstLine="420"/>
        <w:rPr>
          <w:rFonts w:hAnsi="宋体" w:cs="宋体"/>
          <w:color w:val="auto"/>
          <w:szCs w:val="21"/>
          <w:highlight w:val="none"/>
        </w:rPr>
      </w:pPr>
      <w:r>
        <w:rPr>
          <w:rFonts w:hint="eastAsia" w:hAnsi="宋体" w:cs="宋体"/>
          <w:color w:val="auto"/>
          <w:szCs w:val="21"/>
          <w:highlight w:val="none"/>
        </w:rPr>
        <w:t>（3）我方承诺本响应文件至本项目合同履行完毕止均保持有效，按磋商文件及政府采购法律、法规的规定履行合同责任和义务。</w:t>
      </w:r>
    </w:p>
    <w:p w14:paraId="2FFFA27D">
      <w:pPr>
        <w:pStyle w:val="15"/>
        <w:spacing w:line="360" w:lineRule="exact"/>
        <w:ind w:firstLine="420"/>
        <w:rPr>
          <w:rFonts w:hAnsi="宋体" w:cs="宋体"/>
          <w:color w:val="auto"/>
          <w:szCs w:val="21"/>
          <w:highlight w:val="none"/>
        </w:rPr>
      </w:pPr>
      <w:r>
        <w:rPr>
          <w:rFonts w:hint="eastAsia" w:hAnsi="宋体" w:cs="宋体"/>
          <w:color w:val="auto"/>
          <w:szCs w:val="21"/>
          <w:highlight w:val="none"/>
        </w:rPr>
        <w:t>与本项目有关的正式通讯地址为：</w:t>
      </w:r>
    </w:p>
    <w:p w14:paraId="3CBD24A5">
      <w:pPr>
        <w:rPr>
          <w:rFonts w:ascii="宋体" w:hAnsi="宋体" w:cs="宋体"/>
          <w:color w:val="auto"/>
          <w:szCs w:val="21"/>
          <w:highlight w:val="none"/>
        </w:rPr>
      </w:pPr>
    </w:p>
    <w:p w14:paraId="6397801E">
      <w:pPr>
        <w:pStyle w:val="15"/>
        <w:spacing w:line="320" w:lineRule="exact"/>
        <w:ind w:firstLine="420"/>
        <w:rPr>
          <w:rFonts w:hAnsi="宋体" w:cs="宋体"/>
          <w:color w:val="auto"/>
          <w:szCs w:val="21"/>
          <w:highlight w:val="none"/>
          <w:u w:val="single"/>
        </w:rPr>
      </w:pPr>
      <w:r>
        <w:rPr>
          <w:rFonts w:hint="eastAsia" w:hAnsi="宋体" w:cs="宋体"/>
          <w:color w:val="auto"/>
          <w:szCs w:val="21"/>
          <w:highlight w:val="none"/>
        </w:rPr>
        <w:t>地址：</w:t>
      </w:r>
      <w:r>
        <w:rPr>
          <w:rFonts w:hint="eastAsia" w:hAnsi="宋体" w:cs="宋体"/>
          <w:color w:val="auto"/>
          <w:szCs w:val="21"/>
          <w:highlight w:val="none"/>
          <w:u w:val="single"/>
        </w:rPr>
        <w:t xml:space="preserve">                                   </w:t>
      </w:r>
      <w:r>
        <w:rPr>
          <w:rFonts w:hint="eastAsia" w:hAnsi="宋体" w:cs="宋体"/>
          <w:color w:val="auto"/>
          <w:szCs w:val="21"/>
          <w:highlight w:val="none"/>
        </w:rPr>
        <w:t xml:space="preserve"> 邮编：</w:t>
      </w:r>
      <w:r>
        <w:rPr>
          <w:rFonts w:hint="eastAsia" w:hAnsi="宋体" w:cs="宋体"/>
          <w:color w:val="auto"/>
          <w:szCs w:val="21"/>
          <w:highlight w:val="none"/>
          <w:u w:val="single"/>
        </w:rPr>
        <w:t xml:space="preserve">          </w:t>
      </w:r>
      <w:r>
        <w:rPr>
          <w:rFonts w:hint="eastAsia" w:hAnsi="宋体" w:cs="宋体"/>
          <w:color w:val="auto"/>
          <w:szCs w:val="21"/>
          <w:highlight w:val="none"/>
        </w:rPr>
        <w:t xml:space="preserve">  电话、传真：</w:t>
      </w:r>
      <w:r>
        <w:rPr>
          <w:rFonts w:hint="eastAsia" w:hAnsi="宋体" w:cs="宋体"/>
          <w:color w:val="auto"/>
          <w:szCs w:val="21"/>
          <w:highlight w:val="none"/>
          <w:u w:val="single"/>
        </w:rPr>
        <w:t xml:space="preserve">            </w:t>
      </w:r>
    </w:p>
    <w:p w14:paraId="7ECD2717">
      <w:pPr>
        <w:pStyle w:val="15"/>
        <w:spacing w:line="320" w:lineRule="exact"/>
        <w:ind w:firstLine="420"/>
        <w:rPr>
          <w:rFonts w:hAnsi="宋体" w:cs="宋体"/>
          <w:color w:val="auto"/>
          <w:szCs w:val="21"/>
          <w:highlight w:val="none"/>
        </w:rPr>
      </w:pPr>
      <w:r>
        <w:rPr>
          <w:rFonts w:hint="eastAsia" w:hAnsi="宋体" w:cs="宋体"/>
          <w:color w:val="auto"/>
          <w:szCs w:val="21"/>
          <w:highlight w:val="none"/>
        </w:rPr>
        <w:t>开户名称：</w:t>
      </w:r>
      <w:r>
        <w:rPr>
          <w:rFonts w:hint="eastAsia" w:hAnsi="宋体" w:cs="宋体"/>
          <w:color w:val="auto"/>
          <w:szCs w:val="21"/>
          <w:highlight w:val="none"/>
          <w:u w:val="single"/>
        </w:rPr>
        <w:t xml:space="preserve">                                        </w:t>
      </w:r>
    </w:p>
    <w:p w14:paraId="22771472">
      <w:pPr>
        <w:pStyle w:val="15"/>
        <w:spacing w:line="320" w:lineRule="exact"/>
        <w:ind w:firstLine="420"/>
        <w:rPr>
          <w:rFonts w:hAnsi="宋体" w:cs="宋体"/>
          <w:color w:val="auto"/>
          <w:szCs w:val="21"/>
          <w:highlight w:val="none"/>
        </w:rPr>
      </w:pPr>
      <w:r>
        <w:rPr>
          <w:rFonts w:hint="eastAsia" w:hAnsi="宋体" w:cs="宋体"/>
          <w:color w:val="auto"/>
          <w:szCs w:val="21"/>
          <w:highlight w:val="none"/>
        </w:rPr>
        <w:t>开户银行：</w:t>
      </w:r>
      <w:r>
        <w:rPr>
          <w:rFonts w:hint="eastAsia" w:hAnsi="宋体" w:cs="宋体"/>
          <w:color w:val="auto"/>
          <w:szCs w:val="21"/>
          <w:highlight w:val="none"/>
          <w:u w:val="single"/>
        </w:rPr>
        <w:t xml:space="preserve">                               　       </w:t>
      </w:r>
    </w:p>
    <w:p w14:paraId="46909E74">
      <w:pPr>
        <w:pStyle w:val="15"/>
        <w:spacing w:line="320" w:lineRule="exact"/>
        <w:ind w:firstLine="420"/>
        <w:rPr>
          <w:rFonts w:hAnsi="宋体" w:cs="宋体"/>
          <w:color w:val="auto"/>
          <w:szCs w:val="21"/>
          <w:highlight w:val="none"/>
        </w:rPr>
      </w:pPr>
      <w:r>
        <w:rPr>
          <w:rFonts w:hint="eastAsia" w:hAnsi="宋体" w:cs="宋体"/>
          <w:color w:val="auto"/>
          <w:szCs w:val="21"/>
          <w:highlight w:val="none"/>
        </w:rPr>
        <w:t>账号：</w:t>
      </w:r>
      <w:r>
        <w:rPr>
          <w:rFonts w:hint="eastAsia" w:hAnsi="宋体" w:cs="宋体"/>
          <w:color w:val="auto"/>
          <w:szCs w:val="21"/>
          <w:highlight w:val="none"/>
          <w:u w:val="single"/>
        </w:rPr>
        <w:t xml:space="preserve">                                   　　　   </w:t>
      </w:r>
    </w:p>
    <w:p w14:paraId="72612AC9">
      <w:pPr>
        <w:pStyle w:val="15"/>
        <w:spacing w:line="320" w:lineRule="exact"/>
        <w:ind w:firstLine="420"/>
        <w:rPr>
          <w:rFonts w:hAnsi="宋体" w:cs="宋体"/>
          <w:bCs/>
          <w:color w:val="auto"/>
          <w:szCs w:val="21"/>
          <w:highlight w:val="none"/>
          <w:u w:val="single"/>
        </w:rPr>
      </w:pPr>
      <w:r>
        <w:rPr>
          <w:rFonts w:hint="eastAsia" w:hAnsi="宋体" w:cs="宋体"/>
          <w:bCs/>
          <w:color w:val="auto"/>
          <w:szCs w:val="21"/>
          <w:highlight w:val="none"/>
        </w:rPr>
        <w:t>供应商[(CA证书签章)、自然人除外]：</w:t>
      </w:r>
      <w:r>
        <w:rPr>
          <w:rFonts w:hint="eastAsia" w:hAnsi="宋体" w:cs="宋体"/>
          <w:bCs/>
          <w:color w:val="auto"/>
          <w:szCs w:val="21"/>
          <w:highlight w:val="none"/>
          <w:u w:val="single"/>
        </w:rPr>
        <w:t xml:space="preserve">                              </w:t>
      </w:r>
    </w:p>
    <w:p w14:paraId="235E7DC4">
      <w:pPr>
        <w:pStyle w:val="15"/>
        <w:spacing w:line="320" w:lineRule="exact"/>
        <w:ind w:firstLine="420"/>
        <w:rPr>
          <w:rFonts w:hAnsi="宋体" w:cs="宋体"/>
          <w:color w:val="auto"/>
          <w:szCs w:val="21"/>
          <w:highlight w:val="none"/>
          <w:u w:val="single"/>
        </w:rPr>
      </w:pPr>
      <w:r>
        <w:rPr>
          <w:rFonts w:hint="eastAsia" w:hAnsi="宋体" w:cs="宋体"/>
          <w:color w:val="auto"/>
          <w:szCs w:val="21"/>
          <w:highlight w:val="none"/>
        </w:rPr>
        <w:t>法定代表人、负责人、自然人或相应的委托代理人签字[或盖章(CA证书签章)]（属自然人的应在签名处加盖大拇指指印或个人CA证书签章）：</w:t>
      </w:r>
      <w:r>
        <w:rPr>
          <w:rFonts w:hint="eastAsia" w:hAnsi="宋体" w:cs="宋体"/>
          <w:color w:val="auto"/>
          <w:szCs w:val="21"/>
          <w:highlight w:val="none"/>
          <w:u w:val="single"/>
        </w:rPr>
        <w:t xml:space="preserve">              </w:t>
      </w:r>
    </w:p>
    <w:p w14:paraId="740E6441">
      <w:pPr>
        <w:pStyle w:val="15"/>
        <w:spacing w:line="320" w:lineRule="exact"/>
        <w:ind w:firstLine="420"/>
        <w:rPr>
          <w:rFonts w:hAnsi="宋体" w:cs="宋体"/>
          <w:color w:val="auto"/>
          <w:szCs w:val="21"/>
          <w:highlight w:val="none"/>
        </w:rPr>
        <w:sectPr>
          <w:pgSz w:w="11906" w:h="16838"/>
          <w:pgMar w:top="1440" w:right="935" w:bottom="1440" w:left="777" w:header="851" w:footer="992" w:gutter="0"/>
          <w:pgNumType w:fmt="decimal"/>
          <w:cols w:space="720" w:num="1"/>
          <w:docGrid w:type="linesAndChars" w:linePitch="312" w:charSpace="0"/>
        </w:sectPr>
      </w:pPr>
      <w:r>
        <w:rPr>
          <w:rFonts w:hint="eastAsia" w:hAnsi="宋体" w:cs="宋体"/>
          <w:bCs/>
          <w:color w:val="auto"/>
          <w:szCs w:val="21"/>
          <w:highlight w:val="none"/>
        </w:rPr>
        <w:t>响应</w:t>
      </w:r>
      <w:r>
        <w:rPr>
          <w:rFonts w:hint="eastAsia" w:hAnsi="宋体" w:cs="宋体"/>
          <w:color w:val="auto"/>
          <w:szCs w:val="21"/>
          <w:highlight w:val="none"/>
        </w:rPr>
        <w:t>日期：</w:t>
      </w:r>
    </w:p>
    <w:p w14:paraId="524DBB93">
      <w:pPr>
        <w:pStyle w:val="15"/>
        <w:spacing w:line="340" w:lineRule="exact"/>
        <w:outlineLvl w:val="3"/>
        <w:rPr>
          <w:rFonts w:hAnsi="宋体" w:cs="宋体"/>
          <w:color w:val="auto"/>
          <w:highlight w:val="none"/>
        </w:rPr>
      </w:pPr>
      <w:r>
        <w:rPr>
          <w:rFonts w:hint="eastAsia" w:hAnsi="宋体" w:cs="宋体"/>
          <w:b/>
          <w:color w:val="auto"/>
          <w:sz w:val="28"/>
          <w:szCs w:val="28"/>
          <w:highlight w:val="none"/>
        </w:rPr>
        <w:t>2.磋商报价表（必须提供）；</w:t>
      </w:r>
    </w:p>
    <w:p w14:paraId="15AC3183">
      <w:pPr>
        <w:pStyle w:val="15"/>
        <w:spacing w:line="320" w:lineRule="exact"/>
        <w:jc w:val="left"/>
        <w:rPr>
          <w:rFonts w:hAnsi="宋体" w:cs="宋体"/>
          <w:b/>
          <w:color w:val="auto"/>
          <w:sz w:val="28"/>
          <w:szCs w:val="28"/>
          <w:highlight w:val="none"/>
        </w:rPr>
      </w:pPr>
    </w:p>
    <w:p w14:paraId="475C07EE">
      <w:pPr>
        <w:pStyle w:val="8"/>
        <w:ind w:left="0"/>
        <w:rPr>
          <w:rFonts w:ascii="宋体" w:hAnsi="宋体" w:cs="宋体"/>
          <w:color w:val="auto"/>
          <w:highlight w:val="none"/>
        </w:rPr>
      </w:pPr>
      <w:r>
        <w:rPr>
          <w:rFonts w:hint="eastAsia" w:ascii="宋体" w:hAnsi="宋体" w:cs="宋体"/>
          <w:b/>
          <w:bCs/>
          <w:color w:val="auto"/>
          <w:sz w:val="30"/>
          <w:szCs w:val="30"/>
          <w:highlight w:val="none"/>
        </w:rPr>
        <w:t>附件：</w:t>
      </w:r>
    </w:p>
    <w:p w14:paraId="36C1FFF7">
      <w:pPr>
        <w:pStyle w:val="15"/>
        <w:spacing w:line="480" w:lineRule="exact"/>
        <w:ind w:left="420"/>
        <w:jc w:val="center"/>
        <w:rPr>
          <w:rFonts w:hAnsi="宋体" w:cs="宋体"/>
          <w:b/>
          <w:color w:val="auto"/>
          <w:sz w:val="28"/>
          <w:szCs w:val="28"/>
          <w:highlight w:val="none"/>
        </w:rPr>
      </w:pPr>
      <w:r>
        <w:rPr>
          <w:rFonts w:hint="eastAsia" w:hAnsi="宋体" w:cs="宋体"/>
          <w:b/>
          <w:color w:val="auto"/>
          <w:sz w:val="28"/>
          <w:szCs w:val="28"/>
          <w:highlight w:val="none"/>
        </w:rPr>
        <w:t>磋商报价表（格式）</w:t>
      </w:r>
    </w:p>
    <w:tbl>
      <w:tblPr>
        <w:tblStyle w:val="24"/>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90"/>
        <w:gridCol w:w="4797"/>
        <w:gridCol w:w="550"/>
        <w:gridCol w:w="2211"/>
        <w:gridCol w:w="550"/>
        <w:gridCol w:w="1262"/>
        <w:gridCol w:w="550"/>
      </w:tblGrid>
      <w:tr w14:paraId="35D028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1" w:hRule="atLeast"/>
        </w:trPr>
        <w:tc>
          <w:tcPr>
            <w:tcW w:w="0" w:type="auto"/>
            <w:tcBorders>
              <w:top w:val="single" w:color="auto" w:sz="4" w:space="0"/>
              <w:bottom w:val="single" w:color="auto" w:sz="4" w:space="0"/>
              <w:right w:val="single" w:color="auto" w:sz="4" w:space="0"/>
            </w:tcBorders>
            <w:vAlign w:val="center"/>
          </w:tcPr>
          <w:p w14:paraId="14BD2C1B">
            <w:pPr>
              <w:keepNext w:val="0"/>
              <w:keepLines w:val="0"/>
              <w:suppressLineNumbers w:val="0"/>
              <w:spacing w:before="0" w:beforeAutospacing="0" w:after="0" w:afterAutospacing="0" w:line="30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项号</w:t>
            </w:r>
          </w:p>
        </w:tc>
        <w:tc>
          <w:tcPr>
            <w:tcW w:w="0" w:type="auto"/>
            <w:tcBorders>
              <w:top w:val="single" w:color="auto" w:sz="4" w:space="0"/>
              <w:left w:val="single" w:color="auto" w:sz="4" w:space="0"/>
              <w:bottom w:val="single" w:color="auto" w:sz="4" w:space="0"/>
              <w:right w:val="single" w:color="auto" w:sz="4" w:space="0"/>
            </w:tcBorders>
            <w:vAlign w:val="center"/>
          </w:tcPr>
          <w:p w14:paraId="1730CBF7">
            <w:pPr>
              <w:keepNext w:val="0"/>
              <w:keepLines w:val="0"/>
              <w:suppressLineNumbers w:val="0"/>
              <w:spacing w:before="0" w:beforeAutospacing="0" w:after="0" w:afterAutospacing="0" w:line="30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采购项目名称</w:t>
            </w:r>
          </w:p>
        </w:tc>
        <w:tc>
          <w:tcPr>
            <w:tcW w:w="0" w:type="auto"/>
            <w:tcBorders>
              <w:top w:val="single" w:color="auto" w:sz="4" w:space="0"/>
              <w:left w:val="single" w:color="auto" w:sz="4" w:space="0"/>
              <w:bottom w:val="single" w:color="auto" w:sz="4" w:space="0"/>
              <w:right w:val="single" w:color="auto" w:sz="4" w:space="0"/>
            </w:tcBorders>
            <w:vAlign w:val="center"/>
          </w:tcPr>
          <w:p w14:paraId="3B6E9360">
            <w:pPr>
              <w:keepNext w:val="0"/>
              <w:keepLines w:val="0"/>
              <w:suppressLineNumbers w:val="0"/>
              <w:spacing w:before="0" w:beforeAutospacing="0" w:after="0" w:afterAutospacing="0" w:line="30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0" w:type="auto"/>
            <w:tcBorders>
              <w:top w:val="single" w:color="auto" w:sz="4" w:space="0"/>
              <w:left w:val="single" w:color="auto" w:sz="4" w:space="0"/>
              <w:bottom w:val="single" w:color="auto" w:sz="4" w:space="0"/>
              <w:right w:val="single" w:color="auto" w:sz="4" w:space="0"/>
            </w:tcBorders>
            <w:vAlign w:val="center"/>
          </w:tcPr>
          <w:p w14:paraId="40E70922">
            <w:pPr>
              <w:keepNext w:val="0"/>
              <w:keepLines w:val="0"/>
              <w:suppressLineNumbers w:val="0"/>
              <w:spacing w:before="0" w:beforeAutospacing="0" w:after="0" w:afterAutospacing="0" w:line="30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lang w:eastAsia="zh-CN"/>
              </w:rPr>
              <w:t>服务名称</w:t>
            </w:r>
          </w:p>
        </w:tc>
        <w:tc>
          <w:tcPr>
            <w:tcW w:w="0" w:type="auto"/>
            <w:tcBorders>
              <w:top w:val="single" w:color="auto" w:sz="4" w:space="0"/>
              <w:left w:val="single" w:color="auto" w:sz="4" w:space="0"/>
              <w:bottom w:val="single" w:color="auto" w:sz="4" w:space="0"/>
              <w:right w:val="single" w:color="auto" w:sz="4" w:space="0"/>
            </w:tcBorders>
            <w:vAlign w:val="center"/>
          </w:tcPr>
          <w:p w14:paraId="7CE499C1">
            <w:pPr>
              <w:keepNext w:val="0"/>
              <w:keepLines w:val="0"/>
              <w:suppressLineNumbers w:val="0"/>
              <w:spacing w:before="0" w:beforeAutospacing="0" w:after="0" w:afterAutospacing="0" w:line="30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单位</w:t>
            </w:r>
          </w:p>
        </w:tc>
        <w:tc>
          <w:tcPr>
            <w:tcW w:w="0" w:type="auto"/>
            <w:tcBorders>
              <w:top w:val="single" w:color="auto" w:sz="4" w:space="0"/>
              <w:left w:val="single" w:color="auto" w:sz="4" w:space="0"/>
              <w:bottom w:val="single" w:color="auto" w:sz="4" w:space="0"/>
              <w:right w:val="single" w:color="auto" w:sz="4" w:space="0"/>
            </w:tcBorders>
            <w:vAlign w:val="center"/>
          </w:tcPr>
          <w:p w14:paraId="31A05CD9">
            <w:pPr>
              <w:keepNext w:val="0"/>
              <w:keepLines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cs="宋体"/>
                <w:color w:val="auto"/>
                <w:szCs w:val="21"/>
                <w:highlight w:val="none"/>
              </w:rPr>
              <w:t>磋商报价（元）</w:t>
            </w:r>
          </w:p>
        </w:tc>
        <w:tc>
          <w:tcPr>
            <w:tcW w:w="0" w:type="auto"/>
            <w:tcBorders>
              <w:top w:val="single" w:color="auto" w:sz="4" w:space="0"/>
              <w:bottom w:val="single" w:color="auto" w:sz="4" w:space="0"/>
            </w:tcBorders>
            <w:vAlign w:val="center"/>
          </w:tcPr>
          <w:p w14:paraId="20E9FDE6">
            <w:pPr>
              <w:keepNext w:val="0"/>
              <w:keepLines w:val="0"/>
              <w:suppressLineNumbers w:val="0"/>
              <w:spacing w:before="0" w:beforeAutospacing="0" w:after="0" w:afterAutospacing="0" w:line="30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3CC0C1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86" w:hRule="exact"/>
        </w:trPr>
        <w:tc>
          <w:tcPr>
            <w:tcW w:w="0" w:type="auto"/>
            <w:tcBorders>
              <w:top w:val="single" w:color="auto" w:sz="4" w:space="0"/>
              <w:bottom w:val="single" w:color="auto" w:sz="4" w:space="0"/>
              <w:right w:val="single" w:color="auto" w:sz="4" w:space="0"/>
            </w:tcBorders>
            <w:vAlign w:val="center"/>
          </w:tcPr>
          <w:p w14:paraId="1D1F78C0">
            <w:pPr>
              <w:keepNext w:val="0"/>
              <w:keepLines w:val="0"/>
              <w:suppressLineNumbers w:val="0"/>
              <w:spacing w:before="0" w:beforeAutospacing="0" w:after="0" w:afterAutospacing="0"/>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0" w:type="auto"/>
            <w:tcBorders>
              <w:top w:val="single" w:color="auto" w:sz="4" w:space="0"/>
              <w:left w:val="single" w:color="auto" w:sz="4" w:space="0"/>
              <w:bottom w:val="single" w:color="auto" w:sz="4" w:space="0"/>
              <w:right w:val="single" w:color="auto" w:sz="4" w:space="0"/>
            </w:tcBorders>
            <w:vAlign w:val="center"/>
          </w:tcPr>
          <w:p w14:paraId="66E82864">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广西花坪国家级自然保护区特种救护、宣传（资料）视频制作、标本养护及古树名木资源普查项目A分标（重）</w:t>
            </w:r>
          </w:p>
        </w:tc>
        <w:tc>
          <w:tcPr>
            <w:tcW w:w="0" w:type="auto"/>
            <w:tcBorders>
              <w:top w:val="single" w:color="auto" w:sz="4" w:space="0"/>
              <w:left w:val="single" w:color="auto" w:sz="4" w:space="0"/>
              <w:bottom w:val="single" w:color="auto" w:sz="4" w:space="0"/>
              <w:right w:val="single" w:color="auto" w:sz="4" w:space="0"/>
            </w:tcBorders>
            <w:vAlign w:val="center"/>
          </w:tcPr>
          <w:p w14:paraId="5377829C">
            <w:pPr>
              <w:keepNext w:val="0"/>
              <w:keepLines w:val="0"/>
              <w:suppressLineNumbers w:val="0"/>
              <w:spacing w:before="0" w:beforeAutospacing="0" w:after="0" w:afterAutospacing="0"/>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0" w:type="auto"/>
            <w:tcBorders>
              <w:top w:val="single" w:color="auto" w:sz="4" w:space="0"/>
              <w:left w:val="single" w:color="auto" w:sz="4" w:space="0"/>
              <w:bottom w:val="single" w:color="auto" w:sz="4" w:space="0"/>
              <w:right w:val="single" w:color="auto" w:sz="4" w:space="0"/>
            </w:tcBorders>
            <w:vAlign w:val="center"/>
          </w:tcPr>
          <w:p w14:paraId="6E897CC4">
            <w:pPr>
              <w:keepNext w:val="0"/>
              <w:keepLines w:val="0"/>
              <w:suppressLineNumbers w:val="0"/>
              <w:spacing w:before="0" w:beforeAutospacing="0" w:after="0" w:afterAutospacing="0"/>
              <w:ind w:left="0" w:right="0"/>
              <w:jc w:val="center"/>
              <w:rPr>
                <w:rFonts w:hint="eastAsia" w:ascii="宋体" w:hAnsi="宋体" w:cs="宋体"/>
                <w:color w:val="auto"/>
                <w:szCs w:val="21"/>
                <w:highlight w:val="none"/>
              </w:rPr>
            </w:pPr>
            <w:r>
              <w:rPr>
                <w:rFonts w:hint="eastAsia" w:ascii="宋体" w:hAnsi="宋体" w:cs="宋体"/>
                <w:color w:val="auto"/>
                <w:szCs w:val="21"/>
                <w:highlight w:val="none"/>
                <w:lang w:eastAsia="zh-CN"/>
              </w:rPr>
              <w:t>特种救护、宣传（资料）视频制作、标本养护</w:t>
            </w:r>
          </w:p>
        </w:tc>
        <w:tc>
          <w:tcPr>
            <w:tcW w:w="0" w:type="auto"/>
            <w:tcBorders>
              <w:top w:val="single" w:color="auto" w:sz="4" w:space="0"/>
              <w:left w:val="single" w:color="auto" w:sz="4" w:space="0"/>
              <w:bottom w:val="single" w:color="auto" w:sz="4" w:space="0"/>
              <w:right w:val="single" w:color="auto" w:sz="4" w:space="0"/>
            </w:tcBorders>
            <w:vAlign w:val="center"/>
          </w:tcPr>
          <w:p w14:paraId="45460A76">
            <w:pPr>
              <w:keepNext w:val="0"/>
              <w:keepLines w:val="0"/>
              <w:suppressLineNumbers w:val="0"/>
              <w:spacing w:before="0" w:beforeAutospacing="0" w:after="0" w:afterAutospacing="0"/>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项</w:t>
            </w:r>
          </w:p>
        </w:tc>
        <w:tc>
          <w:tcPr>
            <w:tcW w:w="0" w:type="auto"/>
            <w:tcBorders>
              <w:top w:val="single" w:color="auto" w:sz="4" w:space="0"/>
              <w:left w:val="single" w:color="auto" w:sz="4" w:space="0"/>
              <w:bottom w:val="single" w:color="auto" w:sz="4" w:space="0"/>
              <w:right w:val="single" w:color="auto" w:sz="4" w:space="0"/>
            </w:tcBorders>
            <w:vAlign w:val="center"/>
          </w:tcPr>
          <w:p w14:paraId="7B31ECE5">
            <w:pPr>
              <w:keepNext w:val="0"/>
              <w:keepLines w:val="0"/>
              <w:suppressLineNumbers w:val="0"/>
              <w:spacing w:before="0" w:beforeAutospacing="0" w:after="0" w:afterAutospacing="0" w:line="300" w:lineRule="exact"/>
              <w:ind w:left="0" w:right="0"/>
              <w:jc w:val="center"/>
              <w:rPr>
                <w:rFonts w:hint="eastAsia" w:ascii="宋体" w:hAnsi="宋体" w:cs="宋体"/>
                <w:b/>
                <w:bCs/>
                <w:color w:val="auto"/>
                <w:szCs w:val="21"/>
                <w:highlight w:val="none"/>
              </w:rPr>
            </w:pPr>
          </w:p>
        </w:tc>
        <w:tc>
          <w:tcPr>
            <w:tcW w:w="0" w:type="auto"/>
            <w:tcBorders>
              <w:top w:val="single" w:color="auto" w:sz="4" w:space="0"/>
              <w:bottom w:val="single" w:color="auto" w:sz="4" w:space="0"/>
            </w:tcBorders>
            <w:vAlign w:val="center"/>
          </w:tcPr>
          <w:p w14:paraId="04A47EF5">
            <w:pPr>
              <w:keepNext w:val="0"/>
              <w:keepLines w:val="0"/>
              <w:suppressLineNumbers w:val="0"/>
              <w:spacing w:before="0" w:beforeAutospacing="0" w:after="0" w:afterAutospacing="0" w:line="300" w:lineRule="exact"/>
              <w:ind w:left="0" w:right="0"/>
              <w:jc w:val="center"/>
              <w:rPr>
                <w:rFonts w:hint="eastAsia" w:ascii="宋体" w:hAnsi="宋体" w:cs="宋体"/>
                <w:b/>
                <w:bCs/>
                <w:color w:val="auto"/>
                <w:szCs w:val="21"/>
                <w:highlight w:val="none"/>
              </w:rPr>
            </w:pPr>
          </w:p>
        </w:tc>
      </w:tr>
      <w:tr w14:paraId="490D66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1" w:hRule="atLeast"/>
        </w:trPr>
        <w:tc>
          <w:tcPr>
            <w:tcW w:w="0" w:type="auto"/>
            <w:tcBorders>
              <w:top w:val="single" w:color="auto" w:sz="4" w:space="0"/>
              <w:bottom w:val="single" w:color="auto" w:sz="4" w:space="0"/>
            </w:tcBorders>
            <w:vAlign w:val="center"/>
          </w:tcPr>
          <w:p w14:paraId="025CCE0E">
            <w:pPr>
              <w:pStyle w:val="10"/>
              <w:keepNext w:val="0"/>
              <w:keepLines w:val="0"/>
              <w:suppressLineNumbers w:val="0"/>
              <w:spacing w:before="0" w:beforeAutospacing="0" w:after="0" w:afterAutospacing="0"/>
              <w:ind w:left="0" w:right="0"/>
              <w:rPr>
                <w:rFonts w:hint="eastAsia" w:ascii="宋体" w:hAnsi="宋体" w:cs="宋体"/>
                <w:color w:val="auto"/>
                <w:sz w:val="21"/>
                <w:szCs w:val="21"/>
                <w:highlight w:val="none"/>
                <w:lang w:val="en-US" w:eastAsia="zh-CN"/>
              </w:rPr>
            </w:pPr>
          </w:p>
        </w:tc>
        <w:tc>
          <w:tcPr>
            <w:tcW w:w="0" w:type="auto"/>
            <w:gridSpan w:val="6"/>
            <w:tcBorders>
              <w:top w:val="single" w:color="auto" w:sz="4" w:space="0"/>
              <w:bottom w:val="single" w:color="auto" w:sz="4" w:space="0"/>
            </w:tcBorders>
            <w:vAlign w:val="center"/>
          </w:tcPr>
          <w:p w14:paraId="5516D42B">
            <w:pPr>
              <w:keepNext w:val="0"/>
              <w:keepLines w:val="0"/>
              <w:suppressLineNumbers w:val="0"/>
              <w:spacing w:before="0" w:beforeAutospacing="0" w:after="0" w:afterAutospacing="0" w:line="34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说明：</w:t>
            </w:r>
            <w:r>
              <w:rPr>
                <w:rFonts w:hint="eastAsia" w:ascii="宋体" w:hAnsi="宋体" w:cs="宋体"/>
                <w:color w:val="auto"/>
                <w:szCs w:val="21"/>
                <w:highlight w:val="none"/>
                <w:lang w:val="en-US" w:eastAsia="zh-CN"/>
              </w:rPr>
              <w:t>1.</w:t>
            </w:r>
            <w:r>
              <w:rPr>
                <w:rFonts w:hint="eastAsia" w:ascii="宋体" w:hAnsi="宋体" w:cs="宋体"/>
                <w:color w:val="auto"/>
                <w:spacing w:val="-6"/>
                <w:szCs w:val="21"/>
                <w:highlight w:val="none"/>
              </w:rPr>
              <w:t>磋商</w:t>
            </w:r>
            <w:r>
              <w:rPr>
                <w:rFonts w:hint="eastAsia" w:ascii="宋体" w:hAnsi="宋体" w:cs="宋体"/>
                <w:color w:val="auto"/>
                <w:szCs w:val="21"/>
                <w:highlight w:val="none"/>
              </w:rPr>
              <w:t>报价指本次招标采购范围内服务价款、保险、税金及其他所有成本费用的总和；供应商综合考虑在报价中。</w:t>
            </w:r>
          </w:p>
          <w:p w14:paraId="32E8BD85">
            <w:pPr>
              <w:pStyle w:val="10"/>
              <w:keepNext w:val="0"/>
              <w:keepLines w:val="0"/>
              <w:suppressLineNumbers w:val="0"/>
              <w:spacing w:before="0" w:beforeAutospacing="0" w:after="0" w:afterAutospacing="0"/>
              <w:ind w:left="0" w:right="0"/>
              <w:rPr>
                <w:rFonts w:hint="eastAsia" w:eastAsia="宋体"/>
                <w:color w:val="auto"/>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本项目报价为</w:t>
            </w:r>
            <w:r>
              <w:rPr>
                <w:rStyle w:val="27"/>
                <w:rFonts w:hint="eastAsia" w:ascii="宋体" w:hAnsi="宋体" w:eastAsia="宋体" w:cs="宋体"/>
                <w:b/>
                <w:bCs/>
                <w:color w:val="auto"/>
                <w:sz w:val="21"/>
                <w:szCs w:val="21"/>
                <w:highlight w:val="none"/>
              </w:rPr>
              <w:t>全包固定总价报价</w:t>
            </w:r>
            <w:r>
              <w:rPr>
                <w:rFonts w:hint="eastAsia" w:ascii="宋体" w:hAnsi="宋体" w:eastAsia="宋体" w:cs="宋体"/>
                <w:color w:val="auto"/>
                <w:sz w:val="21"/>
                <w:szCs w:val="21"/>
                <w:highlight w:val="none"/>
              </w:rPr>
              <w:t>，包含本项目开展所需的人工费、差旅费、外业调查费、设备使用费、软件制图费、数据处理费、资料整编费、专家评审费、</w:t>
            </w:r>
            <w:r>
              <w:rPr>
                <w:rFonts w:hint="eastAsia" w:ascii="宋体" w:hAnsi="宋体" w:eastAsia="宋体" w:cs="宋体"/>
                <w:color w:val="auto"/>
                <w:sz w:val="21"/>
                <w:szCs w:val="21"/>
                <w:highlight w:val="none"/>
                <w:lang w:val="en-US" w:eastAsia="zh-CN"/>
              </w:rPr>
              <w:t>保险费、</w:t>
            </w:r>
            <w:r>
              <w:rPr>
                <w:rFonts w:hint="eastAsia" w:ascii="宋体" w:hAnsi="宋体" w:eastAsia="宋体" w:cs="宋体"/>
                <w:color w:val="auto"/>
                <w:sz w:val="21"/>
                <w:szCs w:val="21"/>
                <w:highlight w:val="none"/>
              </w:rPr>
              <w:t>管理费、税费及完成本项目全部工作内容所产生的一切费用，采购人不另行支付任何费用</w:t>
            </w:r>
            <w:r>
              <w:rPr>
                <w:rFonts w:hint="eastAsia" w:ascii="宋体" w:hAnsi="宋体" w:cs="宋体"/>
                <w:color w:val="auto"/>
                <w:sz w:val="21"/>
                <w:szCs w:val="21"/>
                <w:highlight w:val="none"/>
                <w:lang w:eastAsia="zh-CN"/>
              </w:rPr>
              <w:t>。</w:t>
            </w:r>
          </w:p>
        </w:tc>
      </w:tr>
    </w:tbl>
    <w:p w14:paraId="16F4ADAF">
      <w:pPr>
        <w:spacing w:line="340" w:lineRule="exact"/>
        <w:rPr>
          <w:rFonts w:ascii="宋体" w:hAnsi="宋体" w:cs="宋体"/>
          <w:color w:val="auto"/>
          <w:szCs w:val="21"/>
          <w:highlight w:val="none"/>
        </w:rPr>
      </w:pPr>
    </w:p>
    <w:p w14:paraId="32486CD9">
      <w:pPr>
        <w:spacing w:line="340" w:lineRule="exact"/>
        <w:rPr>
          <w:rFonts w:ascii="宋体" w:hAnsi="宋体" w:cs="宋体"/>
          <w:color w:val="auto"/>
          <w:szCs w:val="21"/>
          <w:highlight w:val="none"/>
          <w:u w:val="single"/>
        </w:rPr>
      </w:pPr>
      <w:r>
        <w:rPr>
          <w:rFonts w:hint="eastAsia" w:ascii="宋体" w:hAnsi="宋体" w:cs="宋体"/>
          <w:color w:val="auto"/>
          <w:szCs w:val="21"/>
          <w:highlight w:val="none"/>
        </w:rPr>
        <w:t>供应商（CA证书签章，自然人除外）：</w:t>
      </w:r>
      <w:r>
        <w:rPr>
          <w:rFonts w:hint="eastAsia" w:ascii="宋体" w:hAnsi="宋体" w:cs="宋体"/>
          <w:color w:val="auto"/>
          <w:szCs w:val="21"/>
          <w:highlight w:val="none"/>
          <w:u w:val="single"/>
        </w:rPr>
        <w:t xml:space="preserve">                                        </w:t>
      </w:r>
    </w:p>
    <w:p w14:paraId="0ABDCEB9">
      <w:pPr>
        <w:spacing w:line="340" w:lineRule="exact"/>
        <w:rPr>
          <w:rFonts w:ascii="宋体" w:hAnsi="宋体" w:cs="宋体"/>
          <w:color w:val="auto"/>
          <w:szCs w:val="21"/>
          <w:highlight w:val="none"/>
          <w:u w:val="single"/>
        </w:rPr>
      </w:pPr>
      <w:r>
        <w:rPr>
          <w:rFonts w:hint="eastAsia" w:ascii="宋体" w:hAnsi="宋体" w:cs="宋体"/>
          <w:color w:val="auto"/>
          <w:highlight w:val="none"/>
        </w:rPr>
        <w:t>法定代表人、负责人、自然人或相应的委托代理人签字或个人CA证书签章（属自然人的应在签名处加盖食指指印或个人CA证书签章）：</w:t>
      </w:r>
      <w:r>
        <w:rPr>
          <w:rFonts w:hint="eastAsia" w:ascii="宋体" w:hAnsi="宋体" w:cs="宋体"/>
          <w:color w:val="auto"/>
          <w:szCs w:val="21"/>
          <w:highlight w:val="none"/>
          <w:u w:val="single"/>
        </w:rPr>
        <w:t xml:space="preserve">                                    </w:t>
      </w:r>
    </w:p>
    <w:p w14:paraId="67DD9768">
      <w:pPr>
        <w:tabs>
          <w:tab w:val="left" w:pos="1305"/>
        </w:tabs>
        <w:spacing w:line="340" w:lineRule="exact"/>
        <w:rPr>
          <w:rFonts w:ascii="宋体" w:hAnsi="宋体" w:cs="宋体"/>
          <w:bCs/>
          <w:color w:val="auto"/>
          <w:szCs w:val="21"/>
          <w:highlight w:val="none"/>
        </w:rPr>
      </w:pPr>
    </w:p>
    <w:p w14:paraId="11530545">
      <w:pPr>
        <w:tabs>
          <w:tab w:val="left" w:pos="1305"/>
        </w:tabs>
        <w:spacing w:line="340" w:lineRule="exact"/>
        <w:rPr>
          <w:rFonts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
          <w:bCs/>
          <w:color w:val="auto"/>
          <w:szCs w:val="21"/>
          <w:highlight w:val="none"/>
        </w:rPr>
        <w:t>：</w:t>
      </w:r>
      <w:r>
        <w:rPr>
          <w:rFonts w:hint="eastAsia" w:ascii="宋体" w:hAnsi="宋体" w:cs="宋体"/>
          <w:bCs/>
          <w:color w:val="auto"/>
          <w:szCs w:val="21"/>
          <w:highlight w:val="none"/>
        </w:rPr>
        <w:t>1.各</w:t>
      </w:r>
      <w:r>
        <w:rPr>
          <w:rFonts w:hint="eastAsia" w:ascii="宋体" w:hAnsi="宋体" w:cs="宋体"/>
          <w:color w:val="auto"/>
          <w:szCs w:val="21"/>
          <w:highlight w:val="none"/>
        </w:rPr>
        <w:t>供应商必须作完整唯一报价，否则，其投标将被拒绝。响应文件只允许有一个报价。</w:t>
      </w:r>
    </w:p>
    <w:p w14:paraId="2EDABC4C">
      <w:pPr>
        <w:pStyle w:val="15"/>
        <w:spacing w:line="360" w:lineRule="exact"/>
        <w:ind w:firstLine="420" w:firstLineChars="200"/>
        <w:rPr>
          <w:rFonts w:hAnsi="宋体" w:cs="宋体"/>
          <w:color w:val="auto"/>
          <w:szCs w:val="21"/>
          <w:highlight w:val="none"/>
        </w:rPr>
      </w:pPr>
      <w:r>
        <w:rPr>
          <w:rFonts w:hint="eastAsia" w:hAnsi="宋体" w:cs="宋体"/>
          <w:color w:val="auto"/>
          <w:szCs w:val="21"/>
          <w:highlight w:val="none"/>
        </w:rPr>
        <w:t>2.供应商应根据所投项目如实填写磋商报价表</w:t>
      </w:r>
      <w:r>
        <w:rPr>
          <w:rFonts w:hint="eastAsia" w:hAnsi="宋体" w:cs="宋体"/>
          <w:bCs/>
          <w:color w:val="auto"/>
          <w:szCs w:val="21"/>
          <w:highlight w:val="none"/>
        </w:rPr>
        <w:t>的各项内容。</w:t>
      </w:r>
    </w:p>
    <w:p w14:paraId="71D451B9">
      <w:pPr>
        <w:ind w:firstLine="420" w:firstLineChars="200"/>
        <w:rPr>
          <w:rFonts w:ascii="宋体" w:hAnsi="宋体" w:cs="宋体"/>
          <w:b/>
          <w:bCs/>
          <w:color w:val="auto"/>
          <w:sz w:val="32"/>
          <w:szCs w:val="32"/>
          <w:highlight w:val="none"/>
        </w:rPr>
      </w:pPr>
      <w:r>
        <w:rPr>
          <w:rFonts w:hint="eastAsia" w:ascii="宋体" w:hAnsi="宋体" w:cs="宋体"/>
          <w:color w:val="auto"/>
          <w:szCs w:val="21"/>
          <w:highlight w:val="none"/>
        </w:rPr>
        <w:t>3.</w:t>
      </w:r>
      <w:r>
        <w:rPr>
          <w:rFonts w:hint="eastAsia" w:ascii="宋体" w:hAnsi="宋体" w:cs="宋体"/>
          <w:color w:val="auto"/>
          <w:highlight w:val="none"/>
        </w:rPr>
        <w:t>磋商报价表须由法定代表人负责人、自然人或相应的委托代理人签字或个人CA证书签章（属自然人的应在签名处加盖食指指印或个人CA证书签章）并加盖供应商CA证书签章（自然人除外）。</w:t>
      </w:r>
      <w:r>
        <w:rPr>
          <w:rFonts w:hint="eastAsia" w:ascii="宋体" w:hAnsi="宋体" w:cs="宋体"/>
          <w:b/>
          <w:color w:val="auto"/>
          <w:highlight w:val="none"/>
        </w:rPr>
        <w:t>当本表由多页构成时，需逐页加盖供应商CA证书签章（属自然人的须逐页签字或个人CA证书签章）</w:t>
      </w:r>
    </w:p>
    <w:p w14:paraId="084F3580">
      <w:pPr>
        <w:rPr>
          <w:rFonts w:ascii="宋体" w:hAnsi="宋体" w:cs="宋体"/>
          <w:b/>
          <w:bCs/>
          <w:color w:val="auto"/>
          <w:sz w:val="32"/>
          <w:szCs w:val="32"/>
          <w:highlight w:val="none"/>
        </w:rPr>
      </w:pPr>
    </w:p>
    <w:p w14:paraId="0EF4BB3B">
      <w:pPr>
        <w:pStyle w:val="9"/>
        <w:rPr>
          <w:rFonts w:ascii="宋体" w:hAnsi="宋体" w:cs="宋体"/>
          <w:color w:val="auto"/>
          <w:highlight w:val="none"/>
        </w:rPr>
        <w:sectPr>
          <w:pgSz w:w="11906" w:h="16838"/>
          <w:pgMar w:top="1440" w:right="935" w:bottom="1440" w:left="777" w:header="851" w:footer="992" w:gutter="0"/>
          <w:pgNumType w:fmt="decimal"/>
          <w:cols w:space="720" w:num="1"/>
          <w:docGrid w:type="linesAndChars" w:linePitch="312" w:charSpace="0"/>
        </w:sectPr>
      </w:pPr>
    </w:p>
    <w:p w14:paraId="3219CFEA">
      <w:pPr>
        <w:pStyle w:val="15"/>
        <w:spacing w:line="340" w:lineRule="exact"/>
        <w:outlineLvl w:val="3"/>
        <w:rPr>
          <w:rFonts w:hAnsi="宋体" w:cs="宋体"/>
          <w:b/>
          <w:color w:val="auto"/>
          <w:sz w:val="28"/>
          <w:szCs w:val="28"/>
          <w:highlight w:val="none"/>
        </w:rPr>
      </w:pPr>
      <w:r>
        <w:rPr>
          <w:rFonts w:hint="eastAsia" w:hAnsi="宋体" w:cs="宋体"/>
          <w:b/>
          <w:color w:val="auto"/>
          <w:sz w:val="28"/>
          <w:szCs w:val="28"/>
          <w:highlight w:val="none"/>
        </w:rPr>
        <w:t>3.采购需求响应说明表（格式见附件）(必须提供)；</w:t>
      </w:r>
    </w:p>
    <w:p w14:paraId="611F703F">
      <w:pPr>
        <w:rPr>
          <w:rFonts w:ascii="宋体" w:hAnsi="宋体" w:cs="宋体"/>
          <w:color w:val="auto"/>
          <w:highlight w:val="none"/>
        </w:rPr>
      </w:pPr>
    </w:p>
    <w:p w14:paraId="7A3A444E">
      <w:pPr>
        <w:pStyle w:val="15"/>
        <w:spacing w:line="340" w:lineRule="exact"/>
        <w:rPr>
          <w:rFonts w:hAnsi="宋体" w:cs="宋体"/>
          <w:b/>
          <w:color w:val="auto"/>
          <w:sz w:val="28"/>
          <w:szCs w:val="28"/>
          <w:highlight w:val="none"/>
        </w:rPr>
      </w:pPr>
      <w:r>
        <w:rPr>
          <w:rFonts w:hint="eastAsia" w:hAnsi="宋体" w:cs="宋体"/>
          <w:b/>
          <w:color w:val="auto"/>
          <w:sz w:val="28"/>
          <w:szCs w:val="28"/>
          <w:highlight w:val="none"/>
        </w:rPr>
        <w:t>附件：</w:t>
      </w:r>
    </w:p>
    <w:p w14:paraId="3A69C2EA">
      <w:pPr>
        <w:spacing w:line="500" w:lineRule="exact"/>
        <w:rPr>
          <w:rFonts w:ascii="宋体" w:hAnsi="宋体" w:cs="宋体"/>
          <w:color w:val="auto"/>
          <w:szCs w:val="21"/>
          <w:highlight w:val="none"/>
          <w:u w:val="singl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p>
    <w:p w14:paraId="4C17EBF5">
      <w:pPr>
        <w:spacing w:line="500" w:lineRule="exact"/>
        <w:rPr>
          <w:rFonts w:ascii="宋体" w:hAnsi="宋体" w:cs="宋体"/>
          <w:color w:val="auto"/>
          <w:szCs w:val="21"/>
          <w:highlight w:val="none"/>
        </w:rPr>
      </w:pPr>
      <w:r>
        <w:rPr>
          <w:rFonts w:hint="eastAsia" w:ascii="宋体" w:hAnsi="宋体" w:cs="宋体"/>
          <w:color w:val="auto"/>
          <w:szCs w:val="21"/>
          <w:highlight w:val="none"/>
        </w:rPr>
        <w:t>项目编号: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tbl>
      <w:tblPr>
        <w:tblStyle w:val="24"/>
        <w:tblW w:w="10193" w:type="dxa"/>
        <w:tblInd w:w="8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0"/>
        <w:gridCol w:w="1666"/>
        <w:gridCol w:w="2154"/>
        <w:gridCol w:w="2250"/>
        <w:gridCol w:w="1805"/>
        <w:gridCol w:w="1618"/>
      </w:tblGrid>
      <w:tr w14:paraId="4D91D3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700" w:type="dxa"/>
            <w:vAlign w:val="center"/>
          </w:tcPr>
          <w:p w14:paraId="031F7A1F">
            <w:pPr>
              <w:keepNext w:val="0"/>
              <w:keepLines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cs="宋体"/>
                <w:color w:val="auto"/>
                <w:highlight w:val="none"/>
              </w:rPr>
              <w:t>序号</w:t>
            </w:r>
          </w:p>
        </w:tc>
        <w:tc>
          <w:tcPr>
            <w:tcW w:w="1666" w:type="dxa"/>
            <w:vAlign w:val="center"/>
          </w:tcPr>
          <w:p w14:paraId="7C8A6CB1">
            <w:pPr>
              <w:keepNext w:val="0"/>
              <w:keepLines w:val="0"/>
              <w:suppressLineNumbers w:val="0"/>
              <w:spacing w:before="0" w:beforeAutospacing="0" w:after="0" w:afterAutospacing="0"/>
              <w:ind w:left="0" w:right="0"/>
              <w:jc w:val="center"/>
              <w:rPr>
                <w:rFonts w:hint="eastAsia" w:ascii="宋体" w:hAnsi="宋体" w:cs="宋体"/>
                <w:color w:val="auto"/>
                <w:highlight w:val="none"/>
              </w:rPr>
            </w:pPr>
            <w:bookmarkStart w:id="216" w:name="_Toc254970589"/>
            <w:bookmarkStart w:id="217" w:name="_Toc254970730"/>
            <w:bookmarkStart w:id="218" w:name="_Toc173211901"/>
            <w:bookmarkStart w:id="219" w:name="_Toc173066402"/>
            <w:r>
              <w:rPr>
                <w:rFonts w:hint="eastAsia" w:ascii="宋体" w:hAnsi="宋体" w:cs="宋体"/>
                <w:color w:val="auto"/>
                <w:highlight w:val="none"/>
              </w:rPr>
              <w:t>项目名称</w:t>
            </w:r>
          </w:p>
        </w:tc>
        <w:tc>
          <w:tcPr>
            <w:tcW w:w="2154" w:type="dxa"/>
            <w:vAlign w:val="center"/>
          </w:tcPr>
          <w:p w14:paraId="184010DB">
            <w:pPr>
              <w:keepNext w:val="0"/>
              <w:keepLines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cs="宋体"/>
                <w:color w:val="auto"/>
                <w:highlight w:val="none"/>
              </w:rPr>
              <w:t>竞争性磋商文件第三章采购需求</w:t>
            </w:r>
            <w:bookmarkEnd w:id="216"/>
            <w:bookmarkEnd w:id="217"/>
            <w:bookmarkEnd w:id="218"/>
            <w:bookmarkEnd w:id="219"/>
          </w:p>
        </w:tc>
        <w:tc>
          <w:tcPr>
            <w:tcW w:w="2250" w:type="dxa"/>
            <w:vAlign w:val="center"/>
          </w:tcPr>
          <w:p w14:paraId="3E864318">
            <w:pPr>
              <w:keepNext w:val="0"/>
              <w:keepLines w:val="0"/>
              <w:suppressLineNumbers w:val="0"/>
              <w:spacing w:before="0" w:beforeAutospacing="0" w:after="0" w:afterAutospacing="0"/>
              <w:ind w:left="0" w:right="0"/>
              <w:jc w:val="center"/>
              <w:rPr>
                <w:rFonts w:hint="eastAsia" w:ascii="宋体" w:hAnsi="宋体" w:cs="宋体"/>
                <w:color w:val="auto"/>
                <w:highlight w:val="none"/>
              </w:rPr>
            </w:pPr>
            <w:bookmarkStart w:id="220" w:name="_Toc254970731"/>
            <w:bookmarkStart w:id="221" w:name="_Toc173066403"/>
            <w:bookmarkStart w:id="222" w:name="_Toc254970590"/>
            <w:bookmarkStart w:id="223" w:name="_Toc173211902"/>
            <w:r>
              <w:rPr>
                <w:rFonts w:hint="eastAsia" w:ascii="宋体" w:hAnsi="宋体" w:cs="宋体"/>
                <w:color w:val="auto"/>
                <w:highlight w:val="none"/>
              </w:rPr>
              <w:t>竞争性磋商响应文件具体响应</w:t>
            </w:r>
            <w:bookmarkEnd w:id="220"/>
            <w:bookmarkEnd w:id="221"/>
            <w:bookmarkEnd w:id="222"/>
            <w:bookmarkEnd w:id="223"/>
          </w:p>
        </w:tc>
        <w:tc>
          <w:tcPr>
            <w:tcW w:w="1805" w:type="dxa"/>
            <w:vAlign w:val="center"/>
          </w:tcPr>
          <w:p w14:paraId="142CBC8A">
            <w:pPr>
              <w:keepNext w:val="0"/>
              <w:keepLines w:val="0"/>
              <w:suppressLineNumbers w:val="0"/>
              <w:spacing w:before="0" w:beforeAutospacing="0" w:after="0" w:afterAutospacing="0"/>
              <w:ind w:left="0" w:right="0"/>
              <w:jc w:val="center"/>
              <w:rPr>
                <w:rFonts w:hint="eastAsia" w:ascii="宋体" w:hAnsi="宋体" w:cs="宋体"/>
                <w:color w:val="auto"/>
                <w:highlight w:val="none"/>
              </w:rPr>
            </w:pPr>
            <w:bookmarkStart w:id="224" w:name="_Toc254970732"/>
            <w:bookmarkStart w:id="225" w:name="_Toc254970591"/>
            <w:bookmarkStart w:id="226" w:name="_Toc173066404"/>
            <w:bookmarkStart w:id="227" w:name="_Toc173211903"/>
            <w:r>
              <w:rPr>
                <w:rFonts w:hint="eastAsia" w:ascii="宋体" w:hAnsi="宋体" w:cs="宋体"/>
                <w:color w:val="auto"/>
                <w:highlight w:val="none"/>
              </w:rPr>
              <w:t>响应/偏离</w:t>
            </w:r>
            <w:bookmarkEnd w:id="224"/>
            <w:bookmarkEnd w:id="225"/>
            <w:bookmarkEnd w:id="226"/>
            <w:bookmarkEnd w:id="227"/>
          </w:p>
        </w:tc>
        <w:tc>
          <w:tcPr>
            <w:tcW w:w="1618" w:type="dxa"/>
            <w:vAlign w:val="center"/>
          </w:tcPr>
          <w:p w14:paraId="0E3DC678">
            <w:pPr>
              <w:keepNext w:val="0"/>
              <w:keepLines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cs="宋体"/>
                <w:color w:val="auto"/>
                <w:highlight w:val="none"/>
              </w:rPr>
              <w:t>备注</w:t>
            </w:r>
          </w:p>
        </w:tc>
      </w:tr>
      <w:tr w14:paraId="291EC57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700" w:type="dxa"/>
            <w:vAlign w:val="center"/>
          </w:tcPr>
          <w:p w14:paraId="6C13A99A">
            <w:pPr>
              <w:keepNext w:val="0"/>
              <w:keepLines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cs="宋体"/>
                <w:color w:val="auto"/>
                <w:highlight w:val="none"/>
              </w:rPr>
              <w:t>1</w:t>
            </w:r>
          </w:p>
        </w:tc>
        <w:tc>
          <w:tcPr>
            <w:tcW w:w="1666" w:type="dxa"/>
            <w:vAlign w:val="center"/>
          </w:tcPr>
          <w:p w14:paraId="115B5493">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2154" w:type="dxa"/>
            <w:vAlign w:val="center"/>
          </w:tcPr>
          <w:p w14:paraId="4355B2B2">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2250" w:type="dxa"/>
            <w:vAlign w:val="center"/>
          </w:tcPr>
          <w:p w14:paraId="3827CF45">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1805" w:type="dxa"/>
            <w:vAlign w:val="center"/>
          </w:tcPr>
          <w:p w14:paraId="4876705B">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1618" w:type="dxa"/>
            <w:vAlign w:val="center"/>
          </w:tcPr>
          <w:p w14:paraId="7E9EB682">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r>
      <w:tr w14:paraId="21106E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700" w:type="dxa"/>
            <w:vAlign w:val="center"/>
          </w:tcPr>
          <w:p w14:paraId="081F9183">
            <w:pPr>
              <w:keepNext w:val="0"/>
              <w:keepLines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cs="宋体"/>
                <w:color w:val="auto"/>
                <w:highlight w:val="none"/>
              </w:rPr>
              <w:t>2</w:t>
            </w:r>
          </w:p>
        </w:tc>
        <w:tc>
          <w:tcPr>
            <w:tcW w:w="1666" w:type="dxa"/>
            <w:vAlign w:val="center"/>
          </w:tcPr>
          <w:p w14:paraId="48B86B8F">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2154" w:type="dxa"/>
            <w:vAlign w:val="center"/>
          </w:tcPr>
          <w:p w14:paraId="148D4CBB">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2250" w:type="dxa"/>
            <w:vAlign w:val="center"/>
          </w:tcPr>
          <w:p w14:paraId="3BD85991">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1805" w:type="dxa"/>
            <w:vAlign w:val="center"/>
          </w:tcPr>
          <w:p w14:paraId="6C63EBCA">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1618" w:type="dxa"/>
            <w:vAlign w:val="center"/>
          </w:tcPr>
          <w:p w14:paraId="2B966418">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r>
      <w:tr w14:paraId="55C6618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700" w:type="dxa"/>
            <w:vAlign w:val="center"/>
          </w:tcPr>
          <w:p w14:paraId="7D719B28">
            <w:pPr>
              <w:keepNext w:val="0"/>
              <w:keepLines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cs="宋体"/>
                <w:color w:val="auto"/>
                <w:highlight w:val="none"/>
              </w:rPr>
              <w:t>3</w:t>
            </w:r>
          </w:p>
        </w:tc>
        <w:tc>
          <w:tcPr>
            <w:tcW w:w="1666" w:type="dxa"/>
            <w:vAlign w:val="center"/>
          </w:tcPr>
          <w:p w14:paraId="7BD646CA">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2154" w:type="dxa"/>
            <w:vAlign w:val="center"/>
          </w:tcPr>
          <w:p w14:paraId="3EC1EEE5">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2250" w:type="dxa"/>
            <w:vAlign w:val="center"/>
          </w:tcPr>
          <w:p w14:paraId="0F08D95E">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1805" w:type="dxa"/>
            <w:vAlign w:val="center"/>
          </w:tcPr>
          <w:p w14:paraId="0DA2A576">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1618" w:type="dxa"/>
            <w:vAlign w:val="center"/>
          </w:tcPr>
          <w:p w14:paraId="6B49C682">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r>
      <w:tr w14:paraId="7FD20D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trPr>
        <w:tc>
          <w:tcPr>
            <w:tcW w:w="700" w:type="dxa"/>
            <w:vAlign w:val="center"/>
          </w:tcPr>
          <w:p w14:paraId="30D2855F">
            <w:pPr>
              <w:keepNext w:val="0"/>
              <w:keepLines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cs="宋体"/>
                <w:color w:val="auto"/>
                <w:highlight w:val="none"/>
              </w:rPr>
              <w:t>…</w:t>
            </w:r>
          </w:p>
        </w:tc>
        <w:tc>
          <w:tcPr>
            <w:tcW w:w="1666" w:type="dxa"/>
            <w:vAlign w:val="center"/>
          </w:tcPr>
          <w:p w14:paraId="087DA8B7">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2154" w:type="dxa"/>
            <w:vAlign w:val="center"/>
          </w:tcPr>
          <w:p w14:paraId="5EC224C8">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2250" w:type="dxa"/>
            <w:vAlign w:val="center"/>
          </w:tcPr>
          <w:p w14:paraId="4B937458">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1805" w:type="dxa"/>
            <w:tcBorders>
              <w:right w:val="single" w:color="auto" w:sz="4" w:space="0"/>
            </w:tcBorders>
            <w:vAlign w:val="center"/>
          </w:tcPr>
          <w:p w14:paraId="6E31A1F8">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1618" w:type="dxa"/>
            <w:tcBorders>
              <w:left w:val="single" w:color="auto" w:sz="4" w:space="0"/>
            </w:tcBorders>
            <w:vAlign w:val="center"/>
          </w:tcPr>
          <w:p w14:paraId="53E53F46">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r>
    </w:tbl>
    <w:p w14:paraId="4B730474">
      <w:pPr>
        <w:spacing w:line="340" w:lineRule="exact"/>
        <w:rPr>
          <w:rFonts w:ascii="宋体" w:hAnsi="宋体" w:cs="宋体"/>
          <w:color w:val="auto"/>
          <w:szCs w:val="21"/>
          <w:highlight w:val="none"/>
        </w:rPr>
      </w:pPr>
    </w:p>
    <w:p w14:paraId="6818AA09">
      <w:pPr>
        <w:snapToGrid w:val="0"/>
        <w:spacing w:line="400" w:lineRule="exact"/>
        <w:ind w:firstLine="1890" w:firstLineChars="900"/>
        <w:rPr>
          <w:rFonts w:ascii="宋体" w:hAnsi="宋体" w:cs="宋体"/>
          <w:color w:val="auto"/>
          <w:szCs w:val="21"/>
          <w:highlight w:val="none"/>
          <w:u w:val="single"/>
        </w:rPr>
      </w:pPr>
      <w:r>
        <w:rPr>
          <w:rFonts w:hint="eastAsia" w:ascii="宋体" w:hAnsi="宋体" w:cs="宋体"/>
          <w:color w:val="auto"/>
          <w:szCs w:val="21"/>
          <w:highlight w:val="none"/>
        </w:rPr>
        <w:t>磋商供应商[(CA证书签章)，自然人签字或个人CA证书签章]：</w:t>
      </w:r>
      <w:r>
        <w:rPr>
          <w:rFonts w:hint="eastAsia" w:ascii="宋体" w:hAnsi="宋体" w:cs="宋体"/>
          <w:color w:val="auto"/>
          <w:szCs w:val="21"/>
          <w:highlight w:val="none"/>
          <w:u w:val="single"/>
        </w:rPr>
        <w:t xml:space="preserve">                                </w:t>
      </w:r>
    </w:p>
    <w:p w14:paraId="1BAA224B">
      <w:pPr>
        <w:spacing w:line="340" w:lineRule="exact"/>
        <w:rPr>
          <w:rFonts w:ascii="宋体" w:hAnsi="宋体" w:cs="宋体"/>
          <w:color w:val="auto"/>
          <w:highlight w:val="none"/>
        </w:rPr>
      </w:pPr>
    </w:p>
    <w:p w14:paraId="57E9FBC0">
      <w:pPr>
        <w:snapToGrid w:val="0"/>
        <w:spacing w:line="400" w:lineRule="exact"/>
        <w:ind w:firstLine="1680" w:firstLineChars="800"/>
        <w:rPr>
          <w:rFonts w:ascii="宋体" w:hAnsi="宋体" w:cs="宋体"/>
          <w:color w:val="auto"/>
          <w:highlight w:val="none"/>
        </w:rPr>
      </w:pPr>
    </w:p>
    <w:p w14:paraId="02AF2F31">
      <w:pPr>
        <w:snapToGrid w:val="0"/>
        <w:spacing w:line="400" w:lineRule="exact"/>
        <w:ind w:firstLine="1680" w:firstLineChars="800"/>
        <w:rPr>
          <w:rFonts w:ascii="宋体" w:hAnsi="宋体" w:cs="宋体"/>
          <w:color w:val="auto"/>
          <w:highlight w:val="none"/>
        </w:rPr>
      </w:pPr>
      <w:r>
        <w:rPr>
          <w:rFonts w:hint="eastAsia" w:ascii="宋体" w:hAnsi="宋体" w:cs="宋体"/>
          <w:color w:val="auto"/>
          <w:highlight w:val="none"/>
        </w:rPr>
        <w:t xml:space="preserve"> 日          期：</w:t>
      </w:r>
      <w:r>
        <w:rPr>
          <w:rFonts w:hint="eastAsia" w:ascii="宋体" w:hAnsi="宋体" w:cs="宋体"/>
          <w:color w:val="auto"/>
          <w:highlight w:val="none"/>
          <w:u w:val="single"/>
        </w:rPr>
        <w:t xml:space="preserve">                                                   </w:t>
      </w:r>
    </w:p>
    <w:p w14:paraId="36E36AA2">
      <w:pPr>
        <w:ind w:firstLine="1890" w:firstLineChars="900"/>
        <w:rPr>
          <w:rFonts w:ascii="宋体" w:hAnsi="宋体" w:cs="宋体"/>
          <w:color w:val="auto"/>
          <w:highlight w:val="none"/>
          <w:u w:val="single"/>
        </w:rPr>
      </w:pPr>
    </w:p>
    <w:p w14:paraId="09C0940B">
      <w:pPr>
        <w:ind w:firstLine="1890" w:firstLineChars="900"/>
        <w:rPr>
          <w:rFonts w:ascii="宋体" w:hAnsi="宋体" w:cs="宋体"/>
          <w:color w:val="auto"/>
          <w:highlight w:val="none"/>
          <w:u w:val="single"/>
        </w:rPr>
      </w:pPr>
    </w:p>
    <w:p w14:paraId="458F5AAA">
      <w:pPr>
        <w:spacing w:line="400" w:lineRule="exact"/>
        <w:ind w:left="982" w:leftChars="200" w:hanging="562" w:hangingChars="200"/>
        <w:rPr>
          <w:rFonts w:ascii="宋体" w:hAnsi="宋体" w:cs="宋体"/>
          <w:b/>
          <w:bCs/>
          <w:color w:val="auto"/>
          <w:sz w:val="28"/>
          <w:szCs w:val="28"/>
          <w:highlight w:val="none"/>
        </w:rPr>
      </w:pPr>
      <w:r>
        <w:rPr>
          <w:rFonts w:hint="eastAsia" w:ascii="宋体" w:hAnsi="宋体" w:cs="宋体"/>
          <w:b/>
          <w:bCs/>
          <w:color w:val="auto"/>
          <w:sz w:val="28"/>
          <w:szCs w:val="28"/>
          <w:highlight w:val="none"/>
        </w:rPr>
        <w:t>注：</w:t>
      </w:r>
      <w:r>
        <w:rPr>
          <w:rFonts w:hint="eastAsia" w:ascii="宋体" w:hAnsi="宋体" w:cs="宋体"/>
          <w:b/>
          <w:color w:val="auto"/>
          <w:sz w:val="24"/>
          <w:highlight w:val="none"/>
        </w:rPr>
        <w:t>1.“采购需求响应说明表”包含商务要求，各项内容必须如实填写。</w:t>
      </w:r>
    </w:p>
    <w:p w14:paraId="71247685">
      <w:pPr>
        <w:spacing w:line="400" w:lineRule="exact"/>
        <w:ind w:firstLine="964" w:firstLineChars="400"/>
        <w:rPr>
          <w:rFonts w:ascii="宋体" w:hAnsi="宋体" w:cs="宋体"/>
          <w:b/>
          <w:bCs/>
          <w:color w:val="auto"/>
          <w:sz w:val="28"/>
          <w:szCs w:val="28"/>
          <w:highlight w:val="none"/>
        </w:rPr>
      </w:pPr>
      <w:r>
        <w:rPr>
          <w:rFonts w:hint="eastAsia" w:ascii="宋体" w:hAnsi="宋体" w:cs="宋体"/>
          <w:b/>
          <w:color w:val="auto"/>
          <w:sz w:val="24"/>
          <w:highlight w:val="none"/>
        </w:rPr>
        <w:t>2.当本表由多页构成时，需逐页加盖磋商供应商CA证书签章（属自然人的须逐页签字或个人CA证书签章）。</w:t>
      </w:r>
    </w:p>
    <w:p w14:paraId="729C151D">
      <w:pPr>
        <w:pStyle w:val="10"/>
        <w:rPr>
          <w:rFonts w:ascii="宋体" w:hAnsi="宋体" w:cs="宋体"/>
          <w:color w:val="auto"/>
          <w:highlight w:val="none"/>
        </w:rPr>
      </w:pPr>
    </w:p>
    <w:p w14:paraId="2E4BD1E7">
      <w:pPr>
        <w:pStyle w:val="10"/>
        <w:rPr>
          <w:rFonts w:ascii="宋体" w:hAnsi="宋体" w:cs="宋体"/>
          <w:color w:val="auto"/>
          <w:highlight w:val="none"/>
        </w:rPr>
      </w:pPr>
    </w:p>
    <w:p w14:paraId="55773090">
      <w:pPr>
        <w:pStyle w:val="10"/>
        <w:rPr>
          <w:rFonts w:ascii="宋体" w:hAnsi="宋体" w:cs="宋体"/>
          <w:color w:val="auto"/>
          <w:highlight w:val="none"/>
        </w:rPr>
      </w:pPr>
    </w:p>
    <w:p w14:paraId="09E0B15F">
      <w:pPr>
        <w:pStyle w:val="10"/>
        <w:rPr>
          <w:rFonts w:ascii="宋体" w:hAnsi="宋体" w:cs="宋体"/>
          <w:color w:val="auto"/>
          <w:highlight w:val="none"/>
        </w:rPr>
      </w:pPr>
    </w:p>
    <w:p w14:paraId="61C42AEA">
      <w:pPr>
        <w:pStyle w:val="10"/>
        <w:rPr>
          <w:rFonts w:ascii="宋体" w:hAnsi="宋体" w:cs="宋体"/>
          <w:color w:val="auto"/>
          <w:highlight w:val="none"/>
        </w:rPr>
      </w:pPr>
    </w:p>
    <w:p w14:paraId="1E7F39EE">
      <w:pPr>
        <w:pStyle w:val="10"/>
        <w:rPr>
          <w:rFonts w:ascii="宋体" w:hAnsi="宋体" w:cs="宋体"/>
          <w:color w:val="auto"/>
          <w:highlight w:val="none"/>
        </w:rPr>
      </w:pPr>
    </w:p>
    <w:p w14:paraId="39BBCF7D">
      <w:pPr>
        <w:pStyle w:val="10"/>
        <w:rPr>
          <w:rFonts w:ascii="宋体" w:hAnsi="宋体" w:cs="宋体"/>
          <w:color w:val="auto"/>
          <w:highlight w:val="none"/>
        </w:rPr>
      </w:pPr>
    </w:p>
    <w:p w14:paraId="0CB6D66E">
      <w:pPr>
        <w:rPr>
          <w:rFonts w:ascii="宋体" w:hAnsi="宋体" w:cs="宋体"/>
          <w:color w:val="auto"/>
          <w:highlight w:val="none"/>
        </w:rPr>
      </w:pPr>
    </w:p>
    <w:p w14:paraId="6E17B5DA">
      <w:pPr>
        <w:pStyle w:val="40"/>
        <w:rPr>
          <w:rFonts w:ascii="宋体" w:hAnsi="宋体" w:cs="宋体"/>
          <w:color w:val="auto"/>
          <w:highlight w:val="none"/>
        </w:rPr>
      </w:pPr>
    </w:p>
    <w:p w14:paraId="594CFB04">
      <w:pPr>
        <w:pStyle w:val="40"/>
        <w:rPr>
          <w:rFonts w:ascii="宋体" w:hAnsi="宋体" w:cs="宋体"/>
          <w:color w:val="auto"/>
          <w:highlight w:val="none"/>
        </w:rPr>
      </w:pPr>
    </w:p>
    <w:p w14:paraId="17ECE8E4">
      <w:pPr>
        <w:pStyle w:val="40"/>
        <w:rPr>
          <w:rFonts w:ascii="宋体" w:hAnsi="宋体" w:cs="宋体"/>
          <w:color w:val="auto"/>
          <w:highlight w:val="none"/>
        </w:rPr>
      </w:pPr>
    </w:p>
    <w:p w14:paraId="6EACE402">
      <w:pPr>
        <w:pStyle w:val="40"/>
        <w:rPr>
          <w:rFonts w:ascii="宋体" w:hAnsi="宋体" w:cs="宋体"/>
          <w:color w:val="auto"/>
          <w:highlight w:val="none"/>
        </w:rPr>
      </w:pPr>
    </w:p>
    <w:p w14:paraId="16A98237">
      <w:pPr>
        <w:pStyle w:val="40"/>
        <w:rPr>
          <w:rFonts w:ascii="宋体" w:hAnsi="宋体" w:cs="宋体"/>
          <w:color w:val="auto"/>
          <w:highlight w:val="none"/>
        </w:rPr>
      </w:pPr>
    </w:p>
    <w:p w14:paraId="49DB783E">
      <w:pPr>
        <w:pStyle w:val="40"/>
        <w:rPr>
          <w:rFonts w:ascii="宋体" w:hAnsi="宋体" w:cs="宋体"/>
          <w:color w:val="auto"/>
          <w:highlight w:val="none"/>
        </w:rPr>
      </w:pPr>
    </w:p>
    <w:p w14:paraId="40514A41">
      <w:pPr>
        <w:pStyle w:val="40"/>
        <w:rPr>
          <w:rFonts w:ascii="宋体" w:hAnsi="宋体" w:cs="宋体"/>
          <w:color w:val="auto"/>
          <w:highlight w:val="none"/>
        </w:rPr>
      </w:pPr>
    </w:p>
    <w:p w14:paraId="0A3F9558">
      <w:pPr>
        <w:pStyle w:val="10"/>
        <w:rPr>
          <w:rFonts w:ascii="宋体" w:hAnsi="宋体" w:cs="宋体"/>
          <w:color w:val="auto"/>
          <w:highlight w:val="none"/>
        </w:rPr>
      </w:pPr>
    </w:p>
    <w:p w14:paraId="5F8843A2">
      <w:pPr>
        <w:pStyle w:val="10"/>
        <w:rPr>
          <w:rFonts w:ascii="宋体" w:hAnsi="宋体" w:cs="宋体"/>
          <w:color w:val="auto"/>
          <w:highlight w:val="none"/>
        </w:rPr>
      </w:pPr>
    </w:p>
    <w:p w14:paraId="7DA7654A">
      <w:pPr>
        <w:pStyle w:val="23"/>
        <w:rPr>
          <w:color w:val="auto"/>
          <w:highlight w:val="none"/>
        </w:rPr>
      </w:pPr>
    </w:p>
    <w:p w14:paraId="20F2E19D">
      <w:pPr>
        <w:pStyle w:val="10"/>
        <w:rPr>
          <w:rFonts w:ascii="宋体" w:hAnsi="宋体" w:cs="宋体"/>
          <w:color w:val="auto"/>
          <w:highlight w:val="none"/>
        </w:rPr>
      </w:pPr>
    </w:p>
    <w:p w14:paraId="4C3F3739">
      <w:pPr>
        <w:pStyle w:val="15"/>
        <w:spacing w:line="340" w:lineRule="exact"/>
        <w:outlineLvl w:val="3"/>
        <w:rPr>
          <w:rFonts w:hAnsi="宋体" w:cs="宋体"/>
          <w:b/>
          <w:color w:val="auto"/>
          <w:sz w:val="28"/>
          <w:szCs w:val="28"/>
          <w:highlight w:val="none"/>
        </w:rPr>
      </w:pPr>
      <w:r>
        <w:rPr>
          <w:rFonts w:hint="eastAsia" w:hAnsi="宋体" w:cs="宋体"/>
          <w:b/>
          <w:color w:val="auto"/>
          <w:sz w:val="28"/>
          <w:szCs w:val="28"/>
          <w:highlight w:val="none"/>
        </w:rPr>
        <w:t>4.售后服务承诺书（必须提供）；</w:t>
      </w:r>
    </w:p>
    <w:p w14:paraId="29487A68">
      <w:pPr>
        <w:rPr>
          <w:rFonts w:ascii="宋体" w:hAnsi="宋体" w:cs="宋体"/>
          <w:color w:val="auto"/>
          <w:highlight w:val="none"/>
        </w:rPr>
      </w:pPr>
    </w:p>
    <w:p w14:paraId="03DDDFAA">
      <w:pPr>
        <w:pStyle w:val="15"/>
        <w:spacing w:line="340" w:lineRule="exact"/>
        <w:rPr>
          <w:rFonts w:hAnsi="宋体" w:cs="宋体"/>
          <w:b/>
          <w:color w:val="auto"/>
          <w:sz w:val="28"/>
          <w:szCs w:val="28"/>
          <w:highlight w:val="none"/>
        </w:rPr>
      </w:pPr>
      <w:r>
        <w:rPr>
          <w:rFonts w:hint="eastAsia" w:hAnsi="宋体" w:cs="宋体"/>
          <w:b/>
          <w:color w:val="auto"/>
          <w:sz w:val="28"/>
          <w:szCs w:val="28"/>
          <w:highlight w:val="none"/>
        </w:rPr>
        <w:t>附件：</w:t>
      </w:r>
    </w:p>
    <w:p w14:paraId="6A505A55">
      <w:pPr>
        <w:rPr>
          <w:rFonts w:ascii="宋体" w:hAnsi="宋体" w:cs="宋体"/>
          <w:color w:val="auto"/>
          <w:highlight w:val="none"/>
        </w:rPr>
      </w:pPr>
    </w:p>
    <w:p w14:paraId="3F7B7594">
      <w:pPr>
        <w:pStyle w:val="10"/>
        <w:rPr>
          <w:rFonts w:ascii="宋体" w:hAnsi="宋体" w:cs="宋体"/>
          <w:color w:val="auto"/>
          <w:highlight w:val="none"/>
        </w:rPr>
      </w:pPr>
    </w:p>
    <w:p w14:paraId="20414B99">
      <w:pPr>
        <w:pStyle w:val="10"/>
        <w:rPr>
          <w:rFonts w:ascii="宋体" w:hAnsi="宋体" w:cs="宋体"/>
          <w:color w:val="auto"/>
          <w:highlight w:val="none"/>
        </w:rPr>
      </w:pPr>
    </w:p>
    <w:p w14:paraId="44F0225E">
      <w:pPr>
        <w:pStyle w:val="10"/>
        <w:rPr>
          <w:rFonts w:ascii="宋体" w:hAnsi="宋体" w:cs="宋体"/>
          <w:color w:val="auto"/>
          <w:highlight w:val="none"/>
        </w:rPr>
      </w:pPr>
    </w:p>
    <w:p w14:paraId="4FBF5BF3">
      <w:pPr>
        <w:pStyle w:val="15"/>
        <w:spacing w:line="340" w:lineRule="exact"/>
        <w:jc w:val="center"/>
        <w:rPr>
          <w:rFonts w:hAnsi="宋体" w:cs="宋体"/>
          <w:b/>
          <w:color w:val="auto"/>
          <w:sz w:val="32"/>
          <w:szCs w:val="32"/>
          <w:highlight w:val="none"/>
        </w:rPr>
      </w:pPr>
      <w:r>
        <w:rPr>
          <w:rFonts w:hint="eastAsia" w:hAnsi="宋体" w:cs="宋体"/>
          <w:b/>
          <w:color w:val="auto"/>
          <w:sz w:val="32"/>
          <w:szCs w:val="32"/>
          <w:highlight w:val="none"/>
        </w:rPr>
        <w:t>售后服务承诺书（格式）</w:t>
      </w:r>
    </w:p>
    <w:p w14:paraId="09A9F904">
      <w:pPr>
        <w:pStyle w:val="15"/>
        <w:spacing w:line="340" w:lineRule="exact"/>
        <w:jc w:val="center"/>
        <w:rPr>
          <w:rFonts w:hAnsi="宋体" w:cs="宋体"/>
          <w:b/>
          <w:color w:val="auto"/>
          <w:sz w:val="32"/>
          <w:szCs w:val="32"/>
          <w:highlight w:val="none"/>
        </w:rPr>
      </w:pPr>
    </w:p>
    <w:p w14:paraId="641E3472">
      <w:pPr>
        <w:pStyle w:val="15"/>
        <w:spacing w:line="340" w:lineRule="exact"/>
        <w:jc w:val="center"/>
        <w:rPr>
          <w:rFonts w:hAnsi="宋体" w:cs="宋体"/>
          <w:b/>
          <w:color w:val="auto"/>
          <w:sz w:val="32"/>
          <w:szCs w:val="32"/>
          <w:highlight w:val="none"/>
        </w:rPr>
      </w:pPr>
    </w:p>
    <w:p w14:paraId="528C442D">
      <w:pPr>
        <w:pStyle w:val="15"/>
        <w:spacing w:line="340" w:lineRule="exact"/>
        <w:jc w:val="center"/>
        <w:rPr>
          <w:rFonts w:hAnsi="宋体" w:cs="宋体"/>
          <w:b/>
          <w:color w:val="auto"/>
          <w:sz w:val="32"/>
          <w:szCs w:val="32"/>
          <w:highlight w:val="none"/>
        </w:rPr>
      </w:pPr>
    </w:p>
    <w:p w14:paraId="57160D80">
      <w:pPr>
        <w:rPr>
          <w:rFonts w:ascii="宋体" w:hAnsi="宋体" w:cs="宋体"/>
          <w:b/>
          <w:color w:val="auto"/>
          <w:sz w:val="32"/>
          <w:szCs w:val="32"/>
          <w:highlight w:val="none"/>
        </w:rPr>
      </w:pPr>
    </w:p>
    <w:p w14:paraId="377329CD">
      <w:pPr>
        <w:pStyle w:val="10"/>
        <w:rPr>
          <w:rFonts w:ascii="宋体" w:hAnsi="宋体" w:cs="宋体"/>
          <w:color w:val="auto"/>
          <w:highlight w:val="none"/>
        </w:rPr>
      </w:pPr>
    </w:p>
    <w:p w14:paraId="0F75B55B">
      <w:pPr>
        <w:pStyle w:val="10"/>
        <w:rPr>
          <w:rFonts w:ascii="宋体" w:hAnsi="宋体" w:cs="宋体"/>
          <w:b/>
          <w:color w:val="auto"/>
          <w:sz w:val="32"/>
          <w:szCs w:val="32"/>
          <w:highlight w:val="none"/>
        </w:rPr>
      </w:pPr>
    </w:p>
    <w:p w14:paraId="1BF7CCA7">
      <w:pPr>
        <w:pStyle w:val="15"/>
        <w:spacing w:line="340" w:lineRule="exact"/>
        <w:jc w:val="center"/>
        <w:rPr>
          <w:rFonts w:hAnsi="宋体" w:cs="宋体"/>
          <w:b/>
          <w:color w:val="auto"/>
          <w:sz w:val="32"/>
          <w:szCs w:val="32"/>
          <w:highlight w:val="none"/>
        </w:rPr>
      </w:pPr>
    </w:p>
    <w:p w14:paraId="696F3514">
      <w:pPr>
        <w:snapToGrid w:val="0"/>
        <w:spacing w:line="400" w:lineRule="exact"/>
        <w:ind w:firstLine="1890" w:firstLineChars="900"/>
        <w:rPr>
          <w:rFonts w:ascii="宋体" w:hAnsi="宋体" w:cs="宋体"/>
          <w:color w:val="auto"/>
          <w:szCs w:val="21"/>
          <w:highlight w:val="none"/>
          <w:u w:val="single"/>
        </w:rPr>
      </w:pPr>
      <w:r>
        <w:rPr>
          <w:rFonts w:hint="eastAsia" w:ascii="宋体" w:hAnsi="宋体" w:cs="宋体"/>
          <w:color w:val="auto"/>
          <w:szCs w:val="21"/>
          <w:highlight w:val="none"/>
        </w:rPr>
        <w:t>磋商供应商[(CA证书签章)，自然人签字或个人CA证书签章]：</w:t>
      </w:r>
      <w:r>
        <w:rPr>
          <w:rFonts w:hint="eastAsia" w:ascii="宋体" w:hAnsi="宋体" w:cs="宋体"/>
          <w:color w:val="auto"/>
          <w:szCs w:val="21"/>
          <w:highlight w:val="none"/>
          <w:u w:val="single"/>
        </w:rPr>
        <w:t xml:space="preserve">                                     </w:t>
      </w:r>
    </w:p>
    <w:p w14:paraId="4958A8C1">
      <w:pPr>
        <w:rPr>
          <w:color w:val="auto"/>
          <w:highlight w:val="none"/>
        </w:rPr>
      </w:pPr>
    </w:p>
    <w:p w14:paraId="46AD6141">
      <w:pPr>
        <w:snapToGrid w:val="0"/>
        <w:spacing w:line="400" w:lineRule="exact"/>
        <w:ind w:firstLine="1680" w:firstLineChars="800"/>
        <w:rPr>
          <w:rFonts w:hint="eastAsia" w:ascii="宋体" w:hAnsi="宋体" w:cs="宋体"/>
          <w:color w:val="auto"/>
          <w:highlight w:val="none"/>
          <w:u w:val="single"/>
        </w:rPr>
      </w:pPr>
      <w:r>
        <w:rPr>
          <w:rFonts w:hint="eastAsia" w:ascii="宋体" w:hAnsi="宋体" w:cs="宋体"/>
          <w:color w:val="auto"/>
          <w:highlight w:val="none"/>
        </w:rPr>
        <w:t xml:space="preserve"> 日          期：</w:t>
      </w:r>
      <w:r>
        <w:rPr>
          <w:rFonts w:hint="eastAsia" w:ascii="宋体" w:hAnsi="宋体" w:cs="宋体"/>
          <w:color w:val="auto"/>
          <w:highlight w:val="none"/>
          <w:u w:val="single"/>
        </w:rPr>
        <w:t xml:space="preserve">                          </w:t>
      </w:r>
    </w:p>
    <w:p w14:paraId="3E8227F3">
      <w:pPr>
        <w:snapToGrid w:val="0"/>
        <w:spacing w:line="400" w:lineRule="exact"/>
        <w:ind w:firstLine="1680" w:firstLineChars="800"/>
        <w:rPr>
          <w:rFonts w:hint="eastAsia" w:ascii="宋体" w:hAnsi="宋体" w:cs="宋体"/>
          <w:color w:val="auto"/>
          <w:highlight w:val="none"/>
          <w:u w:val="single"/>
        </w:rPr>
      </w:pPr>
    </w:p>
    <w:p w14:paraId="291B6494">
      <w:pPr>
        <w:rPr>
          <w:rFonts w:hint="eastAsia" w:ascii="宋体" w:hAnsi="宋体" w:cs="宋体"/>
          <w:color w:val="auto"/>
          <w:highlight w:val="none"/>
          <w:u w:val="single"/>
        </w:rPr>
      </w:pPr>
      <w:r>
        <w:rPr>
          <w:rFonts w:hint="eastAsia" w:ascii="宋体" w:hAnsi="宋体" w:cs="宋体"/>
          <w:color w:val="auto"/>
          <w:highlight w:val="none"/>
          <w:u w:val="single"/>
        </w:rPr>
        <w:br w:type="page"/>
      </w:r>
    </w:p>
    <w:p w14:paraId="4131A5D2">
      <w:pPr>
        <w:pStyle w:val="15"/>
        <w:spacing w:line="340" w:lineRule="exact"/>
        <w:outlineLvl w:val="3"/>
        <w:rPr>
          <w:rFonts w:hint="eastAsia" w:hAnsi="宋体" w:eastAsia="宋体" w:cs="宋体"/>
          <w:b/>
          <w:color w:val="auto"/>
          <w:sz w:val="28"/>
          <w:szCs w:val="28"/>
          <w:highlight w:val="none"/>
          <w:lang w:eastAsia="zh-CN"/>
        </w:rPr>
      </w:pPr>
      <w:r>
        <w:rPr>
          <w:rFonts w:hint="eastAsia" w:hAnsi="宋体" w:cs="宋体"/>
          <w:b/>
          <w:color w:val="auto"/>
          <w:sz w:val="28"/>
          <w:szCs w:val="28"/>
          <w:highlight w:val="none"/>
          <w:lang w:val="en-US" w:eastAsia="zh-CN"/>
        </w:rPr>
        <w:t>5.</w:t>
      </w:r>
      <w:r>
        <w:rPr>
          <w:rFonts w:hint="eastAsia" w:hAnsi="宋体" w:cs="宋体"/>
          <w:b/>
          <w:color w:val="auto"/>
          <w:sz w:val="28"/>
          <w:szCs w:val="28"/>
          <w:highlight w:val="none"/>
        </w:rPr>
        <w:t>花坪保护区内（施工）作业（单位）人员安全生产承诺书</w:t>
      </w:r>
      <w:r>
        <w:rPr>
          <w:rFonts w:hint="eastAsia" w:hAnsi="宋体" w:cs="宋体"/>
          <w:b/>
          <w:color w:val="auto"/>
          <w:sz w:val="28"/>
          <w:szCs w:val="28"/>
          <w:highlight w:val="none"/>
          <w:lang w:eastAsia="zh-CN"/>
        </w:rPr>
        <w:t>（必须提供）</w:t>
      </w:r>
    </w:p>
    <w:p w14:paraId="2CFD370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bCs/>
          <w:color w:val="auto"/>
          <w:sz w:val="28"/>
          <w:szCs w:val="28"/>
          <w:highlight w:val="none"/>
          <w:lang w:val="en-US" w:eastAsia="zh-CN"/>
        </w:rPr>
      </w:pPr>
    </w:p>
    <w:p w14:paraId="5372021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bCs/>
          <w:color w:val="auto"/>
          <w:sz w:val="24"/>
          <w:szCs w:val="24"/>
          <w:highlight w:val="none"/>
          <w:lang w:eastAsia="zh-CN"/>
        </w:rPr>
      </w:pPr>
      <w:r>
        <w:rPr>
          <w:rFonts w:hint="eastAsia" w:ascii="宋体" w:hAnsi="宋体" w:cs="宋体"/>
          <w:b/>
          <w:bCs/>
          <w:color w:val="auto"/>
          <w:sz w:val="24"/>
          <w:szCs w:val="24"/>
          <w:highlight w:val="none"/>
          <w:lang w:val="en-US" w:eastAsia="zh-CN"/>
        </w:rPr>
        <w:t>花坪</w:t>
      </w:r>
      <w:r>
        <w:rPr>
          <w:rFonts w:hint="eastAsia" w:ascii="宋体" w:hAnsi="宋体" w:cs="宋体"/>
          <w:b/>
          <w:bCs/>
          <w:color w:val="auto"/>
          <w:sz w:val="24"/>
          <w:szCs w:val="24"/>
          <w:highlight w:val="none"/>
          <w:lang w:eastAsia="zh-CN"/>
        </w:rPr>
        <w:t>保护区内（施工）作业</w:t>
      </w:r>
      <w:r>
        <w:rPr>
          <w:rFonts w:hint="eastAsia"/>
          <w:b/>
          <w:bCs/>
          <w:color w:val="auto"/>
          <w:sz w:val="24"/>
          <w:szCs w:val="24"/>
          <w:highlight w:val="none"/>
          <w:lang w:eastAsia="zh-CN"/>
        </w:rPr>
        <w:t>（单位）</w:t>
      </w:r>
      <w:r>
        <w:rPr>
          <w:rFonts w:hint="eastAsia"/>
          <w:b/>
          <w:bCs/>
          <w:color w:val="auto"/>
          <w:sz w:val="24"/>
          <w:szCs w:val="24"/>
          <w:highlight w:val="none"/>
        </w:rPr>
        <w:t>人员</w:t>
      </w:r>
    </w:p>
    <w:p w14:paraId="2ED9BAB3">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宋体" w:hAnsi="宋体" w:cs="宋体"/>
          <w:b/>
          <w:bCs/>
          <w:color w:val="auto"/>
          <w:sz w:val="24"/>
          <w:szCs w:val="24"/>
          <w:highlight w:val="none"/>
          <w:lang w:eastAsia="zh-CN"/>
        </w:rPr>
      </w:pPr>
      <w:r>
        <w:rPr>
          <w:rFonts w:hint="eastAsia" w:ascii="宋体" w:hAnsi="宋体" w:cs="宋体"/>
          <w:b/>
          <w:bCs/>
          <w:color w:val="auto"/>
          <w:sz w:val="24"/>
          <w:szCs w:val="24"/>
          <w:highlight w:val="none"/>
          <w:lang w:eastAsia="zh-CN"/>
        </w:rPr>
        <w:t>安全生产承诺书</w:t>
      </w:r>
    </w:p>
    <w:p w14:paraId="08683973">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宋体" w:hAnsi="宋体" w:cs="宋体"/>
          <w:color w:val="auto"/>
          <w:sz w:val="24"/>
          <w:szCs w:val="24"/>
          <w:highlight w:val="none"/>
          <w:lang w:eastAsia="zh-CN"/>
        </w:rPr>
      </w:pPr>
    </w:p>
    <w:p w14:paraId="4EC7BF4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jc w:val="left"/>
        <w:textAlignment w:val="auto"/>
        <w:rPr>
          <w:rFonts w:hint="eastAsia" w:ascii="宋体" w:hAnsi="宋体" w:cs="宋体"/>
          <w:color w:val="auto"/>
          <w:sz w:val="24"/>
          <w:szCs w:val="24"/>
          <w:highlight w:val="none"/>
          <w:u w:val="none"/>
          <w:lang w:eastAsia="zh-CN"/>
        </w:rPr>
      </w:pPr>
      <w:r>
        <w:rPr>
          <w:rFonts w:hint="eastAsia" w:ascii="宋体" w:hAnsi="宋体" w:cs="宋体"/>
          <w:color w:val="auto"/>
          <w:sz w:val="24"/>
          <w:szCs w:val="24"/>
          <w:highlight w:val="none"/>
          <w:lang w:eastAsia="zh-CN"/>
        </w:rPr>
        <w:t>为确保</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eastAsia="zh-CN"/>
        </w:rPr>
        <w:t>项目组织（施工）作业安全，本单位：</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eastAsia="zh-CN"/>
        </w:rPr>
        <w:t>负责人：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eastAsia="zh-CN"/>
        </w:rPr>
        <w:t>郑重承诺，将依照施工</w:t>
      </w:r>
      <w:r>
        <w:rPr>
          <w:rFonts w:hint="eastAsia" w:ascii="宋体" w:hAnsi="宋体" w:cs="宋体"/>
          <w:color w:val="auto"/>
          <w:sz w:val="24"/>
          <w:szCs w:val="24"/>
          <w:highlight w:val="none"/>
          <w:u w:val="none"/>
          <w:lang w:val="en-US" w:eastAsia="zh-CN"/>
        </w:rPr>
        <w:t>作业</w:t>
      </w:r>
      <w:r>
        <w:rPr>
          <w:rFonts w:hint="eastAsia" w:ascii="宋体" w:hAnsi="宋体" w:cs="宋体"/>
          <w:color w:val="auto"/>
          <w:sz w:val="24"/>
          <w:szCs w:val="24"/>
          <w:highlight w:val="none"/>
          <w:u w:val="none"/>
          <w:lang w:eastAsia="zh-CN"/>
        </w:rPr>
        <w:t>合同（及相关法规）对本次施工</w:t>
      </w:r>
      <w:r>
        <w:rPr>
          <w:rFonts w:hint="eastAsia" w:ascii="宋体" w:hAnsi="宋体" w:cs="宋体"/>
          <w:color w:val="auto"/>
          <w:sz w:val="24"/>
          <w:szCs w:val="24"/>
          <w:highlight w:val="none"/>
          <w:u w:val="none"/>
          <w:lang w:val="en-US" w:eastAsia="zh-CN"/>
        </w:rPr>
        <w:t>作业</w:t>
      </w:r>
      <w:r>
        <w:rPr>
          <w:rFonts w:hint="eastAsia" w:ascii="宋体" w:hAnsi="宋体" w:cs="宋体"/>
          <w:color w:val="auto"/>
          <w:sz w:val="24"/>
          <w:szCs w:val="24"/>
          <w:highlight w:val="none"/>
          <w:u w:val="none"/>
          <w:lang w:eastAsia="zh-CN"/>
        </w:rPr>
        <w:t>范围内的安全管理承担责任，承诺基本内容如下：　　</w:t>
      </w:r>
    </w:p>
    <w:p w14:paraId="4F6EF697">
      <w:pPr>
        <w:keepNext w:val="0"/>
        <w:keepLines w:val="0"/>
        <w:pageBreakBefore w:val="0"/>
        <w:widowControl w:val="0"/>
        <w:numPr>
          <w:ilvl w:val="0"/>
          <w:numId w:val="12"/>
        </w:numPr>
        <w:kinsoku/>
        <w:wordWrap/>
        <w:overflowPunct/>
        <w:topLinePunct w:val="0"/>
        <w:autoSpaceDE/>
        <w:autoSpaceDN/>
        <w:bidi w:val="0"/>
        <w:adjustRightInd/>
        <w:snapToGrid/>
        <w:spacing w:line="440" w:lineRule="exact"/>
        <w:ind w:firstLine="560"/>
        <w:jc w:val="left"/>
        <w:textAlignment w:val="auto"/>
        <w:rPr>
          <w:rFonts w:hint="eastAsia" w:ascii="宋体" w:hAnsi="宋体" w:cs="宋体"/>
          <w:color w:val="auto"/>
          <w:sz w:val="24"/>
          <w:szCs w:val="24"/>
          <w:highlight w:val="none"/>
          <w:u w:val="none"/>
          <w:lang w:eastAsia="zh-CN"/>
        </w:rPr>
      </w:pPr>
      <w:r>
        <w:rPr>
          <w:rFonts w:hint="eastAsia" w:ascii="宋体" w:hAnsi="宋体" w:cs="宋体"/>
          <w:color w:val="auto"/>
          <w:sz w:val="24"/>
          <w:szCs w:val="24"/>
          <w:highlight w:val="none"/>
          <w:u w:val="none"/>
          <w:lang w:eastAsia="zh-CN"/>
        </w:rPr>
        <w:t>承诺在（施工）作业期间，严格按</w:t>
      </w:r>
      <w:r>
        <w:rPr>
          <w:rFonts w:hint="eastAsia" w:ascii="宋体" w:hAnsi="宋体" w:cs="宋体"/>
          <w:color w:val="auto"/>
          <w:sz w:val="24"/>
          <w:szCs w:val="24"/>
          <w:highlight w:val="none"/>
          <w:u w:val="none"/>
          <w:lang w:val="en-US" w:eastAsia="zh-CN"/>
        </w:rPr>
        <w:t>照花坪</w:t>
      </w:r>
      <w:r>
        <w:rPr>
          <w:rFonts w:hint="eastAsia" w:ascii="宋体" w:hAnsi="宋体" w:cs="宋体"/>
          <w:color w:val="auto"/>
          <w:sz w:val="24"/>
          <w:szCs w:val="24"/>
          <w:highlight w:val="none"/>
          <w:u w:val="none"/>
          <w:lang w:eastAsia="zh-CN"/>
        </w:rPr>
        <w:t>保护区(以下简称保护区)的要求，依照相关施工法律法规要求，明确安全责任，做好施工</w:t>
      </w:r>
      <w:r>
        <w:rPr>
          <w:rFonts w:hint="eastAsia" w:ascii="宋体" w:hAnsi="宋体" w:cs="宋体"/>
          <w:color w:val="auto"/>
          <w:sz w:val="24"/>
          <w:szCs w:val="24"/>
          <w:highlight w:val="none"/>
          <w:u w:val="none"/>
          <w:lang w:val="en-US" w:eastAsia="zh-CN"/>
        </w:rPr>
        <w:t>作业</w:t>
      </w:r>
      <w:r>
        <w:rPr>
          <w:rFonts w:hint="eastAsia" w:ascii="宋体" w:hAnsi="宋体" w:cs="宋体"/>
          <w:color w:val="auto"/>
          <w:sz w:val="24"/>
          <w:szCs w:val="24"/>
          <w:highlight w:val="none"/>
          <w:u w:val="none"/>
          <w:lang w:eastAsia="zh-CN"/>
        </w:rPr>
        <w:t>组织设计和施工</w:t>
      </w:r>
      <w:r>
        <w:rPr>
          <w:rFonts w:hint="eastAsia" w:ascii="宋体" w:hAnsi="宋体" w:cs="宋体"/>
          <w:color w:val="auto"/>
          <w:sz w:val="24"/>
          <w:szCs w:val="24"/>
          <w:highlight w:val="none"/>
          <w:u w:val="none"/>
          <w:lang w:val="en-US" w:eastAsia="zh-CN"/>
        </w:rPr>
        <w:t>作业</w:t>
      </w:r>
      <w:r>
        <w:rPr>
          <w:rFonts w:hint="eastAsia" w:ascii="宋体" w:hAnsi="宋体" w:cs="宋体"/>
          <w:color w:val="auto"/>
          <w:sz w:val="24"/>
          <w:szCs w:val="24"/>
          <w:highlight w:val="none"/>
          <w:u w:val="none"/>
          <w:lang w:eastAsia="zh-CN"/>
        </w:rPr>
        <w:t>安全技术交底，服从保护区相关部门的日常管理和检查。　　</w:t>
      </w:r>
    </w:p>
    <w:p w14:paraId="31F7689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jc w:val="left"/>
        <w:textAlignment w:val="auto"/>
        <w:rPr>
          <w:rFonts w:hint="eastAsia" w:ascii="宋体" w:hAnsi="宋体" w:cs="宋体"/>
          <w:color w:val="auto"/>
          <w:sz w:val="24"/>
          <w:szCs w:val="24"/>
          <w:highlight w:val="none"/>
          <w:u w:val="none"/>
          <w:lang w:eastAsia="zh-CN"/>
        </w:rPr>
      </w:pPr>
      <w:r>
        <w:rPr>
          <w:rFonts w:hint="eastAsia" w:ascii="宋体" w:hAnsi="宋体" w:cs="宋体"/>
          <w:color w:val="auto"/>
          <w:sz w:val="24"/>
          <w:szCs w:val="24"/>
          <w:highlight w:val="none"/>
          <w:u w:val="none"/>
          <w:lang w:eastAsia="zh-CN"/>
        </w:rPr>
        <w:t>二、承诺对本单位（施工）作业人员进行安全教育，有健全的安全管理制度，保证（施工）作业人员遵守安全生产规范，服从保护区现场管理人员的管理。　　</w:t>
      </w:r>
    </w:p>
    <w:p w14:paraId="4C70951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jc w:val="left"/>
        <w:textAlignment w:val="auto"/>
        <w:rPr>
          <w:rFonts w:hint="eastAsia" w:ascii="宋体" w:hAnsi="宋体" w:cs="宋体"/>
          <w:color w:val="auto"/>
          <w:sz w:val="24"/>
          <w:szCs w:val="24"/>
          <w:highlight w:val="none"/>
          <w:u w:val="none"/>
          <w:lang w:eastAsia="zh-CN"/>
        </w:rPr>
      </w:pPr>
      <w:r>
        <w:rPr>
          <w:rFonts w:hint="eastAsia" w:ascii="宋体" w:hAnsi="宋体" w:cs="宋体"/>
          <w:color w:val="auto"/>
          <w:sz w:val="24"/>
          <w:szCs w:val="24"/>
          <w:highlight w:val="none"/>
          <w:u w:val="none"/>
          <w:lang w:eastAsia="zh-CN"/>
        </w:rPr>
        <w:t>三、承诺文明（施工）作业，保证现场不出现消防安全事故和工伤事故，设立现场安全负责人。保护区监管人员发现有重大不安全因素时，随时有权要求（施工）作业方停工整改，（施工）作业方不得继续违章操作强行（施工）作业。如因（施工）作业发生任何意外或造成人员伤亡，（施工）作业方承诺承担完全负责，与保护区无关。需上报</w:t>
      </w:r>
      <w:r>
        <w:rPr>
          <w:rFonts w:hint="eastAsia" w:ascii="宋体" w:hAnsi="宋体" w:cs="宋体"/>
          <w:color w:val="auto"/>
          <w:sz w:val="24"/>
          <w:szCs w:val="24"/>
          <w:highlight w:val="none"/>
          <w:u w:val="none"/>
          <w:lang w:val="en-US" w:eastAsia="zh-CN"/>
        </w:rPr>
        <w:t>上级</w:t>
      </w:r>
      <w:r>
        <w:rPr>
          <w:rFonts w:hint="eastAsia" w:ascii="宋体" w:hAnsi="宋体" w:cs="宋体"/>
          <w:color w:val="auto"/>
          <w:sz w:val="24"/>
          <w:szCs w:val="24"/>
          <w:highlight w:val="none"/>
          <w:u w:val="none"/>
          <w:lang w:eastAsia="zh-CN"/>
        </w:rPr>
        <w:t>安监局及有关部门的安全事故，一切手续由（施工）作业方负责处理，无需保护区办理。　　</w:t>
      </w:r>
    </w:p>
    <w:p w14:paraId="0D0261D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jc w:val="left"/>
        <w:textAlignment w:val="auto"/>
        <w:rPr>
          <w:rFonts w:hint="eastAsia" w:ascii="宋体" w:hAnsi="宋体" w:cs="宋体"/>
          <w:color w:val="auto"/>
          <w:sz w:val="24"/>
          <w:szCs w:val="24"/>
          <w:highlight w:val="none"/>
          <w:u w:val="none"/>
          <w:lang w:eastAsia="zh-CN"/>
        </w:rPr>
      </w:pPr>
      <w:r>
        <w:rPr>
          <w:rFonts w:hint="eastAsia" w:ascii="宋体" w:hAnsi="宋体" w:cs="宋体"/>
          <w:color w:val="auto"/>
          <w:sz w:val="24"/>
          <w:szCs w:val="24"/>
          <w:highlight w:val="none"/>
          <w:u w:val="none"/>
          <w:lang w:eastAsia="zh-CN"/>
        </w:rPr>
        <w:t>四、承诺（施工）作业期间不影响周边人员、卫生、环境安全，不得破坏生态环境。并对本单位（施工）作业人员造成的一切不良影响负责。　　</w:t>
      </w:r>
    </w:p>
    <w:p w14:paraId="6BD611E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jc w:val="left"/>
        <w:textAlignment w:val="auto"/>
        <w:rPr>
          <w:rFonts w:hint="eastAsia" w:ascii="宋体" w:hAnsi="宋体" w:cs="宋体"/>
          <w:color w:val="auto"/>
          <w:sz w:val="24"/>
          <w:szCs w:val="24"/>
          <w:highlight w:val="none"/>
          <w:u w:val="none"/>
          <w:lang w:eastAsia="zh-CN"/>
        </w:rPr>
      </w:pPr>
      <w:r>
        <w:rPr>
          <w:rFonts w:hint="eastAsia" w:ascii="宋体" w:hAnsi="宋体" w:cs="宋体"/>
          <w:color w:val="auto"/>
          <w:sz w:val="24"/>
          <w:szCs w:val="24"/>
          <w:highlight w:val="none"/>
          <w:u w:val="none"/>
          <w:lang w:eastAsia="zh-CN"/>
        </w:rPr>
        <w:t>五、本承诺书是保护区对外来（施工）作业安全监管的有效证明文件，是合同及进入保护区许可的附件，具有法律效力。　　</w:t>
      </w:r>
    </w:p>
    <w:p w14:paraId="4EC599B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jc w:val="left"/>
        <w:textAlignment w:val="auto"/>
        <w:rPr>
          <w:rFonts w:hint="eastAsia" w:ascii="宋体" w:hAnsi="宋体" w:cs="宋体"/>
          <w:color w:val="auto"/>
          <w:sz w:val="24"/>
          <w:szCs w:val="24"/>
          <w:highlight w:val="none"/>
          <w:u w:val="none"/>
          <w:lang w:eastAsia="zh-CN"/>
        </w:rPr>
      </w:pPr>
      <w:r>
        <w:rPr>
          <w:rFonts w:hint="eastAsia" w:ascii="宋体" w:hAnsi="宋体" w:cs="宋体"/>
          <w:color w:val="auto"/>
          <w:sz w:val="24"/>
          <w:szCs w:val="24"/>
          <w:highlight w:val="none"/>
          <w:u w:val="none"/>
          <w:lang w:eastAsia="zh-CN"/>
        </w:rPr>
        <w:t>六、安全问题包括不仅限于上述情况，如有未尽详细事宜，参照国家法律法规的有关条款执行。　　</w:t>
      </w:r>
    </w:p>
    <w:p w14:paraId="058F6B2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jc w:val="left"/>
        <w:textAlignment w:val="auto"/>
        <w:rPr>
          <w:rFonts w:hint="eastAsia" w:ascii="宋体" w:hAnsi="宋体" w:cs="宋体"/>
          <w:color w:val="auto"/>
          <w:sz w:val="24"/>
          <w:szCs w:val="24"/>
          <w:highlight w:val="none"/>
          <w:u w:val="none"/>
          <w:lang w:eastAsia="zh-CN"/>
        </w:rPr>
      </w:pPr>
      <w:r>
        <w:rPr>
          <w:rFonts w:hint="eastAsia" w:ascii="宋体" w:hAnsi="宋体" w:cs="宋体"/>
          <w:color w:val="auto"/>
          <w:sz w:val="24"/>
          <w:szCs w:val="24"/>
          <w:highlight w:val="none"/>
          <w:u w:val="none"/>
          <w:lang w:eastAsia="zh-CN"/>
        </w:rPr>
        <w:t>七、本承诺书一式两份，（施工）作业方和保护区各执一份。</w:t>
      </w:r>
    </w:p>
    <w:p w14:paraId="4703B93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jc w:val="left"/>
        <w:textAlignment w:val="auto"/>
        <w:rPr>
          <w:rFonts w:hint="eastAsia" w:ascii="宋体" w:hAnsi="宋体" w:cs="宋体"/>
          <w:color w:val="auto"/>
          <w:sz w:val="24"/>
          <w:szCs w:val="24"/>
          <w:highlight w:val="none"/>
          <w:u w:val="none"/>
          <w:lang w:eastAsia="zh-CN"/>
        </w:rPr>
      </w:pPr>
    </w:p>
    <w:p w14:paraId="26E3183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jc w:val="left"/>
        <w:textAlignment w:val="auto"/>
        <w:rPr>
          <w:rFonts w:hint="eastAsia" w:ascii="宋体" w:hAnsi="宋体" w:cs="宋体"/>
          <w:color w:val="auto"/>
          <w:sz w:val="24"/>
          <w:szCs w:val="24"/>
          <w:highlight w:val="none"/>
          <w:u w:val="none"/>
          <w:lang w:eastAsia="zh-CN"/>
        </w:rPr>
      </w:pPr>
      <w:r>
        <w:rPr>
          <w:rFonts w:hint="eastAsia" w:ascii="宋体" w:hAnsi="宋体" w:cs="宋体"/>
          <w:color w:val="auto"/>
          <w:sz w:val="24"/>
          <w:szCs w:val="24"/>
          <w:highlight w:val="none"/>
          <w:u w:val="none"/>
          <w:lang w:eastAsia="zh-CN"/>
        </w:rPr>
        <w:t>承诺（施工）作业单位(盖章)：　　</w:t>
      </w:r>
    </w:p>
    <w:p w14:paraId="1F04507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jc w:val="left"/>
        <w:textAlignment w:val="auto"/>
        <w:rPr>
          <w:rFonts w:hint="eastAsia" w:ascii="宋体" w:hAnsi="宋体" w:cs="宋体"/>
          <w:color w:val="auto"/>
          <w:sz w:val="24"/>
          <w:szCs w:val="24"/>
          <w:highlight w:val="none"/>
          <w:u w:val="none"/>
          <w:lang w:eastAsia="zh-CN"/>
        </w:rPr>
      </w:pPr>
      <w:r>
        <w:rPr>
          <w:rFonts w:hint="eastAsia" w:ascii="宋体" w:hAnsi="宋体" w:cs="宋体"/>
          <w:color w:val="auto"/>
          <w:sz w:val="24"/>
          <w:szCs w:val="24"/>
          <w:highlight w:val="none"/>
          <w:u w:val="none"/>
          <w:lang w:eastAsia="zh-CN"/>
        </w:rPr>
        <w:t>负责人：　　</w:t>
      </w:r>
    </w:p>
    <w:p w14:paraId="5A2DD23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jc w:val="left"/>
        <w:textAlignment w:val="auto"/>
        <w:rPr>
          <w:rFonts w:hint="eastAsia" w:ascii="宋体" w:hAnsi="宋体" w:cs="宋体"/>
          <w:color w:val="auto"/>
          <w:sz w:val="24"/>
          <w:szCs w:val="24"/>
          <w:highlight w:val="none"/>
          <w:u w:val="none"/>
          <w:lang w:eastAsia="zh-CN"/>
        </w:rPr>
      </w:pPr>
      <w:r>
        <w:rPr>
          <w:rFonts w:hint="eastAsia" w:ascii="宋体" w:hAnsi="宋体" w:cs="宋体"/>
          <w:color w:val="auto"/>
          <w:sz w:val="24"/>
          <w:szCs w:val="24"/>
          <w:highlight w:val="none"/>
          <w:u w:val="none"/>
          <w:lang w:eastAsia="zh-CN"/>
        </w:rPr>
        <w:t>电 话：　　</w:t>
      </w:r>
    </w:p>
    <w:p w14:paraId="22C4C79D">
      <w:pPr>
        <w:keepNext w:val="0"/>
        <w:keepLines w:val="0"/>
        <w:pageBreakBefore w:val="0"/>
        <w:widowControl w:val="0"/>
        <w:kinsoku/>
        <w:wordWrap/>
        <w:overflowPunct/>
        <w:topLinePunct w:val="0"/>
        <w:autoSpaceDE/>
        <w:autoSpaceDN/>
        <w:bidi w:val="0"/>
        <w:adjustRightInd/>
        <w:snapToGrid w:val="0"/>
        <w:spacing w:line="440" w:lineRule="exact"/>
        <w:ind w:left="638" w:leftChars="304" w:firstLine="0" w:firstLineChars="0"/>
        <w:textAlignment w:val="auto"/>
        <w:rPr>
          <w:rFonts w:hint="eastAsia" w:ascii="宋体" w:hAnsi="宋体" w:cs="宋体"/>
          <w:color w:val="auto"/>
          <w:highlight w:val="none"/>
          <w:u w:val="single"/>
        </w:rPr>
        <w:sectPr>
          <w:pgSz w:w="11906" w:h="16838"/>
          <w:pgMar w:top="1440" w:right="935" w:bottom="1440" w:left="777" w:header="851" w:footer="992" w:gutter="0"/>
          <w:pgNumType w:fmt="decimal"/>
          <w:cols w:space="720" w:num="1"/>
          <w:docGrid w:type="lines" w:linePitch="312" w:charSpace="0"/>
        </w:sectPr>
      </w:pPr>
      <w:r>
        <w:rPr>
          <w:rFonts w:hint="eastAsia" w:ascii="宋体" w:hAnsi="宋体" w:cs="宋体"/>
          <w:color w:val="auto"/>
          <w:sz w:val="24"/>
          <w:szCs w:val="24"/>
          <w:highlight w:val="none"/>
          <w:u w:val="none"/>
          <w:lang w:eastAsia="zh-CN"/>
        </w:rPr>
        <w:t>日 期：　　</w:t>
      </w:r>
      <w:r>
        <w:rPr>
          <w:rFonts w:hint="eastAsia" w:ascii="宋体" w:hAnsi="宋体" w:cs="宋体"/>
          <w:color w:val="auto"/>
          <w:sz w:val="24"/>
          <w:szCs w:val="24"/>
          <w:highlight w:val="none"/>
          <w:u w:val="none"/>
          <w:lang w:val="en-US" w:eastAsia="zh-CN"/>
        </w:rPr>
        <w:t xml:space="preserve">   </w:t>
      </w:r>
      <w:r>
        <w:rPr>
          <w:rFonts w:hint="eastAsia" w:ascii="宋体" w:hAnsi="宋体" w:cs="宋体"/>
          <w:color w:val="auto"/>
          <w:sz w:val="24"/>
          <w:szCs w:val="24"/>
          <w:highlight w:val="none"/>
          <w:u w:val="none"/>
          <w:lang w:eastAsia="zh-CN"/>
        </w:rPr>
        <w:t>年</w:t>
      </w:r>
      <w:r>
        <w:rPr>
          <w:rFonts w:hint="eastAsia" w:ascii="宋体" w:hAnsi="宋体" w:cs="宋体"/>
          <w:color w:val="auto"/>
          <w:sz w:val="24"/>
          <w:szCs w:val="24"/>
          <w:highlight w:val="none"/>
          <w:u w:val="none"/>
          <w:lang w:val="en-US" w:eastAsia="zh-CN"/>
        </w:rPr>
        <w:t xml:space="preserve">   </w:t>
      </w:r>
      <w:r>
        <w:rPr>
          <w:rFonts w:hint="eastAsia" w:ascii="宋体" w:hAnsi="宋体" w:cs="宋体"/>
          <w:color w:val="auto"/>
          <w:sz w:val="24"/>
          <w:szCs w:val="24"/>
          <w:highlight w:val="none"/>
          <w:u w:val="none"/>
          <w:lang w:eastAsia="zh-CN"/>
        </w:rPr>
        <w:t>月</w:t>
      </w:r>
      <w:r>
        <w:rPr>
          <w:rFonts w:hint="eastAsia" w:ascii="宋体" w:hAnsi="宋体" w:cs="宋体"/>
          <w:color w:val="auto"/>
          <w:sz w:val="24"/>
          <w:szCs w:val="24"/>
          <w:highlight w:val="none"/>
          <w:u w:val="none"/>
          <w:lang w:val="en-US" w:eastAsia="zh-CN"/>
        </w:rPr>
        <w:t xml:space="preserve">    </w:t>
      </w:r>
      <w:r>
        <w:rPr>
          <w:rFonts w:hint="eastAsia" w:ascii="宋体" w:hAnsi="宋体" w:cs="宋体"/>
          <w:color w:val="auto"/>
          <w:sz w:val="24"/>
          <w:szCs w:val="24"/>
          <w:highlight w:val="none"/>
          <w:u w:val="none"/>
          <w:lang w:eastAsia="zh-CN"/>
        </w:rPr>
        <w:t>日</w:t>
      </w:r>
    </w:p>
    <w:p w14:paraId="33BF97F2">
      <w:pPr>
        <w:spacing w:line="360" w:lineRule="auto"/>
        <w:outlineLvl w:val="3"/>
        <w:rPr>
          <w:rFonts w:hint="eastAsia" w:ascii="宋体" w:hAnsi="宋体" w:eastAsia="宋体" w:cs="宋体"/>
          <w:b/>
          <w:color w:val="auto"/>
          <w:kern w:val="2"/>
          <w:sz w:val="28"/>
          <w:szCs w:val="28"/>
          <w:highlight w:val="none"/>
          <w:lang w:val="en-US" w:eastAsia="zh-CN" w:bidi="ar-SA"/>
        </w:rPr>
      </w:pPr>
      <w:bookmarkStart w:id="228" w:name="_Toc497927084"/>
      <w:bookmarkStart w:id="229" w:name="_Toc9339"/>
      <w:bookmarkStart w:id="230" w:name="_Toc28672"/>
      <w:r>
        <w:rPr>
          <w:rFonts w:hint="eastAsia" w:ascii="宋体" w:hAnsi="宋体" w:cs="宋体"/>
          <w:b/>
          <w:color w:val="auto"/>
          <w:kern w:val="2"/>
          <w:sz w:val="28"/>
          <w:szCs w:val="28"/>
          <w:highlight w:val="none"/>
          <w:lang w:val="en-US" w:eastAsia="zh-CN" w:bidi="ar-SA"/>
        </w:rPr>
        <w:t>6</w:t>
      </w:r>
      <w:r>
        <w:rPr>
          <w:rFonts w:hint="eastAsia" w:ascii="宋体" w:hAnsi="宋体" w:eastAsia="宋体" w:cs="宋体"/>
          <w:b/>
          <w:color w:val="auto"/>
          <w:kern w:val="2"/>
          <w:sz w:val="28"/>
          <w:szCs w:val="28"/>
          <w:highlight w:val="none"/>
          <w:lang w:val="en-US" w:eastAsia="zh-CN" w:bidi="ar-SA"/>
        </w:rPr>
        <w:t>.供应商结合</w:t>
      </w:r>
      <w:r>
        <w:rPr>
          <w:rFonts w:hint="eastAsia" w:ascii="宋体" w:hAnsi="宋体" w:cs="宋体"/>
          <w:b/>
          <w:color w:val="auto"/>
          <w:kern w:val="2"/>
          <w:sz w:val="28"/>
          <w:szCs w:val="28"/>
          <w:highlight w:val="none"/>
          <w:lang w:val="en-US" w:eastAsia="zh-CN" w:bidi="ar-SA"/>
        </w:rPr>
        <w:t>采购需求</w:t>
      </w:r>
      <w:r>
        <w:rPr>
          <w:rFonts w:hint="eastAsia" w:ascii="宋体" w:hAnsi="宋体" w:eastAsia="宋体" w:cs="宋体"/>
          <w:b/>
          <w:color w:val="auto"/>
          <w:kern w:val="2"/>
          <w:sz w:val="28"/>
          <w:szCs w:val="28"/>
          <w:highlight w:val="none"/>
          <w:lang w:val="en-US" w:eastAsia="zh-CN" w:bidi="ar-SA"/>
        </w:rPr>
        <w:t>提交其它相关证明材料</w:t>
      </w:r>
      <w:r>
        <w:rPr>
          <w:rFonts w:hint="eastAsia" w:ascii="宋体" w:hAnsi="宋体" w:cs="宋体"/>
          <w:b/>
          <w:color w:val="auto"/>
          <w:kern w:val="2"/>
          <w:sz w:val="28"/>
          <w:szCs w:val="28"/>
          <w:highlight w:val="none"/>
          <w:lang w:val="en-US" w:eastAsia="zh-CN" w:bidi="ar-SA"/>
        </w:rPr>
        <w:t>（如有）</w:t>
      </w:r>
      <w:r>
        <w:rPr>
          <w:rFonts w:hint="eastAsia" w:ascii="宋体" w:hAnsi="宋体" w:eastAsia="宋体" w:cs="宋体"/>
          <w:b/>
          <w:color w:val="auto"/>
          <w:kern w:val="2"/>
          <w:sz w:val="28"/>
          <w:szCs w:val="28"/>
          <w:highlight w:val="none"/>
          <w:lang w:val="en-US" w:eastAsia="zh-CN" w:bidi="ar-SA"/>
        </w:rPr>
        <w:t>。</w:t>
      </w:r>
    </w:p>
    <w:p w14:paraId="1B4A53BE">
      <w:pPr>
        <w:pStyle w:val="16"/>
        <w:rPr>
          <w:rFonts w:ascii="宋体" w:hAnsi="宋体" w:cs="宋体"/>
          <w:color w:val="auto"/>
          <w:highlight w:val="none"/>
          <w:u w:val="none"/>
        </w:rPr>
      </w:pPr>
    </w:p>
    <w:p w14:paraId="3BED2536">
      <w:pP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br w:type="page"/>
      </w:r>
    </w:p>
    <w:p w14:paraId="413E3AFE">
      <w:pPr>
        <w:spacing w:line="340" w:lineRule="exact"/>
        <w:ind w:left="420"/>
        <w:jc w:val="center"/>
        <w:outlineLvl w:val="2"/>
        <w:rPr>
          <w:rFonts w:ascii="宋体" w:hAnsi="宋体" w:cs="宋体"/>
          <w:color w:val="auto"/>
          <w:szCs w:val="21"/>
          <w:highlight w:val="none"/>
        </w:rPr>
      </w:pPr>
      <w:r>
        <w:rPr>
          <w:rFonts w:hint="eastAsia" w:ascii="宋体" w:hAnsi="宋体" w:cs="宋体"/>
          <w:b/>
          <w:bCs/>
          <w:color w:val="auto"/>
          <w:sz w:val="32"/>
          <w:szCs w:val="32"/>
          <w:highlight w:val="none"/>
        </w:rPr>
        <w:t>（三）其他有效证明材料目录</w:t>
      </w:r>
      <w:bookmarkEnd w:id="228"/>
      <w:bookmarkEnd w:id="229"/>
      <w:bookmarkEnd w:id="230"/>
    </w:p>
    <w:p w14:paraId="4DE30BBB">
      <w:pPr>
        <w:spacing w:line="360" w:lineRule="auto"/>
        <w:ind w:firstLine="480" w:firstLineChars="200"/>
        <w:rPr>
          <w:rFonts w:hint="eastAsia" w:ascii="宋体" w:hAnsi="宋体" w:eastAsia="宋体" w:cs="宋体"/>
          <w:b/>
          <w:bCs/>
          <w:color w:val="auto"/>
          <w:highlight w:val="none"/>
          <w:lang w:eastAsia="zh-CN"/>
        </w:rPr>
      </w:pPr>
      <w:r>
        <w:rPr>
          <w:rFonts w:hint="eastAsia" w:ascii="宋体" w:hAnsi="宋体" w:cs="宋体"/>
          <w:color w:val="auto"/>
          <w:sz w:val="24"/>
          <w:highlight w:val="none"/>
        </w:rPr>
        <w:t>1.项目实施方案</w:t>
      </w:r>
      <w:r>
        <w:rPr>
          <w:rFonts w:hint="eastAsia" w:ascii="宋体" w:hAnsi="宋体" w:cs="宋体"/>
          <w:b/>
          <w:bCs/>
          <w:color w:val="auto"/>
          <w:sz w:val="24"/>
          <w:highlight w:val="none"/>
        </w:rPr>
        <w:t>（如有，请提供）</w:t>
      </w:r>
      <w:r>
        <w:rPr>
          <w:rFonts w:hint="eastAsia" w:ascii="宋体" w:hAnsi="宋体" w:cs="宋体"/>
          <w:b/>
          <w:bCs/>
          <w:color w:val="auto"/>
          <w:sz w:val="24"/>
          <w:highlight w:val="none"/>
          <w:lang w:eastAsia="zh-CN"/>
        </w:rPr>
        <w:t>；</w:t>
      </w:r>
    </w:p>
    <w:p w14:paraId="507C0C2C">
      <w:pPr>
        <w:spacing w:line="360" w:lineRule="auto"/>
        <w:ind w:firstLine="480" w:firstLineChars="200"/>
        <w:rPr>
          <w:rFonts w:hint="eastAsia" w:ascii="宋体" w:hAnsi="宋体" w:eastAsia="宋体" w:cs="宋体"/>
          <w:b/>
          <w:bCs/>
          <w:color w:val="auto"/>
          <w:highlight w:val="none"/>
          <w:lang w:eastAsia="zh-CN"/>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.项目实施人员一览表（格式见附件）</w:t>
      </w:r>
      <w:r>
        <w:rPr>
          <w:rFonts w:hint="eastAsia" w:ascii="宋体" w:hAnsi="宋体" w:cs="宋体"/>
          <w:b/>
          <w:bCs/>
          <w:color w:val="auto"/>
          <w:sz w:val="24"/>
          <w:highlight w:val="none"/>
        </w:rPr>
        <w:t>（如有，请提供）</w:t>
      </w:r>
      <w:r>
        <w:rPr>
          <w:rFonts w:hint="eastAsia" w:ascii="宋体" w:hAnsi="宋体" w:cs="宋体"/>
          <w:b/>
          <w:bCs/>
          <w:color w:val="auto"/>
          <w:sz w:val="24"/>
          <w:highlight w:val="none"/>
          <w:lang w:eastAsia="zh-CN"/>
        </w:rPr>
        <w:t>；</w:t>
      </w:r>
    </w:p>
    <w:p w14:paraId="312F94D8">
      <w:pPr>
        <w:spacing w:line="360" w:lineRule="auto"/>
        <w:ind w:firstLine="480" w:firstLineChars="200"/>
        <w:jc w:val="left"/>
        <w:rPr>
          <w:rFonts w:ascii="宋体" w:hAnsi="宋体" w:cs="宋体"/>
          <w:b/>
          <w:bCs/>
          <w:color w:val="auto"/>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.“采购需求”需提供的有效证明文件</w:t>
      </w:r>
      <w:r>
        <w:rPr>
          <w:rFonts w:hint="eastAsia" w:ascii="宋体" w:hAnsi="宋体" w:cs="宋体"/>
          <w:b/>
          <w:bCs/>
          <w:color w:val="auto"/>
          <w:sz w:val="24"/>
          <w:highlight w:val="none"/>
        </w:rPr>
        <w:t>（如有，请提供）；</w:t>
      </w:r>
    </w:p>
    <w:p w14:paraId="07EADC0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4</w:t>
      </w:r>
      <w:r>
        <w:rPr>
          <w:rFonts w:hint="eastAsia" w:ascii="宋体" w:hAnsi="宋体" w:cs="宋体"/>
          <w:color w:val="auto"/>
          <w:sz w:val="24"/>
          <w:highlight w:val="none"/>
        </w:rPr>
        <w:t>.供应商</w:t>
      </w:r>
      <w:r>
        <w:rPr>
          <w:rFonts w:hint="eastAsia" w:ascii="宋体" w:hAnsi="宋体" w:cs="宋体"/>
          <w:color w:val="auto"/>
          <w:sz w:val="24"/>
          <w:highlight w:val="none"/>
          <w:lang w:eastAsia="zh-CN"/>
        </w:rPr>
        <w:t>2020</w:t>
      </w:r>
      <w:r>
        <w:rPr>
          <w:rFonts w:hint="eastAsia" w:ascii="宋体" w:hAnsi="宋体" w:cs="宋体"/>
          <w:color w:val="auto"/>
          <w:sz w:val="24"/>
          <w:highlight w:val="none"/>
        </w:rPr>
        <w:t>年1月1日以来具有同类项目业绩相关证明材料（</w:t>
      </w:r>
      <w:r>
        <w:rPr>
          <w:rFonts w:hint="eastAsia" w:ascii="宋体" w:hAnsi="宋体" w:cs="宋体"/>
          <w:color w:val="auto"/>
          <w:sz w:val="24"/>
          <w:highlight w:val="none"/>
          <w:lang w:eastAsia="zh-CN"/>
        </w:rPr>
        <w:t>需提供项目业绩合同或中标（成交）通知书复印件并加盖供应商公章，否则不予计分</w:t>
      </w:r>
      <w:r>
        <w:rPr>
          <w:rFonts w:hint="eastAsia" w:ascii="宋体" w:hAnsi="宋体" w:cs="宋体"/>
          <w:color w:val="auto"/>
          <w:sz w:val="24"/>
          <w:highlight w:val="none"/>
        </w:rPr>
        <w:t>）</w:t>
      </w:r>
      <w:r>
        <w:rPr>
          <w:rFonts w:hint="eastAsia" w:ascii="宋体" w:hAnsi="宋体" w:cs="宋体"/>
          <w:b/>
          <w:bCs/>
          <w:color w:val="auto"/>
          <w:sz w:val="24"/>
          <w:highlight w:val="none"/>
        </w:rPr>
        <w:t>（如有，请提供）；</w:t>
      </w:r>
    </w:p>
    <w:p w14:paraId="127BF176">
      <w:pPr>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.中小企业声明函或监狱企业、残疾人福利性单位证明文件</w:t>
      </w:r>
      <w:r>
        <w:rPr>
          <w:rFonts w:hint="eastAsia" w:ascii="宋体" w:hAnsi="宋体" w:cs="宋体"/>
          <w:b/>
          <w:bCs/>
          <w:color w:val="auto"/>
          <w:sz w:val="24"/>
          <w:highlight w:val="none"/>
        </w:rPr>
        <w:t>（如有，请提供）；</w:t>
      </w:r>
    </w:p>
    <w:p w14:paraId="4337930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.供应商可结合本项目的评审办法视自身情况自行提交其它相关证明材料。</w:t>
      </w:r>
    </w:p>
    <w:p w14:paraId="6E9E3D49">
      <w:pPr>
        <w:spacing w:line="360" w:lineRule="auto"/>
        <w:ind w:firstLine="480" w:firstLineChars="200"/>
        <w:rPr>
          <w:rFonts w:ascii="宋体" w:hAnsi="宋体" w:cs="宋体"/>
          <w:color w:val="auto"/>
          <w:sz w:val="24"/>
          <w:highlight w:val="none"/>
        </w:rPr>
      </w:pPr>
    </w:p>
    <w:p w14:paraId="6D78FE12">
      <w:pPr>
        <w:pStyle w:val="40"/>
        <w:rPr>
          <w:rFonts w:ascii="宋体" w:hAnsi="宋体" w:cs="宋体"/>
          <w:b/>
          <w:bCs/>
          <w:color w:val="auto"/>
          <w:highlight w:val="none"/>
        </w:rPr>
      </w:pPr>
    </w:p>
    <w:p w14:paraId="31C04C19">
      <w:pPr>
        <w:pStyle w:val="40"/>
        <w:rPr>
          <w:rFonts w:ascii="宋体" w:hAnsi="宋体" w:cs="宋体"/>
          <w:b/>
          <w:bCs/>
          <w:color w:val="auto"/>
          <w:highlight w:val="none"/>
        </w:rPr>
      </w:pPr>
    </w:p>
    <w:p w14:paraId="2AC07148">
      <w:pPr>
        <w:pStyle w:val="40"/>
        <w:rPr>
          <w:rFonts w:ascii="宋体" w:hAnsi="宋体" w:cs="宋体"/>
          <w:b/>
          <w:bCs/>
          <w:color w:val="auto"/>
          <w:highlight w:val="none"/>
        </w:rPr>
      </w:pPr>
    </w:p>
    <w:p w14:paraId="60CAD157">
      <w:pPr>
        <w:pStyle w:val="40"/>
        <w:rPr>
          <w:rFonts w:ascii="宋体" w:hAnsi="宋体" w:cs="宋体"/>
          <w:b/>
          <w:bCs/>
          <w:color w:val="auto"/>
          <w:highlight w:val="none"/>
        </w:rPr>
      </w:pPr>
    </w:p>
    <w:p w14:paraId="489EDDFE">
      <w:pPr>
        <w:pStyle w:val="40"/>
        <w:rPr>
          <w:rFonts w:ascii="宋体" w:hAnsi="宋体" w:cs="宋体"/>
          <w:b/>
          <w:bCs/>
          <w:color w:val="auto"/>
          <w:highlight w:val="none"/>
        </w:rPr>
      </w:pPr>
    </w:p>
    <w:p w14:paraId="1B8292A8">
      <w:pPr>
        <w:pStyle w:val="40"/>
        <w:rPr>
          <w:rFonts w:ascii="宋体" w:hAnsi="宋体" w:cs="宋体"/>
          <w:b/>
          <w:bCs/>
          <w:color w:val="auto"/>
          <w:highlight w:val="none"/>
        </w:rPr>
      </w:pPr>
    </w:p>
    <w:p w14:paraId="4CF2DB45">
      <w:pPr>
        <w:pStyle w:val="40"/>
        <w:rPr>
          <w:rFonts w:ascii="宋体" w:hAnsi="宋体" w:cs="宋体"/>
          <w:b/>
          <w:bCs/>
          <w:color w:val="auto"/>
          <w:highlight w:val="none"/>
        </w:rPr>
      </w:pPr>
    </w:p>
    <w:p w14:paraId="555191D5">
      <w:pPr>
        <w:pStyle w:val="40"/>
        <w:rPr>
          <w:rFonts w:ascii="宋体" w:hAnsi="宋体" w:cs="宋体"/>
          <w:b/>
          <w:bCs/>
          <w:color w:val="auto"/>
          <w:highlight w:val="none"/>
        </w:rPr>
      </w:pPr>
    </w:p>
    <w:p w14:paraId="2D85B048">
      <w:pPr>
        <w:pStyle w:val="39"/>
        <w:ind w:firstLine="0" w:firstLineChars="0"/>
        <w:rPr>
          <w:rFonts w:cs="宋体"/>
          <w:b/>
          <w:color w:val="auto"/>
          <w:kern w:val="2"/>
          <w:sz w:val="28"/>
          <w:szCs w:val="28"/>
          <w:highlight w:val="none"/>
        </w:rPr>
      </w:pPr>
    </w:p>
    <w:p w14:paraId="2FC7F7BE">
      <w:pPr>
        <w:pStyle w:val="39"/>
        <w:ind w:firstLine="0" w:firstLineChars="0"/>
        <w:rPr>
          <w:rFonts w:cs="宋体"/>
          <w:b/>
          <w:color w:val="auto"/>
          <w:kern w:val="2"/>
          <w:sz w:val="28"/>
          <w:szCs w:val="28"/>
          <w:highlight w:val="none"/>
        </w:rPr>
      </w:pPr>
    </w:p>
    <w:p w14:paraId="42401045">
      <w:pPr>
        <w:pStyle w:val="39"/>
        <w:ind w:firstLine="0" w:firstLineChars="0"/>
        <w:rPr>
          <w:rFonts w:cs="宋体"/>
          <w:b/>
          <w:color w:val="auto"/>
          <w:kern w:val="2"/>
          <w:sz w:val="28"/>
          <w:szCs w:val="28"/>
          <w:highlight w:val="none"/>
        </w:rPr>
      </w:pPr>
    </w:p>
    <w:p w14:paraId="6751F07C">
      <w:pPr>
        <w:pStyle w:val="39"/>
        <w:ind w:firstLine="0" w:firstLineChars="0"/>
        <w:rPr>
          <w:rFonts w:cs="宋体"/>
          <w:b/>
          <w:color w:val="auto"/>
          <w:kern w:val="2"/>
          <w:sz w:val="28"/>
          <w:szCs w:val="28"/>
          <w:highlight w:val="none"/>
        </w:rPr>
      </w:pPr>
    </w:p>
    <w:p w14:paraId="3E16E6E5">
      <w:pPr>
        <w:pStyle w:val="39"/>
        <w:ind w:firstLine="0" w:firstLineChars="0"/>
        <w:rPr>
          <w:rFonts w:cs="宋体"/>
          <w:b/>
          <w:color w:val="auto"/>
          <w:kern w:val="2"/>
          <w:sz w:val="28"/>
          <w:szCs w:val="28"/>
          <w:highlight w:val="none"/>
        </w:rPr>
      </w:pPr>
    </w:p>
    <w:p w14:paraId="76368EDB">
      <w:pPr>
        <w:pStyle w:val="39"/>
        <w:ind w:firstLine="0" w:firstLineChars="0"/>
        <w:rPr>
          <w:rFonts w:cs="宋体"/>
          <w:b/>
          <w:color w:val="auto"/>
          <w:kern w:val="2"/>
          <w:sz w:val="28"/>
          <w:szCs w:val="28"/>
          <w:highlight w:val="none"/>
        </w:rPr>
      </w:pPr>
    </w:p>
    <w:p w14:paraId="23E680A8">
      <w:pPr>
        <w:pStyle w:val="39"/>
        <w:ind w:firstLine="0" w:firstLineChars="0"/>
        <w:rPr>
          <w:rFonts w:cs="宋体"/>
          <w:b/>
          <w:color w:val="auto"/>
          <w:kern w:val="2"/>
          <w:sz w:val="28"/>
          <w:szCs w:val="28"/>
          <w:highlight w:val="none"/>
        </w:rPr>
      </w:pPr>
    </w:p>
    <w:p w14:paraId="0DC3E50D">
      <w:pPr>
        <w:pStyle w:val="39"/>
        <w:ind w:firstLine="0" w:firstLineChars="0"/>
        <w:rPr>
          <w:rFonts w:cs="宋体"/>
          <w:b/>
          <w:color w:val="auto"/>
          <w:kern w:val="2"/>
          <w:sz w:val="28"/>
          <w:szCs w:val="28"/>
          <w:highlight w:val="none"/>
        </w:rPr>
      </w:pPr>
    </w:p>
    <w:p w14:paraId="5F74E945">
      <w:pPr>
        <w:pStyle w:val="39"/>
        <w:ind w:firstLine="0" w:firstLineChars="0"/>
        <w:rPr>
          <w:rFonts w:cs="宋体"/>
          <w:b/>
          <w:color w:val="auto"/>
          <w:kern w:val="2"/>
          <w:sz w:val="28"/>
          <w:szCs w:val="28"/>
          <w:highlight w:val="none"/>
        </w:rPr>
      </w:pPr>
    </w:p>
    <w:p w14:paraId="104715B1">
      <w:pPr>
        <w:pStyle w:val="39"/>
        <w:ind w:firstLine="0" w:firstLineChars="0"/>
        <w:rPr>
          <w:rFonts w:cs="宋体"/>
          <w:b/>
          <w:color w:val="auto"/>
          <w:kern w:val="2"/>
          <w:sz w:val="28"/>
          <w:szCs w:val="28"/>
          <w:highlight w:val="none"/>
        </w:rPr>
      </w:pPr>
    </w:p>
    <w:p w14:paraId="5E361311">
      <w:pPr>
        <w:pStyle w:val="39"/>
        <w:ind w:firstLine="0" w:firstLineChars="0"/>
        <w:rPr>
          <w:rFonts w:cs="宋体"/>
          <w:b/>
          <w:color w:val="auto"/>
          <w:kern w:val="2"/>
          <w:sz w:val="28"/>
          <w:szCs w:val="28"/>
          <w:highlight w:val="none"/>
        </w:rPr>
      </w:pPr>
    </w:p>
    <w:p w14:paraId="6DEDAFE2">
      <w:pPr>
        <w:pStyle w:val="39"/>
        <w:ind w:firstLine="0" w:firstLineChars="0"/>
        <w:rPr>
          <w:rFonts w:cs="宋体"/>
          <w:b/>
          <w:color w:val="auto"/>
          <w:kern w:val="2"/>
          <w:sz w:val="28"/>
          <w:szCs w:val="28"/>
          <w:highlight w:val="none"/>
        </w:rPr>
      </w:pPr>
    </w:p>
    <w:p w14:paraId="063898AC">
      <w:pPr>
        <w:pStyle w:val="15"/>
        <w:spacing w:line="340" w:lineRule="exact"/>
        <w:outlineLvl w:val="3"/>
        <w:rPr>
          <w:rFonts w:hAnsi="宋体" w:cs="宋体"/>
          <w:b/>
          <w:color w:val="auto"/>
          <w:sz w:val="28"/>
          <w:szCs w:val="28"/>
          <w:highlight w:val="none"/>
        </w:rPr>
      </w:pPr>
      <w:r>
        <w:rPr>
          <w:rFonts w:hint="eastAsia" w:hAnsi="宋体" w:cs="宋体"/>
          <w:b/>
          <w:color w:val="auto"/>
          <w:sz w:val="28"/>
          <w:szCs w:val="28"/>
          <w:highlight w:val="none"/>
        </w:rPr>
        <w:t>1.项目实施方案（如有，请提供）</w:t>
      </w:r>
    </w:p>
    <w:p w14:paraId="64FCF212">
      <w:pPr>
        <w:rPr>
          <w:rFonts w:ascii="宋体" w:hAnsi="宋体" w:cs="宋体"/>
          <w:color w:val="auto"/>
          <w:highlight w:val="none"/>
        </w:rPr>
      </w:pPr>
    </w:p>
    <w:p w14:paraId="637F3890">
      <w:pPr>
        <w:pStyle w:val="10"/>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供应商须结合本次采购需求及评审办法，自主编制完整项目实施方案，具体编制内容要求如下：</w:t>
      </w:r>
    </w:p>
    <w:p w14:paraId="3E567E36">
      <w:pPr>
        <w:pStyle w:val="10"/>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包含但不限于：特种救护实施方案、宣传视频制作方案、标本养护实施方案、质量保障措施、进度与安全保障方案、售后服务承诺方案。</w:t>
      </w:r>
    </w:p>
    <w:p w14:paraId="28964F63">
      <w:pPr>
        <w:pStyle w:val="10"/>
        <w:rPr>
          <w:rFonts w:hint="eastAsia" w:ascii="宋体" w:hAnsi="宋体" w:cs="宋体"/>
          <w:b w:val="0"/>
          <w:bCs w:val="0"/>
          <w:color w:val="auto"/>
          <w:sz w:val="24"/>
          <w:highlight w:val="none"/>
          <w:lang w:val="en-US" w:eastAsia="zh-CN"/>
        </w:rPr>
      </w:pPr>
    </w:p>
    <w:p w14:paraId="525B0765">
      <w:pPr>
        <w:pStyle w:val="10"/>
        <w:rPr>
          <w:rFonts w:hint="default" w:ascii="宋体" w:hAnsi="宋体" w:cs="宋体"/>
          <w:b/>
          <w:bCs/>
          <w:color w:val="auto"/>
          <w:sz w:val="24"/>
          <w:highlight w:val="none"/>
          <w:lang w:val="en-US" w:eastAsia="zh-CN"/>
        </w:rPr>
        <w:sectPr>
          <w:pgSz w:w="11906" w:h="16838"/>
          <w:pgMar w:top="1440" w:right="935" w:bottom="1440" w:left="777" w:header="851" w:footer="992" w:gutter="0"/>
          <w:pgNumType w:fmt="decimal"/>
          <w:cols w:space="720" w:num="1"/>
          <w:docGrid w:type="lines" w:linePitch="312" w:charSpace="0"/>
        </w:sectPr>
      </w:pPr>
    </w:p>
    <w:p w14:paraId="533BC240">
      <w:pPr>
        <w:pStyle w:val="15"/>
        <w:spacing w:line="340" w:lineRule="exact"/>
        <w:outlineLvl w:val="3"/>
        <w:rPr>
          <w:rFonts w:hAnsi="宋体" w:cs="宋体"/>
          <w:b/>
          <w:color w:val="auto"/>
          <w:sz w:val="28"/>
          <w:szCs w:val="28"/>
          <w:highlight w:val="none"/>
        </w:rPr>
      </w:pPr>
      <w:r>
        <w:rPr>
          <w:rFonts w:hint="eastAsia" w:hAnsi="宋体" w:cs="宋体"/>
          <w:b/>
          <w:color w:val="auto"/>
          <w:sz w:val="28"/>
          <w:szCs w:val="28"/>
          <w:highlight w:val="none"/>
          <w:lang w:val="en-US" w:eastAsia="zh-CN"/>
        </w:rPr>
        <w:t>2</w:t>
      </w:r>
      <w:r>
        <w:rPr>
          <w:rFonts w:hint="eastAsia" w:hAnsi="宋体" w:cs="宋体"/>
          <w:b/>
          <w:color w:val="auto"/>
          <w:sz w:val="28"/>
          <w:szCs w:val="28"/>
          <w:highlight w:val="none"/>
        </w:rPr>
        <w:t>.项目实施人员一览表 （如有，请提供）</w:t>
      </w:r>
    </w:p>
    <w:p w14:paraId="73A9DBF2">
      <w:pPr>
        <w:rPr>
          <w:rFonts w:ascii="宋体" w:hAnsi="宋体" w:cs="宋体"/>
          <w:color w:val="auto"/>
          <w:highlight w:val="none"/>
        </w:rPr>
      </w:pPr>
    </w:p>
    <w:p w14:paraId="28370247">
      <w:pPr>
        <w:pStyle w:val="15"/>
        <w:rPr>
          <w:rFonts w:hAnsi="宋体" w:cs="宋体"/>
          <w:b/>
          <w:bCs/>
          <w:color w:val="auto"/>
          <w:sz w:val="32"/>
          <w:szCs w:val="32"/>
          <w:highlight w:val="none"/>
        </w:rPr>
      </w:pPr>
      <w:r>
        <w:rPr>
          <w:rFonts w:hint="eastAsia" w:hAnsi="宋体" w:cs="宋体"/>
          <w:b/>
          <w:bCs/>
          <w:color w:val="auto"/>
          <w:sz w:val="32"/>
          <w:szCs w:val="32"/>
          <w:highlight w:val="none"/>
        </w:rPr>
        <w:t>附件：</w:t>
      </w:r>
    </w:p>
    <w:p w14:paraId="5FC04268">
      <w:pPr>
        <w:pStyle w:val="15"/>
        <w:ind w:firstLine="472" w:firstLineChars="147"/>
        <w:jc w:val="center"/>
        <w:rPr>
          <w:rFonts w:hAnsi="宋体" w:cs="宋体"/>
          <w:b/>
          <w:bCs/>
          <w:color w:val="auto"/>
          <w:sz w:val="32"/>
          <w:szCs w:val="32"/>
          <w:highlight w:val="none"/>
        </w:rPr>
      </w:pPr>
      <w:r>
        <w:rPr>
          <w:rFonts w:hint="eastAsia" w:hAnsi="宋体" w:cs="宋体"/>
          <w:b/>
          <w:bCs/>
          <w:color w:val="auto"/>
          <w:sz w:val="32"/>
          <w:szCs w:val="32"/>
          <w:highlight w:val="none"/>
        </w:rPr>
        <w:t>项目实施人员一览表（格式）</w:t>
      </w:r>
    </w:p>
    <w:tbl>
      <w:tblPr>
        <w:tblStyle w:val="24"/>
        <w:tblW w:w="100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1"/>
        <w:gridCol w:w="1050"/>
        <w:gridCol w:w="1665"/>
        <w:gridCol w:w="1200"/>
        <w:gridCol w:w="2550"/>
        <w:gridCol w:w="2610"/>
      </w:tblGrid>
      <w:tr w14:paraId="5BF6B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1" w:type="dxa"/>
            <w:vAlign w:val="center"/>
          </w:tcPr>
          <w:p w14:paraId="6631167D">
            <w:pPr>
              <w:keepNext w:val="0"/>
              <w:keepLines w:val="0"/>
              <w:suppressLineNumbers w:val="0"/>
              <w:spacing w:before="0" w:beforeAutospacing="0" w:after="0" w:afterAutospacing="0" w:line="40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姓 名</w:t>
            </w:r>
          </w:p>
        </w:tc>
        <w:tc>
          <w:tcPr>
            <w:tcW w:w="1050" w:type="dxa"/>
            <w:vAlign w:val="center"/>
          </w:tcPr>
          <w:p w14:paraId="0C0E4CF8">
            <w:pPr>
              <w:keepNext w:val="0"/>
              <w:keepLines w:val="0"/>
              <w:suppressLineNumbers w:val="0"/>
              <w:spacing w:before="0" w:beforeAutospacing="0" w:after="0" w:afterAutospacing="0" w:line="40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职务</w:t>
            </w:r>
          </w:p>
        </w:tc>
        <w:tc>
          <w:tcPr>
            <w:tcW w:w="1665" w:type="dxa"/>
            <w:vAlign w:val="center"/>
          </w:tcPr>
          <w:p w14:paraId="0315D4E6">
            <w:pPr>
              <w:keepNext w:val="0"/>
              <w:keepLines w:val="0"/>
              <w:suppressLineNumbers w:val="0"/>
              <w:spacing w:before="0" w:beforeAutospacing="0" w:after="0" w:afterAutospacing="0" w:line="40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专业技术资格</w:t>
            </w:r>
          </w:p>
        </w:tc>
        <w:tc>
          <w:tcPr>
            <w:tcW w:w="1200" w:type="dxa"/>
            <w:vAlign w:val="center"/>
          </w:tcPr>
          <w:p w14:paraId="08A0C938">
            <w:pPr>
              <w:keepNext w:val="0"/>
              <w:keepLines w:val="0"/>
              <w:suppressLineNumbers w:val="0"/>
              <w:spacing w:before="0" w:beforeAutospacing="0" w:after="0" w:afterAutospacing="0" w:line="40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证书编号</w:t>
            </w:r>
          </w:p>
        </w:tc>
        <w:tc>
          <w:tcPr>
            <w:tcW w:w="2550" w:type="dxa"/>
            <w:vAlign w:val="center"/>
          </w:tcPr>
          <w:p w14:paraId="76B3D365">
            <w:pPr>
              <w:keepNext w:val="0"/>
              <w:keepLines w:val="0"/>
              <w:suppressLineNumbers w:val="0"/>
              <w:spacing w:before="0" w:beforeAutospacing="0" w:after="0" w:afterAutospacing="0" w:line="40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 xml:space="preserve">  参加本单位工作时间</w:t>
            </w:r>
          </w:p>
        </w:tc>
        <w:tc>
          <w:tcPr>
            <w:tcW w:w="2610" w:type="dxa"/>
            <w:vAlign w:val="center"/>
          </w:tcPr>
          <w:p w14:paraId="70586DBC">
            <w:pPr>
              <w:keepNext w:val="0"/>
              <w:keepLines w:val="0"/>
              <w:suppressLineNumbers w:val="0"/>
              <w:spacing w:before="0" w:beforeAutospacing="0" w:after="0" w:afterAutospacing="0" w:line="40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劳动合同编号</w:t>
            </w:r>
          </w:p>
        </w:tc>
      </w:tr>
      <w:tr w14:paraId="1A480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1" w:type="dxa"/>
          </w:tcPr>
          <w:p w14:paraId="18199587">
            <w:pPr>
              <w:keepNext w:val="0"/>
              <w:keepLines w:val="0"/>
              <w:suppressLineNumbers w:val="0"/>
              <w:spacing w:before="0" w:beforeAutospacing="0" w:after="0" w:afterAutospacing="0" w:line="400" w:lineRule="exact"/>
              <w:ind w:left="0" w:right="0"/>
              <w:rPr>
                <w:rFonts w:hint="eastAsia" w:ascii="宋体" w:hAnsi="宋体" w:cs="宋体"/>
                <w:color w:val="auto"/>
                <w:szCs w:val="21"/>
                <w:highlight w:val="none"/>
              </w:rPr>
            </w:pPr>
          </w:p>
        </w:tc>
        <w:tc>
          <w:tcPr>
            <w:tcW w:w="1050" w:type="dxa"/>
          </w:tcPr>
          <w:p w14:paraId="2D653847">
            <w:pPr>
              <w:keepNext w:val="0"/>
              <w:keepLines w:val="0"/>
              <w:suppressLineNumbers w:val="0"/>
              <w:spacing w:before="0" w:beforeAutospacing="0" w:after="0" w:afterAutospacing="0" w:line="400" w:lineRule="exact"/>
              <w:ind w:left="0" w:right="0"/>
              <w:rPr>
                <w:rFonts w:hint="eastAsia" w:ascii="宋体" w:hAnsi="宋体" w:cs="宋体"/>
                <w:color w:val="auto"/>
                <w:szCs w:val="21"/>
                <w:highlight w:val="none"/>
              </w:rPr>
            </w:pPr>
          </w:p>
        </w:tc>
        <w:tc>
          <w:tcPr>
            <w:tcW w:w="1665" w:type="dxa"/>
          </w:tcPr>
          <w:p w14:paraId="17DB787D">
            <w:pPr>
              <w:keepNext w:val="0"/>
              <w:keepLines w:val="0"/>
              <w:suppressLineNumbers w:val="0"/>
              <w:spacing w:before="0" w:beforeAutospacing="0" w:after="0" w:afterAutospacing="0" w:line="400" w:lineRule="exact"/>
              <w:ind w:left="0" w:right="0"/>
              <w:rPr>
                <w:rFonts w:hint="eastAsia" w:ascii="宋体" w:hAnsi="宋体" w:cs="宋体"/>
                <w:color w:val="auto"/>
                <w:szCs w:val="21"/>
                <w:highlight w:val="none"/>
              </w:rPr>
            </w:pPr>
          </w:p>
        </w:tc>
        <w:tc>
          <w:tcPr>
            <w:tcW w:w="1200" w:type="dxa"/>
          </w:tcPr>
          <w:p w14:paraId="2B9C6A5E">
            <w:pPr>
              <w:keepNext w:val="0"/>
              <w:keepLines w:val="0"/>
              <w:suppressLineNumbers w:val="0"/>
              <w:spacing w:before="0" w:beforeAutospacing="0" w:after="0" w:afterAutospacing="0" w:line="400" w:lineRule="exact"/>
              <w:ind w:left="0" w:right="0"/>
              <w:rPr>
                <w:rFonts w:hint="eastAsia" w:ascii="宋体" w:hAnsi="宋体" w:cs="宋体"/>
                <w:color w:val="auto"/>
                <w:szCs w:val="21"/>
                <w:highlight w:val="none"/>
              </w:rPr>
            </w:pPr>
          </w:p>
        </w:tc>
        <w:tc>
          <w:tcPr>
            <w:tcW w:w="2550" w:type="dxa"/>
          </w:tcPr>
          <w:p w14:paraId="6589AE03">
            <w:pPr>
              <w:keepNext w:val="0"/>
              <w:keepLines w:val="0"/>
              <w:suppressLineNumbers w:val="0"/>
              <w:spacing w:before="0" w:beforeAutospacing="0" w:after="0" w:afterAutospacing="0" w:line="400" w:lineRule="exact"/>
              <w:ind w:left="0" w:right="0"/>
              <w:rPr>
                <w:rFonts w:hint="eastAsia" w:ascii="宋体" w:hAnsi="宋体" w:cs="宋体"/>
                <w:color w:val="auto"/>
                <w:szCs w:val="21"/>
                <w:highlight w:val="none"/>
              </w:rPr>
            </w:pPr>
          </w:p>
        </w:tc>
        <w:tc>
          <w:tcPr>
            <w:tcW w:w="2610" w:type="dxa"/>
          </w:tcPr>
          <w:p w14:paraId="0C264355">
            <w:pPr>
              <w:keepNext w:val="0"/>
              <w:keepLines w:val="0"/>
              <w:suppressLineNumbers w:val="0"/>
              <w:spacing w:before="0" w:beforeAutospacing="0" w:after="0" w:afterAutospacing="0" w:line="400" w:lineRule="exact"/>
              <w:ind w:left="0" w:right="0"/>
              <w:rPr>
                <w:rFonts w:hint="eastAsia" w:ascii="宋体" w:hAnsi="宋体" w:cs="宋体"/>
                <w:color w:val="auto"/>
                <w:szCs w:val="21"/>
                <w:highlight w:val="none"/>
              </w:rPr>
            </w:pPr>
          </w:p>
        </w:tc>
      </w:tr>
      <w:tr w14:paraId="1CFAA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1" w:type="dxa"/>
          </w:tcPr>
          <w:p w14:paraId="3400CF07">
            <w:pPr>
              <w:keepNext w:val="0"/>
              <w:keepLines w:val="0"/>
              <w:suppressLineNumbers w:val="0"/>
              <w:spacing w:before="0" w:beforeAutospacing="0" w:after="0" w:afterAutospacing="0" w:line="400" w:lineRule="exact"/>
              <w:ind w:left="0" w:right="0"/>
              <w:rPr>
                <w:rFonts w:hint="eastAsia" w:ascii="宋体" w:hAnsi="宋体" w:cs="宋体"/>
                <w:color w:val="auto"/>
                <w:szCs w:val="21"/>
                <w:highlight w:val="none"/>
              </w:rPr>
            </w:pPr>
          </w:p>
        </w:tc>
        <w:tc>
          <w:tcPr>
            <w:tcW w:w="1050" w:type="dxa"/>
          </w:tcPr>
          <w:p w14:paraId="2EA82579">
            <w:pPr>
              <w:keepNext w:val="0"/>
              <w:keepLines w:val="0"/>
              <w:suppressLineNumbers w:val="0"/>
              <w:spacing w:before="0" w:beforeAutospacing="0" w:after="0" w:afterAutospacing="0" w:line="400" w:lineRule="exact"/>
              <w:ind w:left="0" w:right="0"/>
              <w:rPr>
                <w:rFonts w:hint="eastAsia" w:ascii="宋体" w:hAnsi="宋体" w:cs="宋体"/>
                <w:color w:val="auto"/>
                <w:szCs w:val="21"/>
                <w:highlight w:val="none"/>
              </w:rPr>
            </w:pPr>
          </w:p>
        </w:tc>
        <w:tc>
          <w:tcPr>
            <w:tcW w:w="1665" w:type="dxa"/>
          </w:tcPr>
          <w:p w14:paraId="36AF1E32">
            <w:pPr>
              <w:keepNext w:val="0"/>
              <w:keepLines w:val="0"/>
              <w:suppressLineNumbers w:val="0"/>
              <w:spacing w:before="0" w:beforeAutospacing="0" w:after="0" w:afterAutospacing="0" w:line="400" w:lineRule="exact"/>
              <w:ind w:left="0" w:right="0"/>
              <w:rPr>
                <w:rFonts w:hint="eastAsia" w:ascii="宋体" w:hAnsi="宋体" w:cs="宋体"/>
                <w:color w:val="auto"/>
                <w:szCs w:val="21"/>
                <w:highlight w:val="none"/>
              </w:rPr>
            </w:pPr>
          </w:p>
        </w:tc>
        <w:tc>
          <w:tcPr>
            <w:tcW w:w="1200" w:type="dxa"/>
          </w:tcPr>
          <w:p w14:paraId="3BF7C1D2">
            <w:pPr>
              <w:keepNext w:val="0"/>
              <w:keepLines w:val="0"/>
              <w:suppressLineNumbers w:val="0"/>
              <w:spacing w:before="0" w:beforeAutospacing="0" w:after="0" w:afterAutospacing="0" w:line="400" w:lineRule="exact"/>
              <w:ind w:left="0" w:right="0"/>
              <w:rPr>
                <w:rFonts w:hint="eastAsia" w:ascii="宋体" w:hAnsi="宋体" w:cs="宋体"/>
                <w:color w:val="auto"/>
                <w:szCs w:val="21"/>
                <w:highlight w:val="none"/>
              </w:rPr>
            </w:pPr>
          </w:p>
        </w:tc>
        <w:tc>
          <w:tcPr>
            <w:tcW w:w="2550" w:type="dxa"/>
          </w:tcPr>
          <w:p w14:paraId="054F054A">
            <w:pPr>
              <w:keepNext w:val="0"/>
              <w:keepLines w:val="0"/>
              <w:suppressLineNumbers w:val="0"/>
              <w:spacing w:before="0" w:beforeAutospacing="0" w:after="0" w:afterAutospacing="0" w:line="400" w:lineRule="exact"/>
              <w:ind w:left="0" w:right="0"/>
              <w:rPr>
                <w:rFonts w:hint="eastAsia" w:ascii="宋体" w:hAnsi="宋体" w:cs="宋体"/>
                <w:color w:val="auto"/>
                <w:szCs w:val="21"/>
                <w:highlight w:val="none"/>
              </w:rPr>
            </w:pPr>
          </w:p>
        </w:tc>
        <w:tc>
          <w:tcPr>
            <w:tcW w:w="2610" w:type="dxa"/>
          </w:tcPr>
          <w:p w14:paraId="75524DF3">
            <w:pPr>
              <w:keepNext w:val="0"/>
              <w:keepLines w:val="0"/>
              <w:suppressLineNumbers w:val="0"/>
              <w:spacing w:before="0" w:beforeAutospacing="0" w:after="0" w:afterAutospacing="0" w:line="400" w:lineRule="exact"/>
              <w:ind w:left="0" w:right="0"/>
              <w:rPr>
                <w:rFonts w:hint="eastAsia" w:ascii="宋体" w:hAnsi="宋体" w:cs="宋体"/>
                <w:color w:val="auto"/>
                <w:szCs w:val="21"/>
                <w:highlight w:val="none"/>
              </w:rPr>
            </w:pPr>
          </w:p>
        </w:tc>
      </w:tr>
    </w:tbl>
    <w:p w14:paraId="2CCE2B9C">
      <w:pPr>
        <w:spacing w:line="400" w:lineRule="exact"/>
        <w:rPr>
          <w:rFonts w:ascii="宋体" w:hAnsi="宋体" w:cs="宋体"/>
          <w:color w:val="auto"/>
          <w:szCs w:val="21"/>
          <w:highlight w:val="none"/>
        </w:rPr>
      </w:pPr>
    </w:p>
    <w:p w14:paraId="4A40CBC3">
      <w:pPr>
        <w:snapToGrid w:val="0"/>
        <w:spacing w:line="400" w:lineRule="exact"/>
        <w:ind w:firstLine="1890" w:firstLineChars="900"/>
        <w:rPr>
          <w:rFonts w:ascii="宋体" w:hAnsi="宋体" w:cs="宋体"/>
          <w:color w:val="auto"/>
          <w:szCs w:val="21"/>
          <w:highlight w:val="none"/>
          <w:u w:val="single"/>
        </w:rPr>
      </w:pPr>
      <w:r>
        <w:rPr>
          <w:rFonts w:hint="eastAsia" w:ascii="宋体" w:hAnsi="宋体" w:cs="宋体"/>
          <w:color w:val="auto"/>
          <w:szCs w:val="21"/>
          <w:highlight w:val="none"/>
        </w:rPr>
        <w:t>磋商供应商[(CA证书签章)，自然人签字或个人CA证书签章]：</w:t>
      </w:r>
      <w:r>
        <w:rPr>
          <w:rFonts w:hint="eastAsia" w:ascii="宋体" w:hAnsi="宋体" w:cs="宋体"/>
          <w:color w:val="auto"/>
          <w:szCs w:val="21"/>
          <w:highlight w:val="none"/>
          <w:u w:val="single"/>
        </w:rPr>
        <w:t xml:space="preserve">                                     </w:t>
      </w:r>
    </w:p>
    <w:p w14:paraId="29B8FAC5">
      <w:pPr>
        <w:rPr>
          <w:color w:val="auto"/>
          <w:highlight w:val="none"/>
        </w:rPr>
      </w:pPr>
    </w:p>
    <w:p w14:paraId="6C5DBDD9">
      <w:pPr>
        <w:snapToGrid w:val="0"/>
        <w:spacing w:line="400" w:lineRule="exact"/>
        <w:ind w:firstLine="1680" w:firstLineChars="800"/>
        <w:rPr>
          <w:rFonts w:ascii="宋体" w:hAnsi="宋体" w:cs="宋体"/>
          <w:color w:val="auto"/>
          <w:highlight w:val="none"/>
        </w:rPr>
      </w:pPr>
      <w:r>
        <w:rPr>
          <w:rFonts w:hint="eastAsia" w:ascii="宋体" w:hAnsi="宋体" w:cs="宋体"/>
          <w:color w:val="auto"/>
          <w:highlight w:val="none"/>
        </w:rPr>
        <w:t xml:space="preserve"> 日          期：</w:t>
      </w:r>
      <w:r>
        <w:rPr>
          <w:rFonts w:hint="eastAsia" w:ascii="宋体" w:hAnsi="宋体" w:cs="宋体"/>
          <w:color w:val="auto"/>
          <w:highlight w:val="none"/>
          <w:u w:val="single"/>
        </w:rPr>
        <w:t xml:space="preserve">                                                   </w:t>
      </w:r>
    </w:p>
    <w:p w14:paraId="1BEA4923">
      <w:pPr>
        <w:pStyle w:val="10"/>
        <w:rPr>
          <w:rFonts w:ascii="宋体" w:hAnsi="宋体" w:cs="宋体"/>
          <w:color w:val="auto"/>
          <w:highlight w:val="none"/>
        </w:rPr>
      </w:pPr>
    </w:p>
    <w:p w14:paraId="15CD7E93">
      <w:pPr>
        <w:spacing w:line="360" w:lineRule="auto"/>
        <w:rPr>
          <w:rFonts w:ascii="宋体" w:hAnsi="宋体" w:cs="宋体"/>
          <w:b/>
          <w:bCs/>
          <w:color w:val="auto"/>
          <w:sz w:val="24"/>
          <w:highlight w:val="none"/>
        </w:rPr>
        <w:sectPr>
          <w:pgSz w:w="11906" w:h="16838"/>
          <w:pgMar w:top="1440" w:right="935" w:bottom="1440" w:left="777" w:header="851" w:footer="992" w:gutter="0"/>
          <w:pgNumType w:fmt="decimal"/>
          <w:cols w:space="720" w:num="1"/>
          <w:docGrid w:type="lines" w:linePitch="312" w:charSpace="0"/>
        </w:sectPr>
      </w:pPr>
      <w:r>
        <w:rPr>
          <w:rFonts w:hint="eastAsia" w:ascii="宋体" w:hAnsi="宋体" w:cs="宋体"/>
          <w:b/>
          <w:bCs/>
          <w:color w:val="auto"/>
          <w:sz w:val="24"/>
          <w:highlight w:val="none"/>
        </w:rPr>
        <w:t>注：供应商根据自身情况结合本项目自行制定</w:t>
      </w:r>
    </w:p>
    <w:p w14:paraId="0CC63B1E">
      <w:pPr>
        <w:pStyle w:val="15"/>
        <w:spacing w:line="340" w:lineRule="exact"/>
        <w:outlineLvl w:val="3"/>
        <w:rPr>
          <w:rFonts w:hAnsi="宋体" w:cs="宋体"/>
          <w:b/>
          <w:color w:val="auto"/>
          <w:sz w:val="28"/>
          <w:szCs w:val="28"/>
          <w:highlight w:val="none"/>
        </w:rPr>
      </w:pPr>
      <w:r>
        <w:rPr>
          <w:rFonts w:hint="eastAsia" w:hAnsi="宋体" w:cs="宋体"/>
          <w:b/>
          <w:color w:val="auto"/>
          <w:sz w:val="28"/>
          <w:szCs w:val="28"/>
          <w:highlight w:val="none"/>
          <w:lang w:val="en-US" w:eastAsia="zh-CN"/>
        </w:rPr>
        <w:t>3</w:t>
      </w:r>
      <w:r>
        <w:rPr>
          <w:rFonts w:hint="eastAsia" w:hAnsi="宋体" w:cs="宋体"/>
          <w:b/>
          <w:color w:val="auto"/>
          <w:sz w:val="28"/>
          <w:szCs w:val="28"/>
          <w:highlight w:val="none"/>
        </w:rPr>
        <w:t>.“采购需求”需提供的有效证明文件（如有，请提供）；</w:t>
      </w:r>
    </w:p>
    <w:p w14:paraId="1761FB68">
      <w:pPr>
        <w:pStyle w:val="10"/>
        <w:rPr>
          <w:rFonts w:ascii="宋体" w:hAnsi="宋体" w:cs="宋体"/>
          <w:b/>
          <w:color w:val="auto"/>
          <w:highlight w:val="none"/>
        </w:rPr>
      </w:pPr>
    </w:p>
    <w:p w14:paraId="7C7D9A93">
      <w:pPr>
        <w:pStyle w:val="23"/>
        <w:ind w:firstLine="422"/>
        <w:rPr>
          <w:rFonts w:ascii="宋体" w:hAnsi="宋体" w:cs="宋体"/>
          <w:b/>
          <w:color w:val="auto"/>
          <w:highlight w:val="none"/>
        </w:rPr>
      </w:pPr>
    </w:p>
    <w:p w14:paraId="1B0AF38F">
      <w:pPr>
        <w:pStyle w:val="23"/>
        <w:ind w:firstLine="422"/>
        <w:rPr>
          <w:rFonts w:ascii="宋体" w:hAnsi="宋体" w:cs="宋体"/>
          <w:b/>
          <w:color w:val="auto"/>
          <w:highlight w:val="none"/>
        </w:rPr>
      </w:pPr>
    </w:p>
    <w:p w14:paraId="7F59EDDB">
      <w:pPr>
        <w:pStyle w:val="15"/>
        <w:spacing w:line="340" w:lineRule="exact"/>
        <w:rPr>
          <w:rFonts w:hAnsi="宋体" w:cs="宋体"/>
          <w:b/>
          <w:color w:val="auto"/>
          <w:sz w:val="28"/>
          <w:szCs w:val="28"/>
          <w:highlight w:val="none"/>
        </w:rPr>
      </w:pPr>
      <w:bookmarkStart w:id="231" w:name="_Toc3052"/>
      <w:bookmarkStart w:id="232" w:name="_Toc497927090"/>
      <w:bookmarkStart w:id="233" w:name="_Toc10161"/>
    </w:p>
    <w:p w14:paraId="72D17E9A">
      <w:pPr>
        <w:pStyle w:val="15"/>
        <w:spacing w:line="340" w:lineRule="exact"/>
        <w:outlineLvl w:val="3"/>
        <w:rPr>
          <w:rFonts w:hAnsi="宋体" w:cs="宋体"/>
          <w:b/>
          <w:color w:val="auto"/>
          <w:sz w:val="28"/>
          <w:szCs w:val="28"/>
          <w:highlight w:val="none"/>
        </w:rPr>
      </w:pPr>
      <w:r>
        <w:rPr>
          <w:rFonts w:hint="eastAsia" w:hAnsi="宋体" w:cs="宋体"/>
          <w:b/>
          <w:color w:val="auto"/>
          <w:sz w:val="28"/>
          <w:szCs w:val="28"/>
          <w:highlight w:val="none"/>
          <w:lang w:val="en-US" w:eastAsia="zh-CN"/>
        </w:rPr>
        <w:t>4</w:t>
      </w:r>
      <w:r>
        <w:rPr>
          <w:rFonts w:hint="eastAsia" w:hAnsi="宋体" w:cs="宋体"/>
          <w:b/>
          <w:color w:val="auto"/>
          <w:sz w:val="28"/>
          <w:szCs w:val="28"/>
          <w:highlight w:val="none"/>
        </w:rPr>
        <w:t>.供应商</w:t>
      </w:r>
      <w:r>
        <w:rPr>
          <w:rFonts w:hint="eastAsia" w:hAnsi="宋体" w:cs="宋体"/>
          <w:b/>
          <w:color w:val="auto"/>
          <w:sz w:val="28"/>
          <w:szCs w:val="28"/>
          <w:highlight w:val="none"/>
          <w:lang w:eastAsia="zh-CN"/>
        </w:rPr>
        <w:t>2020</w:t>
      </w:r>
      <w:r>
        <w:rPr>
          <w:rFonts w:hint="eastAsia" w:hAnsi="宋体" w:cs="宋体"/>
          <w:b/>
          <w:color w:val="auto"/>
          <w:sz w:val="28"/>
          <w:szCs w:val="28"/>
          <w:highlight w:val="none"/>
        </w:rPr>
        <w:t>年1月1日以来具有同类项目业绩相关证明材料（</w:t>
      </w:r>
      <w:r>
        <w:rPr>
          <w:rFonts w:hint="eastAsia" w:hAnsi="宋体" w:cs="宋体"/>
          <w:b/>
          <w:color w:val="auto"/>
          <w:sz w:val="28"/>
          <w:szCs w:val="28"/>
          <w:highlight w:val="none"/>
          <w:lang w:eastAsia="zh-CN"/>
        </w:rPr>
        <w:t>需提供项目业绩合同或中标（成交）通知书复印件并加盖供应商公章，否则不予计分</w:t>
      </w:r>
      <w:r>
        <w:rPr>
          <w:rFonts w:hint="eastAsia" w:hAnsi="宋体" w:cs="宋体"/>
          <w:b/>
          <w:color w:val="auto"/>
          <w:sz w:val="28"/>
          <w:szCs w:val="28"/>
          <w:highlight w:val="none"/>
        </w:rPr>
        <w:t>）（如有，请提供）；</w:t>
      </w:r>
      <w:bookmarkEnd w:id="231"/>
      <w:bookmarkEnd w:id="232"/>
      <w:bookmarkEnd w:id="233"/>
    </w:p>
    <w:p w14:paraId="75C75681">
      <w:pPr>
        <w:pStyle w:val="15"/>
        <w:spacing w:line="340" w:lineRule="exact"/>
        <w:rPr>
          <w:rFonts w:hAnsi="宋体" w:cs="宋体"/>
          <w:b/>
          <w:color w:val="auto"/>
          <w:sz w:val="28"/>
          <w:szCs w:val="28"/>
          <w:highlight w:val="none"/>
        </w:rPr>
      </w:pPr>
    </w:p>
    <w:p w14:paraId="6CA4F9AF">
      <w:pPr>
        <w:pStyle w:val="15"/>
        <w:spacing w:line="340" w:lineRule="exact"/>
        <w:rPr>
          <w:rFonts w:hAnsi="宋体" w:cs="宋体"/>
          <w:b/>
          <w:color w:val="auto"/>
          <w:sz w:val="28"/>
          <w:szCs w:val="28"/>
          <w:highlight w:val="none"/>
        </w:rPr>
      </w:pPr>
    </w:p>
    <w:p w14:paraId="3D8FCBBE">
      <w:pPr>
        <w:rPr>
          <w:color w:val="auto"/>
          <w:highlight w:val="none"/>
        </w:rPr>
      </w:pPr>
    </w:p>
    <w:p w14:paraId="4DE76D12">
      <w:pPr>
        <w:pStyle w:val="15"/>
        <w:spacing w:line="340" w:lineRule="exact"/>
        <w:outlineLvl w:val="3"/>
        <w:rPr>
          <w:rFonts w:hAnsi="宋体" w:cs="宋体"/>
          <w:color w:val="auto"/>
          <w:highlight w:val="none"/>
        </w:rPr>
      </w:pPr>
      <w:r>
        <w:rPr>
          <w:rFonts w:hint="eastAsia" w:hAnsi="宋体" w:cs="宋体"/>
          <w:b/>
          <w:color w:val="auto"/>
          <w:sz w:val="28"/>
          <w:szCs w:val="28"/>
          <w:highlight w:val="none"/>
          <w:lang w:val="en-US" w:eastAsia="zh-CN"/>
        </w:rPr>
        <w:t>5</w:t>
      </w:r>
      <w:r>
        <w:rPr>
          <w:rFonts w:hint="eastAsia" w:hAnsi="宋体" w:cs="宋体"/>
          <w:b/>
          <w:color w:val="auto"/>
          <w:sz w:val="28"/>
          <w:szCs w:val="28"/>
          <w:highlight w:val="none"/>
        </w:rPr>
        <w:t>.中小企业声明函或监狱企业、残疾人福利性单位证明文件</w:t>
      </w:r>
      <w:r>
        <w:rPr>
          <w:rFonts w:hint="eastAsia" w:hAnsi="宋体" w:cs="宋体"/>
          <w:b/>
          <w:color w:val="auto"/>
          <w:sz w:val="28"/>
          <w:szCs w:val="28"/>
          <w:highlight w:val="none"/>
          <w:lang w:eastAsia="zh-CN"/>
        </w:rPr>
        <w:t>（如有，请提供）</w:t>
      </w:r>
      <w:r>
        <w:rPr>
          <w:rFonts w:hint="eastAsia" w:hAnsi="宋体" w:cs="宋体"/>
          <w:b/>
          <w:color w:val="auto"/>
          <w:sz w:val="28"/>
          <w:szCs w:val="28"/>
          <w:highlight w:val="none"/>
        </w:rPr>
        <w:t>。</w:t>
      </w:r>
    </w:p>
    <w:p w14:paraId="152AE115">
      <w:pPr>
        <w:spacing w:line="500" w:lineRule="exact"/>
        <w:rPr>
          <w:rFonts w:ascii="宋体" w:hAnsi="宋体" w:cs="宋体"/>
          <w:b/>
          <w:color w:val="auto"/>
          <w:sz w:val="28"/>
          <w:szCs w:val="28"/>
          <w:highlight w:val="none"/>
        </w:rPr>
      </w:pPr>
      <w:r>
        <w:rPr>
          <w:rFonts w:hint="eastAsia" w:ascii="宋体" w:hAnsi="宋体" w:cs="宋体"/>
          <w:b/>
          <w:color w:val="auto"/>
          <w:sz w:val="28"/>
          <w:szCs w:val="28"/>
          <w:highlight w:val="none"/>
          <w:lang w:val="en-US" w:eastAsia="zh-CN"/>
        </w:rPr>
        <w:t>5</w:t>
      </w:r>
      <w:r>
        <w:rPr>
          <w:rFonts w:hint="eastAsia" w:ascii="宋体" w:hAnsi="宋体" w:cs="宋体"/>
          <w:b/>
          <w:color w:val="auto"/>
          <w:sz w:val="28"/>
          <w:szCs w:val="28"/>
          <w:highlight w:val="none"/>
        </w:rPr>
        <w:t>.1供应商的《中小企业声明函》（如有，请提供）</w:t>
      </w:r>
    </w:p>
    <w:p w14:paraId="354856D3">
      <w:pPr>
        <w:pStyle w:val="15"/>
        <w:rPr>
          <w:rFonts w:hAnsi="宋体" w:cs="宋体"/>
          <w:b/>
          <w:color w:val="auto"/>
          <w:sz w:val="28"/>
          <w:szCs w:val="28"/>
          <w:highlight w:val="none"/>
        </w:rPr>
      </w:pPr>
      <w:r>
        <w:rPr>
          <w:rFonts w:hint="eastAsia" w:hAnsi="宋体" w:cs="宋体"/>
          <w:b/>
          <w:color w:val="auto"/>
          <w:sz w:val="28"/>
          <w:szCs w:val="28"/>
          <w:highlight w:val="none"/>
        </w:rPr>
        <w:t>附件：</w:t>
      </w:r>
    </w:p>
    <w:p w14:paraId="729D7BD0">
      <w:pPr>
        <w:snapToGrid w:val="0"/>
        <w:spacing w:beforeLines="50" w:after="50" w:line="320" w:lineRule="exact"/>
        <w:jc w:val="center"/>
        <w:rPr>
          <w:rFonts w:ascii="宋体" w:hAnsi="宋体" w:cs="宋体"/>
          <w:b/>
          <w:color w:val="auto"/>
          <w:kern w:val="0"/>
          <w:sz w:val="28"/>
          <w:szCs w:val="28"/>
          <w:highlight w:val="none"/>
        </w:rPr>
      </w:pPr>
      <w:r>
        <w:rPr>
          <w:rFonts w:hint="eastAsia" w:ascii="宋体" w:hAnsi="宋体" w:cs="宋体"/>
          <w:b/>
          <w:color w:val="auto"/>
          <w:kern w:val="0"/>
          <w:sz w:val="28"/>
          <w:szCs w:val="28"/>
          <w:highlight w:val="none"/>
        </w:rPr>
        <w:t>中小企业声明函（格式）</w:t>
      </w:r>
    </w:p>
    <w:p w14:paraId="4629A461">
      <w:pPr>
        <w:ind w:firstLine="560" w:firstLineChars="200"/>
        <w:rPr>
          <w:rFonts w:ascii="宋体" w:hAnsi="宋体" w:cs="宋体"/>
          <w:color w:val="auto"/>
          <w:kern w:val="0"/>
          <w:sz w:val="28"/>
          <w:szCs w:val="28"/>
          <w:highlight w:val="none"/>
        </w:rPr>
      </w:pPr>
    </w:p>
    <w:p w14:paraId="649B5950">
      <w:pPr>
        <w:pStyle w:val="10"/>
        <w:spacing w:line="500" w:lineRule="exact"/>
        <w:ind w:right="142" w:firstLine="522"/>
        <w:rPr>
          <w:rFonts w:ascii="仿宋" w:hAnsi="仿宋" w:eastAsia="仿宋"/>
          <w:b/>
          <w:color w:val="auto"/>
          <w:spacing w:val="-10"/>
          <w:sz w:val="28"/>
          <w:szCs w:val="28"/>
          <w:highlight w:val="none"/>
        </w:rPr>
      </w:pPr>
      <w:r>
        <w:rPr>
          <w:rFonts w:ascii="仿宋" w:hAnsi="仿宋" w:eastAsia="仿宋"/>
          <w:b/>
          <w:color w:val="auto"/>
          <w:spacing w:val="-10"/>
          <w:sz w:val="28"/>
          <w:szCs w:val="28"/>
          <w:highlight w:val="none"/>
        </w:rPr>
        <w:t>本公司</w:t>
      </w:r>
      <w:r>
        <w:rPr>
          <w:rFonts w:hint="eastAsia" w:ascii="仿宋" w:hAnsi="仿宋" w:eastAsia="仿宋"/>
          <w:b/>
          <w:color w:val="auto"/>
          <w:spacing w:val="-10"/>
          <w:sz w:val="28"/>
          <w:szCs w:val="28"/>
          <w:highlight w:val="none"/>
        </w:rPr>
        <w:t>（联合体）</w:t>
      </w:r>
      <w:r>
        <w:rPr>
          <w:rFonts w:ascii="仿宋" w:hAnsi="仿宋" w:eastAsia="仿宋"/>
          <w:b/>
          <w:color w:val="auto"/>
          <w:spacing w:val="-10"/>
          <w:sz w:val="28"/>
          <w:szCs w:val="28"/>
          <w:highlight w:val="none"/>
        </w:rPr>
        <w:t>郑重声明，根据《政府采购促进中小企业发展管理办法》（财库﹝2020﹞46号）的规定，本公司</w:t>
      </w:r>
      <w:r>
        <w:rPr>
          <w:rFonts w:hint="eastAsia" w:ascii="仿宋" w:hAnsi="仿宋" w:eastAsia="仿宋"/>
          <w:b/>
          <w:color w:val="auto"/>
          <w:spacing w:val="-10"/>
          <w:sz w:val="28"/>
          <w:szCs w:val="28"/>
          <w:highlight w:val="none"/>
        </w:rPr>
        <w:t>（联合体）</w:t>
      </w:r>
      <w:r>
        <w:rPr>
          <w:rFonts w:ascii="仿宋" w:hAnsi="仿宋" w:eastAsia="仿宋"/>
          <w:b/>
          <w:color w:val="auto"/>
          <w:spacing w:val="-10"/>
          <w:sz w:val="28"/>
          <w:szCs w:val="28"/>
          <w:highlight w:val="none"/>
        </w:rPr>
        <w:t>参加</w:t>
      </w:r>
      <w:r>
        <w:rPr>
          <w:rFonts w:ascii="仿宋" w:hAnsi="仿宋" w:eastAsia="仿宋"/>
          <w:b/>
          <w:color w:val="auto"/>
          <w:spacing w:val="-10"/>
          <w:sz w:val="28"/>
          <w:szCs w:val="28"/>
          <w:highlight w:val="none"/>
          <w:u w:val="single"/>
        </w:rPr>
        <w:t>（单位名称）</w:t>
      </w:r>
      <w:r>
        <w:rPr>
          <w:rFonts w:ascii="仿宋" w:hAnsi="仿宋" w:eastAsia="仿宋"/>
          <w:b/>
          <w:color w:val="auto"/>
          <w:spacing w:val="-10"/>
          <w:sz w:val="28"/>
          <w:szCs w:val="28"/>
          <w:highlight w:val="none"/>
        </w:rPr>
        <w:t>的</w:t>
      </w:r>
      <w:r>
        <w:rPr>
          <w:rFonts w:ascii="仿宋" w:hAnsi="仿宋" w:eastAsia="仿宋"/>
          <w:b/>
          <w:color w:val="auto"/>
          <w:spacing w:val="-10"/>
          <w:sz w:val="28"/>
          <w:szCs w:val="28"/>
          <w:highlight w:val="none"/>
          <w:u w:val="single"/>
        </w:rPr>
        <w:t>（项目名称）</w:t>
      </w:r>
      <w:r>
        <w:rPr>
          <w:rFonts w:ascii="仿宋" w:hAnsi="仿宋" w:eastAsia="仿宋"/>
          <w:b/>
          <w:color w:val="auto"/>
          <w:spacing w:val="-10"/>
          <w:sz w:val="28"/>
          <w:szCs w:val="28"/>
          <w:highlight w:val="none"/>
        </w:rPr>
        <w:t>采购活动，</w:t>
      </w:r>
      <w:r>
        <w:rPr>
          <w:rFonts w:hint="eastAsia" w:ascii="仿宋" w:hAnsi="仿宋" w:eastAsia="仿宋"/>
          <w:b/>
          <w:color w:val="auto"/>
          <w:spacing w:val="-10"/>
          <w:sz w:val="28"/>
          <w:szCs w:val="28"/>
          <w:highlight w:val="none"/>
        </w:rPr>
        <w:t>服务全部由符合政策要求的中小企业承接。相关企业的具体情况如下：</w:t>
      </w:r>
    </w:p>
    <w:p w14:paraId="209EECEE">
      <w:pPr>
        <w:tabs>
          <w:tab w:val="left" w:pos="1384"/>
          <w:tab w:val="left" w:pos="4562"/>
          <w:tab w:val="left" w:pos="6803"/>
        </w:tabs>
        <w:spacing w:before="13" w:line="500" w:lineRule="exact"/>
        <w:ind w:right="142" w:firstLine="520" w:firstLineChars="200"/>
        <w:rPr>
          <w:rFonts w:ascii="仿宋" w:hAnsi="仿宋" w:eastAsia="仿宋"/>
          <w:color w:val="auto"/>
          <w:spacing w:val="-10"/>
          <w:sz w:val="28"/>
          <w:szCs w:val="28"/>
          <w:highlight w:val="none"/>
        </w:rPr>
      </w:pPr>
      <w:r>
        <w:rPr>
          <w:rFonts w:ascii="仿宋" w:hAnsi="仿宋" w:eastAsia="仿宋"/>
          <w:color w:val="auto"/>
          <w:spacing w:val="-10"/>
          <w:sz w:val="28"/>
          <w:szCs w:val="28"/>
          <w:highlight w:val="none"/>
          <w:u w:val="single"/>
        </w:rPr>
        <w:t>（标的名称）</w:t>
      </w:r>
      <w:r>
        <w:rPr>
          <w:rFonts w:ascii="仿宋" w:hAnsi="仿宋" w:eastAsia="仿宋"/>
          <w:color w:val="auto"/>
          <w:spacing w:val="-10"/>
          <w:sz w:val="28"/>
          <w:szCs w:val="28"/>
          <w:highlight w:val="none"/>
        </w:rPr>
        <w:t>，属于</w:t>
      </w:r>
      <w:r>
        <w:rPr>
          <w:rFonts w:ascii="仿宋" w:hAnsi="仿宋" w:eastAsia="仿宋"/>
          <w:color w:val="auto"/>
          <w:spacing w:val="-10"/>
          <w:sz w:val="28"/>
          <w:szCs w:val="28"/>
          <w:highlight w:val="none"/>
          <w:u w:val="single"/>
        </w:rPr>
        <w:t>（所属</w:t>
      </w:r>
      <w:r>
        <w:rPr>
          <w:rFonts w:hint="eastAsia" w:ascii="仿宋" w:hAnsi="仿宋" w:eastAsia="仿宋"/>
          <w:color w:val="auto"/>
          <w:spacing w:val="-10"/>
          <w:sz w:val="28"/>
          <w:szCs w:val="28"/>
          <w:highlight w:val="none"/>
          <w:u w:val="single"/>
        </w:rPr>
        <w:t>行</w:t>
      </w:r>
      <w:r>
        <w:rPr>
          <w:rFonts w:ascii="仿宋" w:hAnsi="仿宋" w:eastAsia="仿宋"/>
          <w:color w:val="auto"/>
          <w:spacing w:val="-10"/>
          <w:sz w:val="28"/>
          <w:szCs w:val="28"/>
          <w:highlight w:val="none"/>
          <w:u w:val="single"/>
        </w:rPr>
        <w:t>业）</w:t>
      </w:r>
      <w:r>
        <w:rPr>
          <w:rFonts w:ascii="仿宋" w:hAnsi="仿宋" w:eastAsia="仿宋"/>
          <w:color w:val="auto"/>
          <w:spacing w:val="-10"/>
          <w:sz w:val="28"/>
          <w:szCs w:val="28"/>
          <w:highlight w:val="none"/>
        </w:rPr>
        <w:t>；</w:t>
      </w:r>
      <w:r>
        <w:rPr>
          <w:rFonts w:hint="eastAsia" w:ascii="仿宋" w:hAnsi="仿宋" w:eastAsia="仿宋"/>
          <w:color w:val="auto"/>
          <w:spacing w:val="-10"/>
          <w:sz w:val="28"/>
          <w:szCs w:val="28"/>
          <w:highlight w:val="none"/>
        </w:rPr>
        <w:t>承接企业为</w:t>
      </w:r>
      <w:r>
        <w:rPr>
          <w:rFonts w:hint="eastAsia" w:ascii="仿宋" w:hAnsi="仿宋" w:eastAsia="仿宋"/>
          <w:color w:val="auto"/>
          <w:spacing w:val="-10"/>
          <w:sz w:val="28"/>
          <w:szCs w:val="28"/>
          <w:highlight w:val="none"/>
          <w:u w:val="single"/>
        </w:rPr>
        <w:t xml:space="preserve">（企业名称） </w:t>
      </w:r>
      <w:r>
        <w:rPr>
          <w:rFonts w:hint="eastAsia" w:ascii="仿宋" w:hAnsi="仿宋" w:eastAsia="仿宋"/>
          <w:color w:val="auto"/>
          <w:spacing w:val="-10"/>
          <w:sz w:val="28"/>
          <w:szCs w:val="28"/>
          <w:highlight w:val="none"/>
        </w:rPr>
        <w:t>，从业人员人，营业收入为万元，资产总额为万元</w:t>
      </w:r>
      <w:r>
        <w:rPr>
          <w:rFonts w:ascii="仿宋" w:hAnsi="仿宋" w:eastAsia="仿宋"/>
          <w:color w:val="auto"/>
          <w:spacing w:val="-10"/>
          <w:sz w:val="28"/>
          <w:szCs w:val="28"/>
          <w:highlight w:val="none"/>
        </w:rPr>
        <w:t>，属于</w:t>
      </w:r>
      <w:r>
        <w:rPr>
          <w:rFonts w:ascii="仿宋" w:hAnsi="仿宋" w:eastAsia="仿宋"/>
          <w:color w:val="auto"/>
          <w:spacing w:val="-10"/>
          <w:sz w:val="28"/>
          <w:szCs w:val="28"/>
          <w:highlight w:val="none"/>
          <w:u w:val="single"/>
        </w:rPr>
        <w:t>（中型企业、</w:t>
      </w:r>
      <w:r>
        <w:rPr>
          <w:rFonts w:hint="eastAsia" w:ascii="仿宋" w:hAnsi="仿宋" w:eastAsia="仿宋"/>
          <w:color w:val="auto"/>
          <w:spacing w:val="-10"/>
          <w:sz w:val="28"/>
          <w:szCs w:val="28"/>
          <w:highlight w:val="none"/>
          <w:u w:val="single"/>
        </w:rPr>
        <w:t>小型企业、微型企业）</w:t>
      </w:r>
      <w:r>
        <w:rPr>
          <w:rFonts w:hint="eastAsia" w:ascii="仿宋" w:hAnsi="仿宋" w:eastAsia="仿宋"/>
          <w:color w:val="auto"/>
          <w:spacing w:val="-10"/>
          <w:sz w:val="28"/>
          <w:szCs w:val="28"/>
          <w:highlight w:val="none"/>
        </w:rPr>
        <w:t>。</w:t>
      </w:r>
    </w:p>
    <w:p w14:paraId="759DC911">
      <w:pPr>
        <w:pStyle w:val="10"/>
        <w:spacing w:before="34" w:line="500" w:lineRule="exact"/>
        <w:ind w:right="142" w:firstLine="522"/>
        <w:rPr>
          <w:rFonts w:ascii="仿宋" w:hAnsi="仿宋" w:eastAsia="仿宋"/>
          <w:b/>
          <w:color w:val="auto"/>
          <w:spacing w:val="-10"/>
          <w:sz w:val="28"/>
          <w:szCs w:val="28"/>
          <w:highlight w:val="none"/>
        </w:rPr>
      </w:pPr>
      <w:r>
        <w:rPr>
          <w:rFonts w:ascii="仿宋" w:hAnsi="仿宋" w:eastAsia="仿宋"/>
          <w:b/>
          <w:color w:val="auto"/>
          <w:spacing w:val="-10"/>
          <w:sz w:val="28"/>
          <w:szCs w:val="28"/>
          <w:highlight w:val="none"/>
        </w:rPr>
        <w:t>以上企业，不属于大企业的分支机构，不存在控股股东为大企业的情形，也不存在与大企业的负责人为同一人的情形。</w:t>
      </w:r>
    </w:p>
    <w:p w14:paraId="6F0AF273">
      <w:pPr>
        <w:pStyle w:val="10"/>
        <w:spacing w:before="25" w:line="500" w:lineRule="exact"/>
        <w:ind w:right="142" w:firstLine="522"/>
        <w:rPr>
          <w:rFonts w:ascii="仿宋" w:hAnsi="仿宋" w:eastAsia="仿宋"/>
          <w:b/>
          <w:color w:val="auto"/>
          <w:spacing w:val="-10"/>
          <w:sz w:val="28"/>
          <w:szCs w:val="28"/>
          <w:highlight w:val="none"/>
        </w:rPr>
      </w:pPr>
      <w:r>
        <w:rPr>
          <w:rFonts w:ascii="仿宋" w:hAnsi="仿宋" w:eastAsia="仿宋"/>
          <w:b/>
          <w:color w:val="auto"/>
          <w:spacing w:val="-10"/>
          <w:sz w:val="28"/>
          <w:szCs w:val="28"/>
          <w:highlight w:val="none"/>
        </w:rPr>
        <w:t>本企业对上述声明内容的真实性负责。如有虚假，将依法承担相应责任。</w:t>
      </w:r>
    </w:p>
    <w:p w14:paraId="32245B48">
      <w:pPr>
        <w:pStyle w:val="10"/>
        <w:spacing w:before="56" w:line="500" w:lineRule="exact"/>
        <w:ind w:left="3960" w:right="1808" w:firstLine="522"/>
        <w:rPr>
          <w:rFonts w:ascii="仿宋" w:hAnsi="仿宋" w:eastAsia="仿宋"/>
          <w:b/>
          <w:color w:val="auto"/>
          <w:spacing w:val="-10"/>
          <w:sz w:val="28"/>
          <w:szCs w:val="28"/>
          <w:highlight w:val="none"/>
        </w:rPr>
      </w:pPr>
      <w:r>
        <w:rPr>
          <w:rFonts w:ascii="仿宋" w:hAnsi="仿宋" w:eastAsia="仿宋"/>
          <w:b/>
          <w:color w:val="auto"/>
          <w:spacing w:val="-10"/>
          <w:sz w:val="28"/>
          <w:szCs w:val="28"/>
          <w:highlight w:val="none"/>
        </w:rPr>
        <w:t>企业名称</w:t>
      </w:r>
      <w:r>
        <w:rPr>
          <w:rFonts w:hint="eastAsia" w:ascii="仿宋" w:hAnsi="仿宋" w:eastAsia="仿宋"/>
          <w:b/>
          <w:color w:val="auto"/>
          <w:spacing w:val="-10"/>
          <w:sz w:val="28"/>
          <w:szCs w:val="28"/>
          <w:highlight w:val="none"/>
        </w:rPr>
        <w:t>（电子签章）</w:t>
      </w:r>
      <w:r>
        <w:rPr>
          <w:rFonts w:ascii="仿宋" w:hAnsi="仿宋" w:eastAsia="仿宋"/>
          <w:b/>
          <w:color w:val="auto"/>
          <w:spacing w:val="-10"/>
          <w:sz w:val="28"/>
          <w:szCs w:val="28"/>
          <w:highlight w:val="none"/>
        </w:rPr>
        <w:t xml:space="preserve">： </w:t>
      </w:r>
    </w:p>
    <w:p w14:paraId="19759B97">
      <w:pPr>
        <w:pStyle w:val="10"/>
        <w:spacing w:before="56" w:line="500" w:lineRule="exact"/>
        <w:ind w:left="3960" w:right="1808" w:firstLine="522"/>
        <w:rPr>
          <w:rFonts w:ascii="仿宋" w:hAnsi="仿宋" w:eastAsia="仿宋"/>
          <w:b/>
          <w:color w:val="auto"/>
          <w:sz w:val="28"/>
          <w:szCs w:val="28"/>
          <w:highlight w:val="none"/>
        </w:rPr>
      </w:pPr>
      <w:r>
        <w:rPr>
          <w:rFonts w:ascii="仿宋" w:hAnsi="仿宋" w:eastAsia="仿宋"/>
          <w:b/>
          <w:color w:val="auto"/>
          <w:spacing w:val="-10"/>
          <w:sz w:val="28"/>
          <w:szCs w:val="28"/>
          <w:highlight w:val="none"/>
        </w:rPr>
        <w:t>日 期：</w:t>
      </w:r>
    </w:p>
    <w:p w14:paraId="7E4389A4">
      <w:pPr>
        <w:spacing w:line="400" w:lineRule="exact"/>
        <w:rPr>
          <w:rFonts w:asciiTheme="majorEastAsia" w:hAnsiTheme="majorEastAsia" w:eastAsiaTheme="majorEastAsia"/>
          <w:color w:val="auto"/>
          <w:kern w:val="0"/>
          <w:sz w:val="28"/>
          <w:szCs w:val="28"/>
          <w:highlight w:val="none"/>
        </w:rPr>
      </w:pPr>
    </w:p>
    <w:p w14:paraId="6AB0ABDC">
      <w:pPr>
        <w:spacing w:line="400" w:lineRule="exact"/>
        <w:rPr>
          <w:rFonts w:asciiTheme="majorEastAsia" w:hAnsiTheme="majorEastAsia" w:eastAsiaTheme="majorEastAsia"/>
          <w:b/>
          <w:color w:val="auto"/>
          <w:kern w:val="0"/>
          <w:szCs w:val="21"/>
          <w:highlight w:val="none"/>
        </w:rPr>
      </w:pPr>
      <w:r>
        <w:rPr>
          <w:rFonts w:hint="eastAsia" w:asciiTheme="majorEastAsia" w:hAnsiTheme="majorEastAsia" w:eastAsiaTheme="majorEastAsia"/>
          <w:b/>
          <w:color w:val="auto"/>
          <w:kern w:val="0"/>
          <w:szCs w:val="21"/>
          <w:highlight w:val="none"/>
        </w:rPr>
        <w:t>注：1.</w:t>
      </w:r>
      <w:r>
        <w:rPr>
          <w:rFonts w:asciiTheme="majorEastAsia" w:hAnsiTheme="majorEastAsia" w:eastAsiaTheme="majorEastAsia"/>
          <w:b/>
          <w:color w:val="auto"/>
          <w:kern w:val="0"/>
          <w:szCs w:val="21"/>
          <w:highlight w:val="none"/>
        </w:rPr>
        <w:t>从业人员、营业收入、资产总额填报上一年度数据，无上一年度数据的新成立企业可不填报。</w:t>
      </w:r>
    </w:p>
    <w:p w14:paraId="58B1C311">
      <w:pPr>
        <w:pStyle w:val="15"/>
        <w:spacing w:line="400" w:lineRule="exact"/>
        <w:rPr>
          <w:rFonts w:asciiTheme="majorEastAsia" w:hAnsiTheme="majorEastAsia" w:eastAsiaTheme="majorEastAsia"/>
          <w:b/>
          <w:color w:val="auto"/>
          <w:szCs w:val="21"/>
          <w:highlight w:val="none"/>
        </w:rPr>
      </w:pPr>
      <w:r>
        <w:rPr>
          <w:rFonts w:hint="eastAsia" w:asciiTheme="majorEastAsia" w:hAnsiTheme="majorEastAsia" w:eastAsiaTheme="majorEastAsia"/>
          <w:b/>
          <w:color w:val="auto"/>
          <w:kern w:val="0"/>
          <w:szCs w:val="21"/>
          <w:highlight w:val="none"/>
        </w:rPr>
        <w:t xml:space="preserve">    2.中小企业在政府采购活动过程中，请根据自己的真实情况出具本声明函。依法享受中小企业优惠政策的，采购人或采购代理机构在公告中标结果时，同时公告其《中小企业声明函》，接受社会监督。</w:t>
      </w:r>
    </w:p>
    <w:p w14:paraId="1AC3A8C3">
      <w:pPr>
        <w:rPr>
          <w:rFonts w:hint="eastAsia" w:ascii="宋体" w:hAnsi="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br w:type="page"/>
      </w:r>
    </w:p>
    <w:p w14:paraId="402C1E79">
      <w:pPr>
        <w:spacing w:line="500" w:lineRule="exact"/>
        <w:rPr>
          <w:rFonts w:ascii="宋体" w:hAnsi="宋体" w:cs="宋体"/>
          <w:b/>
          <w:color w:val="auto"/>
          <w:sz w:val="28"/>
          <w:szCs w:val="28"/>
          <w:highlight w:val="none"/>
        </w:rPr>
      </w:pPr>
      <w:r>
        <w:rPr>
          <w:rFonts w:hint="eastAsia" w:ascii="宋体" w:hAnsi="宋体" w:cs="宋体"/>
          <w:b/>
          <w:color w:val="auto"/>
          <w:sz w:val="28"/>
          <w:szCs w:val="28"/>
          <w:highlight w:val="none"/>
          <w:lang w:val="en-US" w:eastAsia="zh-CN"/>
        </w:rPr>
        <w:t>5</w:t>
      </w:r>
      <w:r>
        <w:rPr>
          <w:rFonts w:hint="eastAsia" w:ascii="宋体" w:hAnsi="宋体" w:cs="宋体"/>
          <w:b/>
          <w:color w:val="auto"/>
          <w:sz w:val="28"/>
          <w:szCs w:val="28"/>
          <w:highlight w:val="none"/>
        </w:rPr>
        <w:t>.2供应商属于监狱企业的，应当提供由省级以上监狱管理局、戒毒管理局(含新疆生产建设兵团)出具的属于监狱企业的证明文件（如有，请提供）</w:t>
      </w:r>
    </w:p>
    <w:p w14:paraId="7DE2975C">
      <w:pPr>
        <w:tabs>
          <w:tab w:val="left" w:pos="1305"/>
        </w:tabs>
        <w:spacing w:line="380" w:lineRule="exact"/>
        <w:rPr>
          <w:rFonts w:ascii="宋体" w:hAnsi="宋体" w:cs="宋体"/>
          <w:b/>
          <w:bCs/>
          <w:color w:val="auto"/>
          <w:sz w:val="28"/>
          <w:szCs w:val="28"/>
          <w:highlight w:val="none"/>
        </w:rPr>
      </w:pPr>
    </w:p>
    <w:p w14:paraId="0CA1494A">
      <w:pPr>
        <w:tabs>
          <w:tab w:val="left" w:pos="1305"/>
        </w:tabs>
        <w:spacing w:line="380" w:lineRule="exact"/>
        <w:rPr>
          <w:rFonts w:ascii="宋体" w:hAnsi="宋体" w:cs="宋体"/>
          <w:b/>
          <w:bCs/>
          <w:color w:val="auto"/>
          <w:sz w:val="28"/>
          <w:szCs w:val="28"/>
          <w:highlight w:val="none"/>
        </w:rPr>
      </w:pPr>
    </w:p>
    <w:p w14:paraId="7455CFB6">
      <w:pPr>
        <w:tabs>
          <w:tab w:val="left" w:pos="1305"/>
        </w:tabs>
        <w:spacing w:line="380" w:lineRule="exact"/>
        <w:rPr>
          <w:rFonts w:ascii="宋体" w:hAnsi="宋体" w:cs="宋体"/>
          <w:b/>
          <w:bCs/>
          <w:color w:val="auto"/>
          <w:sz w:val="28"/>
          <w:szCs w:val="28"/>
          <w:highlight w:val="none"/>
        </w:rPr>
      </w:pPr>
    </w:p>
    <w:p w14:paraId="4BC8E261">
      <w:pPr>
        <w:pStyle w:val="23"/>
        <w:ind w:left="0" w:leftChars="0" w:firstLine="0" w:firstLineChars="0"/>
        <w:rPr>
          <w:rFonts w:ascii="宋体" w:hAnsi="宋体" w:cs="宋体"/>
          <w:color w:val="auto"/>
          <w:sz w:val="28"/>
          <w:szCs w:val="28"/>
          <w:highlight w:val="none"/>
        </w:rPr>
      </w:pPr>
    </w:p>
    <w:p w14:paraId="54728F6D">
      <w:pPr>
        <w:tabs>
          <w:tab w:val="left" w:pos="1305"/>
        </w:tabs>
        <w:spacing w:line="380" w:lineRule="exact"/>
        <w:rPr>
          <w:rFonts w:ascii="宋体" w:hAnsi="宋体" w:cs="宋体"/>
          <w:b/>
          <w:bCs/>
          <w:color w:val="auto"/>
          <w:sz w:val="28"/>
          <w:szCs w:val="28"/>
          <w:highlight w:val="none"/>
        </w:rPr>
      </w:pPr>
    </w:p>
    <w:p w14:paraId="6DBB3F06">
      <w:pPr>
        <w:tabs>
          <w:tab w:val="left" w:pos="1305"/>
        </w:tabs>
        <w:spacing w:line="380" w:lineRule="exact"/>
        <w:rPr>
          <w:rFonts w:ascii="宋体" w:hAnsi="宋体" w:cs="宋体"/>
          <w:b/>
          <w:bCs/>
          <w:color w:val="auto"/>
          <w:sz w:val="28"/>
          <w:szCs w:val="28"/>
          <w:highlight w:val="none"/>
        </w:rPr>
      </w:pPr>
      <w:r>
        <w:rPr>
          <w:rFonts w:hint="eastAsia" w:ascii="宋体" w:hAnsi="宋体" w:cs="宋体"/>
          <w:b/>
          <w:bCs/>
          <w:color w:val="auto"/>
          <w:sz w:val="28"/>
          <w:szCs w:val="28"/>
          <w:highlight w:val="none"/>
          <w:lang w:val="en-US" w:eastAsia="zh-CN"/>
        </w:rPr>
        <w:t>5</w:t>
      </w:r>
      <w:r>
        <w:rPr>
          <w:rFonts w:hint="eastAsia" w:ascii="宋体" w:hAnsi="宋体" w:cs="宋体"/>
          <w:b/>
          <w:bCs/>
          <w:color w:val="auto"/>
          <w:sz w:val="28"/>
          <w:szCs w:val="28"/>
          <w:highlight w:val="none"/>
        </w:rPr>
        <w:t>.3符合条件的残疾人福利性单位在参加政府采购活动时，应当提供《残疾人福利性单位声明函》，并对声明的真实性负责（如有，请提供）</w:t>
      </w:r>
    </w:p>
    <w:p w14:paraId="34D3E6C4">
      <w:pPr>
        <w:pStyle w:val="15"/>
        <w:ind w:firstLine="413" w:firstLineChars="147"/>
        <w:rPr>
          <w:rFonts w:hAnsi="宋体" w:cs="宋体"/>
          <w:b/>
          <w:color w:val="auto"/>
          <w:sz w:val="28"/>
          <w:szCs w:val="28"/>
          <w:highlight w:val="none"/>
        </w:rPr>
      </w:pPr>
      <w:r>
        <w:rPr>
          <w:rFonts w:hint="eastAsia" w:hAnsi="宋体" w:cs="宋体"/>
          <w:b/>
          <w:color w:val="auto"/>
          <w:sz w:val="28"/>
          <w:szCs w:val="28"/>
          <w:highlight w:val="none"/>
        </w:rPr>
        <w:t>附件：</w:t>
      </w:r>
    </w:p>
    <w:p w14:paraId="618D9A73">
      <w:pPr>
        <w:pStyle w:val="15"/>
        <w:jc w:val="center"/>
        <w:rPr>
          <w:rFonts w:hAnsi="宋体"/>
          <w:b/>
          <w:bCs/>
          <w:color w:val="auto"/>
          <w:sz w:val="30"/>
          <w:szCs w:val="30"/>
          <w:highlight w:val="none"/>
        </w:rPr>
      </w:pPr>
      <w:bookmarkStart w:id="234" w:name="OLE_LINK14"/>
      <w:bookmarkStart w:id="235" w:name="OLE_LINK13"/>
      <w:r>
        <w:rPr>
          <w:rFonts w:hint="eastAsia" w:hAnsi="宋体" w:cs="宋体"/>
          <w:b/>
          <w:bCs/>
          <w:color w:val="auto"/>
          <w:sz w:val="28"/>
          <w:szCs w:val="28"/>
          <w:highlight w:val="none"/>
        </w:rPr>
        <w:t>残疾人福利性单位声明函（格式）</w:t>
      </w:r>
    </w:p>
    <w:bookmarkEnd w:id="234"/>
    <w:bookmarkEnd w:id="235"/>
    <w:p w14:paraId="1EF4DBC1">
      <w:pPr>
        <w:spacing w:line="588" w:lineRule="exact"/>
        <w:ind w:firstLine="624" w:firstLineChars="200"/>
        <w:rPr>
          <w:rFonts w:asciiTheme="minorEastAsia" w:hAnsiTheme="minorEastAsia" w:eastAsiaTheme="minorEastAsia"/>
          <w:color w:val="auto"/>
          <w:spacing w:val="6"/>
          <w:sz w:val="30"/>
          <w:szCs w:val="30"/>
          <w:highlight w:val="none"/>
        </w:rPr>
      </w:pPr>
      <w:r>
        <w:rPr>
          <w:rFonts w:hint="eastAsia" w:asciiTheme="minorEastAsia" w:hAnsiTheme="minorEastAsia" w:eastAsiaTheme="minorEastAsia"/>
          <w:color w:val="auto"/>
          <w:spacing w:val="6"/>
          <w:sz w:val="30"/>
          <w:szCs w:val="30"/>
          <w:highlight w:val="none"/>
        </w:rPr>
        <w:t>本单位郑重声明，根据《财政部 民政部 中国残疾人联合会关于促进残疾人就业政府采购政策的通知》（财库</w:t>
      </w:r>
      <w:r>
        <w:rPr>
          <w:rFonts w:hint="eastAsia" w:asciiTheme="minorEastAsia" w:hAnsiTheme="minorEastAsia" w:eastAsiaTheme="minorEastAsia"/>
          <w:color w:val="auto"/>
          <w:sz w:val="30"/>
          <w:szCs w:val="30"/>
          <w:highlight w:val="none"/>
        </w:rPr>
        <w:t>〔2017〕 141</w:t>
      </w:r>
      <w:r>
        <w:rPr>
          <w:rFonts w:hint="eastAsia" w:asciiTheme="minorEastAsia" w:hAnsiTheme="minorEastAsia" w:eastAsiaTheme="minorEastAsia"/>
          <w:color w:val="auto"/>
          <w:spacing w:val="6"/>
          <w:sz w:val="30"/>
          <w:szCs w:val="30"/>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CD142E2">
      <w:pPr>
        <w:spacing w:line="588" w:lineRule="exact"/>
        <w:ind w:firstLine="624" w:firstLineChars="200"/>
        <w:rPr>
          <w:rFonts w:asciiTheme="minorEastAsia" w:hAnsiTheme="minorEastAsia" w:eastAsiaTheme="minorEastAsia"/>
          <w:color w:val="auto"/>
          <w:spacing w:val="6"/>
          <w:sz w:val="30"/>
          <w:szCs w:val="30"/>
          <w:highlight w:val="none"/>
        </w:rPr>
      </w:pPr>
      <w:r>
        <w:rPr>
          <w:rFonts w:hint="eastAsia" w:asciiTheme="minorEastAsia" w:hAnsiTheme="minorEastAsia" w:eastAsiaTheme="minorEastAsia"/>
          <w:color w:val="auto"/>
          <w:spacing w:val="6"/>
          <w:sz w:val="30"/>
          <w:szCs w:val="30"/>
          <w:highlight w:val="none"/>
        </w:rPr>
        <w:t>本单位对上述声明的真实性负责。如有虚假，将依法承担相应责任。</w:t>
      </w:r>
    </w:p>
    <w:p w14:paraId="7ECC4129">
      <w:pPr>
        <w:spacing w:line="588" w:lineRule="exact"/>
        <w:ind w:firstLine="624" w:firstLineChars="200"/>
        <w:rPr>
          <w:rFonts w:asciiTheme="minorEastAsia" w:hAnsiTheme="minorEastAsia" w:eastAsiaTheme="minorEastAsia"/>
          <w:color w:val="auto"/>
          <w:spacing w:val="6"/>
          <w:sz w:val="30"/>
          <w:szCs w:val="30"/>
          <w:highlight w:val="none"/>
        </w:rPr>
      </w:pPr>
    </w:p>
    <w:p w14:paraId="51BEA2D9">
      <w:pPr>
        <w:tabs>
          <w:tab w:val="left" w:pos="4860"/>
        </w:tabs>
        <w:spacing w:line="588" w:lineRule="exact"/>
        <w:ind w:right="1560" w:firstLine="624" w:firstLineChars="200"/>
        <w:jc w:val="center"/>
        <w:rPr>
          <w:rFonts w:asciiTheme="minorEastAsia" w:hAnsiTheme="minorEastAsia" w:eastAsiaTheme="minorEastAsia"/>
          <w:color w:val="auto"/>
          <w:spacing w:val="6"/>
          <w:sz w:val="30"/>
          <w:szCs w:val="30"/>
          <w:highlight w:val="none"/>
        </w:rPr>
      </w:pPr>
      <w:r>
        <w:rPr>
          <w:rFonts w:hint="eastAsia" w:asciiTheme="minorEastAsia" w:hAnsiTheme="minorEastAsia" w:eastAsiaTheme="minorEastAsia"/>
          <w:color w:val="auto"/>
          <w:spacing w:val="6"/>
          <w:sz w:val="30"/>
          <w:szCs w:val="30"/>
          <w:highlight w:val="none"/>
        </w:rPr>
        <w:t xml:space="preserve">      单位名称（电子签章）：</w:t>
      </w:r>
    </w:p>
    <w:p w14:paraId="5C2089B2">
      <w:pPr>
        <w:rPr>
          <w:rFonts w:hint="eastAsia" w:hAnsi="宋体" w:cs="宋体"/>
          <w:b/>
          <w:color w:val="auto"/>
          <w:sz w:val="28"/>
          <w:szCs w:val="28"/>
          <w:highlight w:val="none"/>
          <w:lang w:val="en-US" w:eastAsia="zh-CN"/>
        </w:rPr>
      </w:pPr>
      <w:r>
        <w:rPr>
          <w:rFonts w:hint="eastAsia" w:asciiTheme="minorEastAsia" w:hAnsiTheme="minorEastAsia" w:eastAsiaTheme="minorEastAsia"/>
          <w:color w:val="auto"/>
          <w:spacing w:val="6"/>
          <w:sz w:val="30"/>
          <w:szCs w:val="30"/>
          <w:highlight w:val="none"/>
        </w:rPr>
        <w:t xml:space="preserve">   日  期：</w:t>
      </w:r>
      <w:r>
        <w:rPr>
          <w:rFonts w:hint="eastAsia" w:hAnsi="宋体" w:cs="宋体"/>
          <w:b/>
          <w:color w:val="auto"/>
          <w:sz w:val="28"/>
          <w:szCs w:val="28"/>
          <w:highlight w:val="none"/>
          <w:lang w:val="en-US" w:eastAsia="zh-CN"/>
        </w:rPr>
        <w:br w:type="page"/>
      </w:r>
    </w:p>
    <w:p w14:paraId="2DAE2281">
      <w:pPr>
        <w:spacing w:line="360" w:lineRule="auto"/>
        <w:outlineLvl w:val="3"/>
        <w:rPr>
          <w:rFonts w:hint="eastAsia" w:ascii="宋体" w:hAnsi="宋体" w:eastAsia="宋体" w:cs="宋体"/>
          <w:b/>
          <w:color w:val="auto"/>
          <w:kern w:val="2"/>
          <w:sz w:val="28"/>
          <w:szCs w:val="28"/>
          <w:highlight w:val="none"/>
          <w:lang w:val="en-US" w:eastAsia="zh-CN" w:bidi="ar-SA"/>
        </w:rPr>
      </w:pPr>
      <w:r>
        <w:rPr>
          <w:rFonts w:hint="eastAsia" w:ascii="宋体" w:hAnsi="宋体" w:cs="宋体"/>
          <w:b/>
          <w:color w:val="auto"/>
          <w:kern w:val="2"/>
          <w:sz w:val="28"/>
          <w:szCs w:val="28"/>
          <w:highlight w:val="none"/>
          <w:lang w:val="en-US" w:eastAsia="zh-CN" w:bidi="ar-SA"/>
        </w:rPr>
        <w:t>6</w:t>
      </w:r>
      <w:r>
        <w:rPr>
          <w:rFonts w:hint="eastAsia" w:ascii="宋体" w:hAnsi="宋体" w:eastAsia="宋体" w:cs="宋体"/>
          <w:b/>
          <w:color w:val="auto"/>
          <w:kern w:val="2"/>
          <w:sz w:val="28"/>
          <w:szCs w:val="28"/>
          <w:highlight w:val="none"/>
          <w:lang w:val="en-US" w:eastAsia="zh-CN" w:bidi="ar-SA"/>
        </w:rPr>
        <w:t>.供应商可结合本项目的评审办法视自身情况自行提交其它相关证明材料。</w:t>
      </w:r>
    </w:p>
    <w:p w14:paraId="79433A9F">
      <w:pPr>
        <w:pStyle w:val="16"/>
        <w:rPr>
          <w:rFonts w:ascii="宋体" w:hAnsi="宋体" w:cs="宋体"/>
          <w:color w:val="auto"/>
          <w:highlight w:val="none"/>
          <w:u w:val="none"/>
        </w:rPr>
      </w:pPr>
    </w:p>
    <w:sectPr>
      <w:pgSz w:w="11906" w:h="16838"/>
      <w:pgMar w:top="1440" w:right="935" w:bottom="1440" w:left="77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Arial Unicode MS">
    <w:altName w:val="宋体"/>
    <w:panose1 w:val="020B0604020202020204"/>
    <w:charset w:val="86"/>
    <w:family w:val="auto"/>
    <w:pitch w:val="default"/>
    <w:sig w:usb0="00000000" w:usb1="00000000" w:usb2="0000007F" w:usb3="00000000" w:csb0="203F01FF" w:csb1="DFFF0000"/>
  </w:font>
  <w:font w:name="monospace">
    <w:altName w:val="Segoe Print"/>
    <w:panose1 w:val="00000000000000000000"/>
    <w:charset w:val="00"/>
    <w:family w:val="auto"/>
    <w:pitch w:val="default"/>
    <w:sig w:usb0="00000000" w:usb1="00000000" w:usb2="00000000" w:usb3="00000000" w:csb0="00000000" w:csb1="00000000"/>
  </w:font>
  <w:font w:name="AMGDT">
    <w:altName w:val="Vrinda"/>
    <w:panose1 w:val="02000400000000000000"/>
    <w:charset w:val="00"/>
    <w:family w:val="auto"/>
    <w:pitch w:val="default"/>
    <w:sig w:usb0="00000000" w:usb1="00000000" w:usb2="00000000" w:usb3="00000000" w:csb0="00000001" w:csb1="00000000"/>
  </w:font>
  <w:font w:name="Tahoma">
    <w:panose1 w:val="020B0604030504040204"/>
    <w:charset w:val="00"/>
    <w:family w:val="decorative"/>
    <w:pitch w:val="default"/>
    <w:sig w:usb0="E1002EFF" w:usb1="C000605B" w:usb2="00000029" w:usb3="00000000" w:csb0="200101FF" w:csb1="20280000"/>
  </w:font>
  <w:font w:name="?? Light">
    <w:altName w:val="Segoe Print"/>
    <w:panose1 w:val="00000000000000000000"/>
    <w:charset w:val="00"/>
    <w:family w:val="auto"/>
    <w:pitch w:val="default"/>
    <w:sig w:usb0="00000000" w:usb1="00000000" w:usb2="00000000" w:usb3="00000000" w:csb0="00000001" w:csb1="00000000"/>
  </w:font>
  <w:font w:name="仿宋">
    <w:panose1 w:val="02010609060101010101"/>
    <w:charset w:val="86"/>
    <w:family w:val="swiss"/>
    <w:pitch w:val="default"/>
    <w:sig w:usb0="800002BF" w:usb1="38CF7CFA" w:usb2="00000016" w:usb3="00000000" w:csb0="00040001" w:csb1="00000000"/>
  </w:font>
  <w:font w:name="仿宋_GB2312">
    <w:altName w:val="仿宋"/>
    <w:panose1 w:val="02010609030101010101"/>
    <w:charset w:val="86"/>
    <w:family w:val="swiss"/>
    <w:pitch w:val="default"/>
    <w:sig w:usb0="00000000" w:usb1="00000000" w:usb2="00000000" w:usb3="00000000" w:csb0="00040000" w:csb1="00000000"/>
  </w:font>
  <w:font w:name="Ubuntu">
    <w:altName w:val="Segoe Print"/>
    <w:panose1 w:val="020B0604030602030204"/>
    <w:charset w:val="00"/>
    <w:family w:val="auto"/>
    <w:pitch w:val="default"/>
    <w:sig w:usb0="00000000" w:usb1="00000000" w:usb2="00000000" w:usb3="00000000" w:csb0="2000009F" w:csb1="56010000"/>
  </w:font>
  <w:font w:name="Segoe Print">
    <w:panose1 w:val="02000600000000000000"/>
    <w:charset w:val="00"/>
    <w:family w:val="auto"/>
    <w:pitch w:val="default"/>
    <w:sig w:usb0="0000028F" w:usb1="00000000" w:usb2="00000000" w:usb3="00000000" w:csb0="2000009F" w:csb1="47010000"/>
  </w:font>
  <w:font w:name="TimesNewRomanPSMT">
    <w:altName w:val="Times New Roman"/>
    <w:panose1 w:val="00000000000000000000"/>
    <w:charset w:val="00"/>
    <w:family w:val="roman"/>
    <w:pitch w:val="default"/>
    <w:sig w:usb0="00000000" w:usb1="00000000" w:usb2="00000000" w:usb3="00000000" w:csb0="00000001" w:csb1="00000000"/>
  </w:font>
  <w:font w:name="微软雅黑">
    <w:panose1 w:val="020B0503020204020204"/>
    <w:charset w:val="86"/>
    <w:family w:val="auto"/>
    <w:pitch w:val="default"/>
    <w:sig w:usb0="80000287" w:usb1="280F3C52" w:usb2="00000016" w:usb3="00000000" w:csb0="0004001F" w:csb1="00000000"/>
  </w:font>
  <w:font w:name="Vrinda">
    <w:panose1 w:val="020B0502040204020203"/>
    <w:charset w:val="00"/>
    <w:family w:val="auto"/>
    <w:pitch w:val="default"/>
    <w:sig w:usb0="0001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533D0">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87C07C">
                          <w:pPr>
                            <w:pStyle w:val="16"/>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387C07C">
                    <w:pPr>
                      <w:pStyle w:val="16"/>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3478E">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9AC77B">
                          <w:pPr>
                            <w:pStyle w:val="16"/>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49AC77B">
                    <w:pPr>
                      <w:pStyle w:val="16"/>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787F0">
    <w:pPr>
      <w:pStyle w:val="1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54E7A0C">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554E7A0C">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0124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886F25"/>
    <w:multiLevelType w:val="singleLevel"/>
    <w:tmpl w:val="8F886F25"/>
    <w:lvl w:ilvl="0" w:tentative="0">
      <w:start w:val="1"/>
      <w:numFmt w:val="decimal"/>
      <w:suff w:val="space"/>
      <w:lvlText w:val="%1、"/>
      <w:lvlJc w:val="left"/>
    </w:lvl>
  </w:abstractNum>
  <w:abstractNum w:abstractNumId="1">
    <w:nsid w:val="BB4CF58C"/>
    <w:multiLevelType w:val="singleLevel"/>
    <w:tmpl w:val="BB4CF58C"/>
    <w:lvl w:ilvl="0" w:tentative="0">
      <w:start w:val="2"/>
      <w:numFmt w:val="decimal"/>
      <w:suff w:val="nothing"/>
      <w:lvlText w:val="（%1）"/>
      <w:lvlJc w:val="left"/>
    </w:lvl>
  </w:abstractNum>
  <w:abstractNum w:abstractNumId="2">
    <w:nsid w:val="1FC16C3F"/>
    <w:multiLevelType w:val="multilevel"/>
    <w:tmpl w:val="1FC16C3F"/>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3">
    <w:nsid w:val="1FD97BE0"/>
    <w:multiLevelType w:val="singleLevel"/>
    <w:tmpl w:val="1FD97BE0"/>
    <w:lvl w:ilvl="0" w:tentative="0">
      <w:start w:val="1"/>
      <w:numFmt w:val="chineseCounting"/>
      <w:suff w:val="nothing"/>
      <w:lvlText w:val="（%1）"/>
      <w:lvlJc w:val="left"/>
      <w:rPr>
        <w:rFonts w:hint="eastAsia"/>
      </w:rPr>
    </w:lvl>
  </w:abstractNum>
  <w:abstractNum w:abstractNumId="4">
    <w:nsid w:val="2EBEB4BA"/>
    <w:multiLevelType w:val="singleLevel"/>
    <w:tmpl w:val="2EBEB4BA"/>
    <w:lvl w:ilvl="0" w:tentative="0">
      <w:start w:val="26"/>
      <w:numFmt w:val="decimal"/>
      <w:suff w:val="space"/>
      <w:lvlText w:val="%1."/>
      <w:lvlJc w:val="left"/>
    </w:lvl>
  </w:abstractNum>
  <w:abstractNum w:abstractNumId="5">
    <w:nsid w:val="393ADA10"/>
    <w:multiLevelType w:val="singleLevel"/>
    <w:tmpl w:val="393ADA10"/>
    <w:lvl w:ilvl="0" w:tentative="0">
      <w:start w:val="31"/>
      <w:numFmt w:val="decimal"/>
      <w:suff w:val="space"/>
      <w:lvlText w:val="%1."/>
      <w:lvlJc w:val="left"/>
    </w:lvl>
  </w:abstractNum>
  <w:abstractNum w:abstractNumId="6">
    <w:nsid w:val="620B07F5"/>
    <w:multiLevelType w:val="singleLevel"/>
    <w:tmpl w:val="620B07F5"/>
    <w:lvl w:ilvl="0" w:tentative="0">
      <w:start w:val="3"/>
      <w:numFmt w:val="decimal"/>
      <w:suff w:val="nothing"/>
      <w:lvlText w:val="%1."/>
      <w:lvlJc w:val="left"/>
      <w:pPr>
        <w:ind w:left="-60"/>
      </w:pPr>
    </w:lvl>
  </w:abstractNum>
  <w:abstractNum w:abstractNumId="7">
    <w:nsid w:val="643CBB0D"/>
    <w:multiLevelType w:val="singleLevel"/>
    <w:tmpl w:val="643CBB0D"/>
    <w:lvl w:ilvl="0" w:tentative="0">
      <w:start w:val="1"/>
      <w:numFmt w:val="chineseCounting"/>
      <w:suff w:val="nothing"/>
      <w:lvlText w:val="%1、"/>
      <w:lvlJc w:val="left"/>
    </w:lvl>
  </w:abstractNum>
  <w:abstractNum w:abstractNumId="8">
    <w:nsid w:val="64AF5AA1"/>
    <w:multiLevelType w:val="singleLevel"/>
    <w:tmpl w:val="64AF5AA1"/>
    <w:lvl w:ilvl="0" w:tentative="0">
      <w:start w:val="33"/>
      <w:numFmt w:val="decimal"/>
      <w:suff w:val="nothing"/>
      <w:lvlText w:val="%1."/>
      <w:lvlJc w:val="left"/>
    </w:lvl>
  </w:abstractNum>
  <w:abstractNum w:abstractNumId="9">
    <w:nsid w:val="67497D31"/>
    <w:multiLevelType w:val="multilevel"/>
    <w:tmpl w:val="67497D31"/>
    <w:lvl w:ilvl="0" w:tentative="0">
      <w:start w:val="2"/>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0">
    <w:nsid w:val="67497D3C"/>
    <w:multiLevelType w:val="multilevel"/>
    <w:tmpl w:val="67497D3C"/>
    <w:lvl w:ilvl="0" w:tentative="0">
      <w:start w:val="2"/>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1">
    <w:nsid w:val="6AD43707"/>
    <w:multiLevelType w:val="singleLevel"/>
    <w:tmpl w:val="6AD43707"/>
    <w:lvl w:ilvl="0" w:tentative="0">
      <w:start w:val="5"/>
      <w:numFmt w:val="decimal"/>
      <w:suff w:val="space"/>
      <w:lvlText w:val="%1."/>
      <w:lvlJc w:val="left"/>
    </w:lvl>
  </w:abstractNum>
  <w:num w:numId="1">
    <w:abstractNumId w:val="2"/>
  </w:num>
  <w:num w:numId="2">
    <w:abstractNumId w:val="6"/>
  </w:num>
  <w:num w:numId="3">
    <w:abstractNumId w:val="11"/>
  </w:num>
  <w:num w:numId="4">
    <w:abstractNumId w:val="1"/>
  </w:num>
  <w:num w:numId="5">
    <w:abstractNumId w:val="4"/>
  </w:num>
  <w:num w:numId="6">
    <w:abstractNumId w:val="5"/>
  </w:num>
  <w:num w:numId="7">
    <w:abstractNumId w:val="8"/>
  </w:num>
  <w:num w:numId="8">
    <w:abstractNumId w:val="9"/>
    <w:lvlOverride w:ilvl="0">
      <w:startOverride w:val="2"/>
    </w:lvlOverride>
  </w:num>
  <w:num w:numId="9">
    <w:abstractNumId w:val="10"/>
    <w:lvlOverride w:ilvl="0">
      <w:startOverride w:val="2"/>
    </w:lvlOverride>
  </w:num>
  <w:num w:numId="10">
    <w:abstractNumId w:val="3"/>
  </w:num>
  <w:num w:numId="11">
    <w:abstractNumId w:val="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NhZjQxZTIwY2VhZDc0NzRmMzM2NGFkYjBkOWQ0MjcifQ=="/>
    <w:docVar w:name="KSO_WPS_MARK_KEY" w:val="8bedbf56-0780-4ac8-80fd-85fdbf889e71"/>
  </w:docVars>
  <w:rsids>
    <w:rsidRoot w:val="006B6B44"/>
    <w:rsid w:val="00155B9F"/>
    <w:rsid w:val="00227D5A"/>
    <w:rsid w:val="00273AA0"/>
    <w:rsid w:val="002C61F7"/>
    <w:rsid w:val="00361260"/>
    <w:rsid w:val="00377B03"/>
    <w:rsid w:val="00442CC9"/>
    <w:rsid w:val="00457CD7"/>
    <w:rsid w:val="0059276D"/>
    <w:rsid w:val="005F25A9"/>
    <w:rsid w:val="006B6B44"/>
    <w:rsid w:val="00784F0D"/>
    <w:rsid w:val="008408C6"/>
    <w:rsid w:val="009C7964"/>
    <w:rsid w:val="00B65E05"/>
    <w:rsid w:val="00BE3755"/>
    <w:rsid w:val="00C5023F"/>
    <w:rsid w:val="00C83A4D"/>
    <w:rsid w:val="00CE3934"/>
    <w:rsid w:val="00DF61F0"/>
    <w:rsid w:val="00E34700"/>
    <w:rsid w:val="00EA6261"/>
    <w:rsid w:val="00EC296C"/>
    <w:rsid w:val="00EF5BA2"/>
    <w:rsid w:val="00F02DB1"/>
    <w:rsid w:val="0100033D"/>
    <w:rsid w:val="010E7681"/>
    <w:rsid w:val="011C633D"/>
    <w:rsid w:val="013C3125"/>
    <w:rsid w:val="0147042B"/>
    <w:rsid w:val="014E5B21"/>
    <w:rsid w:val="01821A3D"/>
    <w:rsid w:val="01B62CA7"/>
    <w:rsid w:val="01D84888"/>
    <w:rsid w:val="01E21263"/>
    <w:rsid w:val="01FB79D9"/>
    <w:rsid w:val="02012B23"/>
    <w:rsid w:val="020405D6"/>
    <w:rsid w:val="021E1981"/>
    <w:rsid w:val="02294E75"/>
    <w:rsid w:val="02B95509"/>
    <w:rsid w:val="02EB4BA7"/>
    <w:rsid w:val="030932D4"/>
    <w:rsid w:val="030C78DB"/>
    <w:rsid w:val="03246CD1"/>
    <w:rsid w:val="033E499D"/>
    <w:rsid w:val="036C7E00"/>
    <w:rsid w:val="0377595E"/>
    <w:rsid w:val="03B4274D"/>
    <w:rsid w:val="03C12FE4"/>
    <w:rsid w:val="03DA3C5D"/>
    <w:rsid w:val="03E7081B"/>
    <w:rsid w:val="03F02E9E"/>
    <w:rsid w:val="040E5E88"/>
    <w:rsid w:val="04602F95"/>
    <w:rsid w:val="046D2412"/>
    <w:rsid w:val="047177B4"/>
    <w:rsid w:val="04732647"/>
    <w:rsid w:val="047A66B3"/>
    <w:rsid w:val="047F1B73"/>
    <w:rsid w:val="04854265"/>
    <w:rsid w:val="049357F2"/>
    <w:rsid w:val="04A27D7C"/>
    <w:rsid w:val="04C43772"/>
    <w:rsid w:val="04D97DAE"/>
    <w:rsid w:val="04DF12E2"/>
    <w:rsid w:val="04F57ED0"/>
    <w:rsid w:val="05075F25"/>
    <w:rsid w:val="050A2121"/>
    <w:rsid w:val="051031AE"/>
    <w:rsid w:val="051B4E91"/>
    <w:rsid w:val="051E5C06"/>
    <w:rsid w:val="052633D9"/>
    <w:rsid w:val="054D2E98"/>
    <w:rsid w:val="056469EE"/>
    <w:rsid w:val="05841AAD"/>
    <w:rsid w:val="058C1BE6"/>
    <w:rsid w:val="059742FC"/>
    <w:rsid w:val="05A0109D"/>
    <w:rsid w:val="05A85BFA"/>
    <w:rsid w:val="05CA7217"/>
    <w:rsid w:val="05E82D27"/>
    <w:rsid w:val="05EE68ED"/>
    <w:rsid w:val="060C5A1F"/>
    <w:rsid w:val="0633580E"/>
    <w:rsid w:val="06342423"/>
    <w:rsid w:val="06486645"/>
    <w:rsid w:val="064956F9"/>
    <w:rsid w:val="065000D1"/>
    <w:rsid w:val="065B15E4"/>
    <w:rsid w:val="066C1D60"/>
    <w:rsid w:val="066D11E7"/>
    <w:rsid w:val="0680754D"/>
    <w:rsid w:val="06996022"/>
    <w:rsid w:val="06A922BE"/>
    <w:rsid w:val="06B13A22"/>
    <w:rsid w:val="06E71E07"/>
    <w:rsid w:val="06FE3C52"/>
    <w:rsid w:val="070723E2"/>
    <w:rsid w:val="070C1155"/>
    <w:rsid w:val="070E0C2D"/>
    <w:rsid w:val="071023CF"/>
    <w:rsid w:val="073C033A"/>
    <w:rsid w:val="074F2925"/>
    <w:rsid w:val="07513EF5"/>
    <w:rsid w:val="076C2901"/>
    <w:rsid w:val="0780268E"/>
    <w:rsid w:val="078646DF"/>
    <w:rsid w:val="079A3A6D"/>
    <w:rsid w:val="07C57489"/>
    <w:rsid w:val="07E3000E"/>
    <w:rsid w:val="07FC7407"/>
    <w:rsid w:val="08027E93"/>
    <w:rsid w:val="081712C5"/>
    <w:rsid w:val="083D2DFC"/>
    <w:rsid w:val="083F7130"/>
    <w:rsid w:val="0860005B"/>
    <w:rsid w:val="08697D35"/>
    <w:rsid w:val="086C7886"/>
    <w:rsid w:val="08812F2B"/>
    <w:rsid w:val="08CE08D5"/>
    <w:rsid w:val="08CF462B"/>
    <w:rsid w:val="09003B36"/>
    <w:rsid w:val="09122902"/>
    <w:rsid w:val="092D730D"/>
    <w:rsid w:val="098106A1"/>
    <w:rsid w:val="098B1808"/>
    <w:rsid w:val="09B43646"/>
    <w:rsid w:val="09BA72C3"/>
    <w:rsid w:val="09E57EE7"/>
    <w:rsid w:val="09E813E1"/>
    <w:rsid w:val="09F267DA"/>
    <w:rsid w:val="09F467ED"/>
    <w:rsid w:val="0A0A6A80"/>
    <w:rsid w:val="0A101F26"/>
    <w:rsid w:val="0A114758"/>
    <w:rsid w:val="0A280EDB"/>
    <w:rsid w:val="0A4358D5"/>
    <w:rsid w:val="0A45079E"/>
    <w:rsid w:val="0A537D8F"/>
    <w:rsid w:val="0A670558"/>
    <w:rsid w:val="0AA70314"/>
    <w:rsid w:val="0AE07DB7"/>
    <w:rsid w:val="0AE3357A"/>
    <w:rsid w:val="0B523F25"/>
    <w:rsid w:val="0B6767B1"/>
    <w:rsid w:val="0B6E26C2"/>
    <w:rsid w:val="0B77423C"/>
    <w:rsid w:val="0BA04D77"/>
    <w:rsid w:val="0BC03CFE"/>
    <w:rsid w:val="0BC66111"/>
    <w:rsid w:val="0BD83EB7"/>
    <w:rsid w:val="0BE43E2A"/>
    <w:rsid w:val="0C0C54AC"/>
    <w:rsid w:val="0C1D3121"/>
    <w:rsid w:val="0C221581"/>
    <w:rsid w:val="0C2A21CD"/>
    <w:rsid w:val="0C352A11"/>
    <w:rsid w:val="0C637A1A"/>
    <w:rsid w:val="0C790059"/>
    <w:rsid w:val="0C943AA2"/>
    <w:rsid w:val="0C9C22B2"/>
    <w:rsid w:val="0CC036D2"/>
    <w:rsid w:val="0CD455FA"/>
    <w:rsid w:val="0D336721"/>
    <w:rsid w:val="0DA501B3"/>
    <w:rsid w:val="0DD67C92"/>
    <w:rsid w:val="0DE93DD0"/>
    <w:rsid w:val="0DF62709"/>
    <w:rsid w:val="0E3331BF"/>
    <w:rsid w:val="0E5817CB"/>
    <w:rsid w:val="0E5C2BE5"/>
    <w:rsid w:val="0E5D1762"/>
    <w:rsid w:val="0E667A8A"/>
    <w:rsid w:val="0E68189B"/>
    <w:rsid w:val="0E69033F"/>
    <w:rsid w:val="0E993AB0"/>
    <w:rsid w:val="0EA12625"/>
    <w:rsid w:val="0EA65DCB"/>
    <w:rsid w:val="0EAF6971"/>
    <w:rsid w:val="0EBA28D2"/>
    <w:rsid w:val="0ECA6143"/>
    <w:rsid w:val="0ECB78A3"/>
    <w:rsid w:val="0ED711FF"/>
    <w:rsid w:val="0EE3138A"/>
    <w:rsid w:val="0EE3235C"/>
    <w:rsid w:val="0EEE4008"/>
    <w:rsid w:val="0F152394"/>
    <w:rsid w:val="0F2738C4"/>
    <w:rsid w:val="0F2B249C"/>
    <w:rsid w:val="0F3052F1"/>
    <w:rsid w:val="0F4016E2"/>
    <w:rsid w:val="0F4F25D9"/>
    <w:rsid w:val="0F6B6C1D"/>
    <w:rsid w:val="0F8B0398"/>
    <w:rsid w:val="0F9633C9"/>
    <w:rsid w:val="0FCB3337"/>
    <w:rsid w:val="0FD3494E"/>
    <w:rsid w:val="0FEF20FC"/>
    <w:rsid w:val="0FF85BE5"/>
    <w:rsid w:val="103656CA"/>
    <w:rsid w:val="10471B26"/>
    <w:rsid w:val="107E0B86"/>
    <w:rsid w:val="10934E21"/>
    <w:rsid w:val="10937656"/>
    <w:rsid w:val="109D27CB"/>
    <w:rsid w:val="11037A5C"/>
    <w:rsid w:val="110660A6"/>
    <w:rsid w:val="112D6828"/>
    <w:rsid w:val="113D7A32"/>
    <w:rsid w:val="117F283F"/>
    <w:rsid w:val="118E7B9B"/>
    <w:rsid w:val="11B61715"/>
    <w:rsid w:val="11CA3C1A"/>
    <w:rsid w:val="11DB182B"/>
    <w:rsid w:val="11DE6E2F"/>
    <w:rsid w:val="11F76665"/>
    <w:rsid w:val="11FB02FE"/>
    <w:rsid w:val="124455EA"/>
    <w:rsid w:val="1260763B"/>
    <w:rsid w:val="127A31E0"/>
    <w:rsid w:val="129058CB"/>
    <w:rsid w:val="12A64995"/>
    <w:rsid w:val="12BA1B28"/>
    <w:rsid w:val="12BF4B9D"/>
    <w:rsid w:val="12E45B62"/>
    <w:rsid w:val="12EB2F00"/>
    <w:rsid w:val="12F906D8"/>
    <w:rsid w:val="12F908B4"/>
    <w:rsid w:val="13203B66"/>
    <w:rsid w:val="13215279"/>
    <w:rsid w:val="133C3230"/>
    <w:rsid w:val="13856106"/>
    <w:rsid w:val="13C94A07"/>
    <w:rsid w:val="13D36C5E"/>
    <w:rsid w:val="13E72192"/>
    <w:rsid w:val="13FC2CB5"/>
    <w:rsid w:val="14771A6A"/>
    <w:rsid w:val="14817FDA"/>
    <w:rsid w:val="14B0225D"/>
    <w:rsid w:val="14C82B81"/>
    <w:rsid w:val="14D40C9A"/>
    <w:rsid w:val="14EB318D"/>
    <w:rsid w:val="14FB1C8F"/>
    <w:rsid w:val="1506135C"/>
    <w:rsid w:val="15122D32"/>
    <w:rsid w:val="1519733C"/>
    <w:rsid w:val="151A6E6E"/>
    <w:rsid w:val="154B61B2"/>
    <w:rsid w:val="15557EC7"/>
    <w:rsid w:val="156B61A7"/>
    <w:rsid w:val="15A0059B"/>
    <w:rsid w:val="167E259C"/>
    <w:rsid w:val="16AD19E8"/>
    <w:rsid w:val="16D87D6E"/>
    <w:rsid w:val="16FA6C98"/>
    <w:rsid w:val="17051824"/>
    <w:rsid w:val="170B353F"/>
    <w:rsid w:val="1725189E"/>
    <w:rsid w:val="173C6FEB"/>
    <w:rsid w:val="176F0A16"/>
    <w:rsid w:val="17733A06"/>
    <w:rsid w:val="1775207A"/>
    <w:rsid w:val="177523D1"/>
    <w:rsid w:val="177B2942"/>
    <w:rsid w:val="1784346D"/>
    <w:rsid w:val="17C65D17"/>
    <w:rsid w:val="17CD1C16"/>
    <w:rsid w:val="17DA4C80"/>
    <w:rsid w:val="182A4348"/>
    <w:rsid w:val="184F13F4"/>
    <w:rsid w:val="18566D43"/>
    <w:rsid w:val="188744BB"/>
    <w:rsid w:val="18926767"/>
    <w:rsid w:val="18A37708"/>
    <w:rsid w:val="18A55245"/>
    <w:rsid w:val="18C56AA8"/>
    <w:rsid w:val="18EB151D"/>
    <w:rsid w:val="191106C7"/>
    <w:rsid w:val="19346C7C"/>
    <w:rsid w:val="193B644D"/>
    <w:rsid w:val="194E3524"/>
    <w:rsid w:val="195D26D4"/>
    <w:rsid w:val="19761DF7"/>
    <w:rsid w:val="199063F6"/>
    <w:rsid w:val="19A86176"/>
    <w:rsid w:val="19B65BE7"/>
    <w:rsid w:val="19F17E3E"/>
    <w:rsid w:val="1A330456"/>
    <w:rsid w:val="1A3C5371"/>
    <w:rsid w:val="1A41745E"/>
    <w:rsid w:val="1A5712FD"/>
    <w:rsid w:val="1A976FFA"/>
    <w:rsid w:val="1AB620A6"/>
    <w:rsid w:val="1AC60298"/>
    <w:rsid w:val="1ACF7806"/>
    <w:rsid w:val="1ADF7C99"/>
    <w:rsid w:val="1AEF5AF1"/>
    <w:rsid w:val="1AFD127E"/>
    <w:rsid w:val="1B01720A"/>
    <w:rsid w:val="1B1C7D80"/>
    <w:rsid w:val="1B291668"/>
    <w:rsid w:val="1B311E97"/>
    <w:rsid w:val="1B3A1A58"/>
    <w:rsid w:val="1B3E54F1"/>
    <w:rsid w:val="1B5606C4"/>
    <w:rsid w:val="1B713E01"/>
    <w:rsid w:val="1B7758FD"/>
    <w:rsid w:val="1B992F08"/>
    <w:rsid w:val="1BB10937"/>
    <w:rsid w:val="1BB45520"/>
    <w:rsid w:val="1C1443B6"/>
    <w:rsid w:val="1CA0458E"/>
    <w:rsid w:val="1CC17F9B"/>
    <w:rsid w:val="1CCC06F6"/>
    <w:rsid w:val="1CE83B7D"/>
    <w:rsid w:val="1CEA0CE2"/>
    <w:rsid w:val="1CF42602"/>
    <w:rsid w:val="1D0D31E0"/>
    <w:rsid w:val="1D1207F7"/>
    <w:rsid w:val="1D413DDA"/>
    <w:rsid w:val="1D430B8A"/>
    <w:rsid w:val="1D4674DC"/>
    <w:rsid w:val="1D594678"/>
    <w:rsid w:val="1D6923E1"/>
    <w:rsid w:val="1D6F3520"/>
    <w:rsid w:val="1DD34639"/>
    <w:rsid w:val="1DE34B94"/>
    <w:rsid w:val="1DE64ED4"/>
    <w:rsid w:val="1DF93A83"/>
    <w:rsid w:val="1DFB7AC1"/>
    <w:rsid w:val="1E002D45"/>
    <w:rsid w:val="1E1B70BC"/>
    <w:rsid w:val="1E1C7453"/>
    <w:rsid w:val="1E2C58E8"/>
    <w:rsid w:val="1E3F5366"/>
    <w:rsid w:val="1E603227"/>
    <w:rsid w:val="1E7526A1"/>
    <w:rsid w:val="1E7B4119"/>
    <w:rsid w:val="1E9B599E"/>
    <w:rsid w:val="1EAE1B4C"/>
    <w:rsid w:val="1EB6799F"/>
    <w:rsid w:val="1EBA2D31"/>
    <w:rsid w:val="1ED91680"/>
    <w:rsid w:val="1EF3295A"/>
    <w:rsid w:val="1EFC46D7"/>
    <w:rsid w:val="1F046865"/>
    <w:rsid w:val="1F0A153D"/>
    <w:rsid w:val="1F1403CE"/>
    <w:rsid w:val="1F1C105D"/>
    <w:rsid w:val="1F1C25A1"/>
    <w:rsid w:val="1F1E0784"/>
    <w:rsid w:val="1F2533FE"/>
    <w:rsid w:val="1F2F6111"/>
    <w:rsid w:val="1F4C1E2A"/>
    <w:rsid w:val="1F655169"/>
    <w:rsid w:val="1F776F31"/>
    <w:rsid w:val="1F81104A"/>
    <w:rsid w:val="1FCA360B"/>
    <w:rsid w:val="1FE74446"/>
    <w:rsid w:val="20075BE8"/>
    <w:rsid w:val="20081198"/>
    <w:rsid w:val="200D1786"/>
    <w:rsid w:val="200D266C"/>
    <w:rsid w:val="201044E2"/>
    <w:rsid w:val="202A40A9"/>
    <w:rsid w:val="203F3F27"/>
    <w:rsid w:val="20607414"/>
    <w:rsid w:val="206233EC"/>
    <w:rsid w:val="20684BD2"/>
    <w:rsid w:val="20841A36"/>
    <w:rsid w:val="20B83463"/>
    <w:rsid w:val="20CB544E"/>
    <w:rsid w:val="20D51F33"/>
    <w:rsid w:val="20E41252"/>
    <w:rsid w:val="20EA0278"/>
    <w:rsid w:val="210545EA"/>
    <w:rsid w:val="21175AEB"/>
    <w:rsid w:val="211F672C"/>
    <w:rsid w:val="2122550F"/>
    <w:rsid w:val="2130515F"/>
    <w:rsid w:val="21355DB9"/>
    <w:rsid w:val="213B25BD"/>
    <w:rsid w:val="214D2418"/>
    <w:rsid w:val="214E22CF"/>
    <w:rsid w:val="219A423A"/>
    <w:rsid w:val="21FD749A"/>
    <w:rsid w:val="220B7F0B"/>
    <w:rsid w:val="22133AE8"/>
    <w:rsid w:val="2228666C"/>
    <w:rsid w:val="225455FE"/>
    <w:rsid w:val="2254672B"/>
    <w:rsid w:val="226076E5"/>
    <w:rsid w:val="227332BD"/>
    <w:rsid w:val="228A64F0"/>
    <w:rsid w:val="22966C59"/>
    <w:rsid w:val="22AD2360"/>
    <w:rsid w:val="22C6291C"/>
    <w:rsid w:val="22D67DF5"/>
    <w:rsid w:val="22DB26BB"/>
    <w:rsid w:val="22FE33F9"/>
    <w:rsid w:val="230B3170"/>
    <w:rsid w:val="23104DD0"/>
    <w:rsid w:val="23174909"/>
    <w:rsid w:val="234461A5"/>
    <w:rsid w:val="23736488"/>
    <w:rsid w:val="23756255"/>
    <w:rsid w:val="23847F75"/>
    <w:rsid w:val="238F5D2E"/>
    <w:rsid w:val="23D96DEA"/>
    <w:rsid w:val="23E3790D"/>
    <w:rsid w:val="24066FB4"/>
    <w:rsid w:val="242604B6"/>
    <w:rsid w:val="245A3C9B"/>
    <w:rsid w:val="247A72CB"/>
    <w:rsid w:val="25162D76"/>
    <w:rsid w:val="251732EC"/>
    <w:rsid w:val="251F61A7"/>
    <w:rsid w:val="25212425"/>
    <w:rsid w:val="25214718"/>
    <w:rsid w:val="254F4DAC"/>
    <w:rsid w:val="25573C2A"/>
    <w:rsid w:val="255F7774"/>
    <w:rsid w:val="2579524A"/>
    <w:rsid w:val="257D13C5"/>
    <w:rsid w:val="25A44CDF"/>
    <w:rsid w:val="25BB1339"/>
    <w:rsid w:val="25DB498E"/>
    <w:rsid w:val="25E14C3C"/>
    <w:rsid w:val="260B7D56"/>
    <w:rsid w:val="261A7F80"/>
    <w:rsid w:val="261D76C7"/>
    <w:rsid w:val="26286935"/>
    <w:rsid w:val="262B6BA5"/>
    <w:rsid w:val="263531E5"/>
    <w:rsid w:val="26380D40"/>
    <w:rsid w:val="26393D25"/>
    <w:rsid w:val="26462E7B"/>
    <w:rsid w:val="269106A1"/>
    <w:rsid w:val="26942FFE"/>
    <w:rsid w:val="26A738D1"/>
    <w:rsid w:val="26B8706F"/>
    <w:rsid w:val="26C43618"/>
    <w:rsid w:val="26D125D4"/>
    <w:rsid w:val="26D22296"/>
    <w:rsid w:val="26D315AB"/>
    <w:rsid w:val="26EE7D79"/>
    <w:rsid w:val="26FE64D2"/>
    <w:rsid w:val="27231852"/>
    <w:rsid w:val="27872C1D"/>
    <w:rsid w:val="27967869"/>
    <w:rsid w:val="27C26C0C"/>
    <w:rsid w:val="27C47BCD"/>
    <w:rsid w:val="27CF3940"/>
    <w:rsid w:val="282A456F"/>
    <w:rsid w:val="28415DAF"/>
    <w:rsid w:val="2848403E"/>
    <w:rsid w:val="28534CC7"/>
    <w:rsid w:val="285C68C6"/>
    <w:rsid w:val="2862619B"/>
    <w:rsid w:val="286666B5"/>
    <w:rsid w:val="287F16DC"/>
    <w:rsid w:val="291038D3"/>
    <w:rsid w:val="29195862"/>
    <w:rsid w:val="293465F4"/>
    <w:rsid w:val="295139F9"/>
    <w:rsid w:val="295C7D1E"/>
    <w:rsid w:val="295D104C"/>
    <w:rsid w:val="296F0D7F"/>
    <w:rsid w:val="299A1EFE"/>
    <w:rsid w:val="29F76716"/>
    <w:rsid w:val="29FE4C20"/>
    <w:rsid w:val="2A0642E5"/>
    <w:rsid w:val="2A1C4B42"/>
    <w:rsid w:val="2A27590E"/>
    <w:rsid w:val="2A461A00"/>
    <w:rsid w:val="2A526841"/>
    <w:rsid w:val="2A6A2C95"/>
    <w:rsid w:val="2A6E1C5F"/>
    <w:rsid w:val="2ADE7F03"/>
    <w:rsid w:val="2AE013C4"/>
    <w:rsid w:val="2AF240E7"/>
    <w:rsid w:val="2B1E540E"/>
    <w:rsid w:val="2B326AF2"/>
    <w:rsid w:val="2B336409"/>
    <w:rsid w:val="2B5D374A"/>
    <w:rsid w:val="2B6F40AB"/>
    <w:rsid w:val="2BD769AA"/>
    <w:rsid w:val="2BE867DE"/>
    <w:rsid w:val="2BF94356"/>
    <w:rsid w:val="2C126F23"/>
    <w:rsid w:val="2C301D85"/>
    <w:rsid w:val="2C5C3E0E"/>
    <w:rsid w:val="2C6F2F91"/>
    <w:rsid w:val="2C8B2EBE"/>
    <w:rsid w:val="2CA41AAD"/>
    <w:rsid w:val="2CBD784E"/>
    <w:rsid w:val="2CD44FE8"/>
    <w:rsid w:val="2D102879"/>
    <w:rsid w:val="2D1278E5"/>
    <w:rsid w:val="2D363AC1"/>
    <w:rsid w:val="2D4174FF"/>
    <w:rsid w:val="2D7366E1"/>
    <w:rsid w:val="2D80355B"/>
    <w:rsid w:val="2DB4017E"/>
    <w:rsid w:val="2E004A83"/>
    <w:rsid w:val="2E56250D"/>
    <w:rsid w:val="2E6F5C11"/>
    <w:rsid w:val="2E89343E"/>
    <w:rsid w:val="2E953036"/>
    <w:rsid w:val="2EA2248C"/>
    <w:rsid w:val="2EA476C7"/>
    <w:rsid w:val="2EBA2863"/>
    <w:rsid w:val="2F0974B4"/>
    <w:rsid w:val="2F2427C6"/>
    <w:rsid w:val="2F2D13BF"/>
    <w:rsid w:val="2F6E1B09"/>
    <w:rsid w:val="2F952ACD"/>
    <w:rsid w:val="2FB344DB"/>
    <w:rsid w:val="2FC251C5"/>
    <w:rsid w:val="2FEA5603"/>
    <w:rsid w:val="2FEC137B"/>
    <w:rsid w:val="2FEE1AA4"/>
    <w:rsid w:val="2FEF574E"/>
    <w:rsid w:val="2FF63FA8"/>
    <w:rsid w:val="302513B1"/>
    <w:rsid w:val="30437784"/>
    <w:rsid w:val="304406B6"/>
    <w:rsid w:val="30493046"/>
    <w:rsid w:val="305557A2"/>
    <w:rsid w:val="3056605C"/>
    <w:rsid w:val="30B34192"/>
    <w:rsid w:val="30E37FF0"/>
    <w:rsid w:val="30F26942"/>
    <w:rsid w:val="30F70011"/>
    <w:rsid w:val="31143E67"/>
    <w:rsid w:val="311A0404"/>
    <w:rsid w:val="311A12F4"/>
    <w:rsid w:val="31453A15"/>
    <w:rsid w:val="316E6BC8"/>
    <w:rsid w:val="318A035C"/>
    <w:rsid w:val="319D12C3"/>
    <w:rsid w:val="31A74B17"/>
    <w:rsid w:val="31BD6652"/>
    <w:rsid w:val="31BF7BF7"/>
    <w:rsid w:val="31DE6E0A"/>
    <w:rsid w:val="321015FB"/>
    <w:rsid w:val="32293DF3"/>
    <w:rsid w:val="322A6D80"/>
    <w:rsid w:val="32430109"/>
    <w:rsid w:val="32563766"/>
    <w:rsid w:val="325B2B9E"/>
    <w:rsid w:val="326A2B93"/>
    <w:rsid w:val="326C208D"/>
    <w:rsid w:val="32766CE0"/>
    <w:rsid w:val="32B057EA"/>
    <w:rsid w:val="32BC60A7"/>
    <w:rsid w:val="32C84B2E"/>
    <w:rsid w:val="32DB4E0E"/>
    <w:rsid w:val="32DD1317"/>
    <w:rsid w:val="33073FC8"/>
    <w:rsid w:val="33196C24"/>
    <w:rsid w:val="33581A03"/>
    <w:rsid w:val="337A3E72"/>
    <w:rsid w:val="33B2209F"/>
    <w:rsid w:val="33B74CDE"/>
    <w:rsid w:val="33CC574C"/>
    <w:rsid w:val="33ED7B1F"/>
    <w:rsid w:val="3411315F"/>
    <w:rsid w:val="34134BEF"/>
    <w:rsid w:val="34145B06"/>
    <w:rsid w:val="343E5052"/>
    <w:rsid w:val="34521A56"/>
    <w:rsid w:val="3457424D"/>
    <w:rsid w:val="34600E6E"/>
    <w:rsid w:val="348852A1"/>
    <w:rsid w:val="34BD6E42"/>
    <w:rsid w:val="34EF36BF"/>
    <w:rsid w:val="35033E7C"/>
    <w:rsid w:val="3518676F"/>
    <w:rsid w:val="35253297"/>
    <w:rsid w:val="35445BF0"/>
    <w:rsid w:val="354D466A"/>
    <w:rsid w:val="355B20B3"/>
    <w:rsid w:val="355E745F"/>
    <w:rsid w:val="3561607B"/>
    <w:rsid w:val="357778F8"/>
    <w:rsid w:val="35810C58"/>
    <w:rsid w:val="35995BD6"/>
    <w:rsid w:val="35AA386B"/>
    <w:rsid w:val="36162765"/>
    <w:rsid w:val="361D365C"/>
    <w:rsid w:val="36206B3D"/>
    <w:rsid w:val="3627310D"/>
    <w:rsid w:val="36531214"/>
    <w:rsid w:val="367214D2"/>
    <w:rsid w:val="368A71F8"/>
    <w:rsid w:val="369E0EF6"/>
    <w:rsid w:val="36AB36F1"/>
    <w:rsid w:val="36B95EFA"/>
    <w:rsid w:val="36EB5B5C"/>
    <w:rsid w:val="36F95BB9"/>
    <w:rsid w:val="37085392"/>
    <w:rsid w:val="37105A48"/>
    <w:rsid w:val="371A3199"/>
    <w:rsid w:val="3739720A"/>
    <w:rsid w:val="373E23F6"/>
    <w:rsid w:val="37457481"/>
    <w:rsid w:val="375E31F0"/>
    <w:rsid w:val="375E791B"/>
    <w:rsid w:val="37625B6D"/>
    <w:rsid w:val="376F4297"/>
    <w:rsid w:val="377703A7"/>
    <w:rsid w:val="378873BF"/>
    <w:rsid w:val="37BD7DDF"/>
    <w:rsid w:val="37C061AF"/>
    <w:rsid w:val="37C204A6"/>
    <w:rsid w:val="37C24F10"/>
    <w:rsid w:val="37DD26B8"/>
    <w:rsid w:val="37E640D7"/>
    <w:rsid w:val="37F13AF8"/>
    <w:rsid w:val="37F51C53"/>
    <w:rsid w:val="38091218"/>
    <w:rsid w:val="38365807"/>
    <w:rsid w:val="38600F6C"/>
    <w:rsid w:val="38607858"/>
    <w:rsid w:val="386A0F99"/>
    <w:rsid w:val="386E7642"/>
    <w:rsid w:val="389153B5"/>
    <w:rsid w:val="38C22A7E"/>
    <w:rsid w:val="38CF0CDC"/>
    <w:rsid w:val="38E802E6"/>
    <w:rsid w:val="38FB1500"/>
    <w:rsid w:val="39071B67"/>
    <w:rsid w:val="39175C11"/>
    <w:rsid w:val="39224F11"/>
    <w:rsid w:val="393A00CE"/>
    <w:rsid w:val="393C364B"/>
    <w:rsid w:val="394B27E7"/>
    <w:rsid w:val="3955343C"/>
    <w:rsid w:val="3960278E"/>
    <w:rsid w:val="398E625D"/>
    <w:rsid w:val="39957F50"/>
    <w:rsid w:val="399C171C"/>
    <w:rsid w:val="39AA42C1"/>
    <w:rsid w:val="39C1727D"/>
    <w:rsid w:val="39F3485B"/>
    <w:rsid w:val="39FA6108"/>
    <w:rsid w:val="3A1376B0"/>
    <w:rsid w:val="3A1A4E71"/>
    <w:rsid w:val="3A305F5F"/>
    <w:rsid w:val="3A43428E"/>
    <w:rsid w:val="3A4D18CB"/>
    <w:rsid w:val="3A560DCE"/>
    <w:rsid w:val="3A8476E7"/>
    <w:rsid w:val="3AA22453"/>
    <w:rsid w:val="3AB24F6F"/>
    <w:rsid w:val="3AB57BE2"/>
    <w:rsid w:val="3AB764B1"/>
    <w:rsid w:val="3ABF7840"/>
    <w:rsid w:val="3ACF550A"/>
    <w:rsid w:val="3AE5670A"/>
    <w:rsid w:val="3B37322C"/>
    <w:rsid w:val="3B630575"/>
    <w:rsid w:val="3B641BF0"/>
    <w:rsid w:val="3B721655"/>
    <w:rsid w:val="3B947B1C"/>
    <w:rsid w:val="3BC66F24"/>
    <w:rsid w:val="3BDD601C"/>
    <w:rsid w:val="3C153A08"/>
    <w:rsid w:val="3C282E96"/>
    <w:rsid w:val="3C477963"/>
    <w:rsid w:val="3C6C3B8E"/>
    <w:rsid w:val="3CAC19F4"/>
    <w:rsid w:val="3CBD7C21"/>
    <w:rsid w:val="3CF24485"/>
    <w:rsid w:val="3CFD2D01"/>
    <w:rsid w:val="3D046180"/>
    <w:rsid w:val="3D297F36"/>
    <w:rsid w:val="3D5566FA"/>
    <w:rsid w:val="3D7039D2"/>
    <w:rsid w:val="3D7331CA"/>
    <w:rsid w:val="3D7F1373"/>
    <w:rsid w:val="3DA86969"/>
    <w:rsid w:val="3DDA73FC"/>
    <w:rsid w:val="3DEA0E8F"/>
    <w:rsid w:val="3E05017A"/>
    <w:rsid w:val="3E6E4482"/>
    <w:rsid w:val="3E7618FA"/>
    <w:rsid w:val="3E7B2030"/>
    <w:rsid w:val="3E830663"/>
    <w:rsid w:val="3EBC2C40"/>
    <w:rsid w:val="3EC9204D"/>
    <w:rsid w:val="3EDE2268"/>
    <w:rsid w:val="3EFB4E8C"/>
    <w:rsid w:val="3F3348D1"/>
    <w:rsid w:val="3F49162A"/>
    <w:rsid w:val="3F6126FB"/>
    <w:rsid w:val="3F63314B"/>
    <w:rsid w:val="3F6A1E6E"/>
    <w:rsid w:val="3F8D5BE5"/>
    <w:rsid w:val="3F972CBA"/>
    <w:rsid w:val="3FBF4E2E"/>
    <w:rsid w:val="3FDA0D61"/>
    <w:rsid w:val="400A5153"/>
    <w:rsid w:val="40176A1E"/>
    <w:rsid w:val="401E2A26"/>
    <w:rsid w:val="402E250F"/>
    <w:rsid w:val="40313B62"/>
    <w:rsid w:val="40340199"/>
    <w:rsid w:val="40354679"/>
    <w:rsid w:val="4053561D"/>
    <w:rsid w:val="40564855"/>
    <w:rsid w:val="409B7275"/>
    <w:rsid w:val="40A416C3"/>
    <w:rsid w:val="40A502F3"/>
    <w:rsid w:val="40CC37C8"/>
    <w:rsid w:val="40D048DF"/>
    <w:rsid w:val="40E0565D"/>
    <w:rsid w:val="40E06BFA"/>
    <w:rsid w:val="41017AF4"/>
    <w:rsid w:val="4106686C"/>
    <w:rsid w:val="410C312E"/>
    <w:rsid w:val="41166258"/>
    <w:rsid w:val="41174C22"/>
    <w:rsid w:val="41246AA2"/>
    <w:rsid w:val="4125257F"/>
    <w:rsid w:val="414B5806"/>
    <w:rsid w:val="41501A52"/>
    <w:rsid w:val="417D38A3"/>
    <w:rsid w:val="41C0533E"/>
    <w:rsid w:val="41C262D0"/>
    <w:rsid w:val="41E33EDC"/>
    <w:rsid w:val="41E922D5"/>
    <w:rsid w:val="41FF7786"/>
    <w:rsid w:val="426A586B"/>
    <w:rsid w:val="426B0B13"/>
    <w:rsid w:val="426F5805"/>
    <w:rsid w:val="427669EC"/>
    <w:rsid w:val="427A0DB5"/>
    <w:rsid w:val="42983C5A"/>
    <w:rsid w:val="429F0D52"/>
    <w:rsid w:val="42C61DC7"/>
    <w:rsid w:val="42C942ED"/>
    <w:rsid w:val="42CF3A15"/>
    <w:rsid w:val="42DB7E92"/>
    <w:rsid w:val="42DF397A"/>
    <w:rsid w:val="42F02E93"/>
    <w:rsid w:val="43103410"/>
    <w:rsid w:val="431C567C"/>
    <w:rsid w:val="433C261E"/>
    <w:rsid w:val="434444D3"/>
    <w:rsid w:val="43482915"/>
    <w:rsid w:val="434F77FF"/>
    <w:rsid w:val="435833B8"/>
    <w:rsid w:val="43750A80"/>
    <w:rsid w:val="437F3405"/>
    <w:rsid w:val="43803E5D"/>
    <w:rsid w:val="4390415B"/>
    <w:rsid w:val="43B1724E"/>
    <w:rsid w:val="43BE409B"/>
    <w:rsid w:val="43D9356D"/>
    <w:rsid w:val="43D97B7C"/>
    <w:rsid w:val="43F9794F"/>
    <w:rsid w:val="444D4548"/>
    <w:rsid w:val="44531B89"/>
    <w:rsid w:val="445A2079"/>
    <w:rsid w:val="44765291"/>
    <w:rsid w:val="447C4669"/>
    <w:rsid w:val="448907C0"/>
    <w:rsid w:val="44E4722C"/>
    <w:rsid w:val="44E4748A"/>
    <w:rsid w:val="450A73ED"/>
    <w:rsid w:val="450D6521"/>
    <w:rsid w:val="4537152D"/>
    <w:rsid w:val="453A20DD"/>
    <w:rsid w:val="45482A0E"/>
    <w:rsid w:val="4548351D"/>
    <w:rsid w:val="454A4A52"/>
    <w:rsid w:val="456D1381"/>
    <w:rsid w:val="456E2FF9"/>
    <w:rsid w:val="45853583"/>
    <w:rsid w:val="45AD7AAF"/>
    <w:rsid w:val="45CB558C"/>
    <w:rsid w:val="45D54996"/>
    <w:rsid w:val="45F53761"/>
    <w:rsid w:val="460162E2"/>
    <w:rsid w:val="460B6FFA"/>
    <w:rsid w:val="46103F58"/>
    <w:rsid w:val="461670EA"/>
    <w:rsid w:val="462B5D05"/>
    <w:rsid w:val="462C5B9A"/>
    <w:rsid w:val="465A2599"/>
    <w:rsid w:val="466C5BDD"/>
    <w:rsid w:val="46724ED1"/>
    <w:rsid w:val="467A08BB"/>
    <w:rsid w:val="469C23EE"/>
    <w:rsid w:val="46B02CAC"/>
    <w:rsid w:val="46B27839"/>
    <w:rsid w:val="46B7187E"/>
    <w:rsid w:val="46BC1650"/>
    <w:rsid w:val="46D71FE6"/>
    <w:rsid w:val="46D9282A"/>
    <w:rsid w:val="471774D0"/>
    <w:rsid w:val="47213261"/>
    <w:rsid w:val="4722660E"/>
    <w:rsid w:val="47370DB9"/>
    <w:rsid w:val="474437B8"/>
    <w:rsid w:val="47473481"/>
    <w:rsid w:val="47B831CD"/>
    <w:rsid w:val="47DB0EA1"/>
    <w:rsid w:val="47F605E0"/>
    <w:rsid w:val="48187985"/>
    <w:rsid w:val="481A362E"/>
    <w:rsid w:val="4822043E"/>
    <w:rsid w:val="482C230B"/>
    <w:rsid w:val="483076CD"/>
    <w:rsid w:val="483F0499"/>
    <w:rsid w:val="48557468"/>
    <w:rsid w:val="48564DC8"/>
    <w:rsid w:val="485A21CC"/>
    <w:rsid w:val="487830F3"/>
    <w:rsid w:val="48873A29"/>
    <w:rsid w:val="488A6C14"/>
    <w:rsid w:val="488C6E00"/>
    <w:rsid w:val="489C6958"/>
    <w:rsid w:val="48E70A52"/>
    <w:rsid w:val="48FA1296"/>
    <w:rsid w:val="48FE3445"/>
    <w:rsid w:val="492C7466"/>
    <w:rsid w:val="493A7AD0"/>
    <w:rsid w:val="49515C9B"/>
    <w:rsid w:val="49764A58"/>
    <w:rsid w:val="49A56109"/>
    <w:rsid w:val="49C957B5"/>
    <w:rsid w:val="49D00811"/>
    <w:rsid w:val="49D41AA0"/>
    <w:rsid w:val="49EA1F85"/>
    <w:rsid w:val="4A187B9C"/>
    <w:rsid w:val="4A4C5595"/>
    <w:rsid w:val="4AAE4FC7"/>
    <w:rsid w:val="4AC33A9A"/>
    <w:rsid w:val="4AC9458D"/>
    <w:rsid w:val="4ACB0C41"/>
    <w:rsid w:val="4AF277AD"/>
    <w:rsid w:val="4B0E0E93"/>
    <w:rsid w:val="4B10272C"/>
    <w:rsid w:val="4B205F07"/>
    <w:rsid w:val="4B547057"/>
    <w:rsid w:val="4B6052BB"/>
    <w:rsid w:val="4B8D047F"/>
    <w:rsid w:val="4B9B2242"/>
    <w:rsid w:val="4BB84DDD"/>
    <w:rsid w:val="4BD021A8"/>
    <w:rsid w:val="4BD93AB3"/>
    <w:rsid w:val="4BE3441A"/>
    <w:rsid w:val="4BFB1519"/>
    <w:rsid w:val="4C0D4CE7"/>
    <w:rsid w:val="4C217503"/>
    <w:rsid w:val="4C2674A9"/>
    <w:rsid w:val="4C9065A1"/>
    <w:rsid w:val="4CA41D1E"/>
    <w:rsid w:val="4CE35192"/>
    <w:rsid w:val="4D032D39"/>
    <w:rsid w:val="4D085C18"/>
    <w:rsid w:val="4D147255"/>
    <w:rsid w:val="4D2301D4"/>
    <w:rsid w:val="4D337A52"/>
    <w:rsid w:val="4D5831B4"/>
    <w:rsid w:val="4D755501"/>
    <w:rsid w:val="4D7808E2"/>
    <w:rsid w:val="4DB7448E"/>
    <w:rsid w:val="4DBD0245"/>
    <w:rsid w:val="4DD74C2E"/>
    <w:rsid w:val="4DF07841"/>
    <w:rsid w:val="4E097953"/>
    <w:rsid w:val="4E1F20D1"/>
    <w:rsid w:val="4E314CF4"/>
    <w:rsid w:val="4E337D4C"/>
    <w:rsid w:val="4E3F5A59"/>
    <w:rsid w:val="4E417E90"/>
    <w:rsid w:val="4E450DA4"/>
    <w:rsid w:val="4E497850"/>
    <w:rsid w:val="4E5C54C6"/>
    <w:rsid w:val="4E6D06B8"/>
    <w:rsid w:val="4E8F7CF4"/>
    <w:rsid w:val="4EB46E2B"/>
    <w:rsid w:val="4EE10922"/>
    <w:rsid w:val="4F0C2A48"/>
    <w:rsid w:val="4F292DFC"/>
    <w:rsid w:val="4F3B47E8"/>
    <w:rsid w:val="4F3E5B72"/>
    <w:rsid w:val="4F882F35"/>
    <w:rsid w:val="4F9C74D5"/>
    <w:rsid w:val="4FA62E9D"/>
    <w:rsid w:val="4FAB2D34"/>
    <w:rsid w:val="50010753"/>
    <w:rsid w:val="50081462"/>
    <w:rsid w:val="50090D09"/>
    <w:rsid w:val="500B71A4"/>
    <w:rsid w:val="50347FF9"/>
    <w:rsid w:val="50420E91"/>
    <w:rsid w:val="50755E6C"/>
    <w:rsid w:val="50795EBC"/>
    <w:rsid w:val="508275E8"/>
    <w:rsid w:val="50AB1A62"/>
    <w:rsid w:val="50AF72DB"/>
    <w:rsid w:val="50B2258E"/>
    <w:rsid w:val="50C335DB"/>
    <w:rsid w:val="50C63C47"/>
    <w:rsid w:val="50E23BD5"/>
    <w:rsid w:val="50FB4F07"/>
    <w:rsid w:val="51183C80"/>
    <w:rsid w:val="511C22AE"/>
    <w:rsid w:val="512C1FE1"/>
    <w:rsid w:val="51456CD1"/>
    <w:rsid w:val="52180956"/>
    <w:rsid w:val="52297E55"/>
    <w:rsid w:val="522A7FC1"/>
    <w:rsid w:val="523B63BA"/>
    <w:rsid w:val="525A6DC5"/>
    <w:rsid w:val="529D6898"/>
    <w:rsid w:val="52AB7CFF"/>
    <w:rsid w:val="52BF28D9"/>
    <w:rsid w:val="52C46D79"/>
    <w:rsid w:val="52CB373D"/>
    <w:rsid w:val="52DD37A9"/>
    <w:rsid w:val="52E42E4C"/>
    <w:rsid w:val="52EF785C"/>
    <w:rsid w:val="531243A6"/>
    <w:rsid w:val="53285977"/>
    <w:rsid w:val="53372935"/>
    <w:rsid w:val="533D693F"/>
    <w:rsid w:val="53471890"/>
    <w:rsid w:val="53560736"/>
    <w:rsid w:val="539A2957"/>
    <w:rsid w:val="53A5652C"/>
    <w:rsid w:val="53C646E4"/>
    <w:rsid w:val="53C876EF"/>
    <w:rsid w:val="53D11D66"/>
    <w:rsid w:val="53DE45D6"/>
    <w:rsid w:val="53FE3F51"/>
    <w:rsid w:val="542C3BAD"/>
    <w:rsid w:val="542E1799"/>
    <w:rsid w:val="54396E8B"/>
    <w:rsid w:val="547A0454"/>
    <w:rsid w:val="548E5FEE"/>
    <w:rsid w:val="549C3D50"/>
    <w:rsid w:val="54A07F9F"/>
    <w:rsid w:val="54A85C20"/>
    <w:rsid w:val="54D97C92"/>
    <w:rsid w:val="54FB4092"/>
    <w:rsid w:val="55054AAE"/>
    <w:rsid w:val="55094989"/>
    <w:rsid w:val="551B1C37"/>
    <w:rsid w:val="551C7020"/>
    <w:rsid w:val="552A1E7A"/>
    <w:rsid w:val="55344548"/>
    <w:rsid w:val="55362244"/>
    <w:rsid w:val="554E1AE0"/>
    <w:rsid w:val="555D0434"/>
    <w:rsid w:val="55826103"/>
    <w:rsid w:val="5586310C"/>
    <w:rsid w:val="558A20A7"/>
    <w:rsid w:val="55976DDD"/>
    <w:rsid w:val="55E71A57"/>
    <w:rsid w:val="55EA236F"/>
    <w:rsid w:val="561300DF"/>
    <w:rsid w:val="561D3112"/>
    <w:rsid w:val="562422F7"/>
    <w:rsid w:val="564E4C07"/>
    <w:rsid w:val="5657153E"/>
    <w:rsid w:val="567B2D32"/>
    <w:rsid w:val="5695591B"/>
    <w:rsid w:val="56A428CB"/>
    <w:rsid w:val="56A77B69"/>
    <w:rsid w:val="56C81A05"/>
    <w:rsid w:val="56CC0D48"/>
    <w:rsid w:val="56D55E16"/>
    <w:rsid w:val="56D90887"/>
    <w:rsid w:val="56ED576B"/>
    <w:rsid w:val="56F541D8"/>
    <w:rsid w:val="56F90C53"/>
    <w:rsid w:val="56F97FFA"/>
    <w:rsid w:val="56FC38DD"/>
    <w:rsid w:val="57055C0C"/>
    <w:rsid w:val="570566FB"/>
    <w:rsid w:val="57104C56"/>
    <w:rsid w:val="5712706A"/>
    <w:rsid w:val="572A032B"/>
    <w:rsid w:val="57311821"/>
    <w:rsid w:val="57364FF4"/>
    <w:rsid w:val="573D34C9"/>
    <w:rsid w:val="575042AD"/>
    <w:rsid w:val="575E5568"/>
    <w:rsid w:val="577F1FDA"/>
    <w:rsid w:val="579C1EFF"/>
    <w:rsid w:val="57A94647"/>
    <w:rsid w:val="57AC414E"/>
    <w:rsid w:val="57CA5A3E"/>
    <w:rsid w:val="57F50615"/>
    <w:rsid w:val="58015B8A"/>
    <w:rsid w:val="58033C1C"/>
    <w:rsid w:val="581B7518"/>
    <w:rsid w:val="582676AE"/>
    <w:rsid w:val="582E1323"/>
    <w:rsid w:val="586A3F83"/>
    <w:rsid w:val="587670CA"/>
    <w:rsid w:val="588A08E5"/>
    <w:rsid w:val="58B95791"/>
    <w:rsid w:val="58C46BFB"/>
    <w:rsid w:val="58DB5A41"/>
    <w:rsid w:val="591C178D"/>
    <w:rsid w:val="59323D77"/>
    <w:rsid w:val="59BA1FB8"/>
    <w:rsid w:val="59BD4ADC"/>
    <w:rsid w:val="59D708D6"/>
    <w:rsid w:val="59DA0E89"/>
    <w:rsid w:val="59DF2136"/>
    <w:rsid w:val="59FA4F0F"/>
    <w:rsid w:val="5A054FE1"/>
    <w:rsid w:val="5A1427BB"/>
    <w:rsid w:val="5A3202AD"/>
    <w:rsid w:val="5A3A638A"/>
    <w:rsid w:val="5A7D67B6"/>
    <w:rsid w:val="5A931906"/>
    <w:rsid w:val="5A967F18"/>
    <w:rsid w:val="5B046076"/>
    <w:rsid w:val="5B09401F"/>
    <w:rsid w:val="5B500161"/>
    <w:rsid w:val="5B800CC5"/>
    <w:rsid w:val="5B834D61"/>
    <w:rsid w:val="5B9242D5"/>
    <w:rsid w:val="5BA070AD"/>
    <w:rsid w:val="5BA37FCD"/>
    <w:rsid w:val="5BAD5E9A"/>
    <w:rsid w:val="5BAF6602"/>
    <w:rsid w:val="5BB7F8DE"/>
    <w:rsid w:val="5BF37E30"/>
    <w:rsid w:val="5C002948"/>
    <w:rsid w:val="5C076A71"/>
    <w:rsid w:val="5C3D0E1E"/>
    <w:rsid w:val="5C401F83"/>
    <w:rsid w:val="5C5123E2"/>
    <w:rsid w:val="5C6F7091"/>
    <w:rsid w:val="5C913139"/>
    <w:rsid w:val="5CB30B19"/>
    <w:rsid w:val="5CE1795D"/>
    <w:rsid w:val="5D056076"/>
    <w:rsid w:val="5D120EB2"/>
    <w:rsid w:val="5D1A0A26"/>
    <w:rsid w:val="5D20178F"/>
    <w:rsid w:val="5D25114A"/>
    <w:rsid w:val="5D2577C8"/>
    <w:rsid w:val="5D31207E"/>
    <w:rsid w:val="5D354B81"/>
    <w:rsid w:val="5D460AFD"/>
    <w:rsid w:val="5D5749EC"/>
    <w:rsid w:val="5D5F1C2E"/>
    <w:rsid w:val="5D7E0FB5"/>
    <w:rsid w:val="5D9D5E1D"/>
    <w:rsid w:val="5DA55487"/>
    <w:rsid w:val="5DA56B37"/>
    <w:rsid w:val="5DAA2507"/>
    <w:rsid w:val="5DBB58F8"/>
    <w:rsid w:val="5DBC753C"/>
    <w:rsid w:val="5E1F5AE8"/>
    <w:rsid w:val="5E302281"/>
    <w:rsid w:val="5E822A4A"/>
    <w:rsid w:val="5E847F27"/>
    <w:rsid w:val="5E8F1669"/>
    <w:rsid w:val="5E965781"/>
    <w:rsid w:val="5E98553F"/>
    <w:rsid w:val="5E985640"/>
    <w:rsid w:val="5EB23D46"/>
    <w:rsid w:val="5EC956D2"/>
    <w:rsid w:val="5ECE3E1C"/>
    <w:rsid w:val="5ED722CD"/>
    <w:rsid w:val="5F082C68"/>
    <w:rsid w:val="5F08597F"/>
    <w:rsid w:val="5F243F29"/>
    <w:rsid w:val="5F367F09"/>
    <w:rsid w:val="5F530D56"/>
    <w:rsid w:val="5F757C38"/>
    <w:rsid w:val="5F7808AE"/>
    <w:rsid w:val="5F7F6ECA"/>
    <w:rsid w:val="5F8F4D1C"/>
    <w:rsid w:val="5FC209DF"/>
    <w:rsid w:val="5FDD0669"/>
    <w:rsid w:val="5FE2117A"/>
    <w:rsid w:val="5FE455B0"/>
    <w:rsid w:val="5FFB42B6"/>
    <w:rsid w:val="600532C8"/>
    <w:rsid w:val="60077599"/>
    <w:rsid w:val="600B2286"/>
    <w:rsid w:val="60227A95"/>
    <w:rsid w:val="6035290D"/>
    <w:rsid w:val="60371E35"/>
    <w:rsid w:val="604500E1"/>
    <w:rsid w:val="604501B0"/>
    <w:rsid w:val="60514499"/>
    <w:rsid w:val="60515232"/>
    <w:rsid w:val="60642E51"/>
    <w:rsid w:val="60682CCB"/>
    <w:rsid w:val="607C6156"/>
    <w:rsid w:val="609A50F4"/>
    <w:rsid w:val="60A223A0"/>
    <w:rsid w:val="60A87B16"/>
    <w:rsid w:val="60AC2370"/>
    <w:rsid w:val="60B345D4"/>
    <w:rsid w:val="60B7754D"/>
    <w:rsid w:val="60D55677"/>
    <w:rsid w:val="60F9053C"/>
    <w:rsid w:val="612D212E"/>
    <w:rsid w:val="61685397"/>
    <w:rsid w:val="617B0AAB"/>
    <w:rsid w:val="617C773A"/>
    <w:rsid w:val="61871BEC"/>
    <w:rsid w:val="61A22D98"/>
    <w:rsid w:val="61AD128D"/>
    <w:rsid w:val="61B32C73"/>
    <w:rsid w:val="61C138E8"/>
    <w:rsid w:val="61E569E0"/>
    <w:rsid w:val="61FB4C75"/>
    <w:rsid w:val="61FD78BE"/>
    <w:rsid w:val="62024C5F"/>
    <w:rsid w:val="621C0D9D"/>
    <w:rsid w:val="62297241"/>
    <w:rsid w:val="622E3C85"/>
    <w:rsid w:val="625A0317"/>
    <w:rsid w:val="62651044"/>
    <w:rsid w:val="629E6C38"/>
    <w:rsid w:val="62A56FE4"/>
    <w:rsid w:val="62F241B7"/>
    <w:rsid w:val="62F86379"/>
    <w:rsid w:val="63045A1F"/>
    <w:rsid w:val="63053D62"/>
    <w:rsid w:val="634B4E22"/>
    <w:rsid w:val="634E7139"/>
    <w:rsid w:val="635A5C6C"/>
    <w:rsid w:val="636B5EBC"/>
    <w:rsid w:val="63CA40E4"/>
    <w:rsid w:val="63CA5585"/>
    <w:rsid w:val="63FA178C"/>
    <w:rsid w:val="6404678D"/>
    <w:rsid w:val="640A68C3"/>
    <w:rsid w:val="64207F1F"/>
    <w:rsid w:val="64264F51"/>
    <w:rsid w:val="642E437A"/>
    <w:rsid w:val="64317B3B"/>
    <w:rsid w:val="644A4A48"/>
    <w:rsid w:val="644C3BBB"/>
    <w:rsid w:val="645B3B68"/>
    <w:rsid w:val="64606C85"/>
    <w:rsid w:val="64757075"/>
    <w:rsid w:val="64897A59"/>
    <w:rsid w:val="648B3FB8"/>
    <w:rsid w:val="649E6D36"/>
    <w:rsid w:val="64C25C2B"/>
    <w:rsid w:val="64CE1BE4"/>
    <w:rsid w:val="64DF2B43"/>
    <w:rsid w:val="650D082F"/>
    <w:rsid w:val="652248D5"/>
    <w:rsid w:val="652A1AB9"/>
    <w:rsid w:val="655F37A1"/>
    <w:rsid w:val="657123B4"/>
    <w:rsid w:val="657A284A"/>
    <w:rsid w:val="658C0F97"/>
    <w:rsid w:val="65AE1BAE"/>
    <w:rsid w:val="662B038E"/>
    <w:rsid w:val="662F30D7"/>
    <w:rsid w:val="664A2E5F"/>
    <w:rsid w:val="664D5EC2"/>
    <w:rsid w:val="66AF21DF"/>
    <w:rsid w:val="66BF4765"/>
    <w:rsid w:val="67003A73"/>
    <w:rsid w:val="670962A6"/>
    <w:rsid w:val="672A36DE"/>
    <w:rsid w:val="67386876"/>
    <w:rsid w:val="6750479A"/>
    <w:rsid w:val="67506908"/>
    <w:rsid w:val="67531E2F"/>
    <w:rsid w:val="67547C68"/>
    <w:rsid w:val="675B4115"/>
    <w:rsid w:val="67763D4A"/>
    <w:rsid w:val="67A01F82"/>
    <w:rsid w:val="67B6759E"/>
    <w:rsid w:val="67EB1AD0"/>
    <w:rsid w:val="67EC7F14"/>
    <w:rsid w:val="67FA6AA3"/>
    <w:rsid w:val="680B3267"/>
    <w:rsid w:val="680F0EB2"/>
    <w:rsid w:val="681637FC"/>
    <w:rsid w:val="682E158C"/>
    <w:rsid w:val="68387955"/>
    <w:rsid w:val="683A528F"/>
    <w:rsid w:val="685E1359"/>
    <w:rsid w:val="687C69C4"/>
    <w:rsid w:val="68A83632"/>
    <w:rsid w:val="68AC2CF6"/>
    <w:rsid w:val="68B97536"/>
    <w:rsid w:val="68D54792"/>
    <w:rsid w:val="68D82D9A"/>
    <w:rsid w:val="690A0C77"/>
    <w:rsid w:val="690D6D80"/>
    <w:rsid w:val="691728C7"/>
    <w:rsid w:val="691E5254"/>
    <w:rsid w:val="693E04B9"/>
    <w:rsid w:val="69400D4D"/>
    <w:rsid w:val="696038C5"/>
    <w:rsid w:val="69625C3B"/>
    <w:rsid w:val="696B5D3C"/>
    <w:rsid w:val="6991631B"/>
    <w:rsid w:val="69960D5D"/>
    <w:rsid w:val="699A31AB"/>
    <w:rsid w:val="699E685E"/>
    <w:rsid w:val="69A5583E"/>
    <w:rsid w:val="69D97F33"/>
    <w:rsid w:val="69E770D3"/>
    <w:rsid w:val="69E93B36"/>
    <w:rsid w:val="6A000436"/>
    <w:rsid w:val="6A1663A2"/>
    <w:rsid w:val="6A212E7F"/>
    <w:rsid w:val="6A37458A"/>
    <w:rsid w:val="6A376637"/>
    <w:rsid w:val="6A39356C"/>
    <w:rsid w:val="6A8D7902"/>
    <w:rsid w:val="6AB71EF6"/>
    <w:rsid w:val="6AE663EC"/>
    <w:rsid w:val="6AF7022D"/>
    <w:rsid w:val="6B1F4D16"/>
    <w:rsid w:val="6B3029F3"/>
    <w:rsid w:val="6B517A0F"/>
    <w:rsid w:val="6B534677"/>
    <w:rsid w:val="6B6A0368"/>
    <w:rsid w:val="6B6F6251"/>
    <w:rsid w:val="6B826114"/>
    <w:rsid w:val="6B8E2363"/>
    <w:rsid w:val="6B9246C9"/>
    <w:rsid w:val="6BAD4363"/>
    <w:rsid w:val="6BB3513A"/>
    <w:rsid w:val="6BC534C0"/>
    <w:rsid w:val="6BD44496"/>
    <w:rsid w:val="6BD66A37"/>
    <w:rsid w:val="6BDC1080"/>
    <w:rsid w:val="6C1A54A7"/>
    <w:rsid w:val="6C1C48C2"/>
    <w:rsid w:val="6C447394"/>
    <w:rsid w:val="6C6C1677"/>
    <w:rsid w:val="6C6D536B"/>
    <w:rsid w:val="6C7960AB"/>
    <w:rsid w:val="6C7D3B93"/>
    <w:rsid w:val="6C8113CB"/>
    <w:rsid w:val="6C884F7A"/>
    <w:rsid w:val="6C973CB0"/>
    <w:rsid w:val="6C9C7F3A"/>
    <w:rsid w:val="6CC13187"/>
    <w:rsid w:val="6CE35466"/>
    <w:rsid w:val="6CEE3336"/>
    <w:rsid w:val="6CF273C5"/>
    <w:rsid w:val="6CF76D6D"/>
    <w:rsid w:val="6D051FAD"/>
    <w:rsid w:val="6D1B431A"/>
    <w:rsid w:val="6D204ADF"/>
    <w:rsid w:val="6D3A00F9"/>
    <w:rsid w:val="6D4806C8"/>
    <w:rsid w:val="6D65184A"/>
    <w:rsid w:val="6D6D2C0B"/>
    <w:rsid w:val="6D802707"/>
    <w:rsid w:val="6D9253F2"/>
    <w:rsid w:val="6DBA4C92"/>
    <w:rsid w:val="6DEE1886"/>
    <w:rsid w:val="6E196034"/>
    <w:rsid w:val="6E1D034A"/>
    <w:rsid w:val="6E516D5B"/>
    <w:rsid w:val="6E6C605B"/>
    <w:rsid w:val="6E7D5335"/>
    <w:rsid w:val="6EF14839"/>
    <w:rsid w:val="6F26561E"/>
    <w:rsid w:val="6F462634"/>
    <w:rsid w:val="6F5527FB"/>
    <w:rsid w:val="6F684E41"/>
    <w:rsid w:val="6F6C36F5"/>
    <w:rsid w:val="6F9F0634"/>
    <w:rsid w:val="6FAD572A"/>
    <w:rsid w:val="6FB2900E"/>
    <w:rsid w:val="6FC92EBD"/>
    <w:rsid w:val="6FDF10EF"/>
    <w:rsid w:val="6FFD220E"/>
    <w:rsid w:val="7026759E"/>
    <w:rsid w:val="70364BD5"/>
    <w:rsid w:val="703F7970"/>
    <w:rsid w:val="70704013"/>
    <w:rsid w:val="70B86135"/>
    <w:rsid w:val="70B86D64"/>
    <w:rsid w:val="70D56AB2"/>
    <w:rsid w:val="70F52DB1"/>
    <w:rsid w:val="70FD7FEB"/>
    <w:rsid w:val="711C7FB1"/>
    <w:rsid w:val="71402718"/>
    <w:rsid w:val="71474634"/>
    <w:rsid w:val="715C1A0D"/>
    <w:rsid w:val="71670655"/>
    <w:rsid w:val="718E1589"/>
    <w:rsid w:val="719055C6"/>
    <w:rsid w:val="71966EF5"/>
    <w:rsid w:val="71A5106C"/>
    <w:rsid w:val="71AE3EAF"/>
    <w:rsid w:val="71D3089A"/>
    <w:rsid w:val="71E32653"/>
    <w:rsid w:val="720B64A8"/>
    <w:rsid w:val="720C35D1"/>
    <w:rsid w:val="721675B7"/>
    <w:rsid w:val="72477CBE"/>
    <w:rsid w:val="72684D25"/>
    <w:rsid w:val="72A352B0"/>
    <w:rsid w:val="72B648F6"/>
    <w:rsid w:val="72C20C25"/>
    <w:rsid w:val="72C5363D"/>
    <w:rsid w:val="72F8742B"/>
    <w:rsid w:val="732A0A91"/>
    <w:rsid w:val="73376B76"/>
    <w:rsid w:val="7338355D"/>
    <w:rsid w:val="7361609C"/>
    <w:rsid w:val="7363305A"/>
    <w:rsid w:val="73733D61"/>
    <w:rsid w:val="73742238"/>
    <w:rsid w:val="73823E65"/>
    <w:rsid w:val="738F426C"/>
    <w:rsid w:val="73994D87"/>
    <w:rsid w:val="739A1636"/>
    <w:rsid w:val="73A03418"/>
    <w:rsid w:val="73A70A92"/>
    <w:rsid w:val="73EC5163"/>
    <w:rsid w:val="74052759"/>
    <w:rsid w:val="74341EB6"/>
    <w:rsid w:val="744B61C8"/>
    <w:rsid w:val="745B0678"/>
    <w:rsid w:val="74781549"/>
    <w:rsid w:val="7484505F"/>
    <w:rsid w:val="74906230"/>
    <w:rsid w:val="74B6604D"/>
    <w:rsid w:val="74E527D3"/>
    <w:rsid w:val="74EE250C"/>
    <w:rsid w:val="74F547DE"/>
    <w:rsid w:val="74FC2C05"/>
    <w:rsid w:val="75053866"/>
    <w:rsid w:val="7521074C"/>
    <w:rsid w:val="75510F77"/>
    <w:rsid w:val="75682F59"/>
    <w:rsid w:val="757645E6"/>
    <w:rsid w:val="75A635D8"/>
    <w:rsid w:val="75CE7E20"/>
    <w:rsid w:val="75DE03EB"/>
    <w:rsid w:val="763816C7"/>
    <w:rsid w:val="765F0D69"/>
    <w:rsid w:val="766005C6"/>
    <w:rsid w:val="767D1A7A"/>
    <w:rsid w:val="769000E8"/>
    <w:rsid w:val="76B050B4"/>
    <w:rsid w:val="76B6732A"/>
    <w:rsid w:val="76C1068E"/>
    <w:rsid w:val="76C20D00"/>
    <w:rsid w:val="76C318DA"/>
    <w:rsid w:val="772C3A48"/>
    <w:rsid w:val="7733187A"/>
    <w:rsid w:val="77493659"/>
    <w:rsid w:val="77BA69B4"/>
    <w:rsid w:val="77CC5AF9"/>
    <w:rsid w:val="77DD0911"/>
    <w:rsid w:val="77F02C20"/>
    <w:rsid w:val="78010DC2"/>
    <w:rsid w:val="78045370"/>
    <w:rsid w:val="78111AD0"/>
    <w:rsid w:val="78157C66"/>
    <w:rsid w:val="78372EEC"/>
    <w:rsid w:val="783E4015"/>
    <w:rsid w:val="783E5FD7"/>
    <w:rsid w:val="7846054D"/>
    <w:rsid w:val="78830D50"/>
    <w:rsid w:val="78846CF5"/>
    <w:rsid w:val="788C4EE8"/>
    <w:rsid w:val="78994A97"/>
    <w:rsid w:val="78A52E33"/>
    <w:rsid w:val="78BE53A7"/>
    <w:rsid w:val="78C41E6C"/>
    <w:rsid w:val="78CE5AD8"/>
    <w:rsid w:val="78FE5CEA"/>
    <w:rsid w:val="793821A5"/>
    <w:rsid w:val="79B23A36"/>
    <w:rsid w:val="79B4715D"/>
    <w:rsid w:val="79B75EA3"/>
    <w:rsid w:val="79C77404"/>
    <w:rsid w:val="79D7223F"/>
    <w:rsid w:val="79F67086"/>
    <w:rsid w:val="79FB436F"/>
    <w:rsid w:val="7A0D41F6"/>
    <w:rsid w:val="7A2B119E"/>
    <w:rsid w:val="7A4F7F19"/>
    <w:rsid w:val="7A785130"/>
    <w:rsid w:val="7A7E4CD5"/>
    <w:rsid w:val="7AA2418C"/>
    <w:rsid w:val="7AA31C11"/>
    <w:rsid w:val="7AB928EB"/>
    <w:rsid w:val="7ADA5FD2"/>
    <w:rsid w:val="7AED7EAE"/>
    <w:rsid w:val="7B05215F"/>
    <w:rsid w:val="7B2C57EF"/>
    <w:rsid w:val="7B384B5D"/>
    <w:rsid w:val="7B4508AD"/>
    <w:rsid w:val="7B5B4C8B"/>
    <w:rsid w:val="7B656EB9"/>
    <w:rsid w:val="7B910D5D"/>
    <w:rsid w:val="7BA5334A"/>
    <w:rsid w:val="7BB32E10"/>
    <w:rsid w:val="7BBA0FB3"/>
    <w:rsid w:val="7C0C4DFD"/>
    <w:rsid w:val="7C0E48E3"/>
    <w:rsid w:val="7C3E7E36"/>
    <w:rsid w:val="7C417FE9"/>
    <w:rsid w:val="7C451E16"/>
    <w:rsid w:val="7C533FE0"/>
    <w:rsid w:val="7CAA74E1"/>
    <w:rsid w:val="7CD10DAC"/>
    <w:rsid w:val="7CDE6F23"/>
    <w:rsid w:val="7CF97951"/>
    <w:rsid w:val="7CFB7B78"/>
    <w:rsid w:val="7D167E7A"/>
    <w:rsid w:val="7D2F517E"/>
    <w:rsid w:val="7D3F2FEA"/>
    <w:rsid w:val="7D751253"/>
    <w:rsid w:val="7D911A3D"/>
    <w:rsid w:val="7D92387D"/>
    <w:rsid w:val="7D983576"/>
    <w:rsid w:val="7DA34B71"/>
    <w:rsid w:val="7DA908E3"/>
    <w:rsid w:val="7E152E18"/>
    <w:rsid w:val="7E2F3454"/>
    <w:rsid w:val="7E5A31D4"/>
    <w:rsid w:val="7E657767"/>
    <w:rsid w:val="7E6E0110"/>
    <w:rsid w:val="7E7146EC"/>
    <w:rsid w:val="7E8A54C7"/>
    <w:rsid w:val="7EE15027"/>
    <w:rsid w:val="7EF0118F"/>
    <w:rsid w:val="7EF62354"/>
    <w:rsid w:val="7F073F8F"/>
    <w:rsid w:val="7F132354"/>
    <w:rsid w:val="7F1C2150"/>
    <w:rsid w:val="7F1F593C"/>
    <w:rsid w:val="7F3E6D8A"/>
    <w:rsid w:val="7F4A46F4"/>
    <w:rsid w:val="7F740198"/>
    <w:rsid w:val="7F7D1FAA"/>
    <w:rsid w:val="7F911CC9"/>
    <w:rsid w:val="7FAF6D8A"/>
    <w:rsid w:val="7FC43332"/>
    <w:rsid w:val="7FD839F0"/>
    <w:rsid w:val="7FE16D34"/>
    <w:rsid w:val="7FE35863"/>
    <w:rsid w:val="7FF87ABE"/>
    <w:rsid w:val="EDFD30C5"/>
    <w:rsid w:val="FADD9C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480" w:lineRule="auto"/>
      <w:jc w:val="center"/>
      <w:outlineLvl w:val="0"/>
    </w:pPr>
    <w:rPr>
      <w:b/>
      <w:bCs/>
      <w:kern w:val="44"/>
      <w:sz w:val="36"/>
      <w:szCs w:val="44"/>
    </w:rPr>
  </w:style>
  <w:style w:type="paragraph" w:styleId="3">
    <w:name w:val="heading 2"/>
    <w:basedOn w:val="1"/>
    <w:next w:val="4"/>
    <w:qFormat/>
    <w:uiPriority w:val="0"/>
    <w:pPr>
      <w:keepNext/>
      <w:keepLines/>
      <w:tabs>
        <w:tab w:val="left" w:pos="567"/>
      </w:tabs>
      <w:spacing w:line="360" w:lineRule="auto"/>
      <w:ind w:left="567" w:hanging="567"/>
      <w:outlineLvl w:val="1"/>
    </w:pPr>
    <w:rPr>
      <w:rFonts w:ascii="Arial" w:hAnsi="Arial"/>
      <w:bCs/>
      <w:color w:val="000000"/>
      <w:sz w:val="28"/>
      <w:szCs w:val="32"/>
      <w:lang w:val="pt-BR"/>
    </w:rPr>
  </w:style>
  <w:style w:type="paragraph" w:styleId="5">
    <w:name w:val="heading 3"/>
    <w:basedOn w:val="1"/>
    <w:next w:val="4"/>
    <w:link w:val="42"/>
    <w:qFormat/>
    <w:uiPriority w:val="0"/>
    <w:pPr>
      <w:keepNext/>
      <w:keepLines/>
      <w:outlineLvl w:val="2"/>
    </w:pPr>
    <w:rPr>
      <w:rFonts w:ascii="Calibri" w:hAnsi="Calibri"/>
      <w:b/>
      <w:sz w:val="32"/>
    </w:rPr>
  </w:style>
  <w:style w:type="paragraph" w:styleId="6">
    <w:name w:val="heading 4"/>
    <w:basedOn w:val="1"/>
    <w:next w:val="1"/>
    <w:qFormat/>
    <w:uiPriority w:val="0"/>
    <w:pPr>
      <w:keepNext/>
      <w:spacing w:before="240" w:after="60"/>
      <w:outlineLvl w:val="3"/>
    </w:pPr>
    <w:rPr>
      <w:b/>
      <w:bCs/>
      <w:sz w:val="28"/>
      <w:szCs w:val="28"/>
    </w:rPr>
  </w:style>
  <w:style w:type="character" w:default="1" w:styleId="26">
    <w:name w:val="Default Paragraph Font"/>
    <w:unhideWhenUsed/>
    <w:qFormat/>
    <w:uiPriority w:val="1"/>
  </w:style>
  <w:style w:type="table" w:default="1" w:styleId="24">
    <w:name w:val="Normal Table"/>
    <w:unhideWhenUsed/>
    <w:qFormat/>
    <w:uiPriority w:val="99"/>
    <w:pPr>
      <w:keepNext w:val="0"/>
      <w:keepLines w:val="0"/>
      <w:widowControl/>
      <w:suppressLineNumbers w:val="0"/>
      <w:spacing w:before="0" w:beforeAutospacing="0" w:after="0" w:afterAutospacing="0"/>
      <w:ind w:left="0" w:right="0"/>
    </w:pPr>
    <w:rPr>
      <w:rFonts w:hint="eastAsia" w:ascii="等线" w:hAnsi="等线" w:eastAsia="等线" w:cs="等线"/>
      <w:kern w:val="2"/>
      <w:sz w:val="21"/>
      <w:szCs w:val="22"/>
    </w:rPr>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7">
    <w:name w:val="table of authorities"/>
    <w:basedOn w:val="1"/>
    <w:next w:val="1"/>
    <w:qFormat/>
    <w:uiPriority w:val="0"/>
    <w:pPr>
      <w:ind w:left="420" w:leftChars="200"/>
    </w:pPr>
  </w:style>
  <w:style w:type="paragraph" w:styleId="8">
    <w:name w:val="index 8"/>
    <w:basedOn w:val="1"/>
    <w:next w:val="1"/>
    <w:qFormat/>
    <w:uiPriority w:val="0"/>
    <w:pPr>
      <w:ind w:left="2940"/>
    </w:pPr>
  </w:style>
  <w:style w:type="paragraph" w:styleId="9">
    <w:name w:val="annotation text"/>
    <w:basedOn w:val="1"/>
    <w:qFormat/>
    <w:uiPriority w:val="0"/>
    <w:pPr>
      <w:jc w:val="left"/>
    </w:pPr>
  </w:style>
  <w:style w:type="paragraph" w:styleId="10">
    <w:name w:val="Body Text"/>
    <w:basedOn w:val="1"/>
    <w:qFormat/>
    <w:uiPriority w:val="0"/>
  </w:style>
  <w:style w:type="paragraph" w:styleId="11">
    <w:name w:val="Body Text Indent"/>
    <w:basedOn w:val="1"/>
    <w:next w:val="12"/>
    <w:qFormat/>
    <w:uiPriority w:val="0"/>
    <w:pPr>
      <w:spacing w:after="120"/>
      <w:ind w:left="420" w:leftChars="200"/>
    </w:pPr>
  </w:style>
  <w:style w:type="paragraph" w:styleId="12">
    <w:name w:val="envelope return"/>
    <w:basedOn w:val="1"/>
    <w:qFormat/>
    <w:uiPriority w:val="0"/>
    <w:pPr>
      <w:snapToGrid w:val="0"/>
    </w:pPr>
    <w:rPr>
      <w:rFonts w:ascii="Arial" w:hAnsi="Arial"/>
    </w:rPr>
  </w:style>
  <w:style w:type="paragraph" w:styleId="13">
    <w:name w:val="Block Text"/>
    <w:basedOn w:val="1"/>
    <w:qFormat/>
    <w:uiPriority w:val="0"/>
    <w:pPr>
      <w:adjustRightInd w:val="0"/>
      <w:ind w:left="420" w:right="33"/>
      <w:jc w:val="left"/>
      <w:textAlignment w:val="baseline"/>
    </w:pPr>
    <w:rPr>
      <w:kern w:val="0"/>
      <w:szCs w:val="20"/>
    </w:rPr>
  </w:style>
  <w:style w:type="paragraph" w:styleId="14">
    <w:name w:val="toc 3"/>
    <w:basedOn w:val="1"/>
    <w:next w:val="1"/>
    <w:unhideWhenUsed/>
    <w:qFormat/>
    <w:uiPriority w:val="39"/>
    <w:pPr>
      <w:ind w:left="840" w:leftChars="400"/>
    </w:pPr>
  </w:style>
  <w:style w:type="paragraph" w:styleId="15">
    <w:name w:val="Plain Text"/>
    <w:basedOn w:val="1"/>
    <w:qFormat/>
    <w:uiPriority w:val="99"/>
    <w:rPr>
      <w:rFonts w:ascii="宋体" w:hAnsi="Courier New"/>
      <w:szCs w:val="20"/>
    </w:rPr>
  </w:style>
  <w:style w:type="paragraph" w:styleId="16">
    <w:name w:val="footer"/>
    <w:basedOn w:val="1"/>
    <w:qFormat/>
    <w:uiPriority w:val="99"/>
    <w:pPr>
      <w:tabs>
        <w:tab w:val="center" w:pos="4153"/>
        <w:tab w:val="right" w:pos="8306"/>
      </w:tabs>
      <w:snapToGrid w:val="0"/>
      <w:jc w:val="left"/>
    </w:pPr>
    <w:rPr>
      <w:sz w:val="18"/>
      <w:szCs w:val="18"/>
    </w:rPr>
  </w:style>
  <w:style w:type="paragraph" w:styleId="17">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unhideWhenUsed/>
    <w:qFormat/>
    <w:uiPriority w:val="39"/>
  </w:style>
  <w:style w:type="paragraph" w:styleId="19">
    <w:name w:val="toc 2"/>
    <w:basedOn w:val="1"/>
    <w:next w:val="1"/>
    <w:unhideWhenUsed/>
    <w:qFormat/>
    <w:uiPriority w:val="39"/>
    <w:pPr>
      <w:ind w:left="420" w:leftChars="200"/>
    </w:pPr>
  </w:style>
  <w:style w:type="paragraph" w:styleId="20">
    <w:name w:val="List 4"/>
    <w:basedOn w:val="1"/>
    <w:qFormat/>
    <w:uiPriority w:val="0"/>
    <w:pPr>
      <w:ind w:left="100" w:leftChars="600" w:hanging="200" w:hangingChars="200"/>
      <w:contextualSpacing/>
    </w:pPr>
  </w:style>
  <w:style w:type="paragraph" w:styleId="2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2">
    <w:name w:val="Body Text First Indent"/>
    <w:basedOn w:val="10"/>
    <w:qFormat/>
    <w:uiPriority w:val="0"/>
    <w:pPr>
      <w:ind w:firstLine="420" w:firstLineChars="100"/>
    </w:pPr>
  </w:style>
  <w:style w:type="paragraph" w:styleId="23">
    <w:name w:val="Body Text First Indent 2"/>
    <w:basedOn w:val="11"/>
    <w:unhideWhenUsed/>
    <w:qFormat/>
    <w:uiPriority w:val="99"/>
    <w:pPr>
      <w:ind w:firstLine="420" w:firstLineChars="200"/>
    </w:pPr>
  </w:style>
  <w:style w:type="table" w:styleId="25">
    <w:name w:val="Table Grid"/>
    <w:basedOn w:val="24"/>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basedOn w:val="26"/>
    <w:qFormat/>
    <w:uiPriority w:val="0"/>
  </w:style>
  <w:style w:type="character" w:styleId="28">
    <w:name w:val="FollowedHyperlink"/>
    <w:basedOn w:val="26"/>
    <w:qFormat/>
    <w:uiPriority w:val="0"/>
    <w:rPr>
      <w:color w:val="800080"/>
      <w:u w:val="none"/>
    </w:rPr>
  </w:style>
  <w:style w:type="character" w:styleId="29">
    <w:name w:val="Emphasis"/>
    <w:basedOn w:val="26"/>
    <w:qFormat/>
    <w:uiPriority w:val="0"/>
  </w:style>
  <w:style w:type="character" w:styleId="30">
    <w:name w:val="HTML Definition"/>
    <w:basedOn w:val="26"/>
    <w:qFormat/>
    <w:uiPriority w:val="0"/>
  </w:style>
  <w:style w:type="character" w:styleId="31">
    <w:name w:val="HTML Typewriter"/>
    <w:basedOn w:val="26"/>
    <w:qFormat/>
    <w:uiPriority w:val="0"/>
    <w:rPr>
      <w:rFonts w:ascii="monospace" w:hAnsi="monospace" w:eastAsia="monospace" w:cs="monospace"/>
      <w:sz w:val="20"/>
    </w:rPr>
  </w:style>
  <w:style w:type="character" w:styleId="32">
    <w:name w:val="HTML Acronym"/>
    <w:basedOn w:val="26"/>
    <w:qFormat/>
    <w:uiPriority w:val="0"/>
  </w:style>
  <w:style w:type="character" w:styleId="33">
    <w:name w:val="HTML Variable"/>
    <w:basedOn w:val="26"/>
    <w:qFormat/>
    <w:uiPriority w:val="0"/>
  </w:style>
  <w:style w:type="character" w:styleId="34">
    <w:name w:val="Hyperlink"/>
    <w:basedOn w:val="26"/>
    <w:qFormat/>
    <w:uiPriority w:val="0"/>
    <w:rPr>
      <w:color w:val="0000FF"/>
      <w:u w:val="none"/>
    </w:rPr>
  </w:style>
  <w:style w:type="character" w:styleId="35">
    <w:name w:val="HTML Code"/>
    <w:basedOn w:val="26"/>
    <w:qFormat/>
    <w:uiPriority w:val="0"/>
    <w:rPr>
      <w:rFonts w:hint="default" w:ascii="monospace" w:hAnsi="monospace" w:eastAsia="monospace" w:cs="monospace"/>
      <w:sz w:val="20"/>
    </w:rPr>
  </w:style>
  <w:style w:type="character" w:styleId="36">
    <w:name w:val="HTML Cite"/>
    <w:basedOn w:val="26"/>
    <w:qFormat/>
    <w:uiPriority w:val="0"/>
  </w:style>
  <w:style w:type="character" w:styleId="37">
    <w:name w:val="HTML Keyboard"/>
    <w:basedOn w:val="26"/>
    <w:qFormat/>
    <w:uiPriority w:val="0"/>
    <w:rPr>
      <w:rFonts w:hint="default" w:ascii="monospace" w:hAnsi="monospace" w:eastAsia="monospace" w:cs="monospace"/>
      <w:sz w:val="20"/>
    </w:rPr>
  </w:style>
  <w:style w:type="character" w:styleId="38">
    <w:name w:val="HTML Sample"/>
    <w:basedOn w:val="26"/>
    <w:qFormat/>
    <w:uiPriority w:val="0"/>
    <w:rPr>
      <w:rFonts w:hint="default" w:ascii="monospace" w:hAnsi="monospace" w:eastAsia="monospace" w:cs="monospace"/>
    </w:rPr>
  </w:style>
  <w:style w:type="paragraph" w:customStyle="1" w:styleId="39">
    <w:name w:val="首行缩进"/>
    <w:basedOn w:val="1"/>
    <w:qFormat/>
    <w:uiPriority w:val="0"/>
    <w:pPr>
      <w:spacing w:line="360" w:lineRule="auto"/>
      <w:ind w:firstLine="480" w:firstLineChars="200"/>
    </w:pPr>
    <w:rPr>
      <w:rFonts w:ascii="宋体" w:hAnsi="宋体"/>
      <w:kern w:val="0"/>
      <w:sz w:val="24"/>
    </w:rPr>
  </w:style>
  <w:style w:type="paragraph" w:customStyle="1" w:styleId="40">
    <w:name w:val="Default"/>
    <w:qFormat/>
    <w:uiPriority w:val="99"/>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1">
    <w:name w:val="列出段落1"/>
    <w:basedOn w:val="1"/>
    <w:qFormat/>
    <w:uiPriority w:val="99"/>
    <w:pPr>
      <w:ind w:firstLine="420" w:firstLineChars="200"/>
    </w:pPr>
  </w:style>
  <w:style w:type="character" w:customStyle="1" w:styleId="42">
    <w:name w:val="标题 3 Char"/>
    <w:link w:val="5"/>
    <w:qFormat/>
    <w:uiPriority w:val="0"/>
    <w:rPr>
      <w:rFonts w:ascii="Calibri" w:hAnsi="Calibri" w:eastAsia="宋体"/>
      <w:b/>
      <w:sz w:val="32"/>
    </w:rPr>
  </w:style>
  <w:style w:type="paragraph" w:customStyle="1" w:styleId="43">
    <w:name w:val="Char1 Char Char Char Char Char Char"/>
    <w:basedOn w:val="1"/>
    <w:qFormat/>
    <w:uiPriority w:val="0"/>
    <w:rPr>
      <w:rFonts w:ascii="Tahoma" w:hAnsi="Tahoma"/>
      <w:sz w:val="24"/>
      <w:szCs w:val="20"/>
    </w:rPr>
  </w:style>
  <w:style w:type="paragraph" w:customStyle="1" w:styleId="44">
    <w:name w:val="Char"/>
    <w:basedOn w:val="1"/>
    <w:qFormat/>
    <w:uiPriority w:val="0"/>
  </w:style>
  <w:style w:type="character" w:customStyle="1" w:styleId="45">
    <w:name w:val="font21"/>
    <w:basedOn w:val="26"/>
    <w:qFormat/>
    <w:uiPriority w:val="0"/>
    <w:rPr>
      <w:rFonts w:hint="eastAsia" w:ascii="宋体" w:hAnsi="宋体" w:eastAsia="宋体" w:cs="宋体"/>
      <w:color w:val="000000"/>
      <w:sz w:val="21"/>
      <w:szCs w:val="21"/>
      <w:u w:val="none"/>
    </w:rPr>
  </w:style>
  <w:style w:type="character" w:customStyle="1" w:styleId="46">
    <w:name w:val="font01"/>
    <w:basedOn w:val="26"/>
    <w:qFormat/>
    <w:uiPriority w:val="0"/>
    <w:rPr>
      <w:rFonts w:hint="default" w:ascii="Calibri" w:hAnsi="Calibri" w:cs="Calibri"/>
      <w:color w:val="000000"/>
      <w:sz w:val="21"/>
      <w:szCs w:val="21"/>
      <w:u w:val="none"/>
    </w:rPr>
  </w:style>
  <w:style w:type="paragraph" w:customStyle="1" w:styleId="47">
    <w:name w:val="_Style 1"/>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48">
    <w:name w:val="NormalCharacter"/>
    <w:semiHidden/>
    <w:qFormat/>
    <w:uiPriority w:val="0"/>
  </w:style>
  <w:style w:type="paragraph" w:customStyle="1" w:styleId="4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50">
    <w:name w:val="null3"/>
    <w:qFormat/>
    <w:uiPriority w:val="0"/>
    <w:rPr>
      <w:rFonts w:hint="eastAsia" w:ascii="Calibri" w:hAnsi="Calibri" w:eastAsia="宋体" w:cs="Times New Roman"/>
      <w:sz w:val="21"/>
      <w:szCs w:val="22"/>
      <w:lang w:val="en-US" w:eastAsia="zh-CN" w:bidi="ar-SA"/>
    </w:rPr>
  </w:style>
  <w:style w:type="paragraph" w:customStyle="1" w:styleId="51">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52">
    <w:name w:val="TOC 标题1"/>
    <w:basedOn w:val="2"/>
    <w:next w:val="1"/>
    <w:qFormat/>
    <w:uiPriority w:val="0"/>
    <w:pPr>
      <w:widowControl/>
      <w:spacing w:before="240" w:line="259" w:lineRule="auto"/>
      <w:jc w:val="left"/>
      <w:outlineLvl w:val="9"/>
    </w:pPr>
    <w:rPr>
      <w:rFonts w:ascii="?? Light" w:hAnsi="?? Light"/>
      <w:b w:val="0"/>
      <w:color w:val="2F5496"/>
      <w:kern w:val="0"/>
      <w:szCs w:val="32"/>
    </w:rPr>
  </w:style>
  <w:style w:type="character" w:customStyle="1" w:styleId="53">
    <w:name w:val="font15"/>
    <w:basedOn w:val="26"/>
    <w:qFormat/>
    <w:uiPriority w:val="0"/>
    <w:rPr>
      <w:rFonts w:hint="default" w:ascii="仿宋" w:hAnsi="仿宋" w:eastAsia="仿宋" w:cs="仿宋"/>
      <w:color w:val="000000"/>
      <w:sz w:val="22"/>
      <w:szCs w:val="22"/>
      <w:u w:val="none"/>
    </w:rPr>
  </w:style>
  <w:style w:type="character" w:customStyle="1" w:styleId="54">
    <w:name w:val="font141"/>
    <w:basedOn w:val="26"/>
    <w:qFormat/>
    <w:uiPriority w:val="0"/>
    <w:rPr>
      <w:rFonts w:hint="default" w:ascii="仿宋_GB2312" w:eastAsia="仿宋_GB2312" w:cs="仿宋_GB2312"/>
      <w:color w:val="000000"/>
      <w:sz w:val="22"/>
      <w:szCs w:val="22"/>
      <w:u w:val="none"/>
    </w:rPr>
  </w:style>
  <w:style w:type="paragraph" w:customStyle="1" w:styleId="55">
    <w:name w:val="Other|1"/>
    <w:basedOn w:val="1"/>
    <w:qFormat/>
    <w:uiPriority w:val="0"/>
    <w:pPr>
      <w:spacing w:line="410" w:lineRule="auto"/>
      <w:ind w:firstLine="400"/>
    </w:pPr>
    <w:rPr>
      <w:rFonts w:ascii="宋体" w:hAnsi="宋体" w:cs="宋体"/>
      <w:sz w:val="20"/>
      <w:szCs w:val="20"/>
      <w:lang w:val="zh-TW" w:eastAsia="zh-TW" w:bidi="zh-TW"/>
    </w:rPr>
  </w:style>
  <w:style w:type="paragraph" w:customStyle="1" w:styleId="56">
    <w:name w:val="Table Text"/>
    <w:basedOn w:val="1"/>
    <w:semiHidden/>
    <w:qFormat/>
    <w:uiPriority w:val="0"/>
    <w:rPr>
      <w:rFonts w:ascii="宋体" w:hAnsi="宋体" w:eastAsia="宋体" w:cs="宋体"/>
      <w:sz w:val="20"/>
      <w:szCs w:val="20"/>
      <w:lang w:val="en-US" w:eastAsia="en-US" w:bidi="ar-SA"/>
    </w:rPr>
  </w:style>
  <w:style w:type="table" w:customStyle="1" w:styleId="57">
    <w:name w:val="Table Normal"/>
    <w:semiHidden/>
    <w:unhideWhenUsed/>
    <w:qFormat/>
    <w:uiPriority w:val="0"/>
    <w:tblPr>
      <w:tblCellMar>
        <w:top w:w="0" w:type="dxa"/>
        <w:left w:w="0" w:type="dxa"/>
        <w:bottom w:w="0" w:type="dxa"/>
        <w:right w:w="0" w:type="dxa"/>
      </w:tblCellMar>
    </w:tblPr>
  </w:style>
  <w:style w:type="character" w:customStyle="1" w:styleId="58">
    <w:name w:val="bookmark-item"/>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67</Pages>
  <Words>20127</Words>
  <Characters>21857</Characters>
  <Lines>464</Lines>
  <Paragraphs>130</Paragraphs>
  <TotalTime>35</TotalTime>
  <ScaleCrop>false</ScaleCrop>
  <LinksUpToDate>false</LinksUpToDate>
  <CharactersWithSpaces>22241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2024-11-02T18:38:00Z</dcterms:created>
  <dc:creator>Administrator</dc:creator>
  <cp:lastModifiedBy>Laura</cp:lastModifiedBy>
  <cp:lastPrinted>2026-10-09T16:56:00Z</cp:lastPrinted>
  <dcterms:modified xsi:type="dcterms:W3CDTF">2026-10-10T01:38:12Z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7902D4AD62244533BCFA84A6ACA4C0D3_13</vt:lpwstr>
  </property>
  <property fmtid="{D5CDD505-2E9C-101B-9397-08002B2CF9AE}" pid="4" name="KSOTemplateDocerSaveRecord">
    <vt:lpwstr>eyJoZGlkIjoiNmI0ZWI0N2Y0ZjU5YzVjZThmOGM0OTdjZGU1NTliN2QiLCJ1c2VySWQiOiIzNTgyMjc1NDMifQ==</vt:lpwstr>
  </property>
</Properties>
</file>