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592AF0B">
      <w:pPr>
        <w:jc w:val="center"/>
        <w:rPr>
          <w:rFonts w:ascii="宋体" w:hAnsi="宋体" w:cs="宋体"/>
          <w:b/>
          <w:bCs/>
          <w:color w:val="auto"/>
          <w:sz w:val="44"/>
          <w:szCs w:val="44"/>
          <w:highlight w:val="none"/>
        </w:rPr>
      </w:pPr>
      <w:bookmarkStart w:id="0" w:name="_Toc10319"/>
      <w:bookmarkStart w:id="1" w:name="_Toc7014_WPSOffice_Level1"/>
      <w:r>
        <w:rPr>
          <w:rFonts w:hint="eastAsia" w:ascii="宋体" w:hAnsi="宋体" w:cs="宋体"/>
          <w:b/>
          <w:color w:val="auto"/>
          <w:sz w:val="52"/>
          <w:highlight w:val="none"/>
        </w:rPr>
        <w:t xml:space="preserve"> </w:t>
      </w:r>
      <w:r>
        <w:rPr>
          <w:rFonts w:hint="eastAsia" w:ascii="宋体" w:hAnsi="宋体" w:cs="宋体"/>
          <w:b/>
          <w:color w:val="auto"/>
          <w:sz w:val="56"/>
          <w:szCs w:val="56"/>
          <w:highlight w:val="none"/>
        </w:rPr>
        <w:t>广西天罡工程项目管理有限公司</w:t>
      </w:r>
    </w:p>
    <w:p w14:paraId="1AF662E0">
      <w:pPr>
        <w:pStyle w:val="16"/>
        <w:rPr>
          <w:rFonts w:ascii="宋体" w:hAnsi="宋体" w:cs="宋体"/>
          <w:b/>
          <w:bCs/>
          <w:color w:val="auto"/>
          <w:sz w:val="52"/>
          <w:szCs w:val="52"/>
          <w:highlight w:val="none"/>
        </w:rPr>
      </w:pPr>
    </w:p>
    <w:p w14:paraId="1883DE70">
      <w:pPr>
        <w:pStyle w:val="16"/>
        <w:rPr>
          <w:rFonts w:ascii="宋体" w:hAnsi="宋体" w:cs="宋体"/>
          <w:b/>
          <w:bCs/>
          <w:color w:val="auto"/>
          <w:sz w:val="52"/>
          <w:szCs w:val="52"/>
          <w:highlight w:val="none"/>
        </w:rPr>
      </w:pPr>
    </w:p>
    <w:p w14:paraId="2B943198">
      <w:pPr>
        <w:pStyle w:val="16"/>
        <w:rPr>
          <w:rFonts w:ascii="宋体" w:hAnsi="宋体" w:cs="宋体"/>
          <w:b/>
          <w:bCs/>
          <w:color w:val="auto"/>
          <w:sz w:val="52"/>
          <w:szCs w:val="52"/>
          <w:highlight w:val="none"/>
        </w:rPr>
      </w:pPr>
    </w:p>
    <w:p w14:paraId="65B4A3A2">
      <w:pPr>
        <w:ind w:left="558" w:right="683"/>
        <w:jc w:val="center"/>
        <w:rPr>
          <w:rFonts w:ascii="宋体" w:hAnsi="宋体" w:cs="宋体"/>
          <w:b/>
          <w:color w:val="auto"/>
          <w:sz w:val="56"/>
          <w:szCs w:val="56"/>
          <w:highlight w:val="none"/>
        </w:rPr>
      </w:pPr>
      <w:r>
        <w:rPr>
          <w:rFonts w:hint="eastAsia" w:ascii="宋体" w:hAnsi="宋体" w:cs="宋体"/>
          <w:b/>
          <w:color w:val="auto"/>
          <w:spacing w:val="93"/>
          <w:sz w:val="56"/>
          <w:szCs w:val="56"/>
          <w:highlight w:val="none"/>
        </w:rPr>
        <w:t>竞争性磋商文件</w:t>
      </w:r>
    </w:p>
    <w:p w14:paraId="769D1CDE">
      <w:pPr>
        <w:jc w:val="center"/>
        <w:rPr>
          <w:rFonts w:ascii="宋体" w:hAnsi="宋体" w:cs="宋体"/>
          <w:b/>
          <w:bCs/>
          <w:color w:val="auto"/>
          <w:sz w:val="52"/>
          <w:szCs w:val="52"/>
          <w:highlight w:val="none"/>
        </w:rPr>
      </w:pPr>
    </w:p>
    <w:p w14:paraId="1661B296">
      <w:pPr>
        <w:jc w:val="center"/>
        <w:rPr>
          <w:rFonts w:ascii="宋体" w:hAnsi="宋体" w:cs="宋体"/>
          <w:b/>
          <w:bCs/>
          <w:color w:val="auto"/>
          <w:sz w:val="52"/>
          <w:szCs w:val="52"/>
          <w:highlight w:val="none"/>
        </w:rPr>
      </w:pPr>
    </w:p>
    <w:p w14:paraId="3A8F9CD1">
      <w:pPr>
        <w:jc w:val="center"/>
        <w:rPr>
          <w:rFonts w:ascii="宋体" w:hAnsi="宋体" w:cs="宋体"/>
          <w:b/>
          <w:bCs/>
          <w:color w:val="auto"/>
          <w:sz w:val="52"/>
          <w:szCs w:val="52"/>
          <w:highlight w:val="none"/>
        </w:rPr>
      </w:pPr>
    </w:p>
    <w:p w14:paraId="6BC15046">
      <w:pPr>
        <w:ind w:left="3200" w:hanging="3200" w:hangingChars="1000"/>
        <w:jc w:val="center"/>
        <w:rPr>
          <w:rFonts w:hint="eastAsia" w:ascii="宋体" w:hAnsi="宋体" w:eastAsia="宋体" w:cs="宋体"/>
          <w:color w:val="auto"/>
          <w:sz w:val="32"/>
          <w:szCs w:val="32"/>
          <w:highlight w:val="none"/>
          <w:lang w:eastAsia="zh-CN"/>
        </w:rPr>
      </w:pPr>
      <w:r>
        <w:rPr>
          <w:rFonts w:hint="eastAsia" w:ascii="宋体" w:hAnsi="宋体" w:cs="宋体"/>
          <w:color w:val="auto"/>
          <w:sz w:val="32"/>
          <w:szCs w:val="32"/>
          <w:highlight w:val="none"/>
        </w:rPr>
        <w:t xml:space="preserve">         项 目 名 称：</w:t>
      </w:r>
      <w:r>
        <w:rPr>
          <w:rFonts w:hint="eastAsia" w:ascii="宋体" w:hAnsi="宋体" w:cs="宋体"/>
          <w:color w:val="auto"/>
          <w:sz w:val="32"/>
          <w:szCs w:val="32"/>
          <w:highlight w:val="none"/>
          <w:lang w:eastAsia="zh-CN"/>
        </w:rPr>
        <w:t>广西花坪国家级自然保护区特种救护、宣传（资料）视频制作、标本养护及古树名木资源普查项目</w:t>
      </w:r>
    </w:p>
    <w:p w14:paraId="423D9186">
      <w:pPr>
        <w:rPr>
          <w:rFonts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rPr>
        <w:t>项 目 编 号：</w:t>
      </w:r>
      <w:r>
        <w:rPr>
          <w:rFonts w:hint="eastAsia" w:ascii="宋体" w:hAnsi="宋体" w:cs="宋体"/>
          <w:color w:val="auto"/>
          <w:sz w:val="32"/>
          <w:szCs w:val="32"/>
          <w:highlight w:val="none"/>
          <w:lang w:eastAsia="zh-CN"/>
        </w:rPr>
        <w:t>GLZC2026-C3-990393-GXTG</w:t>
      </w:r>
    </w:p>
    <w:p w14:paraId="24421483">
      <w:pPr>
        <w:ind w:firstLine="1600" w:firstLineChars="500"/>
        <w:rPr>
          <w:rFonts w:ascii="宋体" w:hAnsi="宋体" w:cs="宋体"/>
          <w:color w:val="auto"/>
          <w:sz w:val="32"/>
          <w:szCs w:val="32"/>
          <w:highlight w:val="none"/>
        </w:rPr>
      </w:pPr>
    </w:p>
    <w:p w14:paraId="5775E2D5">
      <w:pPr>
        <w:jc w:val="center"/>
        <w:rPr>
          <w:rFonts w:ascii="宋体" w:hAnsi="宋体" w:cs="宋体"/>
          <w:color w:val="auto"/>
          <w:sz w:val="32"/>
          <w:szCs w:val="32"/>
          <w:highlight w:val="none"/>
        </w:rPr>
      </w:pPr>
    </w:p>
    <w:p w14:paraId="678D0052">
      <w:pPr>
        <w:rPr>
          <w:rFonts w:ascii="宋体" w:hAnsi="宋体" w:cs="宋体"/>
          <w:color w:val="auto"/>
          <w:sz w:val="32"/>
          <w:szCs w:val="32"/>
          <w:highlight w:val="none"/>
        </w:rPr>
      </w:pPr>
    </w:p>
    <w:p w14:paraId="1E4FE207">
      <w:pPr>
        <w:pStyle w:val="16"/>
        <w:rPr>
          <w:color w:val="auto"/>
          <w:highlight w:val="none"/>
        </w:rPr>
      </w:pPr>
    </w:p>
    <w:p w14:paraId="56C4C9A8">
      <w:pPr>
        <w:rPr>
          <w:rFonts w:ascii="宋体" w:hAnsi="宋体" w:cs="宋体"/>
          <w:color w:val="auto"/>
          <w:sz w:val="32"/>
          <w:szCs w:val="32"/>
          <w:highlight w:val="none"/>
        </w:rPr>
      </w:pPr>
    </w:p>
    <w:p w14:paraId="6AD8E34B">
      <w:pPr>
        <w:ind w:firstLine="1600" w:firstLineChars="500"/>
        <w:rPr>
          <w:rFonts w:ascii="宋体" w:hAnsi="宋体" w:cs="宋体"/>
          <w:color w:val="auto"/>
          <w:sz w:val="32"/>
          <w:szCs w:val="32"/>
          <w:highlight w:val="none"/>
        </w:rPr>
      </w:pPr>
      <w:r>
        <w:rPr>
          <w:rFonts w:hint="eastAsia" w:ascii="宋体" w:hAnsi="宋体" w:cs="宋体"/>
          <w:color w:val="auto"/>
          <w:sz w:val="32"/>
          <w:szCs w:val="32"/>
          <w:highlight w:val="none"/>
        </w:rPr>
        <w:t>采购代理机构：广西天罡工程项目管理有限公司</w:t>
      </w:r>
    </w:p>
    <w:p w14:paraId="4F456110">
      <w:pPr>
        <w:pStyle w:val="10"/>
        <w:rPr>
          <w:rFonts w:ascii="宋体" w:hAnsi="宋体" w:cs="宋体"/>
          <w:color w:val="auto"/>
          <w:highlight w:val="none"/>
        </w:rPr>
      </w:pPr>
    </w:p>
    <w:p w14:paraId="46333BF5">
      <w:pPr>
        <w:ind w:firstLine="3840" w:firstLineChars="1200"/>
        <w:rPr>
          <w:rFonts w:ascii="宋体" w:hAnsi="宋体" w:cs="宋体"/>
          <w:color w:val="auto"/>
          <w:sz w:val="48"/>
          <w:szCs w:val="48"/>
          <w:highlight w:val="none"/>
        </w:rPr>
        <w:sectPr>
          <w:pgSz w:w="11906" w:h="16838"/>
          <w:pgMar w:top="1440" w:right="935" w:bottom="1440" w:left="777" w:header="851" w:footer="992" w:gutter="0"/>
          <w:pgNumType w:start="1"/>
          <w:cols w:space="720" w:num="1"/>
          <w:docGrid w:type="linesAndChars" w:linePitch="312" w:charSpace="0"/>
        </w:sectPr>
      </w:pPr>
      <w:r>
        <w:rPr>
          <w:rFonts w:hint="eastAsia" w:ascii="宋体" w:hAnsi="宋体" w:cs="宋体"/>
          <w:color w:val="auto"/>
          <w:sz w:val="32"/>
          <w:szCs w:val="32"/>
          <w:highlight w:val="none"/>
        </w:rPr>
        <w:t>202</w:t>
      </w:r>
      <w:r>
        <w:rPr>
          <w:rFonts w:hint="eastAsia" w:ascii="宋体" w:hAnsi="宋体" w:cs="宋体"/>
          <w:color w:val="auto"/>
          <w:sz w:val="32"/>
          <w:szCs w:val="32"/>
          <w:highlight w:val="none"/>
          <w:lang w:val="en-US" w:eastAsia="zh-CN"/>
        </w:rPr>
        <w:t>6</w:t>
      </w:r>
      <w:r>
        <w:rPr>
          <w:rFonts w:hint="eastAsia" w:ascii="宋体" w:hAnsi="宋体" w:cs="宋体"/>
          <w:color w:val="auto"/>
          <w:sz w:val="32"/>
          <w:szCs w:val="32"/>
          <w:highlight w:val="none"/>
        </w:rPr>
        <w:t>年</w:t>
      </w:r>
      <w:r>
        <w:rPr>
          <w:rFonts w:hint="eastAsia" w:ascii="宋体" w:hAnsi="宋体" w:cs="宋体"/>
          <w:color w:val="auto"/>
          <w:sz w:val="32"/>
          <w:szCs w:val="32"/>
          <w:highlight w:val="none"/>
          <w:lang w:val="en-US" w:eastAsia="zh-CN"/>
        </w:rPr>
        <w:t>09</w:t>
      </w:r>
      <w:r>
        <w:rPr>
          <w:rFonts w:hint="eastAsia" w:ascii="宋体" w:hAnsi="宋体" w:cs="宋体"/>
          <w:color w:val="auto"/>
          <w:sz w:val="32"/>
          <w:szCs w:val="32"/>
          <w:highlight w:val="none"/>
        </w:rPr>
        <w:t>月</w:t>
      </w:r>
    </w:p>
    <w:p w14:paraId="1EDBFECD">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lang w:val="zh-CN"/>
        </w:rPr>
        <w:t>目</w:t>
      </w:r>
      <w:r>
        <w:rPr>
          <w:rFonts w:hint="eastAsia" w:ascii="宋体" w:hAnsi="宋体" w:cs="宋体"/>
          <w:b/>
          <w:bCs/>
          <w:color w:val="auto"/>
          <w:sz w:val="36"/>
          <w:szCs w:val="36"/>
          <w:highlight w:val="none"/>
        </w:rPr>
        <w:t xml:space="preserve">  </w:t>
      </w:r>
      <w:r>
        <w:rPr>
          <w:rFonts w:hint="eastAsia" w:ascii="宋体" w:hAnsi="宋体" w:cs="宋体"/>
          <w:b/>
          <w:bCs/>
          <w:color w:val="auto"/>
          <w:sz w:val="36"/>
          <w:szCs w:val="36"/>
          <w:highlight w:val="none"/>
          <w:lang w:val="zh-CN"/>
        </w:rPr>
        <w:t>录</w:t>
      </w:r>
      <w:bookmarkStart w:id="242" w:name="_GoBack"/>
      <w:bookmarkEnd w:id="242"/>
    </w:p>
    <w:p w14:paraId="1C829F32">
      <w:pPr>
        <w:pStyle w:val="18"/>
        <w:tabs>
          <w:tab w:val="right" w:leader="dot" w:pos="10194"/>
        </w:tabs>
        <w:rPr>
          <w:rFonts w:ascii="宋体" w:hAnsi="宋体" w:cs="宋体"/>
          <w:color w:val="auto"/>
          <w:sz w:val="30"/>
          <w:szCs w:val="30"/>
          <w:highlight w:val="none"/>
        </w:rPr>
      </w:pPr>
      <w:r>
        <w:rPr>
          <w:rFonts w:hint="eastAsia" w:ascii="宋体" w:hAnsi="宋体" w:cs="宋体"/>
          <w:b/>
          <w:bCs/>
          <w:color w:val="auto"/>
          <w:sz w:val="30"/>
          <w:szCs w:val="30"/>
          <w:highlight w:val="none"/>
        </w:rPr>
        <w:fldChar w:fldCharType="begin"/>
      </w:r>
      <w:r>
        <w:rPr>
          <w:rFonts w:hint="eastAsia" w:ascii="宋体" w:hAnsi="宋体" w:cs="宋体"/>
          <w:b/>
          <w:bCs/>
          <w:color w:val="auto"/>
          <w:sz w:val="30"/>
          <w:szCs w:val="30"/>
          <w:highlight w:val="none"/>
        </w:rPr>
        <w:instrText xml:space="preserve">TOC \o "1-1" \h \u </w:instrText>
      </w:r>
      <w:r>
        <w:rPr>
          <w:rFonts w:hint="eastAsia" w:ascii="宋体" w:hAnsi="宋体" w:cs="宋体"/>
          <w:b/>
          <w:bCs/>
          <w:color w:val="auto"/>
          <w:sz w:val="30"/>
          <w:szCs w:val="30"/>
          <w:highlight w:val="none"/>
        </w:rPr>
        <w:fldChar w:fldCharType="separate"/>
      </w:r>
      <w:r>
        <w:rPr>
          <w:color w:val="auto"/>
          <w:highlight w:val="none"/>
        </w:rPr>
        <w:fldChar w:fldCharType="begin"/>
      </w:r>
      <w:r>
        <w:rPr>
          <w:color w:val="auto"/>
          <w:highlight w:val="none"/>
        </w:rPr>
        <w:instrText xml:space="preserve"> HYPERLINK \l "_Toc17502" </w:instrText>
      </w:r>
      <w:r>
        <w:rPr>
          <w:color w:val="auto"/>
          <w:highlight w:val="none"/>
        </w:rPr>
        <w:fldChar w:fldCharType="separate"/>
      </w:r>
      <w:r>
        <w:rPr>
          <w:rFonts w:hint="eastAsia" w:ascii="宋体" w:hAnsi="宋体" w:cs="宋体"/>
          <w:color w:val="auto"/>
          <w:sz w:val="30"/>
          <w:szCs w:val="30"/>
          <w:highlight w:val="none"/>
        </w:rPr>
        <w:t>第一章 竞争性磋商公告</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_Toc17502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1</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23DF2E06">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"_Toc8849" </w:instrText>
      </w:r>
      <w:r>
        <w:rPr>
          <w:color w:val="auto"/>
          <w:highlight w:val="none"/>
        </w:rPr>
        <w:fldChar w:fldCharType="separate"/>
      </w:r>
      <w:r>
        <w:rPr>
          <w:rFonts w:hint="eastAsia" w:ascii="宋体" w:hAnsi="宋体" w:cs="宋体"/>
          <w:color w:val="auto"/>
          <w:sz w:val="30"/>
          <w:szCs w:val="30"/>
          <w:highlight w:val="none"/>
        </w:rPr>
        <w:t>第二章 供应商须知</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_Toc8849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3</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4EB7AB47">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"_Toc10892" </w:instrText>
      </w:r>
      <w:r>
        <w:rPr>
          <w:color w:val="auto"/>
          <w:highlight w:val="none"/>
        </w:rPr>
        <w:fldChar w:fldCharType="separate"/>
      </w:r>
      <w:r>
        <w:rPr>
          <w:rFonts w:hint="eastAsia" w:ascii="宋体" w:hAnsi="宋体" w:cs="宋体"/>
          <w:color w:val="auto"/>
          <w:sz w:val="30"/>
          <w:szCs w:val="30"/>
          <w:highlight w:val="none"/>
        </w:rPr>
        <w:t>第三章 采购需求</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_Toc10892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18</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780909A3">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"_Toc24716" </w:instrText>
      </w:r>
      <w:r>
        <w:rPr>
          <w:color w:val="auto"/>
          <w:highlight w:val="none"/>
        </w:rPr>
        <w:fldChar w:fldCharType="separate"/>
      </w:r>
      <w:r>
        <w:rPr>
          <w:rFonts w:hint="eastAsia" w:ascii="宋体" w:hAnsi="宋体" w:cs="宋体"/>
          <w:color w:val="auto"/>
          <w:sz w:val="30"/>
          <w:szCs w:val="30"/>
          <w:highlight w:val="none"/>
        </w:rPr>
        <w:t>第四章 评审办法</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_Toc24716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20</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0F648C80">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"_Toc25360" </w:instrText>
      </w:r>
      <w:r>
        <w:rPr>
          <w:color w:val="auto"/>
          <w:highlight w:val="none"/>
        </w:rPr>
        <w:fldChar w:fldCharType="separate"/>
      </w:r>
      <w:r>
        <w:rPr>
          <w:rFonts w:hint="eastAsia" w:ascii="宋体" w:hAnsi="宋体" w:cs="宋体"/>
          <w:color w:val="auto"/>
          <w:sz w:val="30"/>
          <w:szCs w:val="30"/>
          <w:highlight w:val="none"/>
        </w:rPr>
        <w:t>第五章 采购合同（合同主要条款及格式）</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_Toc25360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39</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22602777">
      <w:pPr>
        <w:pStyle w:val="18"/>
        <w:tabs>
          <w:tab w:val="right" w:leader="dot" w:pos="10194"/>
        </w:tabs>
        <w:rPr>
          <w:rFonts w:ascii="宋体" w:hAnsi="宋体" w:cs="宋体"/>
          <w:color w:val="auto"/>
          <w:sz w:val="30"/>
          <w:szCs w:val="30"/>
          <w:highlight w:val="none"/>
        </w:rPr>
      </w:pPr>
      <w:r>
        <w:rPr>
          <w:color w:val="auto"/>
          <w:highlight w:val="none"/>
        </w:rPr>
        <w:fldChar w:fldCharType="begin"/>
      </w:r>
      <w:r>
        <w:rPr>
          <w:color w:val="auto"/>
          <w:highlight w:val="none"/>
        </w:rPr>
        <w:instrText xml:space="preserve"> HYPERLINK \l "_Toc16171" </w:instrText>
      </w:r>
      <w:r>
        <w:rPr>
          <w:color w:val="auto"/>
          <w:highlight w:val="none"/>
        </w:rPr>
        <w:fldChar w:fldCharType="separate"/>
      </w:r>
      <w:r>
        <w:rPr>
          <w:rFonts w:hint="eastAsia" w:ascii="宋体" w:hAnsi="宋体" w:cs="宋体"/>
          <w:color w:val="auto"/>
          <w:sz w:val="30"/>
          <w:szCs w:val="30"/>
          <w:highlight w:val="none"/>
        </w:rPr>
        <w:t>第六章 响应文件（格式）</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PAGEREF _Toc16171 \h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44</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rPr>
        <w:fldChar w:fldCharType="end"/>
      </w:r>
    </w:p>
    <w:p w14:paraId="688E9C45">
      <w:pPr>
        <w:jc w:val="center"/>
        <w:rPr>
          <w:rFonts w:ascii="宋体" w:hAnsi="宋体" w:cs="宋体"/>
          <w:b/>
          <w:bCs/>
          <w:color w:val="auto"/>
          <w:sz w:val="32"/>
          <w:szCs w:val="32"/>
          <w:highlight w:val="none"/>
        </w:rPr>
      </w:pPr>
      <w:r>
        <w:rPr>
          <w:rFonts w:hint="eastAsia" w:ascii="宋体" w:hAnsi="宋体" w:cs="宋体"/>
          <w:bCs/>
          <w:color w:val="auto"/>
          <w:sz w:val="30"/>
          <w:szCs w:val="30"/>
          <w:highlight w:val="none"/>
        </w:rPr>
        <w:fldChar w:fldCharType="end"/>
      </w:r>
    </w:p>
    <w:p w14:paraId="554E2EBD">
      <w:pPr>
        <w:rPr>
          <w:rFonts w:ascii="宋体" w:hAnsi="宋体" w:cs="宋体"/>
          <w:b/>
          <w:bCs/>
          <w:color w:val="auto"/>
          <w:sz w:val="32"/>
          <w:szCs w:val="32"/>
          <w:highlight w:val="none"/>
        </w:rPr>
        <w:sectPr>
          <w:pgSz w:w="11906" w:h="16838"/>
          <w:pgMar w:top="1440" w:right="935" w:bottom="1440" w:left="777" w:header="851" w:footer="992" w:gutter="0"/>
          <w:cols w:space="720" w:num="1"/>
          <w:docGrid w:type="linesAndChars" w:linePitch="312" w:charSpace="0"/>
        </w:sectPr>
      </w:pPr>
    </w:p>
    <w:p w14:paraId="6469E964">
      <w:pPr>
        <w:pStyle w:val="2"/>
        <w:numPr>
          <w:ilvl w:val="0"/>
          <w:numId w:val="1"/>
        </w:numPr>
        <w:spacing w:line="360" w:lineRule="exact"/>
        <w:rPr>
          <w:rFonts w:ascii="宋体" w:hAnsi="宋体" w:cs="宋体"/>
          <w:color w:val="auto"/>
          <w:highlight w:val="none"/>
        </w:rPr>
      </w:pPr>
      <w:bookmarkStart w:id="2" w:name="_Toc17502"/>
      <w:bookmarkStart w:id="3" w:name="_Toc30170"/>
      <w:bookmarkStart w:id="4" w:name="_Toc35393797"/>
      <w:bookmarkStart w:id="5" w:name="_Toc26809"/>
      <w:bookmarkStart w:id="6" w:name="_Toc28359011"/>
      <w:bookmarkStart w:id="7" w:name="_Toc29067"/>
      <w:r>
        <w:rPr>
          <w:rFonts w:hint="eastAsia"/>
          <w:color w:val="auto"/>
          <w:highlight w:val="none"/>
        </w:rPr>
        <w:t>竞争性磋商公告</w:t>
      </w:r>
      <w:bookmarkEnd w:id="2"/>
      <w:bookmarkEnd w:id="3"/>
      <w:bookmarkEnd w:id="4"/>
      <w:bookmarkEnd w:id="5"/>
      <w:bookmarkEnd w:id="6"/>
      <w:bookmarkEnd w:id="7"/>
    </w:p>
    <w:tbl>
      <w:tblPr>
        <w:tblStyle w:val="25"/>
        <w:tblpPr w:leftFromText="180" w:rightFromText="180" w:vertAnchor="text" w:tblpX="38" w:tblpY="134"/>
        <w:tblOverlap w:val="never"/>
        <w:tblW w:w="9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2"/>
      </w:tblGrid>
      <w:tr w14:paraId="10D1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9702" w:type="dxa"/>
          </w:tcPr>
          <w:p w14:paraId="43535578">
            <w:pPr>
              <w:keepNext w:val="0"/>
              <w:keepLines w:val="0"/>
              <w:suppressLineNumbers w:val="0"/>
              <w:spacing w:before="0" w:beforeAutospacing="0" w:after="0" w:afterAutospacing="0" w:line="360" w:lineRule="exact"/>
              <w:ind w:left="0" w:right="0"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项目概况</w:t>
            </w:r>
          </w:p>
          <w:p w14:paraId="2E30A63A">
            <w:pPr>
              <w:keepNext w:val="0"/>
              <w:keepLines w:val="0"/>
              <w:suppressLineNumbers w:val="0"/>
              <w:spacing w:before="0" w:beforeAutospacing="0" w:after="0" w:afterAutospacing="0" w:line="360" w:lineRule="exact"/>
              <w:ind w:left="0" w:right="0"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lang w:eastAsia="zh-CN"/>
              </w:rPr>
              <w:t>广西花坪国家级自然保护区特种救护、宣传（资料）视频制作、标本养护及古树名木资源普查项目</w:t>
            </w:r>
            <w:r>
              <w:rPr>
                <w:rFonts w:hint="eastAsia" w:ascii="宋体" w:hAnsi="宋体" w:cs="宋体"/>
                <w:color w:val="auto"/>
                <w:szCs w:val="21"/>
                <w:highlight w:val="none"/>
              </w:rPr>
              <w:t>的潜在供应商应在广西政府采购云平台（https://www.gcy.zfcg.gxzf.gov.cn/）获取磋商文件，并于</w:t>
            </w:r>
            <w:r>
              <w:rPr>
                <w:rFonts w:hint="eastAsia" w:ascii="宋体" w:hAnsi="宋体" w:cs="宋体"/>
                <w:color w:val="auto"/>
                <w:szCs w:val="21"/>
                <w:highlight w:val="none"/>
                <w:u w:val="single"/>
                <w:lang w:eastAsia="zh-CN"/>
              </w:rPr>
              <w:t xml:space="preserve">2026年 </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lang w:eastAsia="zh-CN"/>
              </w:rPr>
              <w:t xml:space="preserve"> 月 </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lang w:eastAsia="zh-CN"/>
              </w:rPr>
              <w:t xml:space="preserve"> 日</w:t>
            </w:r>
            <w:r>
              <w:rPr>
                <w:rFonts w:hint="eastAsia" w:ascii="宋体" w:hAnsi="宋体" w:cs="宋体"/>
                <w:bCs/>
                <w:color w:val="auto"/>
                <w:szCs w:val="21"/>
                <w:highlight w:val="none"/>
                <w:u w:val="single"/>
              </w:rPr>
              <w:t>9时30分</w:t>
            </w:r>
            <w:r>
              <w:rPr>
                <w:rFonts w:hint="eastAsia" w:ascii="宋体" w:hAnsi="宋体" w:cs="宋体"/>
                <w:bCs/>
                <w:color w:val="auto"/>
                <w:szCs w:val="21"/>
                <w:highlight w:val="none"/>
              </w:rPr>
              <w:t>（北京时间）前提交响应文件</w:t>
            </w:r>
            <w:r>
              <w:rPr>
                <w:rFonts w:hint="eastAsia" w:ascii="宋体" w:hAnsi="宋体" w:cs="宋体"/>
                <w:color w:val="auto"/>
                <w:szCs w:val="21"/>
                <w:highlight w:val="none"/>
              </w:rPr>
              <w:t>。</w:t>
            </w:r>
          </w:p>
        </w:tc>
      </w:tr>
    </w:tbl>
    <w:p w14:paraId="230C40EC">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bookmarkStart w:id="8" w:name="_Toc35393629"/>
      <w:bookmarkStart w:id="9" w:name="_Toc35393798"/>
      <w:bookmarkStart w:id="10" w:name="_Toc28359012"/>
      <w:bookmarkStart w:id="11" w:name="_Toc28359089"/>
      <w:r>
        <w:rPr>
          <w:rFonts w:hint="eastAsia" w:ascii="宋体" w:hAnsi="宋体" w:cs="宋体"/>
          <w:color w:val="auto"/>
          <w:szCs w:val="21"/>
          <w:highlight w:val="none"/>
        </w:rPr>
        <w:t>一、项目基本情况</w:t>
      </w:r>
      <w:bookmarkEnd w:id="8"/>
      <w:bookmarkEnd w:id="9"/>
      <w:bookmarkEnd w:id="10"/>
      <w:bookmarkEnd w:id="11"/>
    </w:p>
    <w:p w14:paraId="5770FCFC">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项目编号：GLZC2026-C3-990393-GXTG</w:t>
      </w:r>
    </w:p>
    <w:p w14:paraId="2C7D7E0A">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广西花坪国家级自然保护区特种救护、宣传（资料）视频制作、标本养护及古树名木资源普查项目</w:t>
      </w:r>
      <w:r>
        <w:rPr>
          <w:rFonts w:hint="eastAsia" w:ascii="宋体" w:hAnsi="宋体" w:cs="宋体"/>
          <w:color w:val="auto"/>
          <w:szCs w:val="21"/>
          <w:highlight w:val="none"/>
        </w:rPr>
        <w:t xml:space="preserve"> </w:t>
      </w:r>
    </w:p>
    <w:p w14:paraId="6C3FDD93">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采购方式：竞争性磋商</w:t>
      </w:r>
    </w:p>
    <w:p w14:paraId="0B33E5A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cs="宋体"/>
          <w:b/>
          <w:bCs/>
          <w:color w:val="auto"/>
          <w:szCs w:val="21"/>
          <w:highlight w:val="none"/>
        </w:rPr>
        <w:t>预算金额：</w:t>
      </w:r>
      <w:r>
        <w:rPr>
          <w:rFonts w:hint="eastAsia" w:ascii="宋体" w:hAnsi="宋体" w:eastAsia="宋体" w:cs="宋体"/>
          <w:b/>
          <w:bCs/>
          <w:color w:val="auto"/>
          <w:szCs w:val="21"/>
          <w:highlight w:val="none"/>
        </w:rPr>
        <w:t>人民币</w:t>
      </w:r>
      <w:r>
        <w:rPr>
          <w:rFonts w:hint="eastAsia" w:ascii="宋体" w:hAnsi="宋体" w:cs="宋体"/>
          <w:b/>
          <w:bCs/>
          <w:color w:val="auto"/>
          <w:szCs w:val="21"/>
          <w:highlight w:val="none"/>
          <w:lang w:val="en-US" w:eastAsia="zh-CN"/>
        </w:rPr>
        <w:t>壹佰叁拾陆</w:t>
      </w:r>
      <w:r>
        <w:rPr>
          <w:rFonts w:hint="eastAsia" w:ascii="宋体" w:hAnsi="宋体" w:eastAsia="宋体" w:cs="宋体"/>
          <w:b/>
          <w:bCs/>
          <w:color w:val="auto"/>
          <w:szCs w:val="21"/>
          <w:highlight w:val="none"/>
        </w:rPr>
        <w:t>万</w:t>
      </w:r>
      <w:r>
        <w:rPr>
          <w:rFonts w:hint="eastAsia" w:ascii="宋体" w:hAnsi="宋体" w:cs="宋体"/>
          <w:b/>
          <w:bCs/>
          <w:color w:val="auto"/>
          <w:szCs w:val="21"/>
          <w:highlight w:val="none"/>
          <w:lang w:val="en-US" w:eastAsia="zh-CN"/>
        </w:rPr>
        <w:t>捌</w:t>
      </w:r>
      <w:r>
        <w:rPr>
          <w:rFonts w:hint="eastAsia" w:ascii="宋体" w:hAnsi="宋体" w:eastAsia="宋体" w:cs="宋体"/>
          <w:b/>
          <w:bCs/>
          <w:color w:val="auto"/>
          <w:szCs w:val="21"/>
          <w:highlight w:val="none"/>
        </w:rPr>
        <w:t>仟</w:t>
      </w:r>
      <w:r>
        <w:rPr>
          <w:rFonts w:hint="eastAsia" w:ascii="宋体" w:hAnsi="宋体" w:cs="宋体"/>
          <w:b/>
          <w:bCs/>
          <w:color w:val="auto"/>
          <w:szCs w:val="21"/>
          <w:highlight w:val="none"/>
          <w:lang w:eastAsia="zh-CN"/>
        </w:rPr>
        <w:t>肆佰</w:t>
      </w:r>
      <w:r>
        <w:rPr>
          <w:rFonts w:hint="eastAsia" w:ascii="宋体" w:hAnsi="宋体" w:eastAsia="宋体" w:cs="宋体"/>
          <w:b/>
          <w:bCs/>
          <w:color w:val="auto"/>
          <w:szCs w:val="21"/>
          <w:highlight w:val="none"/>
        </w:rPr>
        <w:t>元整（¥</w:t>
      </w:r>
      <w:r>
        <w:rPr>
          <w:rFonts w:hint="eastAsia" w:ascii="宋体" w:hAnsi="宋体" w:cs="宋体"/>
          <w:b/>
          <w:bCs/>
          <w:color w:val="auto"/>
          <w:szCs w:val="21"/>
          <w:highlight w:val="none"/>
          <w:lang w:val="en-US" w:eastAsia="zh-CN"/>
        </w:rPr>
        <w:t>1368400.00</w:t>
      </w:r>
      <w:r>
        <w:rPr>
          <w:rFonts w:hint="eastAsia" w:ascii="宋体" w:hAnsi="宋体" w:eastAsia="宋体" w:cs="宋体"/>
          <w:b/>
          <w:bCs/>
          <w:color w:val="auto"/>
          <w:szCs w:val="21"/>
          <w:highlight w:val="none"/>
        </w:rPr>
        <w:t>元）</w:t>
      </w:r>
    </w:p>
    <w:p w14:paraId="3A674E8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A分标预算金额：人民币伍拾壹万捌仟肆佰元整‌（¥518400.00元）</w:t>
      </w:r>
    </w:p>
    <w:p w14:paraId="75961A0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val="0"/>
          <w:bCs w:val="0"/>
          <w:color w:val="auto"/>
          <w:szCs w:val="21"/>
          <w:highlight w:val="none"/>
        </w:rPr>
      </w:pPr>
      <w:r>
        <w:rPr>
          <w:rFonts w:hint="eastAsia" w:ascii="宋体" w:hAnsi="宋体" w:cs="宋体"/>
          <w:b/>
          <w:bCs w:val="0"/>
          <w:color w:val="auto"/>
          <w:szCs w:val="21"/>
          <w:highlight w:val="none"/>
          <w:lang w:val="en-US" w:eastAsia="zh-CN"/>
        </w:rPr>
        <w:t>B分标预算金额：人民币捌拾伍万元整（¥850000.00元）</w:t>
      </w:r>
    </w:p>
    <w:p w14:paraId="03AF988D">
      <w:pPr>
        <w:keepNext w:val="0"/>
        <w:keepLines w:val="0"/>
        <w:pageBreakBefore w:val="0"/>
        <w:kinsoku/>
        <w:wordWrap/>
        <w:overflowPunct/>
        <w:topLinePunct w:val="0"/>
        <w:bidi w:val="0"/>
        <w:spacing w:line="360" w:lineRule="auto"/>
        <w:ind w:firstLine="422" w:firstLineChars="200"/>
        <w:textAlignment w:val="auto"/>
        <w:rPr>
          <w:rFonts w:ascii="宋体" w:hAnsi="宋体" w:cs="宋体"/>
          <w:color w:val="auto"/>
          <w:szCs w:val="21"/>
          <w:highlight w:val="none"/>
          <w:u w:val="single"/>
        </w:rPr>
      </w:pPr>
      <w:r>
        <w:rPr>
          <w:rFonts w:hint="eastAsia" w:ascii="宋体" w:hAnsi="宋体" w:cs="宋体"/>
          <w:b/>
          <w:bCs/>
          <w:color w:val="auto"/>
          <w:szCs w:val="21"/>
          <w:highlight w:val="none"/>
        </w:rPr>
        <w:t>采购需求</w:t>
      </w:r>
      <w:r>
        <w:rPr>
          <w:rFonts w:hint="eastAsia" w:ascii="宋体" w:hAnsi="宋体" w:cs="宋体"/>
          <w:color w:val="auto"/>
          <w:szCs w:val="21"/>
          <w:highlight w:val="none"/>
        </w:rPr>
        <w:t>：</w:t>
      </w:r>
    </w:p>
    <w:tbl>
      <w:tblPr>
        <w:tblStyle w:val="24"/>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9"/>
        <w:gridCol w:w="2593"/>
        <w:gridCol w:w="1039"/>
        <w:gridCol w:w="1114"/>
        <w:gridCol w:w="3239"/>
      </w:tblGrid>
      <w:tr w14:paraId="3043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189" w:type="dxa"/>
            <w:tcBorders>
              <w:top w:val="single" w:color="auto" w:sz="4" w:space="0"/>
              <w:left w:val="single" w:color="auto" w:sz="4" w:space="0"/>
              <w:bottom w:val="single" w:color="auto" w:sz="4" w:space="0"/>
              <w:right w:val="single" w:color="auto" w:sz="4" w:space="0"/>
            </w:tcBorders>
            <w:vAlign w:val="center"/>
          </w:tcPr>
          <w:p w14:paraId="7D42EA24">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分标</w:t>
            </w:r>
            <w:r>
              <w:rPr>
                <w:rFonts w:hint="eastAsia" w:ascii="宋体" w:hAnsi="宋体" w:cs="宋体"/>
                <w:color w:val="auto"/>
                <w:szCs w:val="21"/>
                <w:highlight w:val="none"/>
              </w:rPr>
              <w:t>号</w:t>
            </w:r>
          </w:p>
        </w:tc>
        <w:tc>
          <w:tcPr>
            <w:tcW w:w="2593" w:type="dxa"/>
            <w:tcBorders>
              <w:top w:val="single" w:color="auto" w:sz="4" w:space="0"/>
              <w:left w:val="nil"/>
              <w:bottom w:val="single" w:color="auto" w:sz="4" w:space="0"/>
              <w:right w:val="single" w:color="auto" w:sz="4" w:space="0"/>
            </w:tcBorders>
            <w:vAlign w:val="center"/>
          </w:tcPr>
          <w:p w14:paraId="06D3D579">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服务名称</w:t>
            </w:r>
          </w:p>
        </w:tc>
        <w:tc>
          <w:tcPr>
            <w:tcW w:w="1039" w:type="dxa"/>
            <w:tcBorders>
              <w:top w:val="single" w:color="auto" w:sz="4" w:space="0"/>
              <w:left w:val="nil"/>
              <w:bottom w:val="single" w:color="auto" w:sz="4" w:space="0"/>
              <w:right w:val="single" w:color="auto" w:sz="4" w:space="0"/>
            </w:tcBorders>
            <w:vAlign w:val="center"/>
          </w:tcPr>
          <w:p w14:paraId="13674E1F">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114" w:type="dxa"/>
            <w:tcBorders>
              <w:top w:val="single" w:color="auto" w:sz="4" w:space="0"/>
              <w:left w:val="nil"/>
              <w:bottom w:val="single" w:color="auto" w:sz="4" w:space="0"/>
              <w:right w:val="single" w:color="auto" w:sz="4" w:space="0"/>
            </w:tcBorders>
            <w:vAlign w:val="center"/>
          </w:tcPr>
          <w:p w14:paraId="07048B54">
            <w:pPr>
              <w:keepNext w:val="0"/>
              <w:keepLines w:val="0"/>
              <w:pageBreakBefore w:val="0"/>
              <w:suppressLineNumbers w:val="0"/>
              <w:kinsoku/>
              <w:wordWrap/>
              <w:overflowPunct/>
              <w:topLinePunct w:val="0"/>
              <w:bidi w:val="0"/>
              <w:spacing w:before="0" w:beforeAutospacing="0" w:after="0" w:afterAutospacing="0" w:line="360" w:lineRule="auto"/>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单位</w:t>
            </w:r>
          </w:p>
        </w:tc>
        <w:tc>
          <w:tcPr>
            <w:tcW w:w="3239" w:type="dxa"/>
            <w:tcBorders>
              <w:top w:val="single" w:color="auto" w:sz="4" w:space="0"/>
              <w:left w:val="nil"/>
              <w:bottom w:val="single" w:color="auto" w:sz="4" w:space="0"/>
              <w:right w:val="single" w:color="auto" w:sz="4" w:space="0"/>
            </w:tcBorders>
            <w:vAlign w:val="center"/>
          </w:tcPr>
          <w:p w14:paraId="78104ADA">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简要规格描述或项目基本概况</w:t>
            </w:r>
          </w:p>
          <w:p w14:paraId="6A57E26F">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介绍、用途</w:t>
            </w:r>
          </w:p>
        </w:tc>
      </w:tr>
      <w:tr w14:paraId="3D85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exact"/>
          <w:jc w:val="center"/>
        </w:trPr>
        <w:tc>
          <w:tcPr>
            <w:tcW w:w="1189" w:type="dxa"/>
            <w:tcBorders>
              <w:top w:val="single" w:color="auto" w:sz="4" w:space="0"/>
              <w:left w:val="single" w:color="auto" w:sz="4" w:space="0"/>
              <w:bottom w:val="single" w:color="auto" w:sz="4" w:space="0"/>
              <w:right w:val="single" w:color="auto" w:sz="4" w:space="0"/>
            </w:tcBorders>
            <w:vAlign w:val="center"/>
          </w:tcPr>
          <w:p w14:paraId="010B64FF">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firstLine="210" w:firstLineChars="100"/>
              <w:textAlignment w:val="auto"/>
              <w:rPr>
                <w:rFonts w:hint="eastAsia" w:ascii="宋体" w:hAnsi="宋体" w:cs="宋体"/>
                <w:color w:val="auto"/>
                <w:szCs w:val="21"/>
                <w:highlight w:val="none"/>
              </w:rPr>
            </w:pPr>
            <w:r>
              <w:rPr>
                <w:rFonts w:hint="eastAsia" w:ascii="宋体" w:hAnsi="宋体" w:cs="宋体"/>
                <w:color w:val="auto"/>
                <w:szCs w:val="21"/>
                <w:highlight w:val="none"/>
              </w:rPr>
              <w:t>A分标</w:t>
            </w:r>
          </w:p>
        </w:tc>
        <w:tc>
          <w:tcPr>
            <w:tcW w:w="2593" w:type="dxa"/>
            <w:tcBorders>
              <w:top w:val="single" w:color="auto" w:sz="4" w:space="0"/>
              <w:left w:val="nil"/>
              <w:bottom w:val="single" w:color="auto" w:sz="4" w:space="0"/>
              <w:right w:val="single" w:color="auto" w:sz="4" w:space="0"/>
            </w:tcBorders>
            <w:vAlign w:val="center"/>
          </w:tcPr>
          <w:p w14:paraId="4677EC80">
            <w:pPr>
              <w:keepNext w:val="0"/>
              <w:keepLines w:val="0"/>
              <w:pageBreakBefore w:val="0"/>
              <w:suppressLineNumbers w:val="0"/>
              <w:kinsoku/>
              <w:wordWrap/>
              <w:overflowPunct/>
              <w:topLinePunct w:val="0"/>
              <w:bidi w:val="0"/>
              <w:spacing w:before="0" w:beforeAutospacing="0" w:after="0" w:afterAutospacing="0" w:line="360" w:lineRule="auto"/>
              <w:ind w:left="0" w:right="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特种救护、宣传（资料）视频制作、标本养护</w:t>
            </w:r>
          </w:p>
        </w:tc>
        <w:tc>
          <w:tcPr>
            <w:tcW w:w="1039" w:type="dxa"/>
            <w:tcBorders>
              <w:top w:val="single" w:color="auto" w:sz="4" w:space="0"/>
              <w:left w:val="nil"/>
              <w:bottom w:val="single" w:color="auto" w:sz="4" w:space="0"/>
              <w:right w:val="single" w:color="auto" w:sz="4" w:space="0"/>
            </w:tcBorders>
            <w:vAlign w:val="center"/>
          </w:tcPr>
          <w:p w14:paraId="7DF10209">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114" w:type="dxa"/>
            <w:tcBorders>
              <w:top w:val="single" w:color="auto" w:sz="4" w:space="0"/>
              <w:left w:val="nil"/>
              <w:bottom w:val="single" w:color="auto" w:sz="4" w:space="0"/>
              <w:right w:val="single" w:color="auto" w:sz="4" w:space="0"/>
            </w:tcBorders>
            <w:vAlign w:val="center"/>
          </w:tcPr>
          <w:p w14:paraId="7FD25E01">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项</w:t>
            </w:r>
          </w:p>
        </w:tc>
        <w:tc>
          <w:tcPr>
            <w:tcW w:w="3239" w:type="dxa"/>
            <w:tcBorders>
              <w:top w:val="single" w:color="auto" w:sz="4" w:space="0"/>
              <w:left w:val="nil"/>
              <w:bottom w:val="single" w:color="auto" w:sz="4" w:space="0"/>
              <w:right w:val="single" w:color="auto" w:sz="4" w:space="0"/>
            </w:tcBorders>
            <w:vAlign w:val="center"/>
          </w:tcPr>
          <w:p w14:paraId="4903D3C0">
            <w:pPr>
              <w:keepNext w:val="0"/>
              <w:keepLines w:val="0"/>
              <w:pageBreakBefore w:val="0"/>
              <w:suppressLineNumbers w:val="0"/>
              <w:kinsoku/>
              <w:wordWrap/>
              <w:overflowPunct/>
              <w:topLinePunct w:val="0"/>
              <w:bidi w:val="0"/>
              <w:spacing w:before="0" w:beforeAutospacing="0" w:after="0" w:afterAutospacing="0" w:line="360" w:lineRule="auto"/>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如需进一步了解详细内容，详见竞争性磋商文件。</w:t>
            </w:r>
          </w:p>
        </w:tc>
      </w:tr>
      <w:tr w14:paraId="5D85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exact"/>
          <w:jc w:val="center"/>
        </w:trPr>
        <w:tc>
          <w:tcPr>
            <w:tcW w:w="1189" w:type="dxa"/>
            <w:tcBorders>
              <w:top w:val="single" w:color="auto" w:sz="4" w:space="0"/>
              <w:left w:val="single" w:color="auto" w:sz="4" w:space="0"/>
              <w:bottom w:val="single" w:color="auto" w:sz="4" w:space="0"/>
              <w:right w:val="single" w:color="auto" w:sz="4" w:space="0"/>
            </w:tcBorders>
            <w:vAlign w:val="center"/>
          </w:tcPr>
          <w:p w14:paraId="25BA5B96">
            <w:pPr>
              <w:keepNext w:val="0"/>
              <w:keepLines w:val="0"/>
              <w:pageBreakBefore w:val="0"/>
              <w:suppressLineNumbers w:val="0"/>
              <w:kinsoku/>
              <w:wordWrap/>
              <w:overflowPunct/>
              <w:topLinePunct w:val="0"/>
              <w:bidi w:val="0"/>
              <w:spacing w:before="0" w:beforeAutospacing="0" w:after="0" w:afterAutospacing="0" w:line="360" w:lineRule="auto"/>
              <w:ind w:left="0" w:leftChars="0" w:right="0" w:rightChars="0" w:firstLine="210" w:firstLineChars="100"/>
              <w:textAlignment w:val="auto"/>
              <w:rPr>
                <w:rFonts w:hint="eastAsia" w:ascii="宋体" w:hAnsi="宋体" w:cs="宋体"/>
                <w:color w:val="auto"/>
                <w:szCs w:val="21"/>
                <w:highlight w:val="none"/>
              </w:rPr>
            </w:pPr>
            <w:r>
              <w:rPr>
                <w:rFonts w:hint="eastAsia" w:ascii="宋体" w:hAnsi="宋体" w:cs="宋体"/>
                <w:color w:val="auto"/>
                <w:szCs w:val="21"/>
                <w:highlight w:val="none"/>
              </w:rPr>
              <w:t>B分标</w:t>
            </w:r>
          </w:p>
        </w:tc>
        <w:tc>
          <w:tcPr>
            <w:tcW w:w="2593" w:type="dxa"/>
            <w:tcBorders>
              <w:top w:val="single" w:color="auto" w:sz="4" w:space="0"/>
              <w:left w:val="nil"/>
              <w:bottom w:val="single" w:color="auto" w:sz="4" w:space="0"/>
              <w:right w:val="single" w:color="auto" w:sz="4" w:space="0"/>
            </w:tcBorders>
            <w:vAlign w:val="center"/>
          </w:tcPr>
          <w:p w14:paraId="770BC892">
            <w:pPr>
              <w:keepNext w:val="0"/>
              <w:keepLines w:val="0"/>
              <w:pageBreakBefore w:val="0"/>
              <w:suppressLineNumbers w:val="0"/>
              <w:kinsoku/>
              <w:wordWrap/>
              <w:overflowPunct/>
              <w:topLinePunct w:val="0"/>
              <w:bidi w:val="0"/>
              <w:spacing w:before="0" w:beforeAutospacing="0" w:after="0" w:afterAutospacing="0" w:line="360" w:lineRule="auto"/>
              <w:ind w:left="0" w:right="0"/>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古树名木资源普查项目</w:t>
            </w:r>
          </w:p>
        </w:tc>
        <w:tc>
          <w:tcPr>
            <w:tcW w:w="1039" w:type="dxa"/>
            <w:tcBorders>
              <w:top w:val="single" w:color="auto" w:sz="4" w:space="0"/>
              <w:left w:val="nil"/>
              <w:bottom w:val="single" w:color="auto" w:sz="4" w:space="0"/>
              <w:right w:val="single" w:color="auto" w:sz="4" w:space="0"/>
            </w:tcBorders>
            <w:vAlign w:val="center"/>
          </w:tcPr>
          <w:p w14:paraId="0AE2E84E">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114" w:type="dxa"/>
            <w:tcBorders>
              <w:top w:val="single" w:color="auto" w:sz="4" w:space="0"/>
              <w:left w:val="nil"/>
              <w:bottom w:val="single" w:color="auto" w:sz="4" w:space="0"/>
              <w:right w:val="single" w:color="auto" w:sz="4" w:space="0"/>
            </w:tcBorders>
            <w:vAlign w:val="center"/>
          </w:tcPr>
          <w:p w14:paraId="205C7B3B">
            <w:pPr>
              <w:keepNext w:val="0"/>
              <w:keepLines w:val="0"/>
              <w:pageBreakBefore w:val="0"/>
              <w:suppressLineNumbers w:val="0"/>
              <w:kinsoku/>
              <w:wordWrap/>
              <w:overflowPunct/>
              <w:topLinePunct w:val="0"/>
              <w:bidi w:val="0"/>
              <w:spacing w:before="0" w:beforeAutospacing="0" w:after="0" w:afterAutospacing="0" w:line="360" w:lineRule="auto"/>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项</w:t>
            </w:r>
          </w:p>
        </w:tc>
        <w:tc>
          <w:tcPr>
            <w:tcW w:w="3239" w:type="dxa"/>
            <w:tcBorders>
              <w:top w:val="single" w:color="auto" w:sz="4" w:space="0"/>
              <w:left w:val="nil"/>
              <w:bottom w:val="single" w:color="auto" w:sz="4" w:space="0"/>
              <w:right w:val="single" w:color="auto" w:sz="4" w:space="0"/>
            </w:tcBorders>
            <w:vAlign w:val="center"/>
          </w:tcPr>
          <w:p w14:paraId="091A728B">
            <w:pPr>
              <w:keepNext w:val="0"/>
              <w:keepLines w:val="0"/>
              <w:pageBreakBefore w:val="0"/>
              <w:suppressLineNumbers w:val="0"/>
              <w:kinsoku/>
              <w:wordWrap/>
              <w:overflowPunct/>
              <w:topLinePunct w:val="0"/>
              <w:bidi w:val="0"/>
              <w:spacing w:before="0" w:beforeAutospacing="0" w:after="0" w:afterAutospacing="0" w:line="360" w:lineRule="auto"/>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如需进一步了解详细内容，详见竞争性磋商文件。</w:t>
            </w:r>
          </w:p>
        </w:tc>
      </w:tr>
    </w:tbl>
    <w:p w14:paraId="0FB3D488">
      <w:pPr>
        <w:keepNext w:val="0"/>
        <w:keepLines w:val="0"/>
        <w:pageBreakBefore w:val="0"/>
        <w:widowControl/>
        <w:kinsoku/>
        <w:wordWrap/>
        <w:overflowPunct/>
        <w:topLinePunct w:val="0"/>
        <w:bidi w:val="0"/>
        <w:snapToGrid w:val="0"/>
        <w:spacing w:line="360" w:lineRule="auto"/>
        <w:ind w:firstLine="420" w:firstLineChars="0"/>
        <w:jc w:val="left"/>
        <w:textAlignment w:val="auto"/>
        <w:rPr>
          <w:rFonts w:hint="default" w:eastAsia="宋体"/>
          <w:color w:val="auto"/>
          <w:highlight w:val="none"/>
          <w:lang w:val="en-US" w:eastAsia="zh-CN"/>
        </w:rPr>
      </w:pPr>
      <w:r>
        <w:rPr>
          <w:rFonts w:hint="eastAsia" w:ascii="宋体" w:hAnsi="宋体" w:cs="宋体"/>
          <w:color w:val="auto"/>
          <w:szCs w:val="21"/>
          <w:highlight w:val="none"/>
        </w:rPr>
        <w:t>合同履行期限：自合同签订之日起至2026年12月31日完成全部工作，提交成果并通过采购人内部验收。</w:t>
      </w:r>
    </w:p>
    <w:p w14:paraId="0C9AEE1B">
      <w:pPr>
        <w:keepNext w:val="0"/>
        <w:keepLines w:val="0"/>
        <w:pageBreakBefore w:val="0"/>
        <w:kinsoku/>
        <w:wordWrap/>
        <w:overflowPunct/>
        <w:topLinePunct w:val="0"/>
        <w:bidi w:val="0"/>
        <w:spacing w:line="360" w:lineRule="auto"/>
        <w:ind w:firstLine="422" w:firstLineChars="200"/>
        <w:textAlignment w:val="auto"/>
        <w:rPr>
          <w:rFonts w:ascii="宋体" w:hAnsi="宋体" w:cs="宋体"/>
          <w:b/>
          <w:bCs/>
          <w:color w:val="auto"/>
          <w:szCs w:val="21"/>
          <w:highlight w:val="none"/>
        </w:rPr>
      </w:pPr>
      <w:r>
        <w:rPr>
          <w:rFonts w:hint="eastAsia" w:ascii="宋体" w:hAnsi="宋体" w:cs="宋体"/>
          <w:b/>
          <w:bCs/>
          <w:color w:val="auto"/>
          <w:szCs w:val="21"/>
          <w:highlight w:val="none"/>
        </w:rPr>
        <w:t>本项目</w:t>
      </w:r>
      <w:r>
        <w:rPr>
          <w:rFonts w:hint="eastAsia" w:ascii="宋体" w:hAnsi="宋体" w:cs="宋体"/>
          <w:b/>
          <w:bCs/>
          <w:color w:val="auto"/>
          <w:szCs w:val="21"/>
          <w:highlight w:val="none"/>
          <w:lang w:val="en-US" w:eastAsia="zh-CN"/>
        </w:rPr>
        <w:t>A分标</w:t>
      </w:r>
      <w:r>
        <w:rPr>
          <w:rFonts w:hint="eastAsia" w:ascii="宋体" w:hAnsi="宋体" w:cs="宋体"/>
          <w:b/>
          <w:bCs/>
          <w:color w:val="auto"/>
          <w:szCs w:val="21"/>
          <w:highlight w:val="none"/>
        </w:rPr>
        <w:t>接受联合体参与磋商</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B分标不接受联合体</w:t>
      </w:r>
      <w:r>
        <w:rPr>
          <w:rFonts w:hint="eastAsia" w:ascii="宋体" w:hAnsi="宋体" w:cs="宋体"/>
          <w:b/>
          <w:bCs/>
          <w:color w:val="auto"/>
          <w:szCs w:val="21"/>
          <w:highlight w:val="none"/>
        </w:rPr>
        <w:t>。</w:t>
      </w:r>
    </w:p>
    <w:p w14:paraId="55302627">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bookmarkStart w:id="12" w:name="_Toc35393630"/>
      <w:bookmarkStart w:id="13" w:name="_Toc28359013"/>
      <w:bookmarkStart w:id="14" w:name="_Toc28359090"/>
      <w:bookmarkStart w:id="15" w:name="_Toc35393799"/>
      <w:r>
        <w:rPr>
          <w:rFonts w:hint="eastAsia" w:ascii="宋体" w:hAnsi="宋体" w:cs="宋体"/>
          <w:color w:val="auto"/>
          <w:szCs w:val="21"/>
          <w:highlight w:val="none"/>
        </w:rPr>
        <w:t>二、申请人的资格要求：</w:t>
      </w:r>
      <w:bookmarkEnd w:id="12"/>
      <w:bookmarkEnd w:id="13"/>
      <w:bookmarkEnd w:id="14"/>
      <w:bookmarkEnd w:id="15"/>
    </w:p>
    <w:p w14:paraId="4DC90FC8">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2DFEAFED">
      <w:pPr>
        <w:keepNext w:val="0"/>
        <w:keepLines w:val="0"/>
        <w:pageBreakBefore w:val="0"/>
        <w:kinsoku/>
        <w:wordWrap/>
        <w:overflowPunct/>
        <w:topLinePunct w:val="0"/>
        <w:bidi w:val="0"/>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eastAsia="宋体" w:cs="宋体"/>
          <w:color w:val="auto"/>
          <w:sz w:val="21"/>
          <w:szCs w:val="21"/>
          <w:highlight w:val="none"/>
        </w:rPr>
        <w:t>对在“信用中国”网站</w:t>
      </w:r>
      <w:r>
        <w:rPr>
          <w:rFonts w:hint="eastAsia" w:ascii="宋体" w:hAnsi="宋体" w:eastAsia="宋体" w:cs="宋体"/>
          <w:color w:val="auto"/>
          <w:sz w:val="21"/>
          <w:szCs w:val="21"/>
          <w:highlight w:val="none"/>
          <w:lang w:eastAsia="zh-CN"/>
        </w:rPr>
        <w:t>（www.creditchina.gov.cn）</w:t>
      </w:r>
      <w:r>
        <w:rPr>
          <w:rFonts w:hint="eastAsia" w:ascii="宋体" w:hAnsi="宋体" w:eastAsia="宋体" w:cs="宋体"/>
          <w:color w:val="auto"/>
          <w:sz w:val="21"/>
          <w:szCs w:val="21"/>
          <w:highlight w:val="none"/>
        </w:rPr>
        <w:t>、中国政府采购网</w:t>
      </w:r>
      <w:r>
        <w:rPr>
          <w:rFonts w:hint="eastAsia" w:ascii="宋体" w:hAnsi="宋体" w:eastAsia="宋体" w:cs="宋体"/>
          <w:color w:val="auto"/>
          <w:sz w:val="21"/>
          <w:szCs w:val="21"/>
          <w:highlight w:val="none"/>
          <w:lang w:eastAsia="zh-CN"/>
        </w:rPr>
        <w:t>（www.ccgp.gov.cn）</w:t>
      </w:r>
      <w:r>
        <w:rPr>
          <w:rFonts w:hint="eastAsia" w:ascii="宋体" w:hAnsi="宋体" w:eastAsia="宋体" w:cs="宋体"/>
          <w:color w:val="auto"/>
          <w:sz w:val="21"/>
          <w:szCs w:val="21"/>
          <w:highlight w:val="none"/>
        </w:rPr>
        <w:t>等渠道列入失信被执行人、重大税收违法失信主体、政府采购严重违法失信行为记录名单及其他不符合《中华人民共和国政府采购法》第二十二条规定条件的供应商，不得参与政府采购活动</w:t>
      </w:r>
      <w:r>
        <w:rPr>
          <w:rFonts w:hint="eastAsia" w:ascii="宋体" w:hAnsi="宋体" w:eastAsia="宋体" w:cs="宋体"/>
          <w:color w:val="auto"/>
          <w:sz w:val="21"/>
          <w:szCs w:val="21"/>
          <w:highlight w:val="none"/>
          <w:lang w:eastAsia="zh-CN"/>
        </w:rPr>
        <w:t>；</w:t>
      </w:r>
    </w:p>
    <w:p w14:paraId="7BA8555C">
      <w:pPr>
        <w:keepNext w:val="0"/>
        <w:keepLines w:val="0"/>
        <w:pageBreakBefore w:val="0"/>
        <w:kinsoku/>
        <w:wordWrap/>
        <w:overflowPunct/>
        <w:topLinePunct w:val="0"/>
        <w:bidi w:val="0"/>
        <w:spacing w:line="360" w:lineRule="auto"/>
        <w:ind w:firstLine="420" w:firstLineChars="200"/>
        <w:textAlignment w:val="auto"/>
        <w:rPr>
          <w:rFonts w:ascii="宋体" w:hAnsi="宋体" w:cs="宋体"/>
          <w:b/>
          <w:bCs/>
          <w:color w:val="auto"/>
          <w:szCs w:val="21"/>
          <w:highlight w:val="none"/>
        </w:rPr>
      </w:pPr>
      <w:bookmarkStart w:id="16" w:name="_Toc28359091"/>
      <w:bookmarkStart w:id="17" w:name="_Toc28359014"/>
      <w:r>
        <w:rPr>
          <w:rFonts w:hint="eastAsia" w:ascii="宋体" w:hAnsi="宋体" w:cs="宋体"/>
          <w:color w:val="auto"/>
          <w:szCs w:val="21"/>
          <w:highlight w:val="none"/>
        </w:rPr>
        <w:t>3.落实政府采购政策需满足的资格要求：</w:t>
      </w:r>
      <w:r>
        <w:rPr>
          <w:rFonts w:hint="eastAsia" w:ascii="宋体" w:hAnsi="宋体" w:cs="宋体"/>
          <w:color w:val="auto"/>
          <w:szCs w:val="21"/>
          <w:highlight w:val="none"/>
          <w:lang w:eastAsia="zh-CN"/>
        </w:rPr>
        <w:t>无</w:t>
      </w:r>
      <w:r>
        <w:rPr>
          <w:rFonts w:hint="eastAsia" w:ascii="宋体" w:hAnsi="宋体" w:cs="宋体"/>
          <w:color w:val="auto"/>
          <w:szCs w:val="21"/>
          <w:highlight w:val="none"/>
        </w:rPr>
        <w:t>。</w:t>
      </w:r>
    </w:p>
    <w:p w14:paraId="6F18BC07">
      <w:pPr>
        <w:keepNext w:val="0"/>
        <w:keepLines w:val="0"/>
        <w:pageBreakBefore w:val="0"/>
        <w:kinsoku/>
        <w:wordWrap/>
        <w:overflowPunct/>
        <w:topLinePunct w:val="0"/>
        <w:bidi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4.本项目的特定资格要求：</w:t>
      </w:r>
      <w:bookmarkStart w:id="18" w:name="_Toc35393800"/>
      <w:bookmarkStart w:id="19" w:name="_Toc35393631"/>
    </w:p>
    <w:p w14:paraId="43359CE4">
      <w:pPr>
        <w:keepNext w:val="0"/>
        <w:keepLines w:val="0"/>
        <w:pageBreakBefore w:val="0"/>
        <w:kinsoku/>
        <w:wordWrap/>
        <w:overflowPunct/>
        <w:topLinePunct w:val="0"/>
        <w:bidi w:val="0"/>
        <w:spacing w:line="360" w:lineRule="auto"/>
        <w:ind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A分标：无。</w:t>
      </w:r>
    </w:p>
    <w:p w14:paraId="4418AE2E">
      <w:pPr>
        <w:keepNext w:val="0"/>
        <w:keepLines w:val="0"/>
        <w:pageBreakBefore w:val="0"/>
        <w:kinsoku/>
        <w:wordWrap/>
        <w:overflowPunct/>
        <w:topLinePunct w:val="0"/>
        <w:bidi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B分标：</w:t>
      </w:r>
      <w:r>
        <w:rPr>
          <w:rFonts w:hint="eastAsia" w:ascii="宋体" w:hAnsi="宋体" w:eastAsia="宋体" w:cs="宋体"/>
          <w:color w:val="auto"/>
          <w:sz w:val="21"/>
          <w:szCs w:val="21"/>
          <w:highlight w:val="none"/>
        </w:rPr>
        <w:t>具备有效的林业调查规划设计</w:t>
      </w:r>
      <w:r>
        <w:rPr>
          <w:rFonts w:hint="eastAsia" w:ascii="宋体" w:hAnsi="宋体" w:eastAsia="宋体" w:cs="宋体"/>
          <w:color w:val="auto"/>
          <w:sz w:val="21"/>
          <w:szCs w:val="21"/>
          <w:highlight w:val="none"/>
          <w:lang w:val="en-US" w:eastAsia="zh-CN"/>
        </w:rPr>
        <w:t>丙</w:t>
      </w:r>
      <w:r>
        <w:rPr>
          <w:rFonts w:hint="eastAsia" w:ascii="宋体" w:hAnsi="宋体" w:eastAsia="宋体" w:cs="宋体"/>
          <w:color w:val="auto"/>
          <w:sz w:val="21"/>
          <w:szCs w:val="21"/>
          <w:highlight w:val="none"/>
        </w:rPr>
        <w:t>级</w:t>
      </w:r>
      <w:r>
        <w:rPr>
          <w:rFonts w:hint="eastAsia" w:ascii="宋体" w:hAnsi="宋体" w:eastAsia="宋体" w:cs="宋体"/>
          <w:color w:val="auto"/>
          <w:sz w:val="21"/>
          <w:szCs w:val="21"/>
          <w:highlight w:val="none"/>
          <w:lang w:val="en-US" w:eastAsia="zh-CN"/>
        </w:rPr>
        <w:t>（含）以上</w:t>
      </w:r>
      <w:r>
        <w:rPr>
          <w:rFonts w:hint="eastAsia" w:ascii="宋体" w:hAnsi="宋体" w:eastAsia="宋体" w:cs="宋体"/>
          <w:color w:val="auto"/>
          <w:sz w:val="21"/>
          <w:szCs w:val="21"/>
          <w:highlight w:val="none"/>
        </w:rPr>
        <w:t>资质</w:t>
      </w:r>
      <w:r>
        <w:rPr>
          <w:rFonts w:hint="eastAsia" w:ascii="宋体" w:hAnsi="宋体" w:cs="宋体"/>
          <w:color w:val="auto"/>
          <w:szCs w:val="21"/>
          <w:highlight w:val="none"/>
        </w:rPr>
        <w:t>。</w:t>
      </w:r>
    </w:p>
    <w:p w14:paraId="31F1A9AF">
      <w:pPr>
        <w:keepNext w:val="0"/>
        <w:keepLines w:val="0"/>
        <w:pageBreakBefore w:val="0"/>
        <w:kinsoku/>
        <w:wordWrap/>
        <w:overflowPunct/>
        <w:topLinePunct w:val="0"/>
        <w:bidi w:val="0"/>
        <w:spacing w:line="360" w:lineRule="auto"/>
        <w:ind w:firstLine="420" w:firstLineChars="20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.单位负责人为同一人或者存在直接控股、管理关系的不同供应商，不得参加同一合同项下的政府采购活动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为本项目提供过整体设计、规范编制或者项目管理、监理、检测等服务的供应商，不得再参加本项目上述服务以外的其他采购活动。</w:t>
      </w:r>
    </w:p>
    <w:bookmarkEnd w:id="16"/>
    <w:bookmarkEnd w:id="17"/>
    <w:bookmarkEnd w:id="18"/>
    <w:bookmarkEnd w:id="19"/>
    <w:p w14:paraId="38C5EA90">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bookmarkStart w:id="20" w:name="_Toc35393792"/>
      <w:bookmarkStart w:id="21" w:name="_Toc35393623"/>
      <w:bookmarkStart w:id="22" w:name="_Toc35393805"/>
      <w:bookmarkStart w:id="23" w:name="_Toc35393636"/>
      <w:bookmarkStart w:id="24" w:name="_Toc28359018"/>
      <w:bookmarkStart w:id="25" w:name="_Toc28359095"/>
      <w:r>
        <w:rPr>
          <w:rFonts w:hint="eastAsia" w:ascii="宋体" w:hAnsi="宋体" w:cs="宋体"/>
          <w:color w:val="auto"/>
          <w:szCs w:val="21"/>
          <w:highlight w:val="none"/>
        </w:rPr>
        <w:t>三、获取采购文件</w:t>
      </w:r>
      <w:bookmarkEnd w:id="20"/>
      <w:bookmarkEnd w:id="21"/>
    </w:p>
    <w:p w14:paraId="4A59615B">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r>
        <w:rPr>
          <w:rFonts w:hint="eastAsia" w:ascii="宋体" w:hAnsi="宋体" w:cs="宋体"/>
          <w:color w:val="auto"/>
          <w:szCs w:val="21"/>
          <w:highlight w:val="none"/>
        </w:rPr>
        <w:t xml:space="preserve">    1.采购文件获取时间：</w:t>
      </w:r>
      <w:r>
        <w:rPr>
          <w:rFonts w:hint="eastAsia" w:ascii="宋体" w:hAnsi="宋体"/>
          <w:bCs/>
          <w:color w:val="auto"/>
          <w:szCs w:val="21"/>
          <w:highlight w:val="none"/>
          <w:shd w:val="clear" w:color="auto" w:fill="auto"/>
        </w:rPr>
        <w:t>/</w:t>
      </w:r>
      <w:r>
        <w:rPr>
          <w:rFonts w:ascii="宋体" w:hAnsi="宋体"/>
          <w:color w:val="auto"/>
          <w:szCs w:val="21"/>
          <w:highlight w:val="none"/>
          <w:shd w:val="clear" w:color="auto" w:fill="auto"/>
        </w:rPr>
        <w:t>至</w:t>
      </w:r>
      <w:r>
        <w:rPr>
          <w:rFonts w:hint="eastAsia" w:asciiTheme="majorEastAsia" w:hAnsiTheme="majorEastAsia" w:eastAsiaTheme="majorEastAsia"/>
          <w:color w:val="auto"/>
          <w:highlight w:val="none"/>
          <w:shd w:val="clear" w:color="auto" w:fill="auto"/>
          <w:lang w:eastAsia="zh-CN"/>
        </w:rPr>
        <w:t>2026年</w:t>
      </w:r>
      <w:r>
        <w:rPr>
          <w:rFonts w:hint="eastAsia" w:asciiTheme="majorEastAsia" w:hAnsiTheme="majorEastAsia" w:eastAsiaTheme="majorEastAsia"/>
          <w:color w:val="auto"/>
          <w:highlight w:val="none"/>
          <w:shd w:val="clear" w:color="auto" w:fill="auto"/>
          <w:lang w:val="en-US" w:eastAsia="zh-CN"/>
        </w:rPr>
        <w:t>9</w:t>
      </w:r>
      <w:r>
        <w:rPr>
          <w:rFonts w:hint="eastAsia" w:asciiTheme="majorEastAsia" w:hAnsiTheme="majorEastAsia" w:eastAsiaTheme="majorEastAsia"/>
          <w:color w:val="auto"/>
          <w:highlight w:val="none"/>
          <w:shd w:val="clear" w:color="auto" w:fill="auto"/>
          <w:lang w:eastAsia="zh-CN"/>
        </w:rPr>
        <w:t>月</w:t>
      </w:r>
      <w:r>
        <w:rPr>
          <w:rFonts w:hint="eastAsia" w:asciiTheme="majorEastAsia" w:hAnsiTheme="majorEastAsia" w:eastAsiaTheme="majorEastAsia"/>
          <w:color w:val="auto"/>
          <w:highlight w:val="none"/>
          <w:shd w:val="clear" w:color="auto" w:fill="auto"/>
          <w:lang w:val="en-US" w:eastAsia="zh-CN"/>
        </w:rPr>
        <w:t>15</w:t>
      </w:r>
      <w:r>
        <w:rPr>
          <w:rFonts w:hint="eastAsia" w:asciiTheme="majorEastAsia" w:hAnsiTheme="majorEastAsia" w:eastAsiaTheme="majorEastAsia"/>
          <w:color w:val="auto"/>
          <w:highlight w:val="none"/>
          <w:shd w:val="clear" w:color="auto" w:fill="auto"/>
          <w:lang w:eastAsia="zh-CN"/>
        </w:rPr>
        <w:t>日</w:t>
      </w:r>
      <w:r>
        <w:rPr>
          <w:rFonts w:ascii="宋体" w:hAnsi="宋体"/>
          <w:color w:val="auto"/>
          <w:szCs w:val="21"/>
          <w:highlight w:val="none"/>
          <w:shd w:val="clear" w:color="auto" w:fill="auto"/>
        </w:rPr>
        <w:t>，每天上午00:00至12:00，下午12:0</w:t>
      </w:r>
      <w:r>
        <w:rPr>
          <w:rFonts w:hint="eastAsia" w:ascii="宋体" w:hAnsi="宋体"/>
          <w:color w:val="auto"/>
          <w:szCs w:val="21"/>
          <w:highlight w:val="none"/>
          <w:shd w:val="clear" w:color="auto" w:fill="auto"/>
        </w:rPr>
        <w:t>1</w:t>
      </w:r>
      <w:r>
        <w:rPr>
          <w:rFonts w:ascii="宋体" w:hAnsi="宋体"/>
          <w:color w:val="auto"/>
          <w:szCs w:val="21"/>
          <w:highlight w:val="none"/>
          <w:shd w:val="clear" w:color="auto" w:fill="auto"/>
        </w:rPr>
        <w:t>至23:59（北京时间，法定节假日除外）</w:t>
      </w:r>
      <w:r>
        <w:rPr>
          <w:rFonts w:hint="eastAsia" w:ascii="宋体" w:hAnsi="宋体"/>
          <w:color w:val="auto"/>
          <w:szCs w:val="21"/>
          <w:highlight w:val="none"/>
          <w:shd w:val="clear" w:color="auto" w:fill="auto"/>
        </w:rPr>
        <w:t>。</w:t>
      </w:r>
    </w:p>
    <w:p w14:paraId="3E89B8C1">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bookmarkStart w:id="26" w:name="_Toc28359082"/>
      <w:bookmarkStart w:id="27" w:name="_Toc28359005"/>
      <w:bookmarkStart w:id="28" w:name="_Toc35393624"/>
      <w:bookmarkStart w:id="29" w:name="_Toc35393793"/>
      <w:r>
        <w:rPr>
          <w:rFonts w:hint="eastAsia" w:ascii="宋体" w:hAnsi="宋体" w:cs="宋体"/>
          <w:color w:val="auto"/>
          <w:szCs w:val="21"/>
          <w:highlight w:val="none"/>
        </w:rPr>
        <w:t xml:space="preserve">    2.地点（网址）：广西政府采购云平台（www.zcygov.cn） </w:t>
      </w:r>
    </w:p>
    <w:p w14:paraId="0AE9A04F">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r>
        <w:rPr>
          <w:rFonts w:hint="eastAsia" w:ascii="宋体" w:hAnsi="宋体" w:cs="宋体"/>
          <w:color w:val="auto"/>
          <w:szCs w:val="21"/>
          <w:highlight w:val="none"/>
        </w:rPr>
        <w:t>   3.方式：潜在供应商登录广西政府采购云平台（www.zcygov.cn）免费获取竞争性磋商文件电子版。供应商应在广西政府采购云平台进行“申请获取采购文件”操作，否则，将导致无法在线编制响应文件并参与竞标，其不利后果由供应商自行承担。 </w:t>
      </w:r>
    </w:p>
    <w:p w14:paraId="439194AB">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r>
        <w:rPr>
          <w:rFonts w:hint="eastAsia" w:ascii="宋体" w:hAnsi="宋体" w:cs="宋体"/>
          <w:color w:val="auto"/>
          <w:szCs w:val="21"/>
          <w:highlight w:val="none"/>
        </w:rPr>
        <w:t>   4.售价（元）：0 </w:t>
      </w:r>
    </w:p>
    <w:p w14:paraId="42168A65">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r>
        <w:rPr>
          <w:rFonts w:hint="eastAsia" w:ascii="宋体" w:hAnsi="宋体" w:cs="宋体"/>
          <w:color w:val="auto"/>
          <w:szCs w:val="21"/>
          <w:highlight w:val="none"/>
        </w:rPr>
        <w:t>四、响应文件</w:t>
      </w:r>
      <w:bookmarkEnd w:id="26"/>
      <w:bookmarkEnd w:id="27"/>
      <w:r>
        <w:rPr>
          <w:rFonts w:hint="eastAsia" w:ascii="宋体" w:hAnsi="宋体" w:cs="宋体"/>
          <w:color w:val="auto"/>
          <w:szCs w:val="21"/>
          <w:highlight w:val="none"/>
        </w:rPr>
        <w:t>提交时间和地点</w:t>
      </w:r>
      <w:bookmarkEnd w:id="28"/>
      <w:bookmarkEnd w:id="29"/>
    </w:p>
    <w:p w14:paraId="26C29184">
      <w:pPr>
        <w:keepNext w:val="0"/>
        <w:keepLines w:val="0"/>
        <w:pageBreakBefore w:val="0"/>
        <w:kinsoku/>
        <w:wordWrap/>
        <w:overflowPunct/>
        <w:topLinePunct w:val="0"/>
        <w:bidi w:val="0"/>
        <w:spacing w:line="360" w:lineRule="auto"/>
        <w:ind w:firstLine="420" w:firstLineChars="200"/>
        <w:textAlignment w:val="auto"/>
        <w:rPr>
          <w:rFonts w:ascii="宋体" w:hAnsi="宋体" w:cs="宋体"/>
          <w:bCs/>
          <w:color w:val="auto"/>
          <w:szCs w:val="21"/>
          <w:highlight w:val="none"/>
        </w:rPr>
      </w:pPr>
      <w:r>
        <w:rPr>
          <w:rFonts w:hint="eastAsia" w:ascii="宋体" w:hAnsi="宋体" w:cs="宋体"/>
          <w:bCs/>
          <w:color w:val="auto"/>
          <w:szCs w:val="21"/>
          <w:highlight w:val="none"/>
        </w:rPr>
        <w:t>截止时间：</w:t>
      </w: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日</w:t>
      </w:r>
      <w:r>
        <w:rPr>
          <w:rFonts w:hint="eastAsia" w:ascii="宋体" w:hAnsi="宋体" w:cs="宋体"/>
          <w:color w:val="auto"/>
          <w:szCs w:val="21"/>
          <w:highlight w:val="none"/>
        </w:rPr>
        <w:t>09时30分(</w:t>
      </w:r>
      <w:r>
        <w:rPr>
          <w:rFonts w:hint="eastAsia" w:ascii="宋体" w:hAnsi="宋体" w:cs="宋体"/>
          <w:bCs/>
          <w:color w:val="auto"/>
          <w:szCs w:val="21"/>
          <w:highlight w:val="none"/>
        </w:rPr>
        <w:t>北京时间）。</w:t>
      </w:r>
    </w:p>
    <w:p w14:paraId="3AD57FA1">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地    点：通过广西政府采购云平台实行在线响应。</w:t>
      </w:r>
    </w:p>
    <w:p w14:paraId="0938D724">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r>
        <w:rPr>
          <w:rFonts w:hint="eastAsia" w:ascii="宋体" w:hAnsi="宋体" w:cs="宋体"/>
          <w:color w:val="auto"/>
          <w:szCs w:val="21"/>
          <w:highlight w:val="none"/>
        </w:rPr>
        <w:t>五、开启</w:t>
      </w:r>
    </w:p>
    <w:p w14:paraId="53042DE4">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r>
        <w:rPr>
          <w:rFonts w:hint="eastAsia" w:ascii="宋体" w:hAnsi="宋体" w:cs="宋体"/>
          <w:color w:val="auto"/>
          <w:szCs w:val="21"/>
          <w:highlight w:val="none"/>
        </w:rPr>
        <w:t xml:space="preserve">    时间：</w:t>
      </w: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日</w:t>
      </w:r>
      <w:r>
        <w:rPr>
          <w:rFonts w:hint="eastAsia" w:ascii="宋体" w:hAnsi="宋体" w:cs="宋体"/>
          <w:color w:val="auto"/>
          <w:szCs w:val="21"/>
          <w:highlight w:val="none"/>
        </w:rPr>
        <w:t>09时30分(北京时间）截标后。</w:t>
      </w:r>
    </w:p>
    <w:p w14:paraId="5EC04233">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r>
        <w:rPr>
          <w:rFonts w:hint="eastAsia" w:ascii="宋体" w:hAnsi="宋体" w:cs="宋体"/>
          <w:color w:val="auto"/>
          <w:szCs w:val="21"/>
          <w:highlight w:val="none"/>
        </w:rPr>
        <w:t xml:space="preserve">    地点：通过广西政府采购云平台实行在线解密开启。</w:t>
      </w:r>
    </w:p>
    <w:p w14:paraId="5D47DDED">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bookmarkStart w:id="30" w:name="_Toc35393794"/>
      <w:bookmarkStart w:id="31" w:name="_Toc28359084"/>
      <w:bookmarkStart w:id="32" w:name="_Toc35393625"/>
      <w:bookmarkStart w:id="33" w:name="_Toc28359007"/>
      <w:r>
        <w:rPr>
          <w:rFonts w:hint="eastAsia" w:ascii="宋体" w:hAnsi="宋体" w:cs="宋体"/>
          <w:color w:val="auto"/>
          <w:szCs w:val="21"/>
          <w:highlight w:val="none"/>
        </w:rPr>
        <w:t>六、公告期限</w:t>
      </w:r>
      <w:bookmarkEnd w:id="30"/>
      <w:bookmarkEnd w:id="31"/>
      <w:bookmarkEnd w:id="32"/>
      <w:bookmarkEnd w:id="33"/>
    </w:p>
    <w:p w14:paraId="581F7FCB">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E7E993C">
      <w:pPr>
        <w:keepNext w:val="0"/>
        <w:keepLines w:val="0"/>
        <w:pageBreakBefore w:val="0"/>
        <w:kinsoku/>
        <w:wordWrap/>
        <w:overflowPunct/>
        <w:topLinePunct w:val="0"/>
        <w:bidi w:val="0"/>
        <w:spacing w:line="360" w:lineRule="auto"/>
        <w:textAlignment w:val="auto"/>
        <w:rPr>
          <w:rFonts w:ascii="宋体" w:hAnsi="宋体" w:cs="宋体"/>
          <w:color w:val="auto"/>
          <w:szCs w:val="21"/>
          <w:highlight w:val="none"/>
        </w:rPr>
      </w:pPr>
      <w:bookmarkStart w:id="34" w:name="_Toc35393626"/>
      <w:bookmarkStart w:id="35" w:name="_Toc35393795"/>
      <w:r>
        <w:rPr>
          <w:rFonts w:hint="eastAsia" w:ascii="宋体" w:hAnsi="宋体" w:cs="宋体"/>
          <w:color w:val="auto"/>
          <w:szCs w:val="21"/>
          <w:highlight w:val="none"/>
        </w:rPr>
        <w:t>七、其他补充事宜</w:t>
      </w:r>
      <w:bookmarkEnd w:id="34"/>
      <w:bookmarkEnd w:id="35"/>
    </w:p>
    <w:p w14:paraId="32B6EB08">
      <w:pPr>
        <w:keepNext w:val="0"/>
        <w:keepLines w:val="0"/>
        <w:pageBreakBefore w:val="0"/>
        <w:kinsoku/>
        <w:wordWrap/>
        <w:overflowPunct/>
        <w:topLinePunct w:val="0"/>
        <w:bidi w:val="0"/>
        <w:spacing w:line="360" w:lineRule="auto"/>
        <w:ind w:firstLine="422" w:firstLineChars="200"/>
        <w:textAlignment w:val="auto"/>
        <w:rPr>
          <w:rFonts w:ascii="宋体" w:hAnsi="宋体" w:cs="宋体"/>
          <w:color w:val="auto"/>
          <w:szCs w:val="21"/>
          <w:highlight w:val="none"/>
        </w:rPr>
      </w:pPr>
      <w:r>
        <w:rPr>
          <w:rFonts w:hint="eastAsia" w:ascii="宋体" w:hAnsi="宋体" w:cs="宋体"/>
          <w:b/>
          <w:bCs/>
          <w:color w:val="auto"/>
          <w:szCs w:val="21"/>
          <w:highlight w:val="none"/>
        </w:rPr>
        <w:t>1.本项目无需缴纳磋商保证金。</w:t>
      </w:r>
    </w:p>
    <w:p w14:paraId="44A68539">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2.本项目信息发布媒体：</w:t>
      </w:r>
    </w:p>
    <w:p w14:paraId="4F1B386B">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中国政府采购网（http://www.ccgp.gov.cn）</w:t>
      </w:r>
    </w:p>
    <w:p w14:paraId="514563F0">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广西壮族自治区政府采购网（http://www.ccgp-guangxi.gov.cn/）</w:t>
      </w:r>
    </w:p>
    <w:p w14:paraId="4AA07E8E">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桂林市政府采购网（zfcg.czj.guilin.gov.cn）</w:t>
      </w:r>
    </w:p>
    <w:p w14:paraId="7A003412">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全国公共资源交易平台(广西•桂林)（http://ggzy.jgswj.gxzf.gov.cn/glggzy/）</w:t>
      </w:r>
    </w:p>
    <w:p w14:paraId="68FF7CB7">
      <w:pPr>
        <w:pStyle w:val="40"/>
        <w:keepNext w:val="0"/>
        <w:keepLines w:val="0"/>
        <w:pageBreakBefore w:val="0"/>
        <w:numPr>
          <w:ilvl w:val="0"/>
          <w:numId w:val="2"/>
        </w:numPr>
        <w:kinsoku/>
        <w:wordWrap/>
        <w:overflowPunct/>
        <w:topLinePunct w:val="0"/>
        <w:bidi w:val="0"/>
        <w:spacing w:line="360" w:lineRule="auto"/>
        <w:ind w:firstLine="480"/>
        <w:textAlignment w:val="auto"/>
        <w:rPr>
          <w:rFonts w:ascii="宋体" w:hAnsi="宋体" w:cs="宋体"/>
          <w:color w:val="auto"/>
          <w:sz w:val="21"/>
          <w:szCs w:val="21"/>
          <w:highlight w:val="none"/>
        </w:rPr>
      </w:pPr>
      <w:r>
        <w:rPr>
          <w:rFonts w:hint="eastAsia" w:ascii="宋体" w:hAnsi="宋体" w:cs="宋体"/>
          <w:color w:val="auto"/>
          <w:sz w:val="21"/>
          <w:szCs w:val="21"/>
          <w:highlight w:val="none"/>
        </w:rPr>
        <w:t>磋商响应文件解密时间：截标时间后</w:t>
      </w:r>
      <w:r>
        <w:rPr>
          <w:rFonts w:hint="eastAsia" w:ascii="宋体" w:hAnsi="宋体" w:cs="宋体"/>
          <w:color w:val="auto"/>
          <w:sz w:val="21"/>
          <w:szCs w:val="21"/>
          <w:highlight w:val="none"/>
          <w:u w:val="single"/>
        </w:rPr>
        <w:t>30</w:t>
      </w:r>
      <w:r>
        <w:rPr>
          <w:rFonts w:hint="eastAsia" w:ascii="宋体" w:hAnsi="宋体" w:cs="宋体"/>
          <w:color w:val="auto"/>
          <w:sz w:val="21"/>
          <w:szCs w:val="21"/>
          <w:highlight w:val="none"/>
        </w:rPr>
        <w:t>分钟内（</w:t>
      </w:r>
      <w:r>
        <w:rPr>
          <w:rFonts w:hint="eastAsia" w:ascii="宋体" w:hAnsi="宋体" w:cs="宋体"/>
          <w:color w:val="auto"/>
          <w:sz w:val="21"/>
          <w:szCs w:val="21"/>
          <w:highlight w:val="none"/>
          <w:u w:val="single"/>
        </w:rPr>
        <w:t>202</w:t>
      </w:r>
      <w:r>
        <w:rPr>
          <w:rFonts w:hint="eastAsia" w:ascii="宋体" w:hAnsi="宋体" w:cs="宋体"/>
          <w:color w:val="auto"/>
          <w:sz w:val="21"/>
          <w:szCs w:val="21"/>
          <w:highlight w:val="none"/>
          <w:u w:val="single"/>
          <w:lang w:val="en-US" w:eastAsia="zh-CN"/>
        </w:rPr>
        <w:t>6</w:t>
      </w:r>
      <w:r>
        <w:rPr>
          <w:rFonts w:hint="eastAsia" w:ascii="宋体" w:hAnsi="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9</w:t>
      </w:r>
      <w:r>
        <w:rPr>
          <w:rFonts w:hint="eastAsia" w:ascii="宋体" w:hAnsi="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15</w:t>
      </w:r>
      <w:r>
        <w:rPr>
          <w:rFonts w:hint="eastAsia" w:ascii="宋体" w:hAnsi="宋体" w:cs="宋体"/>
          <w:color w:val="auto"/>
          <w:sz w:val="21"/>
          <w:szCs w:val="21"/>
          <w:highlight w:val="none"/>
          <w:u w:val="single"/>
        </w:rPr>
        <w:t>日</w:t>
      </w:r>
      <w:r>
        <w:rPr>
          <w:rFonts w:hint="eastAsia" w:ascii="宋体" w:hAnsi="宋体" w:cs="宋体"/>
          <w:color w:val="auto"/>
          <w:sz w:val="21"/>
          <w:szCs w:val="21"/>
          <w:highlight w:val="none"/>
          <w:u w:val="single"/>
        </w:rPr>
        <w:t>上午9时30分至10时00分</w:t>
      </w:r>
      <w:r>
        <w:rPr>
          <w:rFonts w:hint="eastAsia" w:ascii="宋体" w:hAnsi="宋体" w:cs="宋体"/>
          <w:color w:val="auto"/>
          <w:sz w:val="21"/>
          <w:szCs w:val="21"/>
          <w:highlight w:val="none"/>
        </w:rPr>
        <w:t>)磋商供应商可以登录广西政府采购云平台，用“项目采购-开标评标”功能进行解密电子磋商响应文件。</w:t>
      </w:r>
    </w:p>
    <w:p w14:paraId="64D657FA">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4.本项目需要落实的政府采购政策：</w:t>
      </w:r>
    </w:p>
    <w:p w14:paraId="2CFE13F9">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kern w:val="0"/>
          <w:szCs w:val="21"/>
          <w:highlight w:val="none"/>
        </w:rPr>
      </w:pPr>
      <w:r>
        <w:rPr>
          <w:rFonts w:hint="eastAsia" w:ascii="宋体" w:hAnsi="宋体" w:cs="宋体"/>
          <w:color w:val="auto"/>
          <w:kern w:val="0"/>
          <w:szCs w:val="21"/>
          <w:highlight w:val="none"/>
        </w:rPr>
        <w:t>4.1《政府采购促进中小企业发展管理办法》（财库[2020]46号）。</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 xml:space="preserve">    4.2《关于政府采购支持监狱企业发展有关问题的通知》（财库[2014]68号）。 </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 xml:space="preserve">    4.3《关于促进残疾人就业政府采购政策的通知》（财库[2017]141号）。</w:t>
      </w:r>
    </w:p>
    <w:p w14:paraId="1E63509D">
      <w:pPr>
        <w:pStyle w:val="16"/>
        <w:keepNext w:val="0"/>
        <w:keepLines w:val="0"/>
        <w:pageBreakBefore w:val="0"/>
        <w:kinsoku/>
        <w:wordWrap/>
        <w:overflowPunct/>
        <w:topLinePunct w:val="0"/>
        <w:bidi w:val="0"/>
        <w:spacing w:line="360" w:lineRule="auto"/>
        <w:textAlignment w:val="auto"/>
        <w:rPr>
          <w:rFonts w:ascii="宋体" w:hAnsi="宋体" w:cs="宋体"/>
          <w:color w:val="auto"/>
          <w:kern w:val="0"/>
          <w:sz w:val="21"/>
          <w:szCs w:val="21"/>
          <w:highlight w:val="none"/>
        </w:rPr>
      </w:pPr>
      <w:r>
        <w:rPr>
          <w:rFonts w:hint="eastAsia" w:ascii="宋体" w:hAnsi="宋体" w:cs="宋体"/>
          <w:color w:val="auto"/>
          <w:kern w:val="0"/>
          <w:sz w:val="21"/>
          <w:szCs w:val="21"/>
          <w:highlight w:val="none"/>
        </w:rPr>
        <w:t xml:space="preserve">    5.本项目所属行业为“</w:t>
      </w:r>
      <w:r>
        <w:rPr>
          <w:rFonts w:hint="eastAsia" w:ascii="宋体" w:hAnsi="宋体" w:cs="宋体"/>
          <w:color w:val="auto"/>
          <w:kern w:val="0"/>
          <w:sz w:val="21"/>
          <w:szCs w:val="21"/>
          <w:highlight w:val="none"/>
          <w:lang w:eastAsia="zh-CN"/>
        </w:rPr>
        <w:t>其他未列明行业</w:t>
      </w:r>
      <w:r>
        <w:rPr>
          <w:rFonts w:hint="eastAsia" w:ascii="宋体" w:hAnsi="宋体" w:cs="宋体"/>
          <w:color w:val="auto"/>
          <w:kern w:val="0"/>
          <w:sz w:val="21"/>
          <w:szCs w:val="21"/>
          <w:highlight w:val="none"/>
        </w:rPr>
        <w:t>”。</w:t>
      </w:r>
    </w:p>
    <w:p w14:paraId="4F7CC572">
      <w:pPr>
        <w:keepNext w:val="0"/>
        <w:keepLines w:val="0"/>
        <w:pageBreakBefore w:val="0"/>
        <w:kinsoku/>
        <w:wordWrap/>
        <w:overflowPunct/>
        <w:topLinePunct w:val="0"/>
        <w:bidi w:val="0"/>
        <w:spacing w:line="360" w:lineRule="auto"/>
        <w:ind w:firstLine="420"/>
        <w:textAlignment w:val="auto"/>
        <w:rPr>
          <w:rFonts w:hint="eastAsia" w:ascii="宋体" w:hAnsi="宋体" w:cs="宋体"/>
          <w:color w:val="auto"/>
          <w:szCs w:val="21"/>
          <w:highlight w:val="none"/>
        </w:rPr>
      </w:pPr>
      <w:r>
        <w:rPr>
          <w:rStyle w:val="58"/>
          <w:rFonts w:hint="eastAsia" w:ascii="仿宋" w:hAnsi="仿宋" w:cs="Arial"/>
          <w:color w:val="auto"/>
          <w:kern w:val="2"/>
          <w:sz w:val="21"/>
          <w:szCs w:val="24"/>
          <w:highlight w:val="none"/>
          <w:shd w:val="clear" w:color="auto" w:fill="auto"/>
          <w:lang w:val="en-US" w:eastAsia="zh-CN" w:bidi="ar-SA"/>
        </w:rPr>
        <w:t>6</w:t>
      </w:r>
      <w:r>
        <w:rPr>
          <w:rStyle w:val="58"/>
          <w:rFonts w:hint="eastAsia" w:ascii="仿宋" w:hAnsi="仿宋" w:eastAsia="宋体" w:cs="Arial"/>
          <w:color w:val="auto"/>
          <w:kern w:val="2"/>
          <w:sz w:val="21"/>
          <w:szCs w:val="24"/>
          <w:highlight w:val="none"/>
          <w:shd w:val="clear" w:color="auto" w:fill="auto"/>
          <w:lang w:val="en-US" w:eastAsia="zh-CN" w:bidi="ar-SA"/>
        </w:rPr>
        <w:t>.监督管理机构：桂林市政府采购管理办公室</w:t>
      </w:r>
      <w:r>
        <w:rPr>
          <w:rStyle w:val="58"/>
          <w:rFonts w:hint="eastAsia" w:ascii="仿宋" w:hAnsi="仿宋" w:cs="Arial"/>
          <w:color w:val="auto"/>
          <w:kern w:val="2"/>
          <w:sz w:val="21"/>
          <w:szCs w:val="24"/>
          <w:highlight w:val="none"/>
          <w:shd w:val="clear" w:color="auto" w:fill="auto"/>
          <w:lang w:val="en-US" w:eastAsia="zh-CN" w:bidi="ar-SA"/>
        </w:rPr>
        <w:t xml:space="preserve">    </w:t>
      </w:r>
      <w:r>
        <w:rPr>
          <w:rStyle w:val="58"/>
          <w:rFonts w:hint="eastAsia" w:ascii="仿宋" w:hAnsi="仿宋" w:eastAsia="宋体" w:cs="Arial"/>
          <w:color w:val="auto"/>
          <w:kern w:val="2"/>
          <w:sz w:val="21"/>
          <w:szCs w:val="24"/>
          <w:highlight w:val="none"/>
          <w:shd w:val="clear" w:color="auto" w:fill="auto"/>
          <w:lang w:val="en-US" w:eastAsia="zh-CN" w:bidi="ar-SA"/>
        </w:rPr>
        <w:t>电话：0773-2862142</w:t>
      </w:r>
    </w:p>
    <w:p w14:paraId="530D81C6">
      <w:pPr>
        <w:keepNext w:val="0"/>
        <w:keepLines w:val="0"/>
        <w:pageBreakBefore w:val="0"/>
        <w:kinsoku/>
        <w:wordWrap/>
        <w:overflowPunct/>
        <w:topLinePunct w:val="0"/>
        <w:bidi w:val="0"/>
        <w:spacing w:line="360" w:lineRule="auto"/>
        <w:ind w:firstLine="420"/>
        <w:textAlignment w:val="auto"/>
        <w:rPr>
          <w:rFonts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.资格条件特别说明：</w:t>
      </w:r>
    </w:p>
    <w:p w14:paraId="685707BD">
      <w:pPr>
        <w:keepNext w:val="0"/>
        <w:keepLines w:val="0"/>
        <w:pageBreakBefore w:val="0"/>
        <w:kinsoku/>
        <w:wordWrap/>
        <w:overflowPunct/>
        <w:topLinePunct w:val="0"/>
        <w:bidi w:val="0"/>
        <w:spacing w:line="360" w:lineRule="auto"/>
        <w:ind w:firstLine="420"/>
        <w:textAlignment w:val="auto"/>
        <w:rPr>
          <w:rFonts w:ascii="宋体" w:hAnsi="宋体" w:cs="宋体"/>
          <w:color w:val="auto"/>
          <w:szCs w:val="21"/>
          <w:highlight w:val="none"/>
        </w:rPr>
      </w:pPr>
      <w:r>
        <w:rPr>
          <w:rFonts w:hint="eastAsia" w:ascii="宋体" w:hAnsi="宋体" w:cs="宋体"/>
          <w:color w:val="auto"/>
          <w:szCs w:val="21"/>
          <w:highlight w:val="none"/>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3AF2F4CE">
      <w:pPr>
        <w:keepNext w:val="0"/>
        <w:keepLines w:val="0"/>
        <w:pageBreakBefore w:val="0"/>
        <w:kinsoku/>
        <w:wordWrap/>
        <w:overflowPunct/>
        <w:topLinePunct w:val="0"/>
        <w:bidi w:val="0"/>
        <w:spacing w:line="360" w:lineRule="auto"/>
        <w:ind w:firstLine="420"/>
        <w:textAlignment w:val="auto"/>
        <w:rPr>
          <w:rFonts w:ascii="宋体" w:hAnsi="宋体" w:cs="宋体"/>
          <w:color w:val="auto"/>
          <w:highlight w:val="none"/>
        </w:rPr>
      </w:pPr>
      <w:r>
        <w:rPr>
          <w:rFonts w:hint="eastAsia" w:ascii="宋体" w:hAnsi="宋体" w:cs="宋体"/>
          <w:color w:val="auto"/>
          <w:highlight w:val="none"/>
        </w:rPr>
        <w:t>（2）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54530E8E">
      <w:pPr>
        <w:keepNext w:val="0"/>
        <w:keepLines w:val="0"/>
        <w:pageBreakBefore w:val="0"/>
        <w:kinsoku/>
        <w:wordWrap/>
        <w:overflowPunct/>
        <w:topLinePunct w:val="0"/>
        <w:bidi w:val="0"/>
        <w:spacing w:line="360" w:lineRule="auto"/>
        <w:ind w:left="420" w:leftChars="200"/>
        <w:textAlignment w:val="auto"/>
        <w:rPr>
          <w:rFonts w:ascii="宋体" w:hAnsi="宋体" w:cs="宋体"/>
          <w:bCs/>
          <w:color w:val="auto"/>
          <w:szCs w:val="21"/>
          <w:highlight w:val="none"/>
        </w:rPr>
      </w:pPr>
      <w:r>
        <w:rPr>
          <w:rFonts w:hint="eastAsia" w:ascii="宋体" w:hAnsi="宋体" w:cs="宋体"/>
          <w:bCs/>
          <w:color w:val="auto"/>
          <w:szCs w:val="21"/>
          <w:highlight w:val="none"/>
        </w:rPr>
        <w:t>7.广西政府采购云平台电子竞标相关事宜：</w:t>
      </w:r>
    </w:p>
    <w:p w14:paraId="73581B3F">
      <w:pPr>
        <w:keepNext w:val="0"/>
        <w:keepLines w:val="0"/>
        <w:pageBreakBefore w:val="0"/>
        <w:kinsoku/>
        <w:wordWrap/>
        <w:overflowPunct/>
        <w:topLinePunct w:val="0"/>
        <w:bidi w:val="0"/>
        <w:adjustRightInd w:val="0"/>
        <w:snapToGrid w:val="0"/>
        <w:spacing w:line="360" w:lineRule="auto"/>
        <w:ind w:firstLine="420"/>
        <w:textAlignment w:val="auto"/>
        <w:rPr>
          <w:rFonts w:ascii="宋体" w:hAnsi="宋体" w:cs="宋体"/>
          <w:bCs/>
          <w:color w:val="auto"/>
          <w:szCs w:val="21"/>
          <w:highlight w:val="none"/>
        </w:rPr>
      </w:pPr>
      <w:r>
        <w:rPr>
          <w:rFonts w:hint="eastAsia" w:ascii="宋体" w:hAnsi="宋体" w:cs="宋体"/>
          <w:bCs/>
          <w:color w:val="auto"/>
          <w:szCs w:val="21"/>
          <w:highlight w:val="none"/>
        </w:rPr>
        <w:t>（1）本项目实行全流程电子化采购，供应商通过广西政府采购云平台参与电子竞标，并应做好以下相关准备工作：①在广西政府采购云平台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以便供应商采用CA证书对其响应文件电子签章或电子签名；③下载“广西壮族自治区全流程电子招投标项目管理系统--供应商客户端”（操作方法详见广西壮族自治区政府采购网—办事服务—下载专区，以下称“政采云电子投标客户端”）并安装成功，供应商应当在响应文件提交截止时间前在广西政府采购云平台完成的身份认证，确保能够对相关数据电文进行加密和使用电子签章；④自备计算机和网络设备并确保能接入互联网（费用由供应商自行承担，设备确保可进行视频通话和读取政采云CA证书）。因供应商未做好相关准备工作等自身原因导致无法参加本项目电子竞标或竞标失败的，造成的一切后果，由供应商自行承担。</w:t>
      </w:r>
    </w:p>
    <w:p w14:paraId="4EBF68CB">
      <w:pPr>
        <w:keepNext w:val="0"/>
        <w:keepLines w:val="0"/>
        <w:pageBreakBefore w:val="0"/>
        <w:kinsoku/>
        <w:wordWrap/>
        <w:overflowPunct/>
        <w:topLinePunct w:val="0"/>
        <w:bidi w:val="0"/>
        <w:adjustRightInd w:val="0"/>
        <w:snapToGrid w:val="0"/>
        <w:spacing w:line="360" w:lineRule="auto"/>
        <w:ind w:firstLine="420"/>
        <w:textAlignment w:val="auto"/>
        <w:rPr>
          <w:rFonts w:ascii="宋体" w:hAnsi="宋体" w:cs="宋体"/>
          <w:bCs/>
          <w:color w:val="auto"/>
          <w:szCs w:val="21"/>
          <w:highlight w:val="none"/>
        </w:rPr>
      </w:pPr>
      <w:r>
        <w:rPr>
          <w:rFonts w:hint="eastAsia" w:ascii="宋体" w:hAnsi="宋体" w:cs="宋体"/>
          <w:bCs/>
          <w:color w:val="auto"/>
          <w:szCs w:val="21"/>
          <w:highlight w:val="none"/>
        </w:rPr>
        <w:t>（2）电子竞标具体操作流程参考《政府采购项目电子交易管理操作指南-供应商》（详见桂林市政府采购网—采购资讯—重要通知）；如遇平台技术问题详询95763。</w:t>
      </w:r>
    </w:p>
    <w:p w14:paraId="0C691B0E">
      <w:pPr>
        <w:keepNext w:val="0"/>
        <w:keepLines w:val="0"/>
        <w:pageBreakBefore w:val="0"/>
        <w:kinsoku/>
        <w:wordWrap/>
        <w:overflowPunct/>
        <w:topLinePunct w:val="0"/>
        <w:bidi w:val="0"/>
        <w:adjustRightInd w:val="0"/>
        <w:snapToGrid w:val="0"/>
        <w:spacing w:line="360" w:lineRule="auto"/>
        <w:ind w:firstLine="420"/>
        <w:textAlignment w:val="auto"/>
        <w:rPr>
          <w:color w:val="auto"/>
          <w:highlight w:val="none"/>
        </w:rPr>
      </w:pPr>
      <w:r>
        <w:rPr>
          <w:rFonts w:hint="eastAsia" w:ascii="宋体" w:hAnsi="宋体" w:cs="宋体"/>
          <w:bCs/>
          <w:color w:val="auto"/>
          <w:szCs w:val="21"/>
          <w:highlight w:val="none"/>
        </w:rPr>
        <w:t>（3）</w:t>
      </w:r>
      <w:r>
        <w:rPr>
          <w:rFonts w:hint="eastAsia" w:ascii="宋体" w:hAnsi="宋体" w:cs="宋体"/>
          <w:color w:val="auto"/>
          <w:kern w:val="0"/>
          <w:szCs w:val="21"/>
          <w:highlight w:val="none"/>
        </w:rPr>
        <w:t>电子响应文件的制作、加密、</w:t>
      </w:r>
      <w:r>
        <w:rPr>
          <w:rFonts w:hint="eastAsia" w:ascii="宋体" w:hAnsi="宋体" w:cs="宋体"/>
          <w:color w:val="auto"/>
          <w:szCs w:val="21"/>
          <w:highlight w:val="none"/>
        </w:rPr>
        <w:t>提交、解密等相关事宜详见第二章 “供应商须知”。</w:t>
      </w:r>
    </w:p>
    <w:p w14:paraId="1A19DD62">
      <w:pPr>
        <w:keepNext w:val="0"/>
        <w:keepLines w:val="0"/>
        <w:pageBreakBefore w:val="0"/>
        <w:kinsoku/>
        <w:wordWrap/>
        <w:overflowPunct/>
        <w:topLinePunct w:val="0"/>
        <w:bidi w:val="0"/>
        <w:spacing w:line="360" w:lineRule="auto"/>
        <w:textAlignment w:val="auto"/>
        <w:rPr>
          <w:rFonts w:ascii="宋体" w:hAnsi="宋体" w:cs="宋体"/>
          <w:b/>
          <w:color w:val="auto"/>
          <w:szCs w:val="21"/>
          <w:highlight w:val="none"/>
        </w:rPr>
      </w:pPr>
      <w:r>
        <w:rPr>
          <w:rFonts w:hint="eastAsia" w:ascii="宋体" w:hAnsi="宋体" w:cs="宋体"/>
          <w:b/>
          <w:color w:val="auto"/>
          <w:szCs w:val="21"/>
          <w:highlight w:val="none"/>
        </w:rPr>
        <w:t>八、</w:t>
      </w:r>
      <w:bookmarkEnd w:id="22"/>
      <w:bookmarkEnd w:id="23"/>
      <w:bookmarkEnd w:id="24"/>
      <w:bookmarkEnd w:id="25"/>
      <w:r>
        <w:rPr>
          <w:rFonts w:hint="eastAsia" w:ascii="宋体" w:hAnsi="宋体" w:cs="宋体"/>
          <w:b/>
          <w:color w:val="auto"/>
          <w:szCs w:val="21"/>
          <w:highlight w:val="none"/>
        </w:rPr>
        <w:t>凡对本次采购提出询问，请按以下方式联系。</w:t>
      </w:r>
      <w:bookmarkStart w:id="36" w:name="_Toc28359096"/>
      <w:bookmarkStart w:id="37" w:name="_Toc35393806"/>
      <w:bookmarkStart w:id="38" w:name="_Toc35393637"/>
      <w:bookmarkStart w:id="39" w:name="_Toc28359019"/>
    </w:p>
    <w:p w14:paraId="56228564">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bCs/>
          <w:color w:val="auto"/>
          <w:szCs w:val="21"/>
          <w:highlight w:val="none"/>
        </w:rPr>
        <w:t>1.采购人信息</w:t>
      </w:r>
      <w:bookmarkEnd w:id="36"/>
      <w:bookmarkEnd w:id="37"/>
      <w:bookmarkEnd w:id="38"/>
      <w:bookmarkEnd w:id="39"/>
    </w:p>
    <w:p w14:paraId="30BA4164">
      <w:pPr>
        <w:keepNext w:val="0"/>
        <w:keepLines w:val="0"/>
        <w:pageBreakBefore w:val="0"/>
        <w:kinsoku/>
        <w:wordWrap/>
        <w:overflowPunct/>
        <w:topLinePunct w:val="0"/>
        <w:bidi w:val="0"/>
        <w:spacing w:line="360" w:lineRule="auto"/>
        <w:ind w:firstLine="420" w:firstLineChars="200"/>
        <w:jc w:val="left"/>
        <w:textAlignment w:val="auto"/>
        <w:rPr>
          <w:rFonts w:ascii="宋体" w:hAnsi="宋体" w:cs="宋体"/>
          <w:color w:val="auto"/>
          <w:szCs w:val="21"/>
          <w:highlight w:val="none"/>
        </w:rPr>
      </w:pPr>
      <w:bookmarkStart w:id="40" w:name="_Toc35393807"/>
      <w:bookmarkStart w:id="41" w:name="_Toc28359097"/>
      <w:bookmarkStart w:id="42" w:name="_Toc35393638"/>
      <w:bookmarkStart w:id="43" w:name="_Toc28359020"/>
      <w:r>
        <w:rPr>
          <w:rFonts w:hint="eastAsia" w:ascii="宋体" w:hAnsi="宋体" w:cs="宋体"/>
          <w:color w:val="auto"/>
          <w:szCs w:val="21"/>
          <w:highlight w:val="none"/>
        </w:rPr>
        <w:t>名  称：广西桂林花坪国家级自然保护区管理处 </w:t>
      </w:r>
    </w:p>
    <w:p w14:paraId="4875D0A2">
      <w:pPr>
        <w:keepNext w:val="0"/>
        <w:keepLines w:val="0"/>
        <w:pageBreakBefore w:val="0"/>
        <w:kinsoku/>
        <w:wordWrap/>
        <w:overflowPunct/>
        <w:topLinePunct w:val="0"/>
        <w:bidi w:val="0"/>
        <w:spacing w:line="360" w:lineRule="auto"/>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地  址：广西桂林市临桂区世纪东路32号 </w:t>
      </w:r>
    </w:p>
    <w:p w14:paraId="285531C1">
      <w:pPr>
        <w:keepNext w:val="0"/>
        <w:keepLines w:val="0"/>
        <w:pageBreakBefore w:val="0"/>
        <w:kinsoku/>
        <w:wordWrap/>
        <w:overflowPunct/>
        <w:topLinePunct w:val="0"/>
        <w:bidi w:val="0"/>
        <w:spacing w:line="360" w:lineRule="auto"/>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联系方式：</w:t>
      </w:r>
      <w:r>
        <w:rPr>
          <w:rFonts w:hint="eastAsia" w:ascii="宋体" w:hAnsi="宋体"/>
          <w:color w:val="auto"/>
          <w:highlight w:val="none"/>
          <w:shd w:val="clear" w:color="auto" w:fill="auto"/>
          <w:lang w:val="en-US" w:eastAsia="zh-CN"/>
        </w:rPr>
        <w:t>0773-5593550</w:t>
      </w:r>
    </w:p>
    <w:p w14:paraId="6A55E3D4">
      <w:pPr>
        <w:keepNext w:val="0"/>
        <w:keepLines w:val="0"/>
        <w:pageBreakBefore w:val="0"/>
        <w:kinsoku/>
        <w:wordWrap/>
        <w:overflowPunct/>
        <w:topLinePunct w:val="0"/>
        <w:bidi w:val="0"/>
        <w:spacing w:line="360" w:lineRule="auto"/>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2.采购代理机构信息</w:t>
      </w:r>
      <w:bookmarkEnd w:id="40"/>
      <w:bookmarkEnd w:id="41"/>
      <w:bookmarkEnd w:id="42"/>
      <w:bookmarkEnd w:id="43"/>
    </w:p>
    <w:p w14:paraId="30E086E8">
      <w:pPr>
        <w:keepNext w:val="0"/>
        <w:keepLines w:val="0"/>
        <w:pageBreakBefore w:val="0"/>
        <w:kinsoku/>
        <w:wordWrap/>
        <w:overflowPunct/>
        <w:topLinePunct w:val="0"/>
        <w:bidi w:val="0"/>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名    称：广西天罡工程项目管理有限公司</w:t>
      </w:r>
    </w:p>
    <w:p w14:paraId="6492A190">
      <w:pPr>
        <w:keepNext w:val="0"/>
        <w:keepLines w:val="0"/>
        <w:pageBreakBefore w:val="0"/>
        <w:kinsoku/>
        <w:wordWrap/>
        <w:overflowPunct/>
        <w:topLinePunct w:val="0"/>
        <w:bidi w:val="0"/>
        <w:spacing w:line="360" w:lineRule="auto"/>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地　　址：桂林市七星区七里店路108号桂林国家大学科技园2栋2单元5楼</w:t>
      </w:r>
    </w:p>
    <w:p w14:paraId="1B190F02">
      <w:pPr>
        <w:keepNext w:val="0"/>
        <w:keepLines w:val="0"/>
        <w:pageBreakBefore w:val="0"/>
        <w:kinsoku/>
        <w:wordWrap/>
        <w:overflowPunct/>
        <w:topLinePunct w:val="0"/>
        <w:bidi w:val="0"/>
        <w:spacing w:line="360" w:lineRule="auto"/>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联系方式：0773-5896688</w:t>
      </w:r>
    </w:p>
    <w:p w14:paraId="4F9D9E83">
      <w:pPr>
        <w:keepNext w:val="0"/>
        <w:keepLines w:val="0"/>
        <w:pageBreakBefore w:val="0"/>
        <w:kinsoku/>
        <w:wordWrap/>
        <w:overflowPunct/>
        <w:topLinePunct w:val="0"/>
        <w:bidi w:val="0"/>
        <w:spacing w:line="360" w:lineRule="auto"/>
        <w:ind w:firstLine="420" w:firstLineChars="200"/>
        <w:jc w:val="left"/>
        <w:textAlignment w:val="auto"/>
        <w:rPr>
          <w:rFonts w:ascii="宋体" w:hAnsi="宋体" w:cs="宋体"/>
          <w:color w:val="auto"/>
          <w:szCs w:val="21"/>
          <w:highlight w:val="none"/>
        </w:rPr>
      </w:pPr>
      <w:bookmarkStart w:id="44" w:name="_Toc35393639"/>
      <w:bookmarkStart w:id="45" w:name="_Toc35393808"/>
      <w:bookmarkStart w:id="46" w:name="_Toc28359098"/>
      <w:bookmarkStart w:id="47" w:name="_Toc28359021"/>
      <w:r>
        <w:rPr>
          <w:rFonts w:hint="eastAsia" w:ascii="宋体" w:hAnsi="宋体" w:cs="宋体"/>
          <w:color w:val="auto"/>
          <w:szCs w:val="21"/>
          <w:highlight w:val="none"/>
        </w:rPr>
        <w:t>3.项目联系方式</w:t>
      </w:r>
      <w:bookmarkEnd w:id="44"/>
      <w:bookmarkEnd w:id="45"/>
      <w:bookmarkEnd w:id="46"/>
      <w:bookmarkEnd w:id="47"/>
    </w:p>
    <w:p w14:paraId="728BC01D">
      <w:pPr>
        <w:keepNext w:val="0"/>
        <w:keepLines w:val="0"/>
        <w:pageBreakBefore w:val="0"/>
        <w:kinsoku/>
        <w:wordWrap/>
        <w:overflowPunct/>
        <w:topLinePunct w:val="0"/>
        <w:bidi w:val="0"/>
        <w:spacing w:line="360" w:lineRule="auto"/>
        <w:ind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滕工、徐工</w:t>
      </w:r>
    </w:p>
    <w:p w14:paraId="2168B12D">
      <w:pPr>
        <w:keepNext w:val="0"/>
        <w:keepLines w:val="0"/>
        <w:pageBreakBefore w:val="0"/>
        <w:kinsoku/>
        <w:wordWrap/>
        <w:overflowPunct/>
        <w:topLinePunct w:val="0"/>
        <w:bidi w:val="0"/>
        <w:spacing w:line="360" w:lineRule="auto"/>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电　　 话：0773-5896688</w:t>
      </w:r>
    </w:p>
    <w:p w14:paraId="3336E35B">
      <w:pPr>
        <w:rPr>
          <w:rFonts w:hint="eastAsia"/>
          <w:color w:val="auto"/>
          <w:highlight w:val="none"/>
        </w:rPr>
      </w:pPr>
      <w:bookmarkStart w:id="48" w:name="_Toc10668"/>
      <w:bookmarkStart w:id="49" w:name="_Toc8849"/>
      <w:r>
        <w:rPr>
          <w:rFonts w:hint="eastAsia"/>
          <w:color w:val="auto"/>
          <w:highlight w:val="none"/>
        </w:rPr>
        <w:br w:type="page"/>
      </w:r>
    </w:p>
    <w:bookmarkEnd w:id="0"/>
    <w:bookmarkEnd w:id="1"/>
    <w:bookmarkEnd w:id="48"/>
    <w:bookmarkEnd w:id="49"/>
    <w:p w14:paraId="71FFFA00">
      <w:pPr>
        <w:pStyle w:val="2"/>
        <w:rPr>
          <w:color w:val="auto"/>
          <w:highlight w:val="none"/>
        </w:rPr>
      </w:pPr>
      <w:bookmarkStart w:id="50" w:name="_Toc9508"/>
      <w:bookmarkStart w:id="51" w:name="_Toc13547"/>
      <w:bookmarkStart w:id="52" w:name="_Toc15488"/>
      <w:bookmarkStart w:id="53" w:name="_Toc25063"/>
      <w:r>
        <w:rPr>
          <w:rFonts w:hint="eastAsia"/>
          <w:color w:val="auto"/>
          <w:highlight w:val="none"/>
        </w:rPr>
        <w:t>第二章  供应商须知</w:t>
      </w:r>
    </w:p>
    <w:p w14:paraId="47A095EE">
      <w:pPr>
        <w:pStyle w:val="2"/>
        <w:spacing w:line="400" w:lineRule="exact"/>
        <w:ind w:left="425"/>
        <w:rPr>
          <w:rFonts w:ascii="宋体" w:hAnsi="宋体" w:cs="宋体"/>
          <w:bCs w:val="0"/>
          <w:color w:val="auto"/>
          <w:sz w:val="24"/>
          <w:szCs w:val="24"/>
          <w:highlight w:val="none"/>
        </w:rPr>
      </w:pPr>
      <w:r>
        <w:rPr>
          <w:rFonts w:hint="eastAsia" w:ascii="宋体" w:hAnsi="宋体" w:cs="宋体"/>
          <w:bCs w:val="0"/>
          <w:color w:val="auto"/>
          <w:sz w:val="24"/>
          <w:szCs w:val="24"/>
          <w:highlight w:val="none"/>
        </w:rPr>
        <w:t>供 应 商 须 知 前 附 表</w:t>
      </w:r>
      <w:bookmarkEnd w:id="50"/>
      <w:bookmarkEnd w:id="51"/>
      <w:bookmarkEnd w:id="52"/>
      <w:bookmarkEnd w:id="53"/>
    </w:p>
    <w:tbl>
      <w:tblPr>
        <w:tblStyle w:val="24"/>
        <w:tblW w:w="10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652"/>
        <w:gridCol w:w="7035"/>
      </w:tblGrid>
      <w:tr w14:paraId="6CF3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dxa"/>
            <w:vAlign w:val="center"/>
          </w:tcPr>
          <w:p w14:paraId="5DE0544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942" w:type="dxa"/>
            <w:vAlign w:val="center"/>
          </w:tcPr>
          <w:p w14:paraId="4A4A78D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1652" w:type="dxa"/>
            <w:vAlign w:val="center"/>
          </w:tcPr>
          <w:p w14:paraId="4E4AAFE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条款名称</w:t>
            </w:r>
          </w:p>
        </w:tc>
        <w:tc>
          <w:tcPr>
            <w:tcW w:w="7035" w:type="dxa"/>
            <w:vAlign w:val="center"/>
          </w:tcPr>
          <w:p w14:paraId="125F9A79">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内容、要求</w:t>
            </w:r>
          </w:p>
        </w:tc>
      </w:tr>
      <w:tr w14:paraId="2ED4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62" w:type="dxa"/>
            <w:vAlign w:val="center"/>
          </w:tcPr>
          <w:p w14:paraId="34EA1276">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942" w:type="dxa"/>
            <w:vAlign w:val="center"/>
          </w:tcPr>
          <w:p w14:paraId="09CD6FA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652" w:type="dxa"/>
            <w:vAlign w:val="center"/>
          </w:tcPr>
          <w:p w14:paraId="5D922554">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项目名称及项目编号</w:t>
            </w:r>
          </w:p>
        </w:tc>
        <w:tc>
          <w:tcPr>
            <w:tcW w:w="7035" w:type="dxa"/>
          </w:tcPr>
          <w:p w14:paraId="28A1F763">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广西花坪国家级自然保护区特种救护、宣传（资料）视频制作、标本养护及古树名木资源普查项目</w:t>
            </w:r>
          </w:p>
          <w:p w14:paraId="301F77C6">
            <w:pPr>
              <w:keepNext w:val="0"/>
              <w:keepLines w:val="0"/>
              <w:suppressLineNumbers w:val="0"/>
              <w:spacing w:before="0" w:beforeAutospacing="0" w:after="0" w:afterAutospacing="0" w:line="360" w:lineRule="auto"/>
              <w:ind w:left="0" w:right="0"/>
              <w:jc w:val="left"/>
              <w:rPr>
                <w:rFonts w:hint="eastAsia" w:ascii="宋体" w:hAnsi="宋体" w:cs="宋体"/>
                <w:color w:val="auto"/>
                <w:highlight w:val="none"/>
              </w:rPr>
            </w:pPr>
            <w:r>
              <w:rPr>
                <w:rFonts w:hint="eastAsia" w:ascii="宋体" w:hAnsi="宋体" w:cs="宋体"/>
                <w:color w:val="auto"/>
                <w:szCs w:val="21"/>
                <w:highlight w:val="none"/>
              </w:rPr>
              <w:t>项目编号：GLZC2026-C3-990393-GXTG</w:t>
            </w:r>
          </w:p>
        </w:tc>
      </w:tr>
      <w:tr w14:paraId="6E08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600A432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942" w:type="dxa"/>
            <w:vAlign w:val="center"/>
          </w:tcPr>
          <w:p w14:paraId="2F44D28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652" w:type="dxa"/>
            <w:vAlign w:val="center"/>
          </w:tcPr>
          <w:p w14:paraId="5175169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供应商资格</w:t>
            </w:r>
          </w:p>
        </w:tc>
        <w:tc>
          <w:tcPr>
            <w:tcW w:w="7035" w:type="dxa"/>
            <w:vAlign w:val="center"/>
          </w:tcPr>
          <w:p w14:paraId="3B5E941D">
            <w:pPr>
              <w:keepNext w:val="0"/>
              <w:keepLines w:val="0"/>
              <w:suppressLineNumbers w:val="0"/>
              <w:spacing w:before="0" w:beforeAutospacing="0" w:after="0" w:afterAutospacing="0"/>
              <w:ind w:left="0" w:right="0"/>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详见竞争性磋商公告。</w:t>
            </w:r>
          </w:p>
        </w:tc>
      </w:tr>
      <w:tr w14:paraId="672A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62" w:type="dxa"/>
            <w:vAlign w:val="center"/>
          </w:tcPr>
          <w:p w14:paraId="0E1766F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942" w:type="dxa"/>
            <w:vAlign w:val="center"/>
          </w:tcPr>
          <w:p w14:paraId="30DBE178">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652" w:type="dxa"/>
            <w:vAlign w:val="center"/>
          </w:tcPr>
          <w:p w14:paraId="490E9509">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磋商费用</w:t>
            </w:r>
          </w:p>
        </w:tc>
        <w:tc>
          <w:tcPr>
            <w:tcW w:w="7035" w:type="dxa"/>
            <w:vAlign w:val="center"/>
          </w:tcPr>
          <w:p w14:paraId="20B6BA80">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不论磋商结果如何，供应商均应自行承担所有与磋商有关的全部费用。 </w:t>
            </w:r>
          </w:p>
        </w:tc>
      </w:tr>
      <w:tr w14:paraId="539B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73CE80F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942" w:type="dxa"/>
            <w:vAlign w:val="center"/>
          </w:tcPr>
          <w:p w14:paraId="2855B688">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13</w:t>
            </w:r>
          </w:p>
        </w:tc>
        <w:tc>
          <w:tcPr>
            <w:tcW w:w="1652" w:type="dxa"/>
            <w:vAlign w:val="center"/>
          </w:tcPr>
          <w:p w14:paraId="3DBAE9EB">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szCs w:val="21"/>
                <w:highlight w:val="none"/>
              </w:rPr>
              <w:t>磋商报价及采购预算金额</w:t>
            </w:r>
          </w:p>
        </w:tc>
        <w:tc>
          <w:tcPr>
            <w:tcW w:w="7035" w:type="dxa"/>
            <w:vAlign w:val="center"/>
          </w:tcPr>
          <w:p w14:paraId="17A36A87">
            <w:pPr>
              <w:keepNext w:val="0"/>
              <w:keepLines w:val="0"/>
              <w:suppressLineNumbers w:val="0"/>
              <w:spacing w:before="0" w:beforeAutospacing="0" w:after="0" w:afterAutospacing="0"/>
              <w:ind w:left="0" w:right="0"/>
              <w:rPr>
                <w:rFonts w:hint="eastAsia" w:ascii="宋体" w:hAnsi="宋体" w:cs="宋体"/>
                <w:color w:val="auto"/>
                <w:szCs w:val="21"/>
                <w:highlight w:val="none"/>
              </w:rPr>
            </w:pPr>
            <w:r>
              <w:rPr>
                <w:rFonts w:hint="eastAsia" w:ascii="宋体" w:hAnsi="宋体" w:cs="宋体"/>
                <w:color w:val="auto"/>
                <w:szCs w:val="21"/>
                <w:highlight w:val="none"/>
              </w:rPr>
              <w:t>13.1 磋商报价应按磋商文件中相关附表格式填写。</w:t>
            </w:r>
            <w:r>
              <w:rPr>
                <w:rFonts w:hint="eastAsia" w:ascii="宋体" w:hAnsi="宋体" w:cs="宋体"/>
                <w:b/>
                <w:bCs/>
                <w:color w:val="auto"/>
                <w:szCs w:val="21"/>
                <w:highlight w:val="none"/>
              </w:rPr>
              <w:t>采购预算</w:t>
            </w:r>
            <w:r>
              <w:rPr>
                <w:rFonts w:hint="eastAsia" w:ascii="宋体" w:hAnsi="宋体" w:cs="宋体"/>
                <w:b/>
                <w:bCs/>
                <w:color w:val="auto"/>
                <w:szCs w:val="21"/>
                <w:highlight w:val="none"/>
                <w:lang w:eastAsia="zh-CN"/>
              </w:rPr>
              <w:t>详见竞争性磋商公告</w:t>
            </w:r>
            <w:r>
              <w:rPr>
                <w:rFonts w:hint="eastAsia" w:ascii="宋体" w:hAnsi="宋体" w:cs="宋体"/>
                <w:b/>
                <w:bCs/>
                <w:color w:val="auto"/>
                <w:szCs w:val="21"/>
                <w:highlight w:val="none"/>
              </w:rPr>
              <w:t>。</w:t>
            </w:r>
            <w:r>
              <w:rPr>
                <w:rFonts w:hint="eastAsia" w:ascii="宋体" w:hAnsi="宋体" w:cs="宋体"/>
                <w:color w:val="auto"/>
                <w:szCs w:val="21"/>
                <w:highlight w:val="none"/>
              </w:rPr>
              <w:t>供应商报价</w:t>
            </w:r>
            <w:r>
              <w:rPr>
                <w:rFonts w:hint="eastAsia" w:ascii="宋体" w:hAnsi="宋体" w:cs="宋体"/>
                <w:color w:val="auto"/>
                <w:kern w:val="0"/>
                <w:szCs w:val="21"/>
                <w:highlight w:val="none"/>
              </w:rPr>
              <w:t>超出</w:t>
            </w:r>
            <w:r>
              <w:rPr>
                <w:rFonts w:hint="eastAsia" w:ascii="宋体" w:hAnsi="宋体" w:cs="宋体"/>
                <w:color w:val="auto"/>
                <w:kern w:val="0"/>
                <w:szCs w:val="21"/>
                <w:highlight w:val="none"/>
                <w:lang w:eastAsia="zh-CN"/>
              </w:rPr>
              <w:t>相应分标</w:t>
            </w:r>
            <w:r>
              <w:rPr>
                <w:rFonts w:hint="eastAsia" w:ascii="宋体" w:hAnsi="宋体" w:cs="宋体"/>
                <w:color w:val="auto"/>
                <w:kern w:val="0"/>
                <w:szCs w:val="21"/>
                <w:highlight w:val="none"/>
              </w:rPr>
              <w:t>采购预算金额的，响应文件按无效处理。</w:t>
            </w:r>
          </w:p>
          <w:p w14:paraId="0E4C7A9C">
            <w:pPr>
              <w:keepNext w:val="0"/>
              <w:keepLines w:val="0"/>
              <w:suppressLineNumbers w:val="0"/>
              <w:snapToGrid w:val="0"/>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13.2供应商必须就“采购需求”中所有内容作完整唯一报价，否则，其响应文件无效；响应文件只允许有一个报价，有选择的或有条件的报价将不予接受。</w:t>
            </w:r>
          </w:p>
          <w:p w14:paraId="0B5277EE">
            <w:pPr>
              <w:keepNext w:val="0"/>
              <w:keepLines w:val="0"/>
              <w:suppressLineNumbers w:val="0"/>
              <w:snapToGrid w:val="0"/>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13.4</w:t>
            </w:r>
            <w:r>
              <w:rPr>
                <w:rFonts w:hint="eastAsia" w:ascii="宋体" w:hAnsi="宋体" w:cs="宋体"/>
                <w:color w:val="auto"/>
                <w:kern w:val="0"/>
                <w:szCs w:val="21"/>
                <w:highlight w:val="none"/>
              </w:rPr>
              <w:t>供应商应在规定时间内在政采云系统上提交最后报价，超出评委设定的最后报价时限或其最后报价超出采购预算导致已通过评审的响应文件无效的，按供应商在提交响应文件截止时间后撤回响应文件处理。</w:t>
            </w:r>
          </w:p>
        </w:tc>
      </w:tr>
      <w:tr w14:paraId="284D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4842E91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942" w:type="dxa"/>
            <w:vAlign w:val="center"/>
          </w:tcPr>
          <w:p w14:paraId="1AB712D2">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14.1</w:t>
            </w:r>
          </w:p>
        </w:tc>
        <w:tc>
          <w:tcPr>
            <w:tcW w:w="1652" w:type="dxa"/>
            <w:vAlign w:val="center"/>
          </w:tcPr>
          <w:p w14:paraId="0B4F7D92">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响应文件有效期</w:t>
            </w:r>
          </w:p>
        </w:tc>
        <w:tc>
          <w:tcPr>
            <w:tcW w:w="7035" w:type="dxa"/>
          </w:tcPr>
          <w:p w14:paraId="6C075B53">
            <w:pPr>
              <w:keepNext w:val="0"/>
              <w:keepLines w:val="0"/>
              <w:suppressLineNumbers w:val="0"/>
              <w:tabs>
                <w:tab w:val="left" w:pos="1305"/>
              </w:tabs>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响应文件递交截止时间之日起90天，有效期不足的响应文件将被拒绝。</w:t>
            </w:r>
          </w:p>
        </w:tc>
      </w:tr>
      <w:tr w14:paraId="4F62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dxa"/>
            <w:vAlign w:val="center"/>
          </w:tcPr>
          <w:p w14:paraId="0F0C73C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942" w:type="dxa"/>
            <w:vAlign w:val="center"/>
          </w:tcPr>
          <w:p w14:paraId="7016FFD0">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15</w:t>
            </w:r>
          </w:p>
        </w:tc>
        <w:tc>
          <w:tcPr>
            <w:tcW w:w="1652" w:type="dxa"/>
            <w:vAlign w:val="center"/>
          </w:tcPr>
          <w:p w14:paraId="1AD3E07E">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保证金</w:t>
            </w:r>
          </w:p>
        </w:tc>
        <w:tc>
          <w:tcPr>
            <w:tcW w:w="7035" w:type="dxa"/>
          </w:tcPr>
          <w:p w14:paraId="000344F6">
            <w:pPr>
              <w:keepNext w:val="0"/>
              <w:keepLines w:val="0"/>
              <w:suppressLineNumbers w:val="0"/>
              <w:tabs>
                <w:tab w:val="left" w:pos="1305"/>
              </w:tabs>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本项目无需缴纳磋商保证金</w:t>
            </w:r>
          </w:p>
        </w:tc>
      </w:tr>
      <w:tr w14:paraId="5C38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62" w:type="dxa"/>
            <w:vAlign w:val="center"/>
          </w:tcPr>
          <w:p w14:paraId="4589B72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942" w:type="dxa"/>
            <w:vAlign w:val="center"/>
          </w:tcPr>
          <w:p w14:paraId="09C65E6B">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16</w:t>
            </w:r>
          </w:p>
        </w:tc>
        <w:tc>
          <w:tcPr>
            <w:tcW w:w="1652" w:type="dxa"/>
            <w:vAlign w:val="center"/>
          </w:tcPr>
          <w:p w14:paraId="1CD5401E">
            <w:pPr>
              <w:pStyle w:val="5"/>
              <w:suppressLineNumbers w:val="0"/>
              <w:spacing w:before="0" w:beforeAutospacing="0" w:after="0" w:afterAutospacing="0" w:line="360" w:lineRule="auto"/>
              <w:ind w:left="0" w:right="0"/>
              <w:jc w:val="center"/>
              <w:rPr>
                <w:rFonts w:hint="eastAsia" w:ascii="宋体" w:hAnsi="宋体" w:cs="宋体"/>
                <w:b w:val="0"/>
                <w:bCs/>
                <w:color w:val="auto"/>
                <w:sz w:val="21"/>
                <w:szCs w:val="21"/>
                <w:highlight w:val="none"/>
              </w:rPr>
            </w:pPr>
            <w:bookmarkStart w:id="54" w:name="_Toc19911"/>
            <w:bookmarkStart w:id="55" w:name="_Toc27452"/>
            <w:r>
              <w:rPr>
                <w:rFonts w:hint="eastAsia" w:ascii="宋体" w:hAnsi="宋体" w:cs="宋体"/>
                <w:b w:val="0"/>
                <w:bCs/>
                <w:color w:val="auto"/>
                <w:sz w:val="21"/>
                <w:szCs w:val="21"/>
                <w:highlight w:val="none"/>
              </w:rPr>
              <w:t>竞争性磋商响应文件的制作</w:t>
            </w:r>
            <w:bookmarkEnd w:id="54"/>
            <w:bookmarkEnd w:id="55"/>
          </w:p>
          <w:p w14:paraId="14BEAFE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p>
        </w:tc>
        <w:tc>
          <w:tcPr>
            <w:tcW w:w="7035" w:type="dxa"/>
            <w:vAlign w:val="center"/>
          </w:tcPr>
          <w:p w14:paraId="030546C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16.1 电子磋商响应文件中须加盖供应商公章部分均采用 CA 证书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位查找不到相关内容的，由供应商自行承担。</w:t>
            </w:r>
          </w:p>
          <w:p w14:paraId="6DD862F6">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16.2供应商法人（负责人）或授权代表持有政采云个人CA证书签章的，应在响应文件中涉及到签字的位置使用个人CA证书签章，没有办理政采云个人CA证书签章的可在响应文件中涉及到签字的位置手写签字后扫描或者拍照做成 PDF 的格式上传即可。</w:t>
            </w:r>
          </w:p>
          <w:p w14:paraId="3BD6006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16.3 磋商响应文件不得涂改，若有修改错漏处，须法定代表人（负责人）或授权委托人签字（或个人CA证书签章）。磋商响应文件因字迹潦草或表达不清所引起的后果由供应商负责。</w:t>
            </w:r>
          </w:p>
          <w:p w14:paraId="4EF75D1D">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16.4磋商前准备 </w:t>
            </w:r>
          </w:p>
          <w:p w14:paraId="0180576F">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16.4.1本项目实行在线磋商，采用电子磋商响应文件。若供应商参与磋商，自行承担磋商一切费用。 </w:t>
            </w:r>
          </w:p>
          <w:p w14:paraId="476BAD8F">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16.4.2各供应商应在截标前应确保成为广西政府采购云平台正式注册入库供应商，并完成 CA 数字证书申领。因未注册入库、未办理 CA 数字证书等原因造成无法磋商或磋商失败等后果由供应商自行承担。 </w:t>
            </w:r>
          </w:p>
          <w:p w14:paraId="4CB41A09">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16.4.3供应商将政采云电子交易客户端下载、安装完成后，可通过账号密码或 CA 登录客户端进行响应文件制作。客户端请至网站下载专区查看，如有问题可拨打政采云客户服务热线 95763 进行咨询。</w:t>
            </w:r>
          </w:p>
        </w:tc>
      </w:tr>
      <w:tr w14:paraId="2A84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662" w:type="dxa"/>
            <w:vAlign w:val="center"/>
          </w:tcPr>
          <w:p w14:paraId="0A4DA76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942" w:type="dxa"/>
            <w:vAlign w:val="center"/>
          </w:tcPr>
          <w:p w14:paraId="3390148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18.1</w:t>
            </w:r>
          </w:p>
        </w:tc>
        <w:tc>
          <w:tcPr>
            <w:tcW w:w="1652" w:type="dxa"/>
            <w:vAlign w:val="center"/>
          </w:tcPr>
          <w:p w14:paraId="48CC46B8">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w:t>
            </w:r>
          </w:p>
        </w:tc>
        <w:tc>
          <w:tcPr>
            <w:tcW w:w="7035" w:type="dxa"/>
            <w:vAlign w:val="center"/>
          </w:tcPr>
          <w:p w14:paraId="31D73E61">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响应文件递交截止时间：</w:t>
            </w:r>
            <w:r>
              <w:rPr>
                <w:rFonts w:hint="eastAsia" w:ascii="宋体" w:hAnsi="宋体" w:cs="宋体"/>
                <w:color w:val="auto"/>
                <w:szCs w:val="21"/>
                <w:highlight w:val="none"/>
                <w:u w:val="single"/>
              </w:rPr>
              <w:t>于</w:t>
            </w:r>
            <w:r>
              <w:rPr>
                <w:rFonts w:hint="eastAsia" w:ascii="宋体" w:hAnsi="宋体" w:cs="宋体"/>
                <w:color w:val="auto"/>
                <w:szCs w:val="21"/>
                <w:highlight w:val="none"/>
                <w:u w:val="single"/>
                <w:lang w:eastAsia="zh-CN"/>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lang w:eastAsia="zh-CN"/>
              </w:rPr>
              <w:t>月</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lang w:eastAsia="zh-CN"/>
              </w:rPr>
              <w:t>日</w:t>
            </w:r>
            <w:r>
              <w:rPr>
                <w:rFonts w:hint="eastAsia" w:ascii="宋体" w:hAnsi="宋体" w:cs="宋体"/>
                <w:color w:val="auto"/>
                <w:szCs w:val="21"/>
                <w:highlight w:val="none"/>
                <w:u w:val="single"/>
              </w:rPr>
              <w:t>9时30分</w:t>
            </w:r>
            <w:r>
              <w:rPr>
                <w:rFonts w:hint="eastAsia" w:ascii="宋体" w:hAnsi="宋体" w:cs="宋体"/>
                <w:color w:val="auto"/>
                <w:szCs w:val="21"/>
                <w:highlight w:val="none"/>
              </w:rPr>
              <w:t>之前将电子磋商响应文件上传到广西政府采购云平台。应按照本项目磋商文件和广西政府采购云平台的要求编制、加密传输磋商响应文件。供应商在使用系统进行投标的过程中遇到涉及平台使用的任何问题，可致电广西政府采购云平台技术支持热线咨询，联系方式：95763。</w:t>
            </w:r>
          </w:p>
        </w:tc>
      </w:tr>
      <w:tr w14:paraId="7067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2" w:type="dxa"/>
            <w:vAlign w:val="center"/>
          </w:tcPr>
          <w:p w14:paraId="465B4BCD">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9</w:t>
            </w:r>
          </w:p>
        </w:tc>
        <w:tc>
          <w:tcPr>
            <w:tcW w:w="942" w:type="dxa"/>
            <w:vAlign w:val="center"/>
          </w:tcPr>
          <w:p w14:paraId="755237B5">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18.2</w:t>
            </w:r>
          </w:p>
        </w:tc>
        <w:tc>
          <w:tcPr>
            <w:tcW w:w="1652" w:type="dxa"/>
            <w:vAlign w:val="center"/>
          </w:tcPr>
          <w:p w14:paraId="5764AA7B">
            <w:pPr>
              <w:keepNext w:val="0"/>
              <w:keepLines w:val="0"/>
              <w:suppressLineNumbers w:val="0"/>
              <w:spacing w:before="0" w:beforeAutospacing="0" w:after="0" w:afterAutospacing="0" w:line="360" w:lineRule="auto"/>
              <w:ind w:left="0" w:right="0"/>
              <w:jc w:val="center"/>
              <w:rPr>
                <w:rFonts w:hint="eastAsia" w:ascii="宋体" w:hAnsi="宋体" w:cs="宋体"/>
                <w:color w:val="auto"/>
                <w:position w:val="-2"/>
                <w:szCs w:val="21"/>
                <w:highlight w:val="none"/>
              </w:rPr>
            </w:pPr>
            <w:r>
              <w:rPr>
                <w:rFonts w:hint="eastAsia" w:ascii="宋体" w:hAnsi="宋体" w:cs="宋体"/>
                <w:color w:val="auto"/>
                <w:szCs w:val="21"/>
                <w:highlight w:val="none"/>
              </w:rPr>
              <w:t>磋商响应文件解密时间</w:t>
            </w:r>
          </w:p>
        </w:tc>
        <w:tc>
          <w:tcPr>
            <w:tcW w:w="7035" w:type="dxa"/>
            <w:vAlign w:val="center"/>
          </w:tcPr>
          <w:p w14:paraId="023C45D9">
            <w:pPr>
              <w:pStyle w:val="9"/>
              <w:keepNext w:val="0"/>
              <w:keepLines w:val="0"/>
              <w:suppressLineNumbers w:val="0"/>
              <w:spacing w:before="0" w:beforeAutospacing="0" w:after="0" w:afterAutospacing="0"/>
              <w:ind w:left="0" w:right="0"/>
              <w:rPr>
                <w:rFonts w:hint="eastAsia" w:ascii="宋体" w:hAnsi="宋体" w:cs="宋体"/>
                <w:color w:val="auto"/>
                <w:szCs w:val="21"/>
                <w:highlight w:val="none"/>
              </w:rPr>
            </w:pPr>
            <w:r>
              <w:rPr>
                <w:rFonts w:hint="eastAsia" w:ascii="宋体" w:hAnsi="宋体" w:cs="宋体"/>
                <w:color w:val="auto"/>
                <w:szCs w:val="21"/>
                <w:highlight w:val="none"/>
              </w:rPr>
              <w:t>磋商响应文件解密时间</w:t>
            </w:r>
            <w:r>
              <w:rPr>
                <w:rFonts w:hint="eastAsia" w:ascii="宋体" w:hAnsi="宋体" w:cs="宋体"/>
                <w:color w:val="auto"/>
                <w:highlight w:val="none"/>
              </w:rPr>
              <w:t>：截标时间后</w:t>
            </w:r>
            <w:r>
              <w:rPr>
                <w:rFonts w:hint="eastAsia" w:ascii="宋体" w:hAnsi="宋体" w:cs="宋体"/>
                <w:color w:val="auto"/>
                <w:highlight w:val="none"/>
                <w:u w:val="single"/>
              </w:rPr>
              <w:t>30</w:t>
            </w:r>
            <w:r>
              <w:rPr>
                <w:rFonts w:hint="eastAsia" w:ascii="宋体" w:hAnsi="宋体" w:cs="宋体"/>
                <w:color w:val="auto"/>
                <w:highlight w:val="none"/>
              </w:rPr>
              <w:t>分钟内（</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rPr>
              <w:t>日09时30分</w:t>
            </w:r>
            <w:r>
              <w:rPr>
                <w:rFonts w:hint="eastAsia" w:ascii="宋体" w:hAnsi="宋体" w:cs="宋体"/>
                <w:color w:val="auto"/>
                <w:highlight w:val="none"/>
                <w:u w:val="single"/>
              </w:rPr>
              <w:t>至10时00分</w:t>
            </w:r>
            <w:r>
              <w:rPr>
                <w:rFonts w:hint="eastAsia" w:ascii="宋体" w:hAnsi="宋体" w:cs="宋体"/>
                <w:color w:val="auto"/>
                <w:highlight w:val="none"/>
              </w:rPr>
              <w:t>)磋商供应商可以登录广西政府采购云平台，用“项目采购-开标评标”功能进行解密磋商响应文件。</w:t>
            </w:r>
            <w:r>
              <w:rPr>
                <w:rFonts w:hint="eastAsia" w:ascii="宋体" w:hAnsi="宋体" w:cs="宋体"/>
                <w:b/>
                <w:bCs/>
                <w:color w:val="auto"/>
                <w:szCs w:val="21"/>
                <w:highlight w:val="none"/>
              </w:rPr>
              <w:t>若磋商供应商在规定时间内无法解密或解密失败，</w:t>
            </w:r>
            <w:r>
              <w:rPr>
                <w:rFonts w:hint="eastAsia" w:ascii="宋体" w:hAnsi="宋体" w:cs="宋体"/>
                <w:b/>
                <w:bCs/>
                <w:color w:val="auto"/>
                <w:kern w:val="0"/>
                <w:szCs w:val="21"/>
                <w:highlight w:val="none"/>
              </w:rPr>
              <w:t>视为供应商放弃磋商</w:t>
            </w:r>
            <w:r>
              <w:rPr>
                <w:rFonts w:hint="eastAsia" w:ascii="宋体" w:hAnsi="宋体" w:cs="宋体"/>
                <w:b/>
                <w:bCs/>
                <w:color w:val="auto"/>
                <w:szCs w:val="21"/>
                <w:highlight w:val="none"/>
              </w:rPr>
              <w:t>，造成响应无效的后果由供应商自行承担。</w:t>
            </w:r>
          </w:p>
        </w:tc>
      </w:tr>
      <w:tr w14:paraId="5265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662" w:type="dxa"/>
            <w:vAlign w:val="center"/>
          </w:tcPr>
          <w:p w14:paraId="0DA9C85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942" w:type="dxa"/>
            <w:vAlign w:val="center"/>
          </w:tcPr>
          <w:p w14:paraId="113F8E9B">
            <w:pPr>
              <w:keepNext w:val="0"/>
              <w:keepLines w:val="0"/>
              <w:suppressLineNumbers w:val="0"/>
              <w:spacing w:before="0" w:beforeAutospacing="0" w:after="0" w:afterAutospacing="0" w:line="360" w:lineRule="auto"/>
              <w:ind w:left="0" w:right="0" w:firstLine="105" w:firstLineChars="50"/>
              <w:jc w:val="center"/>
              <w:rPr>
                <w:rFonts w:hint="eastAsia" w:ascii="宋体" w:hAnsi="宋体" w:cs="宋体"/>
                <w:color w:val="auto"/>
                <w:position w:val="-2"/>
                <w:szCs w:val="21"/>
                <w:highlight w:val="none"/>
              </w:rPr>
            </w:pPr>
            <w:r>
              <w:rPr>
                <w:rFonts w:hint="eastAsia" w:ascii="宋体" w:hAnsi="宋体" w:cs="宋体"/>
                <w:color w:val="auto"/>
                <w:position w:val="-2"/>
                <w:szCs w:val="21"/>
                <w:highlight w:val="none"/>
              </w:rPr>
              <w:t>19.1</w:t>
            </w:r>
          </w:p>
        </w:tc>
        <w:tc>
          <w:tcPr>
            <w:tcW w:w="1652" w:type="dxa"/>
            <w:vAlign w:val="center"/>
          </w:tcPr>
          <w:p w14:paraId="464487F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磋商小组组成</w:t>
            </w:r>
          </w:p>
        </w:tc>
        <w:tc>
          <w:tcPr>
            <w:tcW w:w="7035" w:type="dxa"/>
            <w:vAlign w:val="center"/>
          </w:tcPr>
          <w:p w14:paraId="7A9AE2C6">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auto"/>
                <w:szCs w:val="21"/>
                <w:highlight w:val="none"/>
                <w:u w:val="single"/>
              </w:rPr>
              <w:t xml:space="preserve">3 </w:t>
            </w:r>
            <w:r>
              <w:rPr>
                <w:rFonts w:hint="eastAsia" w:ascii="宋体" w:hAnsi="宋体" w:cs="宋体"/>
                <w:color w:val="auto"/>
                <w:szCs w:val="21"/>
                <w:highlight w:val="none"/>
              </w:rPr>
              <w:t>人，其中采购人代表</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人，专家</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人。</w:t>
            </w:r>
          </w:p>
        </w:tc>
      </w:tr>
      <w:tr w14:paraId="4BFD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662" w:type="dxa"/>
            <w:vAlign w:val="center"/>
          </w:tcPr>
          <w:p w14:paraId="77358D5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942" w:type="dxa"/>
            <w:vAlign w:val="center"/>
          </w:tcPr>
          <w:p w14:paraId="3AAB9B0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19.2</w:t>
            </w:r>
          </w:p>
        </w:tc>
        <w:tc>
          <w:tcPr>
            <w:tcW w:w="1652" w:type="dxa"/>
            <w:vAlign w:val="center"/>
          </w:tcPr>
          <w:p w14:paraId="6CAA1501">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磋商时间、地点、人员</w:t>
            </w:r>
          </w:p>
        </w:tc>
        <w:tc>
          <w:tcPr>
            <w:tcW w:w="7035" w:type="dxa"/>
          </w:tcPr>
          <w:p w14:paraId="1C733763">
            <w:pPr>
              <w:keepNext w:val="0"/>
              <w:keepLines w:val="0"/>
              <w:suppressLineNumbers w:val="0"/>
              <w:spacing w:before="0" w:beforeAutospacing="0" w:after="0" w:afterAutospacing="0" w:line="360" w:lineRule="auto"/>
              <w:ind w:left="315" w:right="0" w:hanging="315" w:hangingChars="150"/>
              <w:jc w:val="left"/>
              <w:rPr>
                <w:rFonts w:hint="eastAsia" w:ascii="宋体" w:hAnsi="宋体" w:cs="宋体"/>
                <w:color w:val="auto"/>
                <w:szCs w:val="21"/>
                <w:highlight w:val="none"/>
              </w:rPr>
            </w:pPr>
            <w:r>
              <w:rPr>
                <w:rFonts w:hint="eastAsia" w:ascii="宋体" w:hAnsi="宋体" w:cs="宋体"/>
                <w:color w:val="auto"/>
                <w:szCs w:val="21"/>
                <w:highlight w:val="none"/>
              </w:rPr>
              <w:t>19.2.1磋商时间：响应文件递交截止时间后。</w:t>
            </w:r>
          </w:p>
          <w:p w14:paraId="6251E7F1">
            <w:pPr>
              <w:keepNext w:val="0"/>
              <w:keepLines w:val="0"/>
              <w:suppressLineNumbers w:val="0"/>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19.2.2磋商地点：本项目需要磋商供应商代表在截标当天截标后，按磋商小组要求及时登陆广西政府采购云平台等候在线磋商。</w:t>
            </w:r>
          </w:p>
          <w:p w14:paraId="3D3B0A3D">
            <w:pPr>
              <w:keepNext w:val="0"/>
              <w:keepLines w:val="0"/>
              <w:suppressLineNumbers w:val="0"/>
              <w:spacing w:before="0" w:beforeAutospacing="0" w:after="0" w:afterAutospacing="0" w:line="360" w:lineRule="auto"/>
              <w:ind w:left="15" w:right="0" w:hanging="14" w:hangingChars="7"/>
              <w:jc w:val="left"/>
              <w:rPr>
                <w:rFonts w:hint="eastAsia" w:ascii="宋体" w:hAnsi="宋体" w:cs="宋体"/>
                <w:color w:val="auto"/>
                <w:szCs w:val="21"/>
                <w:highlight w:val="none"/>
              </w:rPr>
            </w:pPr>
            <w:r>
              <w:rPr>
                <w:rFonts w:hint="eastAsia" w:ascii="宋体" w:hAnsi="宋体" w:cs="宋体"/>
                <w:color w:val="auto"/>
                <w:szCs w:val="21"/>
                <w:highlight w:val="none"/>
              </w:rPr>
              <w:t>19.2.3磋商参加人员：供应商法定代表人、负责人、自然人或相应的委托代理人持有效身份证原件和供应商广西政府采购云平台CA数字证书参加磋商。请供应商按时到达指定地点等候磋商。</w:t>
            </w:r>
          </w:p>
          <w:p w14:paraId="7C4957A5">
            <w:pPr>
              <w:keepNext w:val="0"/>
              <w:keepLines w:val="0"/>
              <w:suppressLineNumbers w:val="0"/>
              <w:tabs>
                <w:tab w:val="left" w:pos="1140"/>
              </w:tabs>
              <w:spacing w:before="0" w:beforeAutospacing="0" w:after="0" w:afterAutospacing="0" w:line="360" w:lineRule="auto"/>
              <w:ind w:left="0" w:right="0"/>
              <w:jc w:val="left"/>
              <w:rPr>
                <w:rFonts w:hint="eastAsia" w:ascii="宋体" w:hAnsi="宋体" w:cs="宋体"/>
                <w:color w:val="auto"/>
                <w:szCs w:val="21"/>
                <w:highlight w:val="none"/>
              </w:rPr>
            </w:pPr>
            <w:r>
              <w:rPr>
                <w:rFonts w:hint="eastAsia" w:ascii="宋体" w:hAnsi="宋体" w:cs="宋体"/>
                <w:color w:val="auto"/>
                <w:szCs w:val="21"/>
                <w:highlight w:val="none"/>
              </w:rPr>
              <w:t>19.2.4响应文件递交截止时间后，由磋商小组在评标室内线上开启响应文件。</w:t>
            </w:r>
          </w:p>
        </w:tc>
      </w:tr>
      <w:tr w14:paraId="0635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6567F24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kern w:val="0"/>
                <w:szCs w:val="21"/>
                <w:highlight w:val="none"/>
              </w:rPr>
              <w:t>12</w:t>
            </w:r>
          </w:p>
        </w:tc>
        <w:tc>
          <w:tcPr>
            <w:tcW w:w="942" w:type="dxa"/>
            <w:vAlign w:val="center"/>
          </w:tcPr>
          <w:p w14:paraId="74AA439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20.2</w:t>
            </w:r>
          </w:p>
        </w:tc>
        <w:tc>
          <w:tcPr>
            <w:tcW w:w="1652" w:type="dxa"/>
            <w:vAlign w:val="center"/>
          </w:tcPr>
          <w:p w14:paraId="10C95F9A">
            <w:pPr>
              <w:pStyle w:val="15"/>
              <w:keepNext w:val="0"/>
              <w:keepLines w:val="0"/>
              <w:suppressLineNumbers w:val="0"/>
              <w:spacing w:before="0" w:beforeAutospacing="0" w:after="0" w:afterAutospacing="0" w:line="360" w:lineRule="auto"/>
              <w:ind w:left="0" w:right="0"/>
              <w:jc w:val="center"/>
              <w:rPr>
                <w:rFonts w:hint="eastAsia" w:hAnsi="宋体" w:cs="宋体"/>
                <w:color w:val="auto"/>
                <w:kern w:val="0"/>
                <w:szCs w:val="21"/>
                <w:highlight w:val="none"/>
              </w:rPr>
            </w:pPr>
            <w:r>
              <w:rPr>
                <w:rFonts w:hint="eastAsia" w:hAnsi="宋体" w:cs="宋体"/>
                <w:color w:val="auto"/>
                <w:kern w:val="0"/>
                <w:szCs w:val="21"/>
                <w:highlight w:val="none"/>
              </w:rPr>
              <w:t>评审办法</w:t>
            </w:r>
          </w:p>
        </w:tc>
        <w:tc>
          <w:tcPr>
            <w:tcW w:w="7035" w:type="dxa"/>
            <w:vAlign w:val="center"/>
          </w:tcPr>
          <w:p w14:paraId="42A647E0">
            <w:pPr>
              <w:keepNext w:val="0"/>
              <w:keepLines w:val="0"/>
              <w:suppressLineNumbers w:val="0"/>
              <w:tabs>
                <w:tab w:val="left" w:pos="1140"/>
              </w:tabs>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具体详见第四章评审办法。</w:t>
            </w:r>
          </w:p>
        </w:tc>
      </w:tr>
      <w:tr w14:paraId="263A9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1660A38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13</w:t>
            </w:r>
          </w:p>
        </w:tc>
        <w:tc>
          <w:tcPr>
            <w:tcW w:w="942" w:type="dxa"/>
            <w:vAlign w:val="center"/>
          </w:tcPr>
          <w:p w14:paraId="6F292167">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26</w:t>
            </w:r>
          </w:p>
        </w:tc>
        <w:tc>
          <w:tcPr>
            <w:tcW w:w="1652" w:type="dxa"/>
            <w:vAlign w:val="center"/>
          </w:tcPr>
          <w:p w14:paraId="466E5373">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信用查询</w:t>
            </w:r>
          </w:p>
        </w:tc>
        <w:tc>
          <w:tcPr>
            <w:tcW w:w="7035" w:type="dxa"/>
            <w:vAlign w:val="center"/>
          </w:tcPr>
          <w:p w14:paraId="3636A9E7">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根据《关于做好政府采购有关信用主体标识码登记及在政府采购活动中查询使用信用记录有关问题的通知》（桂财采〔2016〕37</w:t>
            </w:r>
            <w:r>
              <w:rPr>
                <w:rFonts w:hint="eastAsia"/>
                <w:color w:val="auto"/>
                <w:highlight w:val="none"/>
              </w:rPr>
              <w:t>号</w:t>
            </w:r>
            <w:r>
              <w:rPr>
                <w:rFonts w:hint="eastAsia" w:ascii="宋体" w:hAnsi="宋体" w:cs="宋体"/>
                <w:color w:val="auto"/>
                <w:szCs w:val="21"/>
                <w:highlight w:val="none"/>
              </w:rPr>
              <w:t>），由采购代理机构对第一成交候选人进行信用查询：</w:t>
            </w:r>
          </w:p>
          <w:p w14:paraId="2CE40AE5">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⑴查询渠道：“信用中国”网站(www.creditchina.gov.cn)、中国政府采购网(www.ccgp.gov.cn)等；</w:t>
            </w:r>
          </w:p>
          <w:p w14:paraId="1172361D">
            <w:pPr>
              <w:keepNext w:val="0"/>
              <w:keepLines w:val="0"/>
              <w:suppressLineNumbers w:val="0"/>
              <w:spacing w:before="0" w:beforeAutospacing="0" w:after="0" w:afterAutospacing="0" w:line="360" w:lineRule="auto"/>
              <w:ind w:left="315" w:right="0" w:hanging="315" w:hangingChars="150"/>
              <w:rPr>
                <w:rFonts w:hint="eastAsia" w:ascii="宋体" w:hAnsi="宋体" w:cs="宋体"/>
                <w:color w:val="auto"/>
                <w:szCs w:val="21"/>
                <w:highlight w:val="none"/>
              </w:rPr>
            </w:pPr>
            <w:r>
              <w:rPr>
                <w:rFonts w:hint="eastAsia" w:ascii="宋体" w:hAnsi="宋体" w:cs="宋体"/>
                <w:color w:val="auto"/>
                <w:szCs w:val="21"/>
                <w:highlight w:val="none"/>
              </w:rPr>
              <w:t>⑵查询时间：成交通知书发出前；</w:t>
            </w:r>
          </w:p>
          <w:p w14:paraId="227BB3A6">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⑶信用信息查询记录和证据留存方式：在查询网站中直接打印查询记录，打印材料作为采购活动资料保存；</w:t>
            </w:r>
          </w:p>
          <w:p w14:paraId="37288117">
            <w:pPr>
              <w:keepNext w:val="0"/>
              <w:keepLines w:val="0"/>
              <w:suppressLineNumbers w:val="0"/>
              <w:spacing w:before="0" w:beforeAutospacing="0" w:after="0" w:afterAutospacing="0" w:line="360" w:lineRule="auto"/>
              <w:ind w:left="15" w:right="0" w:hanging="14" w:hangingChars="7"/>
              <w:rPr>
                <w:rFonts w:hint="eastAsia" w:ascii="宋体" w:hAnsi="宋体" w:cs="宋体"/>
                <w:color w:val="auto"/>
                <w:szCs w:val="21"/>
                <w:highlight w:val="none"/>
              </w:rPr>
            </w:pPr>
            <w:r>
              <w:rPr>
                <w:rFonts w:hint="eastAsia" w:ascii="宋体" w:hAnsi="宋体" w:cs="宋体"/>
                <w:color w:val="auto"/>
                <w:szCs w:val="21"/>
                <w:highlight w:val="none"/>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p w14:paraId="0DC394E8">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3D237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62" w:type="dxa"/>
            <w:vAlign w:val="center"/>
          </w:tcPr>
          <w:p w14:paraId="458BFFA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14</w:t>
            </w:r>
          </w:p>
        </w:tc>
        <w:tc>
          <w:tcPr>
            <w:tcW w:w="942" w:type="dxa"/>
            <w:vAlign w:val="center"/>
          </w:tcPr>
          <w:p w14:paraId="031DAD7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27</w:t>
            </w:r>
          </w:p>
        </w:tc>
        <w:tc>
          <w:tcPr>
            <w:tcW w:w="1652" w:type="dxa"/>
            <w:vAlign w:val="center"/>
          </w:tcPr>
          <w:p w14:paraId="4EBFD7D4">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成交结果公告</w:t>
            </w:r>
          </w:p>
          <w:p w14:paraId="3874D0ED">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及成交通知书</w:t>
            </w:r>
          </w:p>
        </w:tc>
        <w:tc>
          <w:tcPr>
            <w:tcW w:w="7035" w:type="dxa"/>
          </w:tcPr>
          <w:p w14:paraId="7613365B">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23E1FC3B">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27.2在发布成交公告的同时，采购代理机构向成交供应商发出成交通知书。成交供应商自接到通知之日起七个工作日内，办理成交通知书领取手续。</w:t>
            </w:r>
          </w:p>
        </w:tc>
      </w:tr>
      <w:tr w14:paraId="6F7C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62" w:type="dxa"/>
            <w:vAlign w:val="center"/>
          </w:tcPr>
          <w:p w14:paraId="2F468E3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942" w:type="dxa"/>
            <w:vAlign w:val="center"/>
          </w:tcPr>
          <w:p w14:paraId="789763C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28</w:t>
            </w:r>
          </w:p>
        </w:tc>
        <w:tc>
          <w:tcPr>
            <w:tcW w:w="1652" w:type="dxa"/>
            <w:vAlign w:val="center"/>
          </w:tcPr>
          <w:p w14:paraId="0146C7B6">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7035" w:type="dxa"/>
            <w:vAlign w:val="center"/>
          </w:tcPr>
          <w:p w14:paraId="48A3763F">
            <w:pPr>
              <w:keepNext w:val="0"/>
              <w:keepLines w:val="0"/>
              <w:widowControl/>
              <w:suppressLineNumbers w:val="0"/>
              <w:spacing w:before="0" w:beforeAutospacing="0" w:after="0" w:afterAutospacing="0"/>
              <w:ind w:left="0" w:right="0"/>
              <w:jc w:val="left"/>
              <w:rPr>
                <w:rFonts w:hint="eastAsia" w:ascii="宋体" w:hAnsi="宋体" w:cs="宋体"/>
                <w:color w:val="auto"/>
                <w:szCs w:val="21"/>
                <w:highlight w:val="none"/>
              </w:rPr>
            </w:pPr>
            <w:r>
              <w:rPr>
                <w:rFonts w:hint="eastAsia" w:hAnsi="宋体" w:cs="宋体"/>
                <w:color w:val="auto"/>
                <w:szCs w:val="21"/>
                <w:highlight w:val="none"/>
              </w:rPr>
              <w:t>本项目无需缴纳履约保证金。</w:t>
            </w:r>
          </w:p>
        </w:tc>
      </w:tr>
      <w:tr w14:paraId="6EF9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2391946C">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16</w:t>
            </w:r>
          </w:p>
        </w:tc>
        <w:tc>
          <w:tcPr>
            <w:tcW w:w="942" w:type="dxa"/>
            <w:vAlign w:val="center"/>
          </w:tcPr>
          <w:p w14:paraId="7895F26A">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29.1</w:t>
            </w:r>
          </w:p>
        </w:tc>
        <w:tc>
          <w:tcPr>
            <w:tcW w:w="1652" w:type="dxa"/>
            <w:vAlign w:val="center"/>
          </w:tcPr>
          <w:p w14:paraId="09B1AE1B">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签订合同时间</w:t>
            </w:r>
          </w:p>
        </w:tc>
        <w:tc>
          <w:tcPr>
            <w:tcW w:w="7035" w:type="dxa"/>
          </w:tcPr>
          <w:p w14:paraId="1AE0E885">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bCs/>
                <w:color w:val="auto"/>
                <w:kern w:val="0"/>
                <w:szCs w:val="21"/>
                <w:highlight w:val="none"/>
              </w:rPr>
              <w:t>成交通知书发出之日起八个工作日内签订合同</w:t>
            </w:r>
            <w:r>
              <w:rPr>
                <w:rFonts w:hint="eastAsia" w:ascii="宋体" w:hAnsi="宋体" w:cs="宋体"/>
                <w:color w:val="auto"/>
                <w:highlight w:val="none"/>
              </w:rPr>
              <w:t>。</w:t>
            </w:r>
            <w:r>
              <w:rPr>
                <w:rFonts w:hint="eastAsia" w:ascii="宋体" w:hAnsi="宋体" w:cs="宋体"/>
                <w:color w:val="auto"/>
                <w:szCs w:val="21"/>
                <w:highlight w:val="none"/>
              </w:rPr>
              <w:t>成交供应商领取成交通知书后，应按规定与采购人签订合同。</w:t>
            </w:r>
          </w:p>
        </w:tc>
      </w:tr>
      <w:tr w14:paraId="29DE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3965F6B4">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17</w:t>
            </w:r>
          </w:p>
        </w:tc>
        <w:tc>
          <w:tcPr>
            <w:tcW w:w="942" w:type="dxa"/>
            <w:vAlign w:val="center"/>
          </w:tcPr>
          <w:p w14:paraId="7A664490">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29.3</w:t>
            </w:r>
          </w:p>
        </w:tc>
        <w:tc>
          <w:tcPr>
            <w:tcW w:w="1652" w:type="dxa"/>
            <w:vAlign w:val="center"/>
          </w:tcPr>
          <w:p w14:paraId="7DB13AB5">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合同备案存档</w:t>
            </w:r>
          </w:p>
        </w:tc>
        <w:tc>
          <w:tcPr>
            <w:tcW w:w="7035" w:type="dxa"/>
            <w:vAlign w:val="center"/>
          </w:tcPr>
          <w:p w14:paraId="5DA7FF0A">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highlight w:val="none"/>
              </w:rPr>
              <w:t>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广西天罡工程项目管理有限公司存档。</w:t>
            </w:r>
          </w:p>
        </w:tc>
      </w:tr>
      <w:tr w14:paraId="0F44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62" w:type="dxa"/>
            <w:vAlign w:val="center"/>
          </w:tcPr>
          <w:p w14:paraId="17E7BA1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18</w:t>
            </w:r>
          </w:p>
        </w:tc>
        <w:tc>
          <w:tcPr>
            <w:tcW w:w="942" w:type="dxa"/>
            <w:vAlign w:val="center"/>
          </w:tcPr>
          <w:p w14:paraId="3747326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30</w:t>
            </w:r>
          </w:p>
        </w:tc>
        <w:tc>
          <w:tcPr>
            <w:tcW w:w="1652" w:type="dxa"/>
            <w:vAlign w:val="center"/>
          </w:tcPr>
          <w:p w14:paraId="5943ACB8">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采购代理服务费</w:t>
            </w:r>
          </w:p>
        </w:tc>
        <w:tc>
          <w:tcPr>
            <w:tcW w:w="7035" w:type="dxa"/>
          </w:tcPr>
          <w:p w14:paraId="6F60CBA1">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olor w:val="auto"/>
                <w:szCs w:val="21"/>
                <w:highlight w:val="none"/>
              </w:rPr>
              <w:t>本项目代理服务费按本须知第30.2条“代理服务收费标准”中服务类收费标准</w:t>
            </w:r>
            <w:r>
              <w:rPr>
                <w:rFonts w:hint="eastAsia" w:ascii="宋体" w:hAnsi="宋体"/>
                <w:color w:val="auto"/>
                <w:szCs w:val="21"/>
                <w:highlight w:val="none"/>
                <w:lang w:eastAsia="zh-CN"/>
              </w:rPr>
              <w:t>的</w:t>
            </w:r>
            <w:r>
              <w:rPr>
                <w:rFonts w:hint="eastAsia" w:ascii="宋体" w:hAnsi="宋体"/>
                <w:color w:val="auto"/>
                <w:szCs w:val="21"/>
                <w:highlight w:val="none"/>
                <w:lang w:val="en-US" w:eastAsia="zh-CN"/>
              </w:rPr>
              <w:t>60%</w:t>
            </w:r>
            <w:r>
              <w:rPr>
                <w:rFonts w:hint="eastAsia" w:ascii="宋体" w:hAnsi="宋体"/>
                <w:color w:val="auto"/>
                <w:szCs w:val="21"/>
                <w:highlight w:val="none"/>
              </w:rPr>
              <w:t>计算，</w:t>
            </w:r>
            <w:r>
              <w:rPr>
                <w:rFonts w:hint="eastAsia" w:ascii="宋体" w:hAnsi="宋体"/>
                <w:color w:val="auto"/>
                <w:szCs w:val="21"/>
                <w:highlight w:val="none"/>
                <w:lang w:val="en-US" w:eastAsia="zh-CN"/>
              </w:rPr>
              <w:t>各分标</w:t>
            </w:r>
            <w:r>
              <w:rPr>
                <w:rFonts w:hint="eastAsia" w:ascii="宋体" w:hAnsi="宋体"/>
                <w:color w:val="auto"/>
                <w:szCs w:val="21"/>
                <w:highlight w:val="none"/>
              </w:rPr>
              <w:t>成交供应商在领取成交通知书前，向采购代理机构一次性支付（</w:t>
            </w:r>
            <w:r>
              <w:rPr>
                <w:rFonts w:hint="eastAsia" w:ascii="宋体" w:hAnsi="宋体"/>
                <w:color w:val="auto"/>
                <w:szCs w:val="21"/>
                <w:highlight w:val="none"/>
                <w:lang w:eastAsia="zh-CN"/>
              </w:rPr>
              <w:t>各分标服务费</w:t>
            </w:r>
            <w:r>
              <w:rPr>
                <w:rFonts w:hint="eastAsia" w:ascii="宋体" w:hAnsi="宋体"/>
                <w:color w:val="auto"/>
                <w:szCs w:val="21"/>
                <w:highlight w:val="none"/>
              </w:rPr>
              <w:t>不足人民币</w:t>
            </w:r>
            <w:r>
              <w:rPr>
                <w:rFonts w:hint="eastAsia" w:ascii="宋体" w:hAnsi="宋体"/>
                <w:color w:val="auto"/>
                <w:szCs w:val="21"/>
                <w:highlight w:val="none"/>
                <w:lang w:eastAsia="zh-CN"/>
              </w:rPr>
              <w:t>5000</w:t>
            </w:r>
            <w:r>
              <w:rPr>
                <w:rFonts w:hint="eastAsia" w:ascii="宋体" w:hAnsi="宋体"/>
                <w:color w:val="auto"/>
                <w:szCs w:val="21"/>
                <w:highlight w:val="none"/>
              </w:rPr>
              <w:t>元的，按</w:t>
            </w:r>
            <w:r>
              <w:rPr>
                <w:rFonts w:hint="eastAsia" w:ascii="宋体" w:hAnsi="宋体"/>
                <w:color w:val="auto"/>
                <w:szCs w:val="21"/>
                <w:highlight w:val="none"/>
                <w:lang w:eastAsia="zh-CN"/>
              </w:rPr>
              <w:t>5000</w:t>
            </w:r>
            <w:r>
              <w:rPr>
                <w:rFonts w:hint="eastAsia" w:ascii="宋体" w:hAnsi="宋体"/>
                <w:color w:val="auto"/>
                <w:szCs w:val="21"/>
                <w:highlight w:val="none"/>
              </w:rPr>
              <w:t>元支付）。</w:t>
            </w:r>
          </w:p>
        </w:tc>
      </w:tr>
      <w:tr w14:paraId="7E97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62" w:type="dxa"/>
            <w:vAlign w:val="center"/>
          </w:tcPr>
          <w:p w14:paraId="4DB1E0A4">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19</w:t>
            </w:r>
          </w:p>
        </w:tc>
        <w:tc>
          <w:tcPr>
            <w:tcW w:w="942" w:type="dxa"/>
            <w:vAlign w:val="center"/>
          </w:tcPr>
          <w:p w14:paraId="4622EA2F">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31</w:t>
            </w:r>
          </w:p>
        </w:tc>
        <w:tc>
          <w:tcPr>
            <w:tcW w:w="1652" w:type="dxa"/>
            <w:vAlign w:val="center"/>
          </w:tcPr>
          <w:p w14:paraId="5A4311DB">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解释权</w:t>
            </w:r>
          </w:p>
        </w:tc>
        <w:tc>
          <w:tcPr>
            <w:tcW w:w="7035" w:type="dxa"/>
          </w:tcPr>
          <w:p w14:paraId="03993506">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64EC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62" w:type="dxa"/>
            <w:vAlign w:val="center"/>
          </w:tcPr>
          <w:p w14:paraId="19009CFE">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20</w:t>
            </w:r>
          </w:p>
        </w:tc>
        <w:tc>
          <w:tcPr>
            <w:tcW w:w="942" w:type="dxa"/>
            <w:vAlign w:val="center"/>
          </w:tcPr>
          <w:p w14:paraId="02844362">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32</w:t>
            </w:r>
          </w:p>
        </w:tc>
        <w:tc>
          <w:tcPr>
            <w:tcW w:w="1652" w:type="dxa"/>
            <w:vAlign w:val="center"/>
          </w:tcPr>
          <w:p w14:paraId="74D90628">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监督管理机构</w:t>
            </w:r>
          </w:p>
        </w:tc>
        <w:tc>
          <w:tcPr>
            <w:tcW w:w="7035" w:type="dxa"/>
            <w:vAlign w:val="center"/>
          </w:tcPr>
          <w:p w14:paraId="3D0E32CA">
            <w:pPr>
              <w:keepNext w:val="0"/>
              <w:keepLines w:val="0"/>
              <w:suppressLineNumbers w:val="0"/>
              <w:spacing w:before="0" w:beforeAutospacing="0" w:after="0" w:afterAutospacing="0" w:line="340" w:lineRule="exact"/>
              <w:ind w:left="0" w:right="0"/>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桂林市政府采购管理办公室          </w:t>
            </w:r>
          </w:p>
          <w:p w14:paraId="2D95D50F">
            <w:pPr>
              <w:keepNext w:val="0"/>
              <w:keepLines w:val="0"/>
              <w:suppressLineNumbers w:val="0"/>
              <w:spacing w:before="0" w:beforeAutospacing="0" w:after="0" w:afterAutospacing="0" w:line="340" w:lineRule="exact"/>
              <w:ind w:left="0" w:right="0"/>
              <w:rPr>
                <w:rFonts w:hint="eastAsia" w:ascii="宋体" w:hAnsi="宋体" w:cs="宋体"/>
                <w:color w:val="auto"/>
                <w:szCs w:val="21"/>
                <w:highlight w:val="none"/>
              </w:rPr>
            </w:pPr>
            <w:r>
              <w:rPr>
                <w:rFonts w:hint="eastAsia" w:ascii="宋体" w:hAnsi="宋体" w:cs="宋体"/>
                <w:color w:val="auto"/>
                <w:kern w:val="0"/>
                <w:szCs w:val="21"/>
                <w:highlight w:val="none"/>
              </w:rPr>
              <w:t>联系电话：0773-2862142</w:t>
            </w:r>
          </w:p>
        </w:tc>
      </w:tr>
    </w:tbl>
    <w:p w14:paraId="0BB720B3">
      <w:pPr>
        <w:rPr>
          <w:rFonts w:ascii="宋体" w:hAnsi="宋体" w:cs="宋体"/>
          <w:color w:val="auto"/>
          <w:highlight w:val="none"/>
        </w:rPr>
      </w:pPr>
    </w:p>
    <w:p w14:paraId="7FA33D66">
      <w:pPr>
        <w:rPr>
          <w:rFonts w:hint="eastAsia" w:ascii="宋体" w:hAnsi="宋体" w:cs="宋体"/>
          <w:b/>
          <w:bCs w:val="0"/>
          <w:color w:val="auto"/>
          <w:szCs w:val="28"/>
          <w:highlight w:val="none"/>
        </w:rPr>
      </w:pPr>
      <w:bookmarkStart w:id="56" w:name="_Toc10058"/>
      <w:bookmarkStart w:id="57" w:name="_Toc22792"/>
      <w:r>
        <w:rPr>
          <w:rFonts w:hint="eastAsia" w:ascii="宋体" w:hAnsi="宋体" w:cs="宋体"/>
          <w:b/>
          <w:bCs w:val="0"/>
          <w:color w:val="auto"/>
          <w:szCs w:val="28"/>
          <w:highlight w:val="none"/>
        </w:rPr>
        <w:br w:type="page"/>
      </w:r>
    </w:p>
    <w:p w14:paraId="017FEB0F">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r>
        <w:rPr>
          <w:rFonts w:hint="eastAsia" w:ascii="宋体" w:hAnsi="宋体" w:cs="宋体"/>
          <w:b/>
          <w:bCs w:val="0"/>
          <w:color w:val="auto"/>
          <w:szCs w:val="28"/>
          <w:highlight w:val="none"/>
        </w:rPr>
        <w:t>一、总则</w:t>
      </w:r>
      <w:bookmarkEnd w:id="56"/>
      <w:bookmarkEnd w:id="57"/>
    </w:p>
    <w:p w14:paraId="6C3D0714">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58" w:name="_Toc6626"/>
      <w:bookmarkStart w:id="59" w:name="_Toc24721"/>
      <w:r>
        <w:rPr>
          <w:rFonts w:hint="eastAsia" w:ascii="宋体" w:hAnsi="宋体" w:cs="宋体"/>
          <w:color w:val="auto"/>
          <w:sz w:val="21"/>
          <w:szCs w:val="21"/>
          <w:highlight w:val="none"/>
        </w:rPr>
        <w:t>1. 适应范围</w:t>
      </w:r>
      <w:bookmarkEnd w:id="58"/>
      <w:bookmarkEnd w:id="59"/>
    </w:p>
    <w:p w14:paraId="4AA71D43">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1.1项目名称及项目编号：</w:t>
      </w:r>
    </w:p>
    <w:p w14:paraId="1BBB0357">
      <w:pPr>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广西花坪国家级自然保护区特种救护、宣传（资料）视频制作、标本养护及古树名木资源普查项目</w:t>
      </w:r>
      <w:r>
        <w:rPr>
          <w:rFonts w:hint="eastAsia" w:ascii="宋体" w:hAnsi="宋体" w:cs="宋体"/>
          <w:color w:val="auto"/>
          <w:szCs w:val="21"/>
          <w:highlight w:val="none"/>
        </w:rPr>
        <w:t xml:space="preserve">  </w:t>
      </w:r>
    </w:p>
    <w:p w14:paraId="177C5C27">
      <w:pPr>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项目编号：GLZC2026-C3-990393-GXTG</w:t>
      </w:r>
    </w:p>
    <w:p w14:paraId="29DD210F">
      <w:pPr>
        <w:pageBreakBefore w:val="0"/>
        <w:widowControl w:val="0"/>
        <w:kinsoku/>
        <w:wordWrap/>
        <w:overflowPunct/>
        <w:topLinePunct w:val="0"/>
        <w:bidi w:val="0"/>
        <w:snapToGrid/>
        <w:spacing w:line="360" w:lineRule="auto"/>
        <w:ind w:left="0" w:leftChars="0" w:right="0" w:firstLine="411" w:firstLineChars="196"/>
        <w:rPr>
          <w:rFonts w:ascii="宋体" w:hAnsi="宋体" w:cs="宋体"/>
          <w:color w:val="auto"/>
          <w:szCs w:val="21"/>
          <w:highlight w:val="none"/>
        </w:rPr>
      </w:pPr>
      <w:r>
        <w:rPr>
          <w:rFonts w:hint="eastAsia" w:ascii="宋体" w:hAnsi="宋体" w:cs="宋体"/>
          <w:color w:val="auto"/>
          <w:szCs w:val="21"/>
          <w:highlight w:val="none"/>
        </w:rPr>
        <w:t>1.2本竞争性磋商文件（以下简称磋商文件）适用于本磋商项目的磋商、评审、合同履约、验收、付款等行为（法律、法规另有规定的，从其规定）。</w:t>
      </w:r>
    </w:p>
    <w:p w14:paraId="33215FDA">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0" w:name="_Toc28336"/>
      <w:bookmarkStart w:id="61" w:name="_Toc3355"/>
      <w:r>
        <w:rPr>
          <w:rFonts w:hint="eastAsia" w:ascii="宋体" w:hAnsi="宋体" w:cs="宋体"/>
          <w:color w:val="auto"/>
          <w:sz w:val="21"/>
          <w:szCs w:val="21"/>
          <w:highlight w:val="none"/>
        </w:rPr>
        <w:t>2. 定义</w:t>
      </w:r>
      <w:bookmarkEnd w:id="60"/>
      <w:bookmarkEnd w:id="61"/>
    </w:p>
    <w:p w14:paraId="64C65B7D">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2.1“供应商”是指符合本次采购项目的供应商资格并提交响应文件、参加磋商的供应商。如果该供应商在本次磋商中成交，即成为“成交供应商”。</w:t>
      </w:r>
    </w:p>
    <w:p w14:paraId="25190C5F">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2.2“货物”系指按磋商文件规定，供应商须向采购人提供的一切设备、保险、税金、备品备件、工具、手册及其它有关技术资料和材料。</w:t>
      </w:r>
    </w:p>
    <w:p w14:paraId="0E8E6D58">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2.3“服务”系指按磋商文件规定，供应商须承担的安装、调试、技术协助、校准、培训、技术指导以及其他类似的义务。</w:t>
      </w:r>
    </w:p>
    <w:p w14:paraId="6686D39E">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2.4“项目”系指供应商按磋商文件规定向采购人提供的货物和服务。</w:t>
      </w:r>
    </w:p>
    <w:p w14:paraId="47687810">
      <w:pPr>
        <w:pageBreakBefore w:val="0"/>
        <w:widowControl w:val="0"/>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2.5“书面形式”包括信函、传真、电报等。</w:t>
      </w:r>
    </w:p>
    <w:p w14:paraId="6C419CEE">
      <w:pPr>
        <w:pageBreakBefore w:val="0"/>
        <w:widowControl w:val="0"/>
        <w:kinsoku/>
        <w:wordWrap/>
        <w:overflowPunct/>
        <w:topLinePunct w:val="0"/>
        <w:bidi w:val="0"/>
        <w:snapToGrid/>
        <w:spacing w:line="360" w:lineRule="auto"/>
        <w:ind w:left="0" w:leftChars="0" w:right="0" w:firstLine="435"/>
        <w:rPr>
          <w:rFonts w:ascii="宋体" w:hAnsi="宋体" w:cs="宋体"/>
          <w:b/>
          <w:color w:val="auto"/>
          <w:sz w:val="24"/>
          <w:highlight w:val="none"/>
        </w:rPr>
      </w:pPr>
      <w:r>
        <w:rPr>
          <w:rFonts w:hint="eastAsia" w:ascii="宋体" w:hAnsi="宋体" w:cs="宋体"/>
          <w:b/>
          <w:color w:val="auto"/>
          <w:sz w:val="24"/>
          <w:highlight w:val="none"/>
          <w:u w:val="single"/>
        </w:rPr>
        <w:t>2.</w:t>
      </w:r>
      <w:r>
        <w:rPr>
          <w:rFonts w:hint="eastAsia" w:ascii="宋体" w:hAnsi="宋体" w:cs="宋体"/>
          <w:b/>
          <w:color w:val="auto"/>
          <w:szCs w:val="21"/>
          <w:highlight w:val="none"/>
          <w:u w:val="single"/>
        </w:rPr>
        <w:t>6实质性要求：“采购需求”中的所有内容均为实质性要求，不允许负偏离，否则响应无效。</w:t>
      </w:r>
    </w:p>
    <w:p w14:paraId="631E0D5E">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2" w:name="_Toc23631"/>
      <w:bookmarkStart w:id="63" w:name="_Toc25441"/>
      <w:r>
        <w:rPr>
          <w:rFonts w:hint="eastAsia" w:ascii="宋体" w:hAnsi="宋体" w:cs="宋体"/>
          <w:color w:val="auto"/>
          <w:sz w:val="21"/>
          <w:szCs w:val="21"/>
          <w:highlight w:val="none"/>
        </w:rPr>
        <w:t>3. 供应商资格</w:t>
      </w:r>
      <w:bookmarkEnd w:id="62"/>
      <w:bookmarkEnd w:id="63"/>
    </w:p>
    <w:p w14:paraId="2C8A001F">
      <w:pPr>
        <w:pStyle w:val="13"/>
        <w:pageBreakBefore w:val="0"/>
        <w:widowControl w:val="0"/>
        <w:kinsoku/>
        <w:wordWrap/>
        <w:overflowPunct/>
        <w:topLinePunct w:val="0"/>
        <w:bidi w:val="0"/>
        <w:snapToGrid/>
        <w:spacing w:line="360" w:lineRule="auto"/>
        <w:ind w:left="0" w:leftChars="0" w:right="0"/>
        <w:rPr>
          <w:color w:val="auto"/>
          <w:highlight w:val="none"/>
        </w:rPr>
      </w:pPr>
      <w:bookmarkStart w:id="64" w:name="_Toc16496"/>
      <w:r>
        <w:rPr>
          <w:rFonts w:hint="eastAsia" w:ascii="宋体" w:hAnsi="宋体" w:cs="宋体"/>
          <w:color w:val="auto"/>
          <w:szCs w:val="21"/>
          <w:highlight w:val="none"/>
          <w:lang w:eastAsia="zh-CN"/>
        </w:rPr>
        <w:t>详见竞争性磋商公告及供应商须知前附表</w:t>
      </w:r>
      <w:r>
        <w:rPr>
          <w:rFonts w:hint="eastAsia" w:ascii="宋体" w:hAnsi="宋体" w:cs="宋体"/>
          <w:color w:val="auto"/>
          <w:szCs w:val="21"/>
          <w:highlight w:val="none"/>
        </w:rPr>
        <w:t>。</w:t>
      </w:r>
    </w:p>
    <w:p w14:paraId="41B979E1">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5" w:name="_Toc15983"/>
      <w:r>
        <w:rPr>
          <w:rFonts w:hint="eastAsia" w:ascii="宋体" w:hAnsi="宋体" w:cs="宋体"/>
          <w:color w:val="auto"/>
          <w:sz w:val="21"/>
          <w:szCs w:val="21"/>
          <w:highlight w:val="none"/>
        </w:rPr>
        <w:t>4. 磋商费用</w:t>
      </w:r>
      <w:bookmarkEnd w:id="64"/>
      <w:bookmarkEnd w:id="65"/>
    </w:p>
    <w:p w14:paraId="1865DE34">
      <w:pPr>
        <w:pageBreakBefore w:val="0"/>
        <w:widowControl w:val="0"/>
        <w:tabs>
          <w:tab w:val="left" w:pos="1635"/>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不论磋商结果如何，供应商均应自行承担所有与磋商有关的全部费用。</w:t>
      </w:r>
    </w:p>
    <w:p w14:paraId="17C58F09">
      <w:pPr>
        <w:pStyle w:val="5"/>
        <w:pageBreakBefore w:val="0"/>
        <w:widowControl w:val="0"/>
        <w:numPr>
          <w:ilvl w:val="0"/>
          <w:numId w:val="3"/>
        </w:numPr>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6" w:name="_Toc6933"/>
      <w:bookmarkStart w:id="67" w:name="_Toc31376"/>
      <w:r>
        <w:rPr>
          <w:rFonts w:hint="eastAsia" w:ascii="宋体" w:hAnsi="宋体" w:cs="宋体"/>
          <w:color w:val="auto"/>
          <w:sz w:val="21"/>
          <w:szCs w:val="21"/>
          <w:highlight w:val="none"/>
        </w:rPr>
        <w:t>联合体要求</w:t>
      </w:r>
      <w:bookmarkEnd w:id="66"/>
      <w:bookmarkEnd w:id="67"/>
    </w:p>
    <w:p w14:paraId="2091F45E">
      <w:pPr>
        <w:pageBreakBefore w:val="0"/>
        <w:widowControl w:val="0"/>
        <w:kinsoku/>
        <w:wordWrap/>
        <w:overflowPunct/>
        <w:topLinePunct w:val="0"/>
        <w:bidi w:val="0"/>
        <w:snapToGrid/>
        <w:spacing w:line="360" w:lineRule="auto"/>
        <w:ind w:left="0" w:leftChars="0" w:right="0" w:firstLine="422" w:firstLineChars="200"/>
        <w:rPr>
          <w:rFonts w:ascii="宋体" w:hAnsi="宋体" w:cs="宋体"/>
          <w:bCs/>
          <w:color w:val="auto"/>
          <w:szCs w:val="21"/>
          <w:highlight w:val="none"/>
        </w:rPr>
      </w:pPr>
      <w:r>
        <w:rPr>
          <w:rFonts w:hint="eastAsia" w:ascii="宋体" w:hAnsi="宋体" w:cs="宋体"/>
          <w:b/>
          <w:bCs/>
          <w:color w:val="auto"/>
          <w:szCs w:val="21"/>
          <w:highlight w:val="none"/>
        </w:rPr>
        <w:t>本项目</w:t>
      </w:r>
      <w:r>
        <w:rPr>
          <w:rFonts w:hint="eastAsia" w:ascii="宋体" w:hAnsi="宋体" w:cs="宋体"/>
          <w:b/>
          <w:bCs/>
          <w:color w:val="auto"/>
          <w:szCs w:val="21"/>
          <w:highlight w:val="none"/>
          <w:lang w:val="en-US" w:eastAsia="zh-CN"/>
        </w:rPr>
        <w:t>A分标</w:t>
      </w:r>
      <w:r>
        <w:rPr>
          <w:rFonts w:hint="eastAsia" w:ascii="宋体" w:hAnsi="宋体" w:cs="宋体"/>
          <w:b/>
          <w:bCs/>
          <w:color w:val="auto"/>
          <w:szCs w:val="21"/>
          <w:highlight w:val="none"/>
        </w:rPr>
        <w:t>接受联合体参与磋商</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B分标不接受联合体。</w:t>
      </w:r>
    </w:p>
    <w:p w14:paraId="0E7F845B">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68" w:name="_Toc16359"/>
      <w:bookmarkStart w:id="69" w:name="_Toc4152"/>
      <w:r>
        <w:rPr>
          <w:rFonts w:hint="eastAsia" w:ascii="宋体" w:hAnsi="宋体" w:cs="宋体"/>
          <w:color w:val="auto"/>
          <w:sz w:val="21"/>
          <w:szCs w:val="21"/>
          <w:highlight w:val="none"/>
        </w:rPr>
        <w:t>6. 质疑和投诉</w:t>
      </w:r>
      <w:bookmarkEnd w:id="68"/>
      <w:bookmarkEnd w:id="69"/>
      <w:r>
        <w:rPr>
          <w:rFonts w:hint="eastAsia" w:ascii="宋体" w:hAnsi="宋体" w:cs="宋体"/>
          <w:color w:val="auto"/>
          <w:sz w:val="21"/>
          <w:szCs w:val="21"/>
          <w:highlight w:val="none"/>
        </w:rPr>
        <w:tab/>
      </w:r>
    </w:p>
    <w:p w14:paraId="4B3F286B">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bookmarkStart w:id="70" w:name="_Toc8195"/>
      <w:bookmarkStart w:id="71" w:name="_Toc26087"/>
      <w:r>
        <w:rPr>
          <w:rFonts w:hint="eastAsia" w:ascii="宋体" w:hAnsi="宋体" w:cs="宋体"/>
          <w:color w:val="auto"/>
          <w:szCs w:val="21"/>
          <w:highlight w:val="none"/>
        </w:rPr>
        <w:t>6.1供应对政府采购活动事项有疑问的，可以向采购人提出询问。</w:t>
      </w:r>
    </w:p>
    <w:p w14:paraId="2F6CCB86">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6.2供应商认为磋商文件使自己的合法权益受到损害的，应当在竞争性磋商公告期限届满之日起七个工作日内，以书面形式向采购代理机构（广西天罡工程项目管理有限公司）提出质疑。供应商认为采购过程或成交结果使自己的合法权益受到损害的，应当在各采购程序环节结束之日起七个工作日内，以书面形式向采购代理机构（广西天罡工程项目管理有限公司）提出质疑。采购代理机构应认真做好质疑处理工作。</w:t>
      </w:r>
    </w:p>
    <w:p w14:paraId="20B494A2">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6.3供应商对采购代理机构的质疑答复不满意或者采购代理机构未在规定的时间内作出答复的，可以在答复期满后十五个工作日内向本级财政部门投诉。</w:t>
      </w:r>
    </w:p>
    <w:p w14:paraId="3A3E529E">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6.4质疑、投诉应当采用书面形式，质疑书、投诉书实行实名制，均应明确阐述磋商文件、采购过程或成交结果中使自己合法权益受到损害的实质性内容，提供相关事实、明确的请求，并提供必要的证明材料。质疑函格式详见附件。</w:t>
      </w:r>
    </w:p>
    <w:p w14:paraId="77ACBF8C">
      <w:pPr>
        <w:pageBreakBefore w:val="0"/>
        <w:widowControl w:val="0"/>
        <w:tabs>
          <w:tab w:val="left" w:pos="2190"/>
        </w:tabs>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6.5质疑联系方式详见公告。</w:t>
      </w:r>
    </w:p>
    <w:p w14:paraId="63F1018A">
      <w:pPr>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kern w:val="0"/>
          <w:szCs w:val="21"/>
          <w:highlight w:val="none"/>
        </w:rPr>
      </w:pPr>
      <w:r>
        <w:rPr>
          <w:rFonts w:hint="eastAsia" w:ascii="宋体" w:hAnsi="宋体" w:cs="宋体"/>
          <w:color w:val="auto"/>
          <w:szCs w:val="21"/>
          <w:highlight w:val="none"/>
        </w:rPr>
        <w:t>6.6 投诉联系部门：</w:t>
      </w:r>
      <w:bookmarkEnd w:id="70"/>
      <w:bookmarkEnd w:id="71"/>
      <w:r>
        <w:rPr>
          <w:rFonts w:hint="eastAsia" w:ascii="宋体" w:hAnsi="宋体" w:cs="宋体"/>
          <w:color w:val="auto"/>
          <w:szCs w:val="21"/>
          <w:highlight w:val="none"/>
        </w:rPr>
        <w:t>桂林市政府采购管理办公室</w:t>
      </w:r>
      <w:r>
        <w:rPr>
          <w:rFonts w:hint="eastAsia" w:ascii="宋体" w:hAnsi="宋体" w:cs="宋体"/>
          <w:color w:val="auto"/>
          <w:kern w:val="0"/>
          <w:szCs w:val="21"/>
          <w:highlight w:val="none"/>
        </w:rPr>
        <w:t xml:space="preserve">   联系电话：</w:t>
      </w:r>
      <w:r>
        <w:rPr>
          <w:rFonts w:hint="eastAsia" w:ascii="宋体" w:hAnsi="宋体" w:cs="宋体"/>
          <w:color w:val="auto"/>
          <w:szCs w:val="21"/>
          <w:highlight w:val="none"/>
        </w:rPr>
        <w:t>0773-2862142</w:t>
      </w:r>
    </w:p>
    <w:p w14:paraId="7D1B5208">
      <w:pPr>
        <w:pStyle w:val="40"/>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6.7 供应商在法定质疑期内应当一次性提出针对同一采购程序环节的质疑。</w:t>
      </w:r>
    </w:p>
    <w:p w14:paraId="176775CB">
      <w:pPr>
        <w:pStyle w:val="40"/>
        <w:pageBreakBefore w:val="0"/>
        <w:widowControl w:val="0"/>
        <w:kinsoku/>
        <w:wordWrap/>
        <w:overflowPunct/>
        <w:topLinePunct w:val="0"/>
        <w:bidi w:val="0"/>
        <w:snapToGrid/>
        <w:spacing w:line="360" w:lineRule="auto"/>
        <w:ind w:left="0" w:leftChars="0" w:right="0"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6.8 不在法定质疑期内提出的质疑函可以拒收。不符合要求的质疑函在法定质疑期内及时补充完整，否则作质疑不成立处理。</w:t>
      </w:r>
    </w:p>
    <w:p w14:paraId="6957E2BC">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72" w:name="_Toc6998"/>
      <w:bookmarkStart w:id="73" w:name="_Toc13910"/>
      <w:r>
        <w:rPr>
          <w:rFonts w:hint="eastAsia" w:ascii="宋体" w:hAnsi="宋体" w:cs="宋体"/>
          <w:color w:val="auto"/>
          <w:sz w:val="21"/>
          <w:szCs w:val="21"/>
          <w:highlight w:val="none"/>
        </w:rPr>
        <w:t>7. 转包与分包</w:t>
      </w:r>
      <w:bookmarkEnd w:id="72"/>
      <w:bookmarkEnd w:id="73"/>
    </w:p>
    <w:p w14:paraId="651C01FC">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7.1 本项目不允许转包。</w:t>
      </w:r>
    </w:p>
    <w:p w14:paraId="36609305">
      <w:pPr>
        <w:pageBreakBefore w:val="0"/>
        <w:widowControl w:val="0"/>
        <w:tabs>
          <w:tab w:val="left" w:pos="2190"/>
        </w:tabs>
        <w:kinsoku/>
        <w:wordWrap/>
        <w:overflowPunct/>
        <w:topLinePunct w:val="0"/>
        <w:bidi w:val="0"/>
        <w:snapToGrid/>
        <w:spacing w:line="360" w:lineRule="auto"/>
        <w:ind w:left="0" w:leftChars="0" w:right="0" w:firstLine="435"/>
        <w:rPr>
          <w:rFonts w:ascii="宋体" w:hAnsi="宋体" w:cs="宋体"/>
          <w:color w:val="auto"/>
          <w:szCs w:val="21"/>
          <w:highlight w:val="none"/>
        </w:rPr>
      </w:pPr>
      <w:r>
        <w:rPr>
          <w:rFonts w:hint="eastAsia" w:ascii="宋体" w:hAnsi="宋体" w:cs="宋体"/>
          <w:color w:val="auto"/>
          <w:szCs w:val="21"/>
          <w:highlight w:val="none"/>
        </w:rPr>
        <w:t>7.2 本项目不可以分包。</w:t>
      </w:r>
    </w:p>
    <w:p w14:paraId="2C0E2048">
      <w:pPr>
        <w:pStyle w:val="5"/>
        <w:pageBreakBefore w:val="0"/>
        <w:widowControl w:val="0"/>
        <w:kinsoku/>
        <w:wordWrap/>
        <w:overflowPunct/>
        <w:topLinePunct w:val="0"/>
        <w:bidi w:val="0"/>
        <w:snapToGrid/>
        <w:spacing w:line="360" w:lineRule="auto"/>
        <w:ind w:left="0" w:leftChars="0" w:right="0" w:firstLine="422" w:firstLineChars="200"/>
        <w:rPr>
          <w:rFonts w:ascii="宋体" w:hAnsi="宋体" w:cs="宋体"/>
          <w:color w:val="auto"/>
          <w:sz w:val="21"/>
          <w:szCs w:val="21"/>
          <w:highlight w:val="none"/>
        </w:rPr>
      </w:pPr>
      <w:bookmarkStart w:id="74" w:name="_Toc9415"/>
      <w:bookmarkStart w:id="75" w:name="_Toc3368"/>
      <w:r>
        <w:rPr>
          <w:rFonts w:hint="eastAsia" w:ascii="宋体" w:hAnsi="宋体" w:cs="宋体"/>
          <w:color w:val="auto"/>
          <w:sz w:val="21"/>
          <w:szCs w:val="21"/>
          <w:highlight w:val="none"/>
        </w:rPr>
        <w:t>8. 特别说明</w:t>
      </w:r>
      <w:bookmarkEnd w:id="74"/>
      <w:bookmarkEnd w:id="75"/>
    </w:p>
    <w:p w14:paraId="546C7D21">
      <w:pPr>
        <w:pageBreakBefore w:val="0"/>
        <w:widowControl w:val="0"/>
        <w:tabs>
          <w:tab w:val="left" w:pos="1635"/>
        </w:tabs>
        <w:kinsoku/>
        <w:wordWrap/>
        <w:overflowPunct/>
        <w:topLinePunct w:val="0"/>
        <w:bidi w:val="0"/>
        <w:snapToGrid/>
        <w:spacing w:line="360" w:lineRule="auto"/>
        <w:ind w:left="0" w:leftChars="0" w:right="0" w:firstLine="422" w:firstLineChars="200"/>
        <w:rPr>
          <w:rFonts w:ascii="宋体" w:hAnsi="宋体" w:cs="宋体"/>
          <w:b/>
          <w:color w:val="auto"/>
          <w:szCs w:val="21"/>
          <w:highlight w:val="none"/>
        </w:rPr>
      </w:pPr>
      <w:r>
        <w:rPr>
          <w:rFonts w:hint="eastAsia" w:ascii="宋体" w:hAnsi="宋体" w:cs="宋体"/>
          <w:b/>
          <w:color w:val="auto"/>
          <w:szCs w:val="21"/>
          <w:highlight w:val="none"/>
        </w:rPr>
        <w:t>8.1关联供应商不得参加同一合同项下政府采购活动，否则响应文件将被视为无效：</w:t>
      </w:r>
    </w:p>
    <w:p w14:paraId="2826E978">
      <w:pPr>
        <w:pageBreakBefore w:val="0"/>
        <w:widowControl w:val="0"/>
        <w:tabs>
          <w:tab w:val="left" w:pos="1635"/>
        </w:tabs>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（1）单位负责人为同一人或者存在直接控股、管理关系的，不得参加同一合同项下的政府采购活动。</w:t>
      </w:r>
    </w:p>
    <w:p w14:paraId="7A5AC293">
      <w:pPr>
        <w:pageBreakBefore w:val="0"/>
        <w:widowControl w:val="0"/>
        <w:tabs>
          <w:tab w:val="left" w:pos="1635"/>
        </w:tabs>
        <w:kinsoku/>
        <w:wordWrap/>
        <w:overflowPunct/>
        <w:topLinePunct w:val="0"/>
        <w:bidi w:val="0"/>
        <w:snapToGrid/>
        <w:spacing w:line="360" w:lineRule="auto"/>
        <w:ind w:left="0" w:leftChars="0" w:right="0" w:firstLine="420" w:firstLineChars="200"/>
        <w:rPr>
          <w:rFonts w:ascii="宋体" w:hAnsi="宋体" w:cs="宋体"/>
          <w:color w:val="auto"/>
          <w:szCs w:val="21"/>
          <w:highlight w:val="none"/>
        </w:rPr>
      </w:pPr>
      <w:r>
        <w:rPr>
          <w:rFonts w:hint="eastAsia" w:ascii="宋体" w:hAnsi="宋体" w:cs="宋体"/>
          <w:color w:val="auto"/>
          <w:szCs w:val="21"/>
          <w:highlight w:val="none"/>
        </w:rPr>
        <w:t>（2）为本采购项目提供整体设计、规范编制或者项目管理、监理、检测等服务的供应商，不得再参加本次采购活动。</w:t>
      </w:r>
    </w:p>
    <w:p w14:paraId="3381782E">
      <w:pPr>
        <w:pageBreakBefore w:val="0"/>
        <w:widowControl w:val="0"/>
        <w:tabs>
          <w:tab w:val="left" w:pos="1635"/>
        </w:tabs>
        <w:kinsoku/>
        <w:wordWrap/>
        <w:overflowPunct/>
        <w:topLinePunct w:val="0"/>
        <w:bidi w:val="0"/>
        <w:snapToGrid/>
        <w:spacing w:line="360" w:lineRule="auto"/>
        <w:ind w:left="0" w:leftChars="0" w:right="0" w:firstLine="435"/>
        <w:rPr>
          <w:rFonts w:ascii="宋体" w:hAnsi="宋体" w:cs="宋体"/>
          <w:b/>
          <w:bCs/>
          <w:color w:val="auto"/>
          <w:szCs w:val="21"/>
          <w:highlight w:val="none"/>
        </w:rPr>
      </w:pPr>
      <w:r>
        <w:rPr>
          <w:rFonts w:hint="eastAsia" w:ascii="宋体" w:hAnsi="宋体" w:cs="宋体"/>
          <w:b/>
          <w:color w:val="auto"/>
          <w:szCs w:val="21"/>
          <w:highlight w:val="none"/>
        </w:rPr>
        <w:t>8.2</w:t>
      </w:r>
      <w:r>
        <w:rPr>
          <w:rFonts w:hint="eastAsia" w:ascii="宋体" w:hAnsi="宋体" w:cs="宋体"/>
          <w:b/>
          <w:bCs/>
          <w:color w:val="auto"/>
          <w:szCs w:val="21"/>
          <w:highlight w:val="none"/>
        </w:rPr>
        <w:t>提供相同品牌产品的不同供应商参加同一合同项下磋商的，以其中通过资格审查、符合性审查且最后报价最低的参加评审，最后报价相同的，由采购人自主选择确定一个参加评审的供应商，其他报价无效。非单一产品采购项目中，多家供应商提供的核心产品品牌相同的，视为提供相同品牌产品。</w:t>
      </w:r>
    </w:p>
    <w:p w14:paraId="193CB480">
      <w:pPr>
        <w:pStyle w:val="10"/>
        <w:pageBreakBefore w:val="0"/>
        <w:widowControl w:val="0"/>
        <w:kinsoku/>
        <w:wordWrap/>
        <w:overflowPunct/>
        <w:topLinePunct w:val="0"/>
        <w:bidi w:val="0"/>
        <w:spacing w:line="360" w:lineRule="auto"/>
        <w:ind w:left="0" w:leftChars="0"/>
        <w:rPr>
          <w:rFonts w:ascii="宋体" w:hAnsi="宋体" w:cs="宋体"/>
          <w:color w:val="auto"/>
          <w:highlight w:val="none"/>
        </w:rPr>
      </w:pPr>
    </w:p>
    <w:p w14:paraId="3C20C103">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76" w:name="_Toc22498"/>
      <w:bookmarkStart w:id="77" w:name="_Toc8933"/>
      <w:r>
        <w:rPr>
          <w:rFonts w:hint="eastAsia" w:ascii="宋体" w:hAnsi="宋体" w:cs="宋体"/>
          <w:b/>
          <w:bCs w:val="0"/>
          <w:color w:val="auto"/>
          <w:szCs w:val="28"/>
          <w:highlight w:val="none"/>
        </w:rPr>
        <w:t>二、磋商文件</w:t>
      </w:r>
      <w:bookmarkEnd w:id="76"/>
      <w:bookmarkEnd w:id="77"/>
    </w:p>
    <w:p w14:paraId="6CF2BE5C">
      <w:pPr>
        <w:pStyle w:val="5"/>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ascii="宋体" w:hAnsi="宋体" w:cs="宋体"/>
          <w:color w:val="auto"/>
          <w:sz w:val="21"/>
          <w:szCs w:val="21"/>
          <w:highlight w:val="none"/>
          <w:lang w:val="pt-BR"/>
        </w:rPr>
      </w:pPr>
      <w:bookmarkStart w:id="78" w:name="_Toc18964"/>
      <w:bookmarkStart w:id="79" w:name="_Toc20523"/>
      <w:r>
        <w:rPr>
          <w:rFonts w:hint="eastAsia" w:ascii="宋体" w:hAnsi="宋体" w:cs="宋体"/>
          <w:color w:val="auto"/>
          <w:sz w:val="21"/>
          <w:szCs w:val="21"/>
          <w:highlight w:val="none"/>
          <w:lang w:val="pt-BR"/>
        </w:rPr>
        <w:t xml:space="preserve">9. </w:t>
      </w:r>
      <w:r>
        <w:rPr>
          <w:rFonts w:hint="eastAsia" w:ascii="宋体" w:hAnsi="宋体" w:cs="宋体"/>
          <w:color w:val="auto"/>
          <w:sz w:val="21"/>
          <w:szCs w:val="21"/>
          <w:highlight w:val="none"/>
        </w:rPr>
        <w:t>磋商文件的构成</w:t>
      </w:r>
      <w:bookmarkEnd w:id="78"/>
      <w:bookmarkEnd w:id="79"/>
    </w:p>
    <w:p w14:paraId="7E68456F">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（1）竞争性磋商公告；</w:t>
      </w:r>
    </w:p>
    <w:p w14:paraId="30E484E0">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（2）供应商须知；</w:t>
      </w:r>
    </w:p>
    <w:p w14:paraId="6659DFD9">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
          <w:color w:val="auto"/>
          <w:szCs w:val="21"/>
          <w:highlight w:val="none"/>
        </w:rPr>
      </w:pPr>
      <w:r>
        <w:rPr>
          <w:rFonts w:hint="eastAsia" w:ascii="宋体" w:hAnsi="宋体" w:cs="宋体"/>
          <w:color w:val="auto"/>
          <w:szCs w:val="21"/>
          <w:highlight w:val="none"/>
        </w:rPr>
        <w:t>（3）采购需求</w:t>
      </w:r>
      <w:r>
        <w:rPr>
          <w:rFonts w:hint="eastAsia" w:ascii="宋体" w:hAnsi="宋体" w:cs="宋体"/>
          <w:bCs/>
          <w:color w:val="auto"/>
          <w:szCs w:val="21"/>
          <w:highlight w:val="none"/>
        </w:rPr>
        <w:t>；</w:t>
      </w:r>
    </w:p>
    <w:p w14:paraId="7F9CBDBC">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（4）评审办法；</w:t>
      </w:r>
    </w:p>
    <w:p w14:paraId="0935AD80">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（5）采购合同（合同主要条款及格式）；</w:t>
      </w:r>
    </w:p>
    <w:p w14:paraId="45C90B24">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（6）响应文件（格式）。</w:t>
      </w:r>
    </w:p>
    <w:p w14:paraId="561996D9">
      <w:pPr>
        <w:pStyle w:val="5"/>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ascii="宋体" w:hAnsi="宋体" w:cs="宋体"/>
          <w:color w:val="auto"/>
          <w:sz w:val="21"/>
          <w:szCs w:val="21"/>
          <w:highlight w:val="none"/>
        </w:rPr>
      </w:pPr>
      <w:bookmarkStart w:id="80" w:name="_Toc1452"/>
      <w:bookmarkStart w:id="81" w:name="_Toc9103"/>
      <w:r>
        <w:rPr>
          <w:rFonts w:hint="eastAsia" w:ascii="宋体" w:hAnsi="宋体" w:cs="宋体"/>
          <w:color w:val="auto"/>
          <w:sz w:val="21"/>
          <w:szCs w:val="21"/>
          <w:highlight w:val="none"/>
        </w:rPr>
        <w:t>10. 磋商文件的澄清与修改</w:t>
      </w:r>
      <w:bookmarkEnd w:id="80"/>
      <w:bookmarkEnd w:id="81"/>
    </w:p>
    <w:p w14:paraId="5965A60B">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color w:val="auto"/>
          <w:szCs w:val="21"/>
          <w:highlight w:val="none"/>
        </w:rPr>
      </w:pPr>
      <w:r>
        <w:rPr>
          <w:rFonts w:hint="eastAsia" w:ascii="宋体" w:hAnsi="宋体" w:cs="宋体"/>
          <w:color w:val="auto"/>
          <w:szCs w:val="21"/>
          <w:highlight w:val="none"/>
        </w:rPr>
        <w:t>10.1 提交首次响应文件截止之日前，采购代理机构可以对已发出的磋商文件进行必要澄清、答复、修改或补充，澄清或者修改的内容可能影响响应文件编制的，澄清或者修改的内容作为磋商文件的组成部分。采购代理机构应当在提交首次响应文件递交截止时间</w:t>
      </w:r>
      <w:r>
        <w:rPr>
          <w:rFonts w:hint="eastAsia" w:ascii="宋体" w:hAnsi="宋体" w:cs="宋体"/>
          <w:b/>
          <w:bCs/>
          <w:color w:val="auto"/>
          <w:szCs w:val="21"/>
          <w:highlight w:val="none"/>
        </w:rPr>
        <w:t>五日</w:t>
      </w:r>
      <w:r>
        <w:rPr>
          <w:rFonts w:hint="eastAsia" w:ascii="宋体" w:hAnsi="宋体" w:cs="宋体"/>
          <w:color w:val="auto"/>
          <w:szCs w:val="21"/>
          <w:highlight w:val="none"/>
        </w:rPr>
        <w:t>前在本项目竞争性磋商公告发布的同一媒体上发布更正公告，不足</w:t>
      </w:r>
      <w:r>
        <w:rPr>
          <w:rFonts w:hint="eastAsia" w:ascii="宋体" w:hAnsi="宋体" w:cs="宋体"/>
          <w:b/>
          <w:bCs/>
          <w:color w:val="auto"/>
          <w:szCs w:val="21"/>
          <w:highlight w:val="none"/>
        </w:rPr>
        <w:t>五日</w:t>
      </w:r>
      <w:r>
        <w:rPr>
          <w:rFonts w:hint="eastAsia" w:ascii="宋体" w:hAnsi="宋体" w:cs="宋体"/>
          <w:color w:val="auto"/>
          <w:szCs w:val="21"/>
          <w:highlight w:val="none"/>
        </w:rPr>
        <w:t>的，应当顺延首次响应文件递交截止时间。</w:t>
      </w:r>
    </w:p>
    <w:p w14:paraId="6077BFC3">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b/>
          <w:bCs/>
          <w:color w:val="auto"/>
          <w:szCs w:val="21"/>
          <w:highlight w:val="none"/>
        </w:rPr>
      </w:pPr>
      <w:r>
        <w:rPr>
          <w:rFonts w:hint="eastAsia" w:ascii="宋体" w:hAnsi="宋体" w:cs="宋体"/>
          <w:color w:val="auto"/>
          <w:szCs w:val="21"/>
          <w:highlight w:val="none"/>
        </w:rPr>
        <w:t>10.2</w:t>
      </w:r>
      <w:r>
        <w:rPr>
          <w:rFonts w:hint="eastAsia" w:ascii="宋体" w:hAnsi="宋体" w:cs="宋体"/>
          <w:b/>
          <w:bCs/>
          <w:color w:val="auto"/>
          <w:szCs w:val="21"/>
          <w:highlight w:val="none"/>
        </w:rPr>
        <w:t>供应商应实时关注本项目信息公告发布媒体相关网站了解澄清、修改等与项目有关的内容，如因供应商未及时登录相关网站了解澄清、修改等与项目有关的内容，从而导致响应文件无效的，由供应商自行承担责任。</w:t>
      </w:r>
    </w:p>
    <w:p w14:paraId="3757DD1E">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color w:val="auto"/>
          <w:szCs w:val="21"/>
          <w:highlight w:val="none"/>
        </w:rPr>
      </w:pPr>
      <w:r>
        <w:rPr>
          <w:rFonts w:hint="eastAsia" w:ascii="宋体" w:hAnsi="宋体" w:cs="宋体"/>
          <w:color w:val="auto"/>
          <w:szCs w:val="21"/>
          <w:highlight w:val="none"/>
        </w:rPr>
        <w:t>10.3澄清或者修改的内容为磋商文件的组成部分。当澄清或者修改通知就同一内容的表述不一致时，以最后发出的文件为准。</w:t>
      </w:r>
    </w:p>
    <w:p w14:paraId="3160DDF6">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color w:val="auto"/>
          <w:szCs w:val="21"/>
          <w:highlight w:val="none"/>
        </w:rPr>
      </w:pPr>
      <w:r>
        <w:rPr>
          <w:rFonts w:hint="eastAsia" w:ascii="宋体" w:hAnsi="宋体" w:cs="宋体"/>
          <w:color w:val="auto"/>
          <w:szCs w:val="21"/>
          <w:highlight w:val="none"/>
        </w:rPr>
        <w:t>10.4 磋商文件的澄清或者修改都应该通过本项目采购代理机构以法定形式发布，采购人非通过本机构，不得擅自澄清或者修改磋商文件。</w:t>
      </w:r>
    </w:p>
    <w:p w14:paraId="4F00F655">
      <w:pPr>
        <w:pageBreakBefore w:val="0"/>
        <w:widowControl w:val="0"/>
        <w:kinsoku/>
        <w:wordWrap/>
        <w:overflowPunct/>
        <w:topLinePunct w:val="0"/>
        <w:autoSpaceDE/>
        <w:autoSpaceDN/>
        <w:bidi w:val="0"/>
        <w:adjustRightInd/>
        <w:snapToGrid/>
        <w:spacing w:line="360" w:lineRule="auto"/>
        <w:ind w:left="0" w:leftChars="0"/>
        <w:jc w:val="left"/>
        <w:textAlignment w:val="auto"/>
        <w:rPr>
          <w:rFonts w:ascii="宋体" w:hAnsi="宋体" w:cs="宋体"/>
          <w:color w:val="auto"/>
          <w:szCs w:val="21"/>
          <w:highlight w:val="none"/>
        </w:rPr>
      </w:pPr>
      <w:r>
        <w:rPr>
          <w:rFonts w:hint="eastAsia" w:ascii="宋体" w:hAnsi="宋体" w:cs="宋体"/>
          <w:color w:val="auto"/>
          <w:szCs w:val="21"/>
          <w:highlight w:val="none"/>
        </w:rPr>
        <w:t>10.5采购单位可以视采购具体情况，延长响应文件截止时间和磋商时间，在本项目竞争性磋商公告发布的同一媒体上发布变更公告。</w:t>
      </w:r>
    </w:p>
    <w:p w14:paraId="62E77F1A">
      <w:pPr>
        <w:pStyle w:val="40"/>
        <w:pageBreakBefore w:val="0"/>
        <w:widowControl w:val="0"/>
        <w:kinsoku/>
        <w:wordWrap/>
        <w:overflowPunct/>
        <w:topLinePunct w:val="0"/>
        <w:bidi w:val="0"/>
        <w:spacing w:line="360" w:lineRule="auto"/>
        <w:ind w:left="0" w:leftChars="0"/>
        <w:rPr>
          <w:rFonts w:ascii="宋体" w:hAnsi="宋体" w:cs="宋体"/>
          <w:color w:val="auto"/>
          <w:highlight w:val="none"/>
        </w:rPr>
      </w:pPr>
    </w:p>
    <w:p w14:paraId="434DF377">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82" w:name="_Toc20830"/>
      <w:bookmarkStart w:id="83" w:name="_Toc20641"/>
      <w:r>
        <w:rPr>
          <w:rFonts w:hint="eastAsia" w:ascii="宋体" w:hAnsi="宋体" w:cs="宋体"/>
          <w:b/>
          <w:bCs w:val="0"/>
          <w:color w:val="auto"/>
          <w:szCs w:val="28"/>
          <w:highlight w:val="none"/>
        </w:rPr>
        <w:t>三、竞争性磋商响应文件的编制</w:t>
      </w:r>
      <w:bookmarkEnd w:id="82"/>
      <w:bookmarkEnd w:id="83"/>
    </w:p>
    <w:p w14:paraId="701D6949">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84" w:name="_Toc772"/>
      <w:r>
        <w:rPr>
          <w:rFonts w:hint="eastAsia" w:ascii="宋体" w:hAnsi="宋体" w:cs="宋体"/>
          <w:color w:val="auto"/>
          <w:sz w:val="21"/>
          <w:szCs w:val="21"/>
          <w:highlight w:val="none"/>
        </w:rPr>
        <w:t>11.竞争性磋商响应文件编制基本要求</w:t>
      </w:r>
      <w:bookmarkEnd w:id="84"/>
    </w:p>
    <w:p w14:paraId="7DA89226">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11.1 本项目实行电子投标，供应商应准备电子磋商响应文件：</w:t>
      </w:r>
    </w:p>
    <w:p w14:paraId="170D30C5">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 xml:space="preserve">11.1.1 电子响应文件按广西政府采购云平台要求及本磋商文件要求制作、加密并递交。具体操作流程可参考《政府采购项目电子交易管理操作指南-供应商》，指南可在 “http://www.ccgp-guangxi.gov.cn/PurchaseAdvisory/ImportantNotice/2866753.html”下载。 </w:t>
      </w:r>
    </w:p>
    <w:p w14:paraId="058C88C4">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11.2竞争性磋商响应文件（以下简称响应文件）的组成及要求</w:t>
      </w:r>
    </w:p>
    <w:p w14:paraId="66D93876">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11.2.1响应文件组成【格式见第六章“响应文件（格式）”】</w:t>
      </w:r>
    </w:p>
    <w:p w14:paraId="3B146EB0">
      <w:pPr>
        <w:pageBreakBefore w:val="0"/>
        <w:widowControl w:val="0"/>
        <w:kinsoku/>
        <w:wordWrap/>
        <w:overflowPunct/>
        <w:topLinePunct w:val="0"/>
        <w:bidi w:val="0"/>
        <w:spacing w:line="360" w:lineRule="auto"/>
        <w:ind w:left="0" w:leftChars="0" w:firstLine="422" w:firstLineChars="200"/>
        <w:rPr>
          <w:rFonts w:ascii="宋体" w:hAnsi="宋体" w:cs="宋体"/>
          <w:color w:val="auto"/>
          <w:szCs w:val="21"/>
          <w:highlight w:val="none"/>
        </w:rPr>
      </w:pPr>
      <w:r>
        <w:rPr>
          <w:rFonts w:hint="eastAsia" w:ascii="宋体" w:hAnsi="宋体" w:cs="宋体"/>
          <w:b/>
          <w:bCs/>
          <w:color w:val="auto"/>
          <w:szCs w:val="21"/>
          <w:highlight w:val="none"/>
        </w:rPr>
        <w:t>11.2.1.1资格性响应证明材料：</w:t>
      </w:r>
    </w:p>
    <w:p w14:paraId="3AACD93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（1）供应商相应的法定代表人、负责人、自然人身份证正反两面复印件</w:t>
      </w:r>
      <w:r>
        <w:rPr>
          <w:rFonts w:hint="eastAsia" w:ascii="宋体" w:hAnsi="宋体" w:cs="宋体"/>
          <w:b/>
          <w:bCs/>
          <w:color w:val="auto"/>
          <w:szCs w:val="21"/>
          <w:highlight w:val="none"/>
        </w:rPr>
        <w:t>（必须提供）</w:t>
      </w:r>
      <w:r>
        <w:rPr>
          <w:rFonts w:hint="eastAsia" w:ascii="宋体" w:hAnsi="宋体" w:cs="宋体"/>
          <w:color w:val="auto"/>
          <w:szCs w:val="21"/>
          <w:highlight w:val="none"/>
        </w:rPr>
        <w:t>；</w:t>
      </w:r>
    </w:p>
    <w:p w14:paraId="0A881E89">
      <w:pPr>
        <w:pageBreakBefore w:val="0"/>
        <w:widowControl w:val="0"/>
        <w:kinsoku/>
        <w:wordWrap/>
        <w:overflowPunct/>
        <w:topLinePunct w:val="0"/>
        <w:bidi w:val="0"/>
        <w:spacing w:line="360" w:lineRule="auto"/>
        <w:ind w:left="0" w:leftChars="0" w:firstLine="420" w:firstLineChars="200"/>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rPr>
        <w:t>（2）供应商的授权委托书原件、委托代理人身份证正反面复印件</w:t>
      </w:r>
      <w:r>
        <w:rPr>
          <w:rFonts w:hint="eastAsia" w:ascii="宋体" w:hAnsi="宋体" w:cs="宋体"/>
          <w:b/>
          <w:bCs/>
          <w:color w:val="auto"/>
          <w:szCs w:val="21"/>
          <w:highlight w:val="none"/>
        </w:rPr>
        <w:t>（委托代理时必须提供；如为联合体的，授权委托书原件须由牵头人出具）</w:t>
      </w:r>
      <w:r>
        <w:rPr>
          <w:rFonts w:hint="eastAsia" w:ascii="宋体" w:hAnsi="宋体" w:cs="宋体"/>
          <w:b/>
          <w:bCs/>
          <w:color w:val="auto"/>
          <w:szCs w:val="21"/>
          <w:highlight w:val="none"/>
          <w:lang w:eastAsia="zh-CN"/>
        </w:rPr>
        <w:t>；</w:t>
      </w:r>
    </w:p>
    <w:p w14:paraId="384F5525">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（3）供应商参加政府采购活动前3年内在经营活动中没有重大违法记录及有关信用信息的书面声明</w:t>
      </w:r>
      <w:r>
        <w:rPr>
          <w:rFonts w:hint="eastAsia" w:ascii="宋体" w:hAnsi="宋体" w:cs="宋体"/>
          <w:b/>
          <w:bCs/>
          <w:color w:val="auto"/>
          <w:szCs w:val="21"/>
          <w:highlight w:val="none"/>
        </w:rPr>
        <w:t>（必须提供）；</w:t>
      </w:r>
    </w:p>
    <w:p w14:paraId="47ACC716">
      <w:pPr>
        <w:pageBreakBefore w:val="0"/>
        <w:widowControl w:val="0"/>
        <w:numPr>
          <w:ilvl w:val="0"/>
          <w:numId w:val="0"/>
        </w:numPr>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ascii="宋体" w:hAnsi="宋体" w:eastAsia="宋体" w:cs="宋体"/>
          <w:color w:val="auto"/>
          <w:kern w:val="2"/>
          <w:sz w:val="21"/>
          <w:szCs w:val="21"/>
          <w:highlight w:val="none"/>
          <w:lang w:val="en-US" w:eastAsia="zh-CN" w:bidi="ar-SA"/>
        </w:rPr>
        <w:t>（4）</w:t>
      </w:r>
      <w:r>
        <w:rPr>
          <w:rFonts w:hint="eastAsia" w:ascii="宋体" w:hAnsi="宋体" w:cs="宋体"/>
          <w:color w:val="auto"/>
          <w:szCs w:val="21"/>
          <w:highlight w:val="none"/>
        </w:rPr>
        <w:t>供应商的法人或者其他组织营业执照等证明文件复印件</w:t>
      </w:r>
      <w:r>
        <w:rPr>
          <w:rFonts w:hint="eastAsia" w:ascii="宋体" w:hAnsi="宋体" w:cs="宋体"/>
          <w:b/>
          <w:bCs/>
          <w:color w:val="auto"/>
          <w:szCs w:val="21"/>
          <w:highlight w:val="none"/>
        </w:rPr>
        <w:t>（必须提供，自然人除外）；</w:t>
      </w:r>
    </w:p>
    <w:p w14:paraId="5FF2FD23">
      <w:pPr>
        <w:pageBreakBefore w:val="0"/>
        <w:widowControl w:val="0"/>
        <w:kinsoku/>
        <w:wordWrap/>
        <w:overflowPunct/>
        <w:topLinePunct w:val="0"/>
        <w:bidi w:val="0"/>
        <w:spacing w:line="360" w:lineRule="auto"/>
        <w:ind w:left="0" w:leftChars="0"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19EFEF62">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 w:val="24"/>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具备有效的林业调查规划设计丙级（含）以上资质</w:t>
      </w:r>
      <w:r>
        <w:rPr>
          <w:rFonts w:hint="eastAsia" w:ascii="宋体" w:hAnsi="宋体" w:cs="宋体"/>
          <w:b/>
          <w:bCs/>
          <w:color w:val="auto"/>
          <w:szCs w:val="21"/>
          <w:highlight w:val="none"/>
          <w:lang w:val="en-US" w:eastAsia="zh-CN"/>
        </w:rPr>
        <w:t>（B分标</w:t>
      </w:r>
      <w:r>
        <w:rPr>
          <w:rFonts w:hint="eastAsia" w:ascii="宋体" w:hAnsi="宋体" w:cs="宋体"/>
          <w:b/>
          <w:bCs/>
          <w:color w:val="auto"/>
          <w:szCs w:val="21"/>
          <w:highlight w:val="none"/>
        </w:rPr>
        <w:t>必须提供）；</w:t>
      </w:r>
    </w:p>
    <w:p w14:paraId="7C46228D">
      <w:pPr>
        <w:pageBreakBefore w:val="0"/>
        <w:widowControl w:val="0"/>
        <w:kinsoku/>
        <w:wordWrap/>
        <w:overflowPunct/>
        <w:topLinePunct w:val="0"/>
        <w:bidi w:val="0"/>
        <w:spacing w:line="360" w:lineRule="auto"/>
        <w:ind w:left="0" w:leftChars="0"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（6）联合体协议书</w:t>
      </w:r>
      <w:r>
        <w:rPr>
          <w:rFonts w:hint="eastAsia" w:ascii="宋体" w:hAnsi="宋体" w:cs="宋体"/>
          <w:b/>
          <w:bCs/>
          <w:color w:val="auto"/>
          <w:szCs w:val="21"/>
          <w:highlight w:val="none"/>
          <w:lang w:val="en-US" w:eastAsia="zh-CN"/>
        </w:rPr>
        <w:t>（A分标以联合体形式参与竞争的必须提供）；</w:t>
      </w:r>
    </w:p>
    <w:p w14:paraId="6A8E9565">
      <w:pPr>
        <w:pStyle w:val="23"/>
        <w:pageBreakBefore w:val="0"/>
        <w:widowControl w:val="0"/>
        <w:kinsoku/>
        <w:wordWrap/>
        <w:overflowPunct/>
        <w:topLinePunct w:val="0"/>
        <w:bidi w:val="0"/>
        <w:spacing w:after="0" w:line="360" w:lineRule="auto"/>
        <w:ind w:left="0" w:leftChars="0" w:firstLine="422"/>
        <w:rPr>
          <w:rFonts w:ascii="宋体" w:hAnsi="宋体" w:cs="宋体"/>
          <w:color w:val="auto"/>
          <w:highlight w:val="none"/>
        </w:rPr>
      </w:pPr>
      <w:r>
        <w:rPr>
          <w:rFonts w:hint="eastAsia" w:ascii="宋体" w:hAnsi="宋体" w:cs="宋体"/>
          <w:b/>
          <w:bCs/>
          <w:color w:val="auto"/>
          <w:szCs w:val="21"/>
          <w:highlight w:val="none"/>
        </w:rPr>
        <w:t>11.2.1.2符合性响应证明材料：</w:t>
      </w:r>
    </w:p>
    <w:p w14:paraId="11AD94C1">
      <w:pPr>
        <w:pStyle w:val="3"/>
        <w:pageBreakBefore w:val="0"/>
        <w:widowControl w:val="0"/>
        <w:kinsoku/>
        <w:wordWrap/>
        <w:overflowPunct/>
        <w:topLinePunct w:val="0"/>
        <w:autoSpaceDE/>
        <w:autoSpaceDN/>
        <w:bidi w:val="0"/>
        <w:adjustRightInd/>
        <w:snapToGrid/>
        <w:spacing w:line="360" w:lineRule="auto"/>
        <w:ind w:left="147" w:leftChars="0" w:hanging="147" w:hangingChars="70"/>
        <w:textAlignment w:val="auto"/>
        <w:rPr>
          <w:rFonts w:ascii="宋体" w:hAnsi="宋体" w:cs="宋体"/>
          <w:color w:val="auto"/>
          <w:szCs w:val="21"/>
          <w:highlight w:val="none"/>
        </w:rPr>
      </w:pPr>
      <w:bookmarkStart w:id="85" w:name="_Toc16312"/>
      <w:bookmarkStart w:id="86" w:name="_Toc2809"/>
      <w:bookmarkStart w:id="87" w:name="_Toc28932"/>
      <w:r>
        <w:rPr>
          <w:rFonts w:hint="eastAsia" w:ascii="宋体" w:hAnsi="宋体" w:cs="宋体"/>
          <w:bCs w:val="0"/>
          <w:color w:val="auto"/>
          <w:sz w:val="21"/>
          <w:szCs w:val="21"/>
          <w:highlight w:val="none"/>
          <w:lang w:val="en-US"/>
        </w:rPr>
        <w:t>（1）响应函（格式见附件）</w:t>
      </w:r>
      <w:r>
        <w:rPr>
          <w:rFonts w:hint="eastAsia" w:ascii="宋体" w:hAnsi="宋体" w:cs="宋体"/>
          <w:b/>
          <w:color w:val="auto"/>
          <w:sz w:val="21"/>
          <w:szCs w:val="21"/>
          <w:highlight w:val="none"/>
          <w:lang w:val="en-US"/>
        </w:rPr>
        <w:t>（必须提供）</w:t>
      </w:r>
      <w:bookmarkEnd w:id="85"/>
      <w:r>
        <w:rPr>
          <w:rFonts w:hint="eastAsia" w:ascii="宋体" w:hAnsi="宋体" w:cs="宋体"/>
          <w:b/>
          <w:color w:val="auto"/>
          <w:sz w:val="21"/>
          <w:szCs w:val="21"/>
          <w:highlight w:val="none"/>
          <w:lang w:val="en-US"/>
        </w:rPr>
        <w:t>；</w:t>
      </w:r>
      <w:bookmarkEnd w:id="86"/>
      <w:bookmarkEnd w:id="87"/>
    </w:p>
    <w:p w14:paraId="4C7A8B19">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
          <w:bCs/>
          <w:color w:val="auto"/>
          <w:szCs w:val="21"/>
          <w:highlight w:val="none"/>
        </w:rPr>
      </w:pPr>
      <w:r>
        <w:rPr>
          <w:rFonts w:hint="eastAsia" w:ascii="宋体" w:hAnsi="宋体" w:cs="宋体"/>
          <w:color w:val="auto"/>
          <w:szCs w:val="21"/>
          <w:highlight w:val="none"/>
        </w:rPr>
        <w:t>（2）磋商报价表（格式见附件）</w:t>
      </w:r>
      <w:r>
        <w:rPr>
          <w:rFonts w:hint="eastAsia" w:ascii="宋体" w:hAnsi="宋体" w:cs="宋体"/>
          <w:b/>
          <w:bCs/>
          <w:color w:val="auto"/>
          <w:szCs w:val="21"/>
          <w:highlight w:val="none"/>
        </w:rPr>
        <w:t>（必须提供）；</w:t>
      </w:r>
    </w:p>
    <w:p w14:paraId="1BDD8A31">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ascii="宋体" w:hAnsi="宋体" w:cs="宋体"/>
          <w:b/>
          <w:bCs/>
          <w:color w:val="auto"/>
          <w:szCs w:val="21"/>
          <w:highlight w:val="none"/>
        </w:rPr>
      </w:pPr>
      <w:r>
        <w:rPr>
          <w:rFonts w:hint="eastAsia" w:ascii="宋体" w:hAnsi="宋体" w:cs="宋体"/>
          <w:color w:val="auto"/>
          <w:szCs w:val="21"/>
          <w:highlight w:val="none"/>
        </w:rPr>
        <w:t>（3）采购需求响应说明表（格式见附件）</w:t>
      </w:r>
      <w:r>
        <w:rPr>
          <w:rFonts w:hint="eastAsia" w:ascii="宋体" w:hAnsi="宋体" w:cs="宋体"/>
          <w:b/>
          <w:bCs/>
          <w:color w:val="auto"/>
          <w:szCs w:val="21"/>
          <w:highlight w:val="none"/>
        </w:rPr>
        <w:t>(必须提供)；</w:t>
      </w:r>
    </w:p>
    <w:p w14:paraId="28E74DFC">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rPr>
        <w:t>（4）售后服务承诺书（格式见附件）</w:t>
      </w:r>
      <w:r>
        <w:rPr>
          <w:rFonts w:hint="eastAsia" w:ascii="宋体" w:hAnsi="宋体" w:cs="宋体"/>
          <w:b/>
          <w:bCs/>
          <w:color w:val="auto"/>
          <w:szCs w:val="21"/>
          <w:highlight w:val="none"/>
        </w:rPr>
        <w:t>（必须提供）</w:t>
      </w:r>
      <w:r>
        <w:rPr>
          <w:rFonts w:hint="eastAsia" w:ascii="宋体" w:hAnsi="宋体" w:cs="宋体"/>
          <w:b/>
          <w:bCs/>
          <w:color w:val="auto"/>
          <w:szCs w:val="21"/>
          <w:highlight w:val="none"/>
          <w:lang w:eastAsia="zh-CN"/>
        </w:rPr>
        <w:t>；</w:t>
      </w:r>
    </w:p>
    <w:p w14:paraId="29C930F5">
      <w:pPr>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bCs/>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花坪保护区内（施工）作业（单位）人员安全生产承诺书</w:t>
      </w:r>
      <w:r>
        <w:rPr>
          <w:rFonts w:hint="eastAsia" w:ascii="宋体" w:hAnsi="宋体" w:cs="宋体"/>
          <w:b/>
          <w:bCs/>
          <w:color w:val="auto"/>
          <w:szCs w:val="21"/>
          <w:highlight w:val="none"/>
        </w:rPr>
        <w:t>（必须提供）</w:t>
      </w:r>
      <w:r>
        <w:rPr>
          <w:rFonts w:hint="eastAsia" w:ascii="宋体" w:hAnsi="宋体" w:cs="宋体"/>
          <w:b/>
          <w:bCs/>
          <w:color w:val="auto"/>
          <w:szCs w:val="21"/>
          <w:highlight w:val="none"/>
          <w:lang w:eastAsia="zh-CN"/>
        </w:rPr>
        <w:t>。</w:t>
      </w:r>
    </w:p>
    <w:p w14:paraId="661E4791">
      <w:pPr>
        <w:pStyle w:val="23"/>
        <w:pageBreakBefore w:val="0"/>
        <w:widowControl w:val="0"/>
        <w:kinsoku/>
        <w:wordWrap/>
        <w:overflowPunct/>
        <w:topLinePunct w:val="0"/>
        <w:bidi w:val="0"/>
        <w:spacing w:after="0" w:line="360" w:lineRule="auto"/>
        <w:ind w:left="0" w:leftChars="0" w:firstLine="422"/>
        <w:rPr>
          <w:rFonts w:ascii="宋体" w:hAnsi="宋体" w:cs="宋体"/>
          <w:b/>
          <w:bCs/>
          <w:color w:val="auto"/>
          <w:szCs w:val="21"/>
          <w:highlight w:val="none"/>
        </w:rPr>
      </w:pPr>
      <w:r>
        <w:rPr>
          <w:rFonts w:hint="eastAsia" w:ascii="宋体" w:hAnsi="宋体" w:cs="宋体"/>
          <w:b/>
          <w:bCs/>
          <w:color w:val="auto"/>
          <w:szCs w:val="21"/>
          <w:highlight w:val="none"/>
        </w:rPr>
        <w:t>11.2.1.3其他有效证明材料</w:t>
      </w:r>
    </w:p>
    <w:p w14:paraId="5CF76E7C">
      <w:pPr>
        <w:pageBreakBefore w:val="0"/>
        <w:widowControl w:val="0"/>
        <w:kinsoku/>
        <w:wordWrap/>
        <w:overflowPunct/>
        <w:topLinePunct w:val="0"/>
        <w:bidi w:val="0"/>
        <w:spacing w:line="360" w:lineRule="auto"/>
        <w:ind w:left="0" w:leftChars="0"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项目实施方案</w:t>
      </w:r>
      <w:r>
        <w:rPr>
          <w:rFonts w:hint="eastAsia" w:ascii="宋体" w:hAnsi="宋体" w:cs="宋体"/>
          <w:b/>
          <w:bCs/>
          <w:color w:val="auto"/>
          <w:szCs w:val="21"/>
          <w:highlight w:val="none"/>
        </w:rPr>
        <w:t>（如有，请提供）</w:t>
      </w:r>
      <w:r>
        <w:rPr>
          <w:rFonts w:hint="eastAsia" w:ascii="宋体" w:hAnsi="宋体" w:cs="宋体"/>
          <w:b/>
          <w:bCs/>
          <w:color w:val="auto"/>
          <w:szCs w:val="21"/>
          <w:highlight w:val="none"/>
          <w:lang w:eastAsia="zh-CN"/>
        </w:rPr>
        <w:t>；</w:t>
      </w:r>
    </w:p>
    <w:p w14:paraId="25CF7002">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）项目实施人员一览表（格式见附件）</w:t>
      </w:r>
      <w:r>
        <w:rPr>
          <w:rFonts w:hint="eastAsia" w:ascii="宋体" w:hAnsi="宋体" w:cs="宋体"/>
          <w:b/>
          <w:bCs/>
          <w:color w:val="auto"/>
          <w:szCs w:val="21"/>
          <w:highlight w:val="none"/>
        </w:rPr>
        <w:t>（如有，请提供）；</w:t>
      </w:r>
    </w:p>
    <w:p w14:paraId="7EE562C7">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）“采购需求”需提供的有效证明文件</w:t>
      </w:r>
      <w:r>
        <w:rPr>
          <w:rFonts w:hint="eastAsia" w:ascii="宋体" w:hAnsi="宋体" w:cs="宋体"/>
          <w:b/>
          <w:bCs/>
          <w:color w:val="auto"/>
          <w:szCs w:val="21"/>
          <w:highlight w:val="none"/>
        </w:rPr>
        <w:t>（如有，请提供）；</w:t>
      </w:r>
    </w:p>
    <w:p w14:paraId="41A2AA06">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w:t>
      </w:r>
      <w:r>
        <w:rPr>
          <w:rFonts w:hint="eastAsia" w:ascii="宋体" w:hAnsi="宋体" w:cs="宋体"/>
          <w:color w:val="auto"/>
          <w:szCs w:val="21"/>
          <w:highlight w:val="none"/>
          <w:lang w:eastAsia="zh-CN"/>
        </w:rPr>
        <w:t>2023</w:t>
      </w:r>
      <w:r>
        <w:rPr>
          <w:rFonts w:hint="eastAsia" w:ascii="宋体" w:hAnsi="宋体" w:cs="宋体"/>
          <w:color w:val="auto"/>
          <w:szCs w:val="21"/>
          <w:highlight w:val="none"/>
        </w:rPr>
        <w:t>年1月1日以来具有同类项目的业绩相关证明材料（</w:t>
      </w:r>
      <w:r>
        <w:rPr>
          <w:rFonts w:hint="eastAsia" w:ascii="宋体" w:hAnsi="宋体" w:cs="宋体"/>
          <w:color w:val="auto"/>
          <w:szCs w:val="21"/>
          <w:highlight w:val="none"/>
          <w:lang w:eastAsia="zh-CN"/>
        </w:rPr>
        <w:t>需提供项目业绩合同或中标（成交）通知书复印件并加盖供应商公章，否则不予计分</w:t>
      </w:r>
      <w:r>
        <w:rPr>
          <w:rFonts w:hint="eastAsia" w:ascii="宋体" w:hAnsi="宋体" w:cs="宋体"/>
          <w:color w:val="auto"/>
          <w:szCs w:val="21"/>
          <w:highlight w:val="none"/>
        </w:rPr>
        <w:t>）</w:t>
      </w:r>
      <w:r>
        <w:rPr>
          <w:rFonts w:hint="eastAsia" w:ascii="宋体" w:hAnsi="宋体" w:cs="宋体"/>
          <w:b/>
          <w:bCs/>
          <w:color w:val="auto"/>
          <w:szCs w:val="21"/>
          <w:highlight w:val="none"/>
        </w:rPr>
        <w:t>（如有，请提供）；</w:t>
      </w:r>
    </w:p>
    <w:p w14:paraId="53652F65">
      <w:pPr>
        <w:pageBreakBefore w:val="0"/>
        <w:widowControl w:val="0"/>
        <w:kinsoku/>
        <w:wordWrap/>
        <w:overflowPunct/>
        <w:topLinePunct w:val="0"/>
        <w:bidi w:val="0"/>
        <w:spacing w:line="360" w:lineRule="auto"/>
        <w:ind w:left="0" w:leftChars="0"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中小企业声明函或监狱企业、残疾人福利性单位证明文件</w:t>
      </w:r>
      <w:r>
        <w:rPr>
          <w:rFonts w:hint="eastAsia" w:ascii="宋体" w:hAnsi="宋体" w:cs="宋体"/>
          <w:b/>
          <w:bCs/>
          <w:color w:val="auto"/>
          <w:szCs w:val="21"/>
          <w:highlight w:val="none"/>
        </w:rPr>
        <w:t>（如有，请提供）</w:t>
      </w:r>
      <w:r>
        <w:rPr>
          <w:rFonts w:hint="eastAsia" w:ascii="宋体" w:hAnsi="宋体" w:cs="宋体"/>
          <w:color w:val="auto"/>
          <w:szCs w:val="21"/>
          <w:highlight w:val="none"/>
        </w:rPr>
        <w:t>；</w:t>
      </w:r>
    </w:p>
    <w:p w14:paraId="68C2543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）供应商可结合本项目的评审办法视自身情况自行提交其它相关证明材料。</w:t>
      </w:r>
    </w:p>
    <w:p w14:paraId="4DFBC98F">
      <w:pPr>
        <w:pageBreakBefore w:val="0"/>
        <w:widowControl w:val="0"/>
        <w:kinsoku/>
        <w:wordWrap/>
        <w:overflowPunct/>
        <w:topLinePunct w:val="0"/>
        <w:bidi w:val="0"/>
        <w:spacing w:line="360" w:lineRule="auto"/>
        <w:ind w:left="0" w:leftChars="0" w:firstLine="420"/>
        <w:rPr>
          <w:rFonts w:ascii="宋体" w:hAnsi="宋体" w:cs="宋体"/>
          <w:color w:val="auto"/>
          <w:szCs w:val="21"/>
          <w:highlight w:val="none"/>
        </w:rPr>
      </w:pPr>
      <w:r>
        <w:rPr>
          <w:rFonts w:hint="eastAsia" w:ascii="宋体" w:hAnsi="宋体" w:cs="宋体"/>
          <w:b/>
          <w:bCs/>
          <w:color w:val="auto"/>
          <w:szCs w:val="21"/>
          <w:highlight w:val="none"/>
        </w:rPr>
        <w:t>供应商</w:t>
      </w:r>
      <w:r>
        <w:rPr>
          <w:rFonts w:hint="eastAsia" w:ascii="宋体" w:hAnsi="宋体" w:cs="宋体"/>
          <w:b/>
          <w:bCs/>
          <w:color w:val="auto"/>
          <w:highlight w:val="none"/>
        </w:rPr>
        <w:t>提供的以上相关证明材料属于“必须提供”的文件应加盖磋商供应商CA证书签章/自然人签字或个人CA证书签章，否则响应无效。</w:t>
      </w:r>
    </w:p>
    <w:p w14:paraId="1CAEEBC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11.3 供应商应按竞争性磋商文件第六章“响应文件（格式）”编制响应文件。</w:t>
      </w:r>
    </w:p>
    <w:p w14:paraId="5AF564B2">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特别说明：</w:t>
      </w:r>
    </w:p>
    <w:p w14:paraId="0F08860E">
      <w:pPr>
        <w:pageBreakBefore w:val="0"/>
        <w:widowControl w:val="0"/>
        <w:kinsoku/>
        <w:wordWrap/>
        <w:overflowPunct/>
        <w:topLinePunct w:val="0"/>
        <w:bidi w:val="0"/>
        <w:spacing w:line="360" w:lineRule="auto"/>
        <w:ind w:left="0" w:leftChars="0" w:firstLine="422" w:firstLineChars="200"/>
        <w:rPr>
          <w:rFonts w:ascii="宋体" w:hAnsi="宋体" w:cs="宋体"/>
          <w:b/>
          <w:color w:val="auto"/>
          <w:szCs w:val="21"/>
          <w:highlight w:val="none"/>
        </w:rPr>
      </w:pPr>
      <w:r>
        <w:rPr>
          <w:rFonts w:hint="eastAsia" w:ascii="宋体" w:hAnsi="宋体" w:cs="宋体"/>
          <w:b/>
          <w:bCs/>
          <w:color w:val="auto"/>
          <w:szCs w:val="21"/>
          <w:highlight w:val="none"/>
        </w:rPr>
        <w:t>（1）响</w:t>
      </w:r>
      <w:r>
        <w:rPr>
          <w:rFonts w:hint="eastAsia" w:ascii="宋体" w:hAnsi="宋体" w:cs="宋体"/>
          <w:b/>
          <w:color w:val="auto"/>
          <w:szCs w:val="21"/>
          <w:highlight w:val="none"/>
        </w:rPr>
        <w:t>应文件（电子响应文件），其中电子响应文件中所须加盖公章部分均采用CA证书签章。若磋商文件中有专门标注的某关联点，并要求供应商在电子投标系统中作出磋商响应的，如供应商未对关联点进行响应或者在响应文件其它内容进行描述，造成电子评审不能查询的责任由供应商自行承担。</w:t>
      </w:r>
    </w:p>
    <w:p w14:paraId="6010FD8B">
      <w:pPr>
        <w:pageBreakBefore w:val="0"/>
        <w:widowControl w:val="0"/>
        <w:numPr>
          <w:ilvl w:val="0"/>
          <w:numId w:val="4"/>
        </w:numPr>
        <w:kinsoku/>
        <w:wordWrap/>
        <w:overflowPunct/>
        <w:topLinePunct w:val="0"/>
        <w:bidi w:val="0"/>
        <w:spacing w:line="360" w:lineRule="auto"/>
        <w:ind w:left="0" w:leftChars="0" w:firstLine="422" w:firstLineChars="200"/>
        <w:rPr>
          <w:rFonts w:ascii="宋体" w:hAnsi="宋体" w:cs="宋体"/>
          <w:b/>
          <w:color w:val="auto"/>
          <w:szCs w:val="21"/>
          <w:highlight w:val="none"/>
        </w:rPr>
      </w:pPr>
      <w:r>
        <w:rPr>
          <w:rFonts w:hint="eastAsia" w:ascii="宋体" w:hAnsi="宋体" w:cs="宋体"/>
          <w:b/>
          <w:bCs/>
          <w:color w:val="auto"/>
          <w:szCs w:val="21"/>
          <w:highlight w:val="none"/>
        </w:rPr>
        <w:t>磋商文件要求法定代表人（负责人）或委托代理人签字的部分必须签字然后扫描或者拍照做成 pdf 格式上传（或加盖个人CA证书签章），无签字的视为响应无效。</w:t>
      </w:r>
    </w:p>
    <w:p w14:paraId="27DF5A58">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88" w:name="_Toc2180"/>
      <w:bookmarkStart w:id="89" w:name="_Toc6845"/>
      <w:r>
        <w:rPr>
          <w:rFonts w:hint="eastAsia" w:ascii="宋体" w:hAnsi="宋体" w:cs="宋体"/>
          <w:color w:val="auto"/>
          <w:sz w:val="21"/>
          <w:szCs w:val="21"/>
          <w:highlight w:val="none"/>
        </w:rPr>
        <w:t>12. 响应文件的语言及计量</w:t>
      </w:r>
      <w:bookmarkEnd w:id="88"/>
      <w:bookmarkEnd w:id="89"/>
    </w:p>
    <w:p w14:paraId="245D55C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14:paraId="09E52B7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12.2 磋商计量单位，磋商文件已有明确规定的，使用磋商文件规定的计量单位；磋商文件没有规定的，应采用中华人民共和国法定计量单位（货币单位：人民币元），否则视同未响应。</w:t>
      </w:r>
    </w:p>
    <w:p w14:paraId="3F60AF32">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0" w:name="_Toc30930"/>
      <w:bookmarkStart w:id="91" w:name="_Toc10838"/>
      <w:r>
        <w:rPr>
          <w:rFonts w:hint="eastAsia" w:ascii="宋体" w:hAnsi="宋体" w:cs="宋体"/>
          <w:color w:val="auto"/>
          <w:sz w:val="21"/>
          <w:szCs w:val="21"/>
          <w:highlight w:val="none"/>
        </w:rPr>
        <w:t>13. 磋商报价及采购预算金额</w:t>
      </w:r>
      <w:bookmarkEnd w:id="90"/>
      <w:bookmarkEnd w:id="91"/>
    </w:p>
    <w:p w14:paraId="74E9079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13.1 磋商报价应按磋商文件中相关附表格式填写。采购预算金额（人民币）：</w:t>
      </w:r>
      <w:r>
        <w:rPr>
          <w:rFonts w:hint="eastAsia" w:ascii="宋体" w:hAnsi="宋体" w:cs="宋体"/>
          <w:b/>
          <w:bCs/>
          <w:color w:val="auto"/>
          <w:szCs w:val="21"/>
          <w:highlight w:val="none"/>
          <w:u w:val="single"/>
          <w:lang w:eastAsia="zh-CN"/>
        </w:rPr>
        <w:t>详见竞争性磋商公告及供应商须知前附表</w:t>
      </w:r>
      <w:r>
        <w:rPr>
          <w:rFonts w:hint="eastAsia" w:ascii="宋体" w:hAnsi="宋体" w:cs="宋体"/>
          <w:color w:val="auto"/>
          <w:szCs w:val="21"/>
          <w:highlight w:val="none"/>
        </w:rPr>
        <w:t>。报价超过相应</w:t>
      </w:r>
      <w:r>
        <w:rPr>
          <w:rFonts w:hint="eastAsia" w:ascii="宋体" w:hAnsi="宋体" w:cs="宋体"/>
          <w:color w:val="auto"/>
          <w:szCs w:val="21"/>
          <w:highlight w:val="none"/>
          <w:lang w:eastAsia="zh-CN"/>
        </w:rPr>
        <w:t>分标</w:t>
      </w:r>
      <w:r>
        <w:rPr>
          <w:rFonts w:hint="eastAsia" w:ascii="宋体" w:hAnsi="宋体" w:cs="宋体"/>
          <w:color w:val="auto"/>
          <w:szCs w:val="21"/>
          <w:highlight w:val="none"/>
        </w:rPr>
        <w:t>采购预算金额的，响应文件按无效处理。</w:t>
      </w:r>
    </w:p>
    <w:p w14:paraId="25D0B45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13.2供应商必须就“采购需求”中所竞所有内容作完整唯一报价，否则，其响应文件无效。响应文件只允许有一个报价，有选择的或有条件的报价将不予接受。</w:t>
      </w:r>
    </w:p>
    <w:p w14:paraId="011C6B6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13.3 </w:t>
      </w:r>
      <w:r>
        <w:rPr>
          <w:rFonts w:hint="eastAsia" w:ascii="宋体" w:hAnsi="宋体" w:cs="宋体"/>
          <w:color w:val="auto"/>
          <w:spacing w:val="-6"/>
          <w:szCs w:val="21"/>
          <w:highlight w:val="none"/>
        </w:rPr>
        <w:t>磋商</w:t>
      </w:r>
      <w:r>
        <w:rPr>
          <w:rFonts w:hint="eastAsia" w:ascii="宋体" w:hAnsi="宋体" w:cs="宋体"/>
          <w:color w:val="auto"/>
          <w:szCs w:val="21"/>
          <w:highlight w:val="none"/>
        </w:rPr>
        <w:t>报价指本次招标采购范围内服务价款、保险、税金及其他所有成本费用的总和；供应商综合考虑在报价中。</w:t>
      </w:r>
    </w:p>
    <w:p w14:paraId="6697ACCD">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13.4供应商应在规定时间内在政采云系统上提交最后报价，超出评委设定的最后报价时限或其最后报价超出采购预算导致已通过评审的响应文件无效的，按供应商在提交响应文件截止时间后撤回响应文件处理。</w:t>
      </w:r>
    </w:p>
    <w:p w14:paraId="6BECF027">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2" w:name="_Toc26881"/>
      <w:bookmarkStart w:id="93" w:name="_Toc27015"/>
      <w:r>
        <w:rPr>
          <w:rFonts w:hint="eastAsia" w:ascii="宋体" w:hAnsi="宋体" w:cs="宋体"/>
          <w:color w:val="auto"/>
          <w:sz w:val="21"/>
          <w:szCs w:val="21"/>
          <w:highlight w:val="none"/>
        </w:rPr>
        <w:t>14. 响应文件有效期</w:t>
      </w:r>
      <w:bookmarkEnd w:id="92"/>
      <w:bookmarkEnd w:id="93"/>
    </w:p>
    <w:p w14:paraId="6AB6A1F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14.1 响应文件有效期：响应文件递交截止时间之日起90天，有效期不足的响应文件将被拒绝。</w:t>
      </w:r>
    </w:p>
    <w:p w14:paraId="70FC2DE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14.2 出现特殊情况下，需要延长响应文件有效期的，采购代理机构书面通知供应商延长响应文件有效期。供应商同意延长的，但不能修改响应文件。供应商拒绝延长的，其响应文件无效。</w:t>
      </w:r>
    </w:p>
    <w:p w14:paraId="65296AD9">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4" w:name="_Toc22602"/>
      <w:bookmarkStart w:id="95" w:name="_Toc24706"/>
      <w:r>
        <w:rPr>
          <w:rFonts w:hint="eastAsia" w:ascii="宋体" w:hAnsi="宋体" w:cs="宋体"/>
          <w:color w:val="auto"/>
          <w:sz w:val="21"/>
          <w:szCs w:val="21"/>
          <w:highlight w:val="none"/>
        </w:rPr>
        <w:t>15. 保证金</w:t>
      </w:r>
      <w:bookmarkEnd w:id="94"/>
      <w:bookmarkEnd w:id="95"/>
    </w:p>
    <w:p w14:paraId="372B0C9D">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本项目无需缴纳磋商保证金。</w:t>
      </w:r>
    </w:p>
    <w:p w14:paraId="691F54D0">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6" w:name="_Toc387"/>
      <w:bookmarkStart w:id="97" w:name="_Toc8815"/>
      <w:r>
        <w:rPr>
          <w:rFonts w:hint="eastAsia" w:ascii="宋体" w:hAnsi="宋体" w:cs="宋体"/>
          <w:color w:val="auto"/>
          <w:sz w:val="21"/>
          <w:szCs w:val="21"/>
          <w:highlight w:val="none"/>
        </w:rPr>
        <w:t>16. 竞争性磋商响应文件的</w:t>
      </w:r>
      <w:bookmarkEnd w:id="96"/>
      <w:r>
        <w:rPr>
          <w:rFonts w:hint="eastAsia" w:ascii="宋体" w:hAnsi="宋体" w:cs="宋体"/>
          <w:color w:val="auto"/>
          <w:sz w:val="21"/>
          <w:szCs w:val="21"/>
          <w:highlight w:val="none"/>
        </w:rPr>
        <w:t>制作</w:t>
      </w:r>
      <w:bookmarkEnd w:id="97"/>
    </w:p>
    <w:p w14:paraId="5169CDB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16.1 电子磋商响应文件中须加盖供应商公章部分均采用 CA 证书签章，并根据“政府采购项目电子交易管理操作指南-供应商” 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漏读，或者在按采购文件规定的部位查找不到相关内容的，由供应商自行承担。</w:t>
      </w:r>
    </w:p>
    <w:p w14:paraId="2CD952E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16.2供应商法人（负责人）或授权代表持有政采云个人CA证书签章的，应在响应文件中涉及到签字的位置使用个人CA证书签章，没有办理政采云个人CA证书签章的可在响应文件中涉及到签字的位置手写签字后扫描或者拍照做成 PDF 的格式上传即可。</w:t>
      </w:r>
    </w:p>
    <w:p w14:paraId="51DD5A5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16.3 磋商响应文件不得涂改，若有修改错漏处，须法定代表人（负责人）或授权委托人签字（或个人CA证书签章）。磋商响应文件因字迹潦草或表达不清所引起的后果由供应商负责。</w:t>
      </w:r>
    </w:p>
    <w:p w14:paraId="6E65F611">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16.4磋商前准备 </w:t>
      </w:r>
    </w:p>
    <w:p w14:paraId="177A124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16.4.1本项目实行在线磋商，采用电子磋商响应文件。若供应商参与磋商，自行承担磋商一切费用。 </w:t>
      </w:r>
    </w:p>
    <w:p w14:paraId="11D8EEA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16.4.2各供应商应在截标前应确保成为广西政府采购云平台正式注册入库供应商，并完成 CA 数字证书申领。因未注册入库、未办理 CA 数字证书等原因造成无法磋商或磋商失败等后果由供应商自行承担。 </w:t>
      </w:r>
    </w:p>
    <w:p w14:paraId="5A863EF1">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16.4.3供应商将政采云电子交易客户端下载、安装完成后，可通过账号密码或 CA 登录客户端进行响应文件制作。客户端请至网站下载专区查看，如有问题可拨打政采云客户服务热线 95763 进行咨询。</w:t>
      </w:r>
    </w:p>
    <w:p w14:paraId="63E4A35F">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8" w:name="_Toc8570"/>
      <w:r>
        <w:rPr>
          <w:rFonts w:hint="eastAsia" w:ascii="宋体" w:hAnsi="宋体" w:cs="宋体"/>
          <w:color w:val="auto"/>
          <w:sz w:val="21"/>
          <w:szCs w:val="21"/>
          <w:highlight w:val="none"/>
        </w:rPr>
        <w:t>17. 响应文件的修改和撤回</w:t>
      </w:r>
      <w:bookmarkEnd w:id="98"/>
    </w:p>
    <w:p w14:paraId="0594F29B">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17.1 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0D6B733B">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17.2 在响应文件递交截止时间后的响应文件有效期内，供应商不得撤回其响应文件。</w:t>
      </w:r>
    </w:p>
    <w:p w14:paraId="7952C5AE">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99" w:name="_Toc27030"/>
      <w:bookmarkStart w:id="100" w:name="_Toc30156"/>
      <w:r>
        <w:rPr>
          <w:rFonts w:hint="eastAsia" w:ascii="宋体" w:hAnsi="宋体" w:cs="宋体"/>
          <w:color w:val="auto"/>
          <w:sz w:val="21"/>
          <w:szCs w:val="21"/>
          <w:highlight w:val="none"/>
        </w:rPr>
        <w:t>18. 响应文件的递交和解密</w:t>
      </w:r>
      <w:bookmarkEnd w:id="99"/>
      <w:bookmarkEnd w:id="100"/>
    </w:p>
    <w:p w14:paraId="26C2FD8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18.1响应文件递交截止时间：</w:t>
      </w:r>
      <w:r>
        <w:rPr>
          <w:rFonts w:hint="eastAsia" w:ascii="宋体" w:hAnsi="宋体" w:cs="宋体"/>
          <w:color w:val="auto"/>
          <w:szCs w:val="21"/>
          <w:highlight w:val="none"/>
          <w:lang w:eastAsia="zh-CN"/>
        </w:rPr>
        <w:t>详见供应商须知前附表</w:t>
      </w:r>
      <w:r>
        <w:rPr>
          <w:rFonts w:hint="eastAsia" w:ascii="宋体" w:hAnsi="宋体" w:cs="宋体"/>
          <w:color w:val="auto"/>
          <w:szCs w:val="21"/>
          <w:highlight w:val="none"/>
        </w:rPr>
        <w:t>。</w:t>
      </w:r>
    </w:p>
    <w:p w14:paraId="0C17DBFD">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18.2磋商响应文件解密时间：</w:t>
      </w:r>
      <w:r>
        <w:rPr>
          <w:rFonts w:hint="eastAsia" w:ascii="宋体" w:hAnsi="宋体" w:cs="宋体"/>
          <w:color w:val="auto"/>
          <w:szCs w:val="21"/>
          <w:highlight w:val="none"/>
          <w:lang w:eastAsia="zh-CN"/>
        </w:rPr>
        <w:t>详见供应商须知前附表</w:t>
      </w:r>
      <w:r>
        <w:rPr>
          <w:rFonts w:hint="eastAsia" w:ascii="宋体" w:hAnsi="宋体" w:cs="宋体"/>
          <w:b w:val="0"/>
          <w:bCs w:val="0"/>
          <w:color w:val="auto"/>
          <w:szCs w:val="21"/>
          <w:highlight w:val="none"/>
        </w:rPr>
        <w:t>。</w:t>
      </w:r>
    </w:p>
    <w:p w14:paraId="4FAB19A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18.3 除竞争性磋商文件另有规定外，供应商所递交的响应文件不予退还。</w:t>
      </w:r>
    </w:p>
    <w:p w14:paraId="622E02C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18.4 电子响应文件的相关说明</w:t>
      </w:r>
    </w:p>
    <w:p w14:paraId="1E8C746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供应商进行电子投标应安装客户端软件，并按照采购文件和电子交易平台的要求编制并加密磋商响应文件。供应商未按规定加密的磋商响应文件，电子交易平台将拒收。供应商应当在磋商截止时间前完成磋商响应文件的传输递交，并可以补充、修改或者撤回磋商响应文件。补充或者修改磋商响应文件的，应当先行撤回原文件，补充、修改后重新传输递交。磋商截止时间前未完成传输的，视为撤回磋商响应文件。磋商截止时间后递交的磋商响应文件，电子交易平台将拒收。 </w:t>
      </w:r>
    </w:p>
    <w:p w14:paraId="09983077">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（2）如有特殊情况，采购代理机构延长截止时间和开标时间，采购代理机构和供应商的权利和义务将受到新的截止时间和开标时间的约束。</w:t>
      </w:r>
    </w:p>
    <w:p w14:paraId="4C0F6A98">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101" w:name="_Toc18044"/>
      <w:bookmarkStart w:id="102" w:name="_Toc2433"/>
      <w:r>
        <w:rPr>
          <w:rFonts w:hint="eastAsia" w:ascii="宋体" w:hAnsi="宋体" w:cs="宋体"/>
          <w:b/>
          <w:bCs w:val="0"/>
          <w:color w:val="auto"/>
          <w:szCs w:val="28"/>
          <w:highlight w:val="none"/>
        </w:rPr>
        <w:t>四、竞争性磋商（简称磋商）与评审</w:t>
      </w:r>
      <w:bookmarkEnd w:id="101"/>
      <w:bookmarkEnd w:id="102"/>
    </w:p>
    <w:p w14:paraId="003D6FCE">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03" w:name="_Toc31588"/>
      <w:bookmarkStart w:id="104" w:name="_Toc16714"/>
      <w:r>
        <w:rPr>
          <w:rFonts w:hint="eastAsia" w:ascii="宋体" w:hAnsi="宋体" w:cs="宋体"/>
          <w:color w:val="auto"/>
          <w:sz w:val="21"/>
          <w:szCs w:val="21"/>
          <w:highlight w:val="none"/>
        </w:rPr>
        <w:t>19. 磋商小组组成及磋商时间、地点、人员</w:t>
      </w:r>
      <w:bookmarkEnd w:id="103"/>
      <w:bookmarkEnd w:id="104"/>
    </w:p>
    <w:p w14:paraId="6B33726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19.1 磋商小组组成：</w:t>
      </w:r>
    </w:p>
    <w:p w14:paraId="302CDFC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人，其中采购人代表</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人， 专家</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人。</w:t>
      </w:r>
    </w:p>
    <w:p w14:paraId="78EF331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19.2 磋商时间、地点、人员：</w:t>
      </w:r>
    </w:p>
    <w:p w14:paraId="67622CF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bookmarkStart w:id="105" w:name="_Toc9878"/>
      <w:r>
        <w:rPr>
          <w:rFonts w:hint="eastAsia" w:ascii="宋体" w:hAnsi="宋体" w:cs="宋体"/>
          <w:color w:val="auto"/>
          <w:szCs w:val="21"/>
          <w:highlight w:val="none"/>
        </w:rPr>
        <w:t>19.2.1磋商时间：响应文件递交截止时间后。</w:t>
      </w:r>
      <w:bookmarkEnd w:id="105"/>
    </w:p>
    <w:p w14:paraId="0B03C53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bookmarkStart w:id="106" w:name="_Toc29268"/>
      <w:r>
        <w:rPr>
          <w:rFonts w:hint="eastAsia" w:ascii="宋体" w:hAnsi="宋体" w:cs="宋体"/>
          <w:color w:val="auto"/>
          <w:szCs w:val="21"/>
          <w:highlight w:val="none"/>
        </w:rPr>
        <w:t>19.2.2磋商地点：</w:t>
      </w:r>
      <w:bookmarkEnd w:id="106"/>
      <w:r>
        <w:rPr>
          <w:rFonts w:hint="eastAsia" w:ascii="宋体" w:hAnsi="宋体" w:cs="宋体"/>
          <w:color w:val="auto"/>
          <w:szCs w:val="21"/>
          <w:highlight w:val="none"/>
        </w:rPr>
        <w:t>本项目需要磋商供应商代表在截标当天截标后，按磋商小组要求及时登陆广西政府采购云平台等候在线磋商。</w:t>
      </w:r>
    </w:p>
    <w:p w14:paraId="0B940740">
      <w:pPr>
        <w:pageBreakBefore w:val="0"/>
        <w:widowControl w:val="0"/>
        <w:kinsoku/>
        <w:wordWrap/>
        <w:overflowPunct/>
        <w:topLinePunct w:val="0"/>
        <w:bidi w:val="0"/>
        <w:spacing w:line="360" w:lineRule="auto"/>
        <w:ind w:left="0" w:leftChars="0" w:firstLine="420" w:firstLineChars="200"/>
        <w:rPr>
          <w:rFonts w:ascii="宋体" w:hAnsi="宋体" w:cs="宋体"/>
          <w:bCs/>
          <w:color w:val="auto"/>
          <w:szCs w:val="21"/>
          <w:highlight w:val="none"/>
        </w:rPr>
      </w:pPr>
      <w:bookmarkStart w:id="107" w:name="_Toc21307"/>
      <w:r>
        <w:rPr>
          <w:rFonts w:hint="eastAsia" w:ascii="宋体" w:hAnsi="宋体" w:cs="宋体"/>
          <w:color w:val="auto"/>
          <w:szCs w:val="21"/>
          <w:highlight w:val="none"/>
        </w:rPr>
        <w:t>19</w:t>
      </w:r>
      <w:r>
        <w:rPr>
          <w:rFonts w:hint="eastAsia" w:ascii="宋体" w:hAnsi="宋体" w:cs="宋体"/>
          <w:bCs/>
          <w:color w:val="auto"/>
          <w:szCs w:val="21"/>
          <w:highlight w:val="none"/>
        </w:rPr>
        <w:t>.2.3磋商参加人员：供应商法定代表人、负责人、自然人或相应的委托代理人持</w:t>
      </w:r>
      <w:r>
        <w:rPr>
          <w:rFonts w:hint="eastAsia" w:ascii="宋体" w:hAnsi="宋体" w:cs="宋体"/>
          <w:bCs/>
          <w:color w:val="auto"/>
          <w:szCs w:val="21"/>
          <w:highlight w:val="none"/>
          <w:u w:val="single"/>
        </w:rPr>
        <w:t>有效身份证原件</w:t>
      </w:r>
      <w:r>
        <w:rPr>
          <w:rFonts w:hint="eastAsia" w:ascii="宋体" w:hAnsi="宋体" w:cs="宋体"/>
          <w:bCs/>
          <w:color w:val="auto"/>
          <w:szCs w:val="21"/>
          <w:highlight w:val="none"/>
        </w:rPr>
        <w:t>和供应商</w:t>
      </w:r>
      <w:r>
        <w:rPr>
          <w:rFonts w:hint="eastAsia" w:ascii="宋体" w:hAnsi="宋体" w:cs="宋体"/>
          <w:bCs/>
          <w:color w:val="auto"/>
          <w:szCs w:val="21"/>
          <w:highlight w:val="none"/>
          <w:u w:val="single"/>
        </w:rPr>
        <w:t>广西政府采购云平台CA数字证书</w:t>
      </w:r>
      <w:r>
        <w:rPr>
          <w:rFonts w:hint="eastAsia" w:ascii="宋体" w:hAnsi="宋体" w:cs="宋体"/>
          <w:bCs/>
          <w:color w:val="auto"/>
          <w:szCs w:val="21"/>
          <w:highlight w:val="none"/>
        </w:rPr>
        <w:t>参加磋商。请供应商按时到达指定地点等候磋商。</w:t>
      </w:r>
      <w:bookmarkEnd w:id="107"/>
    </w:p>
    <w:p w14:paraId="2AA078FE">
      <w:pPr>
        <w:pageBreakBefore w:val="0"/>
        <w:widowControl w:val="0"/>
        <w:kinsoku/>
        <w:wordWrap/>
        <w:overflowPunct/>
        <w:topLinePunct w:val="0"/>
        <w:bidi w:val="0"/>
        <w:spacing w:line="360" w:lineRule="auto"/>
        <w:ind w:left="0" w:leftChars="0" w:firstLine="420" w:firstLineChars="200"/>
        <w:rPr>
          <w:rFonts w:ascii="宋体" w:hAnsi="宋体" w:cs="宋体"/>
          <w:bCs/>
          <w:color w:val="auto"/>
          <w:szCs w:val="21"/>
          <w:highlight w:val="none"/>
        </w:rPr>
      </w:pPr>
      <w:bookmarkStart w:id="108" w:name="_Toc6288"/>
      <w:r>
        <w:rPr>
          <w:rFonts w:hint="eastAsia" w:ascii="宋体" w:hAnsi="宋体" w:cs="宋体"/>
          <w:bCs/>
          <w:color w:val="auto"/>
          <w:szCs w:val="21"/>
          <w:highlight w:val="none"/>
        </w:rPr>
        <w:t>19.2.4响应文件递交截止时间后，由磋商小组在评标室内线上开启响应文件。</w:t>
      </w:r>
      <w:bookmarkEnd w:id="108"/>
    </w:p>
    <w:p w14:paraId="63CB4E4C">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09" w:name="_Toc18640"/>
      <w:bookmarkStart w:id="110" w:name="_Toc25258"/>
      <w:r>
        <w:rPr>
          <w:rFonts w:hint="eastAsia" w:ascii="宋体" w:hAnsi="宋体" w:cs="宋体"/>
          <w:color w:val="auto"/>
          <w:sz w:val="21"/>
          <w:szCs w:val="21"/>
          <w:highlight w:val="none"/>
        </w:rPr>
        <w:t>20. 评审原则</w:t>
      </w:r>
      <w:bookmarkEnd w:id="109"/>
      <w:bookmarkEnd w:id="110"/>
    </w:p>
    <w:p w14:paraId="66E08B01">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20.1 磋商小组必须坚持公平、公正、科学和择优的原则。</w:t>
      </w:r>
    </w:p>
    <w:p w14:paraId="1806367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20.2 评审办法：综合评分法，具体详见第四章评审办法。</w:t>
      </w:r>
    </w:p>
    <w:p w14:paraId="4923B35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20.3 磋商小组应按磋商文件进行评审，不得擅自更改评审办法。</w:t>
      </w:r>
    </w:p>
    <w:p w14:paraId="4A59B2C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20.4 在评审过程中，磋商小组任何人不得对某个供应商发表任何倾向性意见，不得向其他磋商小组成员明示或者暗示自己的评审意见。</w:t>
      </w:r>
    </w:p>
    <w:p w14:paraId="11EAF36F">
      <w:pPr>
        <w:pageBreakBefore w:val="0"/>
        <w:widowControl w:val="0"/>
        <w:kinsoku/>
        <w:wordWrap/>
        <w:overflowPunct/>
        <w:topLinePunct w:val="0"/>
        <w:bidi w:val="0"/>
        <w:spacing w:line="360" w:lineRule="auto"/>
        <w:ind w:left="0" w:leftChars="0" w:firstLine="420" w:firstLineChars="200"/>
        <w:jc w:val="left"/>
        <w:rPr>
          <w:rFonts w:ascii="宋体" w:hAnsi="宋体" w:cs="宋体"/>
          <w:color w:val="auto"/>
          <w:szCs w:val="21"/>
          <w:highlight w:val="none"/>
        </w:rPr>
      </w:pPr>
      <w:r>
        <w:rPr>
          <w:rFonts w:hint="eastAsia" w:ascii="宋体" w:hAnsi="宋体" w:cs="宋体"/>
          <w:color w:val="auto"/>
          <w:szCs w:val="21"/>
          <w:highlight w:val="none"/>
        </w:rPr>
        <w:t>20.5 磋商小组成员对需要共同认定的事项存在争议的，按照少数服从多数的原则作出结论。持不同意见的磋商小组成员应当在评审报告上签署不同意见并说明理由，否则视为同意。</w:t>
      </w:r>
    </w:p>
    <w:p w14:paraId="22A5AA9D">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20.6 响应文件最后报价出现前后不一致的，除竞争性磋商文件另有规定外，按照下列规定修正：</w:t>
      </w:r>
    </w:p>
    <w:p w14:paraId="0B8AE668">
      <w:pPr>
        <w:pStyle w:val="41"/>
        <w:pageBreakBefore w:val="0"/>
        <w:widowControl w:val="0"/>
        <w:tabs>
          <w:tab w:val="left" w:pos="1099"/>
        </w:tabs>
        <w:kinsoku/>
        <w:wordWrap/>
        <w:overflowPunct/>
        <w:topLinePunct w:val="0"/>
        <w:bidi w:val="0"/>
        <w:spacing w:line="360" w:lineRule="auto"/>
        <w:ind w:left="0" w:leftChars="0" w:firstLine="0" w:firstLineChars="0"/>
        <w:jc w:val="left"/>
        <w:rPr>
          <w:rFonts w:ascii="宋体" w:hAnsi="宋体" w:cs="宋体"/>
          <w:color w:val="auto"/>
          <w:highlight w:val="none"/>
        </w:rPr>
      </w:pPr>
      <w:r>
        <w:rPr>
          <w:rFonts w:hint="eastAsia" w:ascii="宋体" w:hAnsi="宋体" w:cs="宋体"/>
          <w:color w:val="auto"/>
          <w:szCs w:val="21"/>
          <w:highlight w:val="none"/>
        </w:rPr>
        <w:t xml:space="preserve">(1) </w:t>
      </w:r>
      <w:r>
        <w:rPr>
          <w:rFonts w:hint="eastAsia" w:ascii="宋体" w:hAnsi="宋体" w:cs="宋体"/>
          <w:color w:val="auto"/>
          <w:highlight w:val="none"/>
        </w:rPr>
        <w:t>响应文件中磋商报价表内容与响应文件中相应内容不一致的，以最后磋商报价表为准；</w:t>
      </w:r>
    </w:p>
    <w:p w14:paraId="115C5EDE">
      <w:pPr>
        <w:pStyle w:val="41"/>
        <w:pageBreakBefore w:val="0"/>
        <w:widowControl w:val="0"/>
        <w:tabs>
          <w:tab w:val="left" w:pos="1099"/>
        </w:tabs>
        <w:kinsoku/>
        <w:wordWrap/>
        <w:overflowPunct/>
        <w:topLinePunct w:val="0"/>
        <w:bidi w:val="0"/>
        <w:spacing w:line="360" w:lineRule="auto"/>
        <w:ind w:left="0" w:leftChars="0" w:firstLine="0" w:firstLineChars="0"/>
        <w:jc w:val="left"/>
        <w:rPr>
          <w:rFonts w:ascii="宋体" w:hAnsi="宋体" w:cs="宋体"/>
          <w:color w:val="auto"/>
          <w:highlight w:val="none"/>
        </w:rPr>
      </w:pPr>
      <w:r>
        <w:rPr>
          <w:rFonts w:hint="eastAsia" w:ascii="宋体" w:hAnsi="宋体" w:cs="宋体"/>
          <w:color w:val="auto"/>
          <w:szCs w:val="21"/>
          <w:highlight w:val="none"/>
        </w:rPr>
        <w:t>(2)</w:t>
      </w:r>
      <w:r>
        <w:rPr>
          <w:rFonts w:hint="eastAsia" w:ascii="宋体" w:hAnsi="宋体" w:cs="宋体"/>
          <w:color w:val="auto"/>
          <w:highlight w:val="none"/>
        </w:rPr>
        <w:t xml:space="preserve"> 大写金额和小写金额不一致的，以大写金额为准；</w:t>
      </w:r>
    </w:p>
    <w:p w14:paraId="0DBBA270">
      <w:pPr>
        <w:pStyle w:val="41"/>
        <w:pageBreakBefore w:val="0"/>
        <w:widowControl w:val="0"/>
        <w:tabs>
          <w:tab w:val="left" w:pos="1099"/>
        </w:tabs>
        <w:kinsoku/>
        <w:wordWrap/>
        <w:overflowPunct/>
        <w:topLinePunct w:val="0"/>
        <w:bidi w:val="0"/>
        <w:spacing w:line="360" w:lineRule="auto"/>
        <w:ind w:left="0" w:leftChars="0" w:firstLine="0" w:firstLineChars="0"/>
        <w:jc w:val="left"/>
        <w:rPr>
          <w:rFonts w:ascii="宋体" w:hAnsi="宋体" w:cs="宋体"/>
          <w:color w:val="auto"/>
          <w:highlight w:val="none"/>
        </w:rPr>
      </w:pPr>
      <w:r>
        <w:rPr>
          <w:rFonts w:hint="eastAsia" w:ascii="宋体" w:hAnsi="宋体" w:cs="宋体"/>
          <w:color w:val="auto"/>
          <w:szCs w:val="21"/>
          <w:highlight w:val="none"/>
        </w:rPr>
        <w:t>(3)</w:t>
      </w:r>
      <w:r>
        <w:rPr>
          <w:rFonts w:hint="eastAsia" w:ascii="宋体" w:hAnsi="宋体" w:cs="宋体"/>
          <w:color w:val="auto"/>
          <w:highlight w:val="none"/>
        </w:rPr>
        <w:t xml:space="preserve"> 单价金额小数点或者百分比有明显错位的，以报价表的总价为准，并修改单价；</w:t>
      </w:r>
    </w:p>
    <w:p w14:paraId="21A5E849">
      <w:pPr>
        <w:pStyle w:val="41"/>
        <w:pageBreakBefore w:val="0"/>
        <w:widowControl w:val="0"/>
        <w:tabs>
          <w:tab w:val="left" w:pos="1099"/>
        </w:tabs>
        <w:kinsoku/>
        <w:wordWrap/>
        <w:overflowPunct/>
        <w:topLinePunct w:val="0"/>
        <w:bidi w:val="0"/>
        <w:spacing w:line="360" w:lineRule="auto"/>
        <w:ind w:left="0" w:leftChars="0" w:firstLine="0" w:firstLineChars="0"/>
        <w:jc w:val="left"/>
        <w:rPr>
          <w:rFonts w:ascii="宋体" w:hAnsi="宋体" w:cs="宋体"/>
          <w:color w:val="auto"/>
          <w:highlight w:val="none"/>
        </w:rPr>
      </w:pPr>
      <w:r>
        <w:rPr>
          <w:rFonts w:hint="eastAsia" w:ascii="宋体" w:hAnsi="宋体" w:cs="宋体"/>
          <w:color w:val="auto"/>
          <w:szCs w:val="21"/>
          <w:highlight w:val="none"/>
        </w:rPr>
        <w:t xml:space="preserve">(4) </w:t>
      </w:r>
      <w:r>
        <w:rPr>
          <w:rFonts w:hint="eastAsia" w:ascii="宋体" w:hAnsi="宋体" w:cs="宋体"/>
          <w:color w:val="auto"/>
          <w:highlight w:val="none"/>
        </w:rPr>
        <w:t>总价金额与按单价汇总金额不一致的，以单价金额计算结果为准。</w:t>
      </w:r>
    </w:p>
    <w:p w14:paraId="5D517D5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7836122B">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11" w:name="_Toc1312"/>
      <w:bookmarkStart w:id="112" w:name="_Toc27193"/>
      <w:r>
        <w:rPr>
          <w:rFonts w:hint="eastAsia" w:ascii="宋体" w:hAnsi="宋体" w:cs="宋体"/>
          <w:color w:val="auto"/>
          <w:sz w:val="21"/>
          <w:szCs w:val="21"/>
          <w:highlight w:val="none"/>
        </w:rPr>
        <w:t>21. 评审程序及磋商要求</w:t>
      </w:r>
      <w:bookmarkEnd w:id="111"/>
      <w:bookmarkEnd w:id="112"/>
    </w:p>
    <w:p w14:paraId="798481F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21.1磋商小组成员的通讯工具或相关电子设备交由桂林市公共资源交易中心统一保管后到达评标室，采购代理机构核实磋商小组成员身份，告知回避要求，宣布评审工作纪律和程序，推选磋商小组组长。</w:t>
      </w:r>
    </w:p>
    <w:p w14:paraId="653FB70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14:paraId="36358C7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21.3 磋商小组依据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 </w:t>
      </w:r>
    </w:p>
    <w:p w14:paraId="1E96350F">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21.4 磋商小组在对供应商进行资格性审查时，将对供应商企业股东及出资等信息进行查询。根据 《 中华人民共和国政府采购法实施条例 》 第十八条第一款规定，审查中如发现供应商存在单位负责人为同一人或者存在直接控股、管理关系的不同供应商参加同一合同项下的政府采购活动的，按响应文件无效处理 。</w:t>
      </w:r>
    </w:p>
    <w:p w14:paraId="6E8A0DD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21.4.1 查询渠道：《国家企业信用信息公示系统》（网址：www.gsxt.gov.cn/index.html）</w:t>
      </w:r>
    </w:p>
    <w:p w14:paraId="3F2263E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21.4.2 审查流程：</w:t>
      </w:r>
    </w:p>
    <w:p w14:paraId="3F2B25D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（1）进入《国家企业信用信息公示系统》（网址：www.gsxt.gov.cn/index.html），输入企业名称，进入企业信息主页面；</w:t>
      </w:r>
    </w:p>
    <w:p w14:paraId="5C8805CD">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（2）查看主页“股东及出资信息”栏，或年报中的“股东及出资信息”栏信息；</w:t>
      </w:r>
    </w:p>
    <w:p w14:paraId="33F5167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（3）将各供应商的股东及出资信息进行比对，得出审查结论；</w:t>
      </w:r>
    </w:p>
    <w:p w14:paraId="5625213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（4）将相关资料作为评审资料打印存档。</w:t>
      </w:r>
    </w:p>
    <w:p w14:paraId="64E4D0D4">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21.5 磋商小组如发现供应商提供的证明文件不齐全或不符合规定格式的，应一次性告知供应商，供应商应在规定的时间内线上补正或更正。</w:t>
      </w:r>
    </w:p>
    <w:p w14:paraId="74E7F521">
      <w:pPr>
        <w:pStyle w:val="9"/>
        <w:pageBreakBefore w:val="0"/>
        <w:widowControl w:val="0"/>
        <w:kinsoku/>
        <w:wordWrap/>
        <w:overflowPunct/>
        <w:topLinePunct w:val="0"/>
        <w:bidi w:val="0"/>
        <w:spacing w:line="360" w:lineRule="auto"/>
        <w:ind w:left="0" w:leftChars="0"/>
        <w:rPr>
          <w:rFonts w:ascii="宋体" w:hAnsi="宋体" w:cs="宋体"/>
          <w:color w:val="auto"/>
          <w:szCs w:val="21"/>
          <w:highlight w:val="none"/>
        </w:rPr>
      </w:pPr>
      <w:r>
        <w:rPr>
          <w:rFonts w:hint="eastAsia" w:ascii="宋体" w:hAnsi="宋体" w:cs="宋体"/>
          <w:color w:val="auto"/>
          <w:szCs w:val="21"/>
          <w:highlight w:val="none"/>
        </w:rPr>
        <w:t xml:space="preserve">    21.6 磋商小组在对响应文件的有效性、完整性和响应程度进行审查时，可以要求供应商对响应文件中含义不明确、同类问题表述不一致或者有明显文字和计算错误的内容等作出必要的澄清、说明或者更正。供应商的 澄清、说明或者更正不得超出响应文件的范围或者改变响应文件的实质性内容。澄清、说明或者更正应由其法定代表人或相应的授权委托代表签字（</w:t>
      </w:r>
      <w:r>
        <w:rPr>
          <w:rFonts w:hint="eastAsia" w:ascii="宋体" w:hAnsi="宋体" w:cs="宋体"/>
          <w:color w:val="auto"/>
          <w:highlight w:val="none"/>
        </w:rPr>
        <w:t>个人CA证书签章)</w:t>
      </w:r>
      <w:r>
        <w:rPr>
          <w:rFonts w:hint="eastAsia" w:ascii="宋体" w:hAnsi="宋体" w:cs="宋体"/>
          <w:color w:val="auto"/>
          <w:szCs w:val="21"/>
          <w:highlight w:val="none"/>
        </w:rPr>
        <w:t>或者加盖</w:t>
      </w:r>
      <w:r>
        <w:rPr>
          <w:rFonts w:hint="eastAsia" w:ascii="宋体" w:hAnsi="宋体"/>
          <w:color w:val="auto"/>
          <w:szCs w:val="21"/>
          <w:highlight w:val="none"/>
        </w:rPr>
        <w:t>供应商CA证书签章</w:t>
      </w:r>
      <w:r>
        <w:rPr>
          <w:rFonts w:hint="eastAsia" w:ascii="宋体" w:hAnsi="宋体" w:cs="宋体"/>
          <w:color w:val="auto"/>
          <w:szCs w:val="21"/>
          <w:highlight w:val="none"/>
        </w:rPr>
        <w:t>)。</w:t>
      </w:r>
    </w:p>
    <w:p w14:paraId="2592C44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根据磋商文件规定的程序、评定成交的标准等事项与实质性响应竞争性磋商文件要求的供应商进行磋商。未实质性响应磋商文件的响应文件按无效处理，磋商小组应当告知有关供应商。 </w:t>
      </w:r>
    </w:p>
    <w:p w14:paraId="50F5F07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磋商小组所有成员应当按已确定的磋商顺序集中与单一供应商分别进行磋商，并给予所有实质性响应竞争性磋商文件要求的供应商平等的磋商机会。 </w:t>
      </w:r>
    </w:p>
    <w:p w14:paraId="5734156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磋商中，磋商小组不得透露与磋商有关的其他供应商的技术资料、价格和其他信息。 </w:t>
      </w:r>
    </w:p>
    <w:p w14:paraId="05A01FB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磋商小组对磋商过程和重要磋商内容进行记录，磋商双方在记录上签字确认。 </w:t>
      </w:r>
    </w:p>
    <w:p w14:paraId="2F61712D">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21.7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14:paraId="4E96EDA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21.8 在磋商过程中，磋商小组可以根据磋商文件和磋商情况实质性变动项目需求中的技术、服务要求以及合同草案条款，但不得变动磋商文件中的其他内容。实质性变动的内容，须经采购人代表确认。 </w:t>
      </w:r>
    </w:p>
    <w:p w14:paraId="09764DB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对磋商文件作出的实质性变动是磋商文件的有效组成部分，磋商小组应当及时通过广西政府采购云平台同时通知所有参加磋商的供应商。 </w:t>
      </w:r>
    </w:p>
    <w:p w14:paraId="0226AEA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供应商应当按照磋商文件的变动情况和磋商小组的要求重新提交响应文件，并由其法定代表人、负责人、自然人或相应的授权委托代表签字（个人CA证书签章）或者加盖</w:t>
      </w:r>
      <w:r>
        <w:rPr>
          <w:rFonts w:hint="eastAsia" w:ascii="宋体" w:hAnsi="宋体"/>
          <w:color w:val="auto"/>
          <w:szCs w:val="21"/>
          <w:highlight w:val="none"/>
        </w:rPr>
        <w:t>供应商CA证书签章</w:t>
      </w:r>
      <w:r>
        <w:rPr>
          <w:rFonts w:hint="eastAsia" w:ascii="宋体" w:hAnsi="宋体" w:cs="宋体"/>
          <w:color w:val="auto"/>
          <w:szCs w:val="21"/>
          <w:highlight w:val="none"/>
        </w:rPr>
        <w:t xml:space="preserve">。逾时不交的，视同放弃磋商。 </w:t>
      </w:r>
    </w:p>
    <w:p w14:paraId="366FD72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21.9 第二轮磋商</w:t>
      </w:r>
    </w:p>
    <w:p w14:paraId="331A9A6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磋商小组集中就重新提交的响应文件或磋商小组提出的磋商意见与单一响应供应商分别进行磋商。磋商小组对磋商过程和重要磋商内容进行记录，磋商双方在记录上签字确认（CA证书签章确认）。</w:t>
      </w:r>
    </w:p>
    <w:p w14:paraId="5D50BB11">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磋商后，供应商根据磋商小组统一整理的书面磋商记录要求做出书面承诺，并由其法定代表人或授权代表签字或者加盖公章（CA证书签章）后按时线上提交。</w:t>
      </w:r>
    </w:p>
    <w:p w14:paraId="0A2D9151">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14:paraId="4DE66DD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21.10 在采购过程中符合竞争要求的供应商或者报价未超过采购预算的供应商不足 3 家的，采购人或者采购代理机构应当终止竞争性磋商采购活动。 </w:t>
      </w:r>
    </w:p>
    <w:p w14:paraId="44B9409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21.11 最后报价 </w:t>
      </w:r>
    </w:p>
    <w:p w14:paraId="4BE381F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21.11.1 磋商文件能够详细列明采购标的的技术、服务要求的，磋商结束后，磋商小组应当要求所有继续参加磋商的供应商在规定时间内线上提交最后报价，提交最后报价的供应商不得少于 3 家。 </w:t>
      </w:r>
    </w:p>
    <w:p w14:paraId="7259D50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21.11.2 磋商文件不能详细列明采购标的的技术、服务要求的，需由磋商供应商提供最终设计方案或解决方案的，磋商结束后，磋商小组应当按照少数服从多数的原则投票推荐 3 家以上（含 3 家）供应商的设计方案或者解决方案，并要求其在规定时间内线上提交最后报价。 </w:t>
      </w:r>
    </w:p>
    <w:p w14:paraId="786A30BD">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 xml:space="preserve">21.11.3 根据《财政部关于政府采购竞争性磋商采购方式管理暂行办法有关问题的补充通知》(财库〔2014〕214 号)的规定，如采购项目为政府购买服务项目（含政府和社会资本合作项目），在采购过程中符合要求的供应商（社会资本）只有 2 家的，竞争性磋商采购活动可以继续进行，并要求其在规定时间内线上提交最后报价；采购过程中符合要求的供应商（社会资本）只有 1 家的，采购人或者采购代理机构应当终止竞争性磋商采购活动，发布项目终止公告并说明原因，重新开展采购活动。 </w:t>
      </w:r>
    </w:p>
    <w:p w14:paraId="27D21ECC">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21.11.4 根据《政府采购竞争性磋商采购方式管理暂行办法》(财库〔2014〕214 号)的规定：</w:t>
      </w:r>
      <w:r>
        <w:rPr>
          <w:rFonts w:hint="eastAsia" w:ascii="宋体" w:hAnsi="宋体" w:cs="宋体"/>
          <w:b/>
          <w:bCs/>
          <w:color w:val="auto"/>
          <w:szCs w:val="21"/>
          <w:highlight w:val="none"/>
        </w:rPr>
        <w:t xml:space="preserve">最后报价是供应商响应文件的有效组成部分。 </w:t>
      </w:r>
      <w:r>
        <w:rPr>
          <w:rFonts w:hint="eastAsia" w:ascii="宋体" w:hAnsi="宋体" w:cs="宋体"/>
          <w:color w:val="auto"/>
          <w:szCs w:val="21"/>
          <w:highlight w:val="none"/>
        </w:rPr>
        <w:t>符合本办法(财库〔2014〕214号)第三条第四项情形的，提交最后报价的供应商可以为2家。</w:t>
      </w:r>
      <w:r>
        <w:rPr>
          <w:rFonts w:hint="eastAsia" w:ascii="宋体" w:hAnsi="宋体" w:cs="宋体"/>
          <w:b/>
          <w:bCs/>
          <w:color w:val="auto"/>
          <w:szCs w:val="21"/>
          <w:highlight w:val="none"/>
        </w:rPr>
        <w:t>（财库〔2014〕214号文第三条第四项：市场竞争不充分的科研项目，以及需要扶持的科技成果转化项目。）</w:t>
      </w:r>
    </w:p>
    <w:p w14:paraId="3AD14D5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21.12 已提交响应文件的供应商，在提交最后报价之前，可以根据磋商情况书面退出磋商。 </w:t>
      </w:r>
    </w:p>
    <w:p w14:paraId="0EFC8D2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未书面退出磋商的供应商在规定时间内线上提交最后报价，其最后报价超出采购预算导致已通过评审的响应文件无效的，按供应商在提交响应文件截止时间后撤回响应文件处理。 </w:t>
      </w:r>
    </w:p>
    <w:p w14:paraId="3442F81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21.13 评审报告 </w:t>
      </w:r>
    </w:p>
    <w:p w14:paraId="5AF5F58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磋商小组应当从质量和服务均能满足磋商文件全部实质性响应要求的供应商中，按照最后综合得分由高到低的顺序提出 3 名以上（含 3 名）成交候选人，并编写评审报告。</w:t>
      </w:r>
    </w:p>
    <w:p w14:paraId="3523D7E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21.14 在评审过程中出现法律法规和磋商文件均没有明确规定的情形时，由磋商小组现场协商解决，协商不一致的，由全体磋商小组投票表决，以得票率二分之一以上磋商小组成员的意见为准。 </w:t>
      </w:r>
    </w:p>
    <w:p w14:paraId="34CE124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21.15 采购代理机构发现磋商小组有明显的违规倾向或歧视现象，或不按评审办法进行，或其他不正常行为的，应当及时制止。如制止无效，应及时向桂林市财政局报告。</w:t>
      </w:r>
    </w:p>
    <w:p w14:paraId="19BF5626">
      <w:pPr>
        <w:pageBreakBefore w:val="0"/>
        <w:widowControl w:val="0"/>
        <w:kinsoku/>
        <w:wordWrap/>
        <w:overflowPunct/>
        <w:topLinePunct w:val="0"/>
        <w:bidi w:val="0"/>
        <w:spacing w:line="360" w:lineRule="auto"/>
        <w:ind w:left="0" w:leftChars="0" w:firstLine="420" w:firstLineChars="200"/>
        <w:rPr>
          <w:rFonts w:ascii="宋体" w:hAnsi="宋体" w:cs="宋体"/>
          <w:b/>
          <w:bCs/>
          <w:color w:val="auto"/>
          <w:highlight w:val="none"/>
        </w:rPr>
      </w:pPr>
      <w:r>
        <w:rPr>
          <w:rFonts w:hint="eastAsia" w:ascii="宋体" w:hAnsi="宋体" w:cs="宋体"/>
          <w:color w:val="auto"/>
          <w:szCs w:val="21"/>
          <w:highlight w:val="none"/>
        </w:rPr>
        <w:t>21.16 本采购项目的评审依据为竞争性磋商文件和竞争性磋商响应文件，采用的评审方法为</w:t>
      </w:r>
      <w:r>
        <w:rPr>
          <w:rFonts w:hint="eastAsia" w:ascii="宋体" w:hAnsi="宋体" w:cs="宋体"/>
          <w:b/>
          <w:bCs/>
          <w:color w:val="auto"/>
          <w:szCs w:val="21"/>
          <w:highlight w:val="none"/>
        </w:rPr>
        <w:t>综合评分法。</w:t>
      </w:r>
    </w:p>
    <w:p w14:paraId="315C0B1C">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bookmarkStart w:id="113" w:name="_Toc2766"/>
      <w:bookmarkStart w:id="114" w:name="_Toc21715"/>
      <w:r>
        <w:rPr>
          <w:rFonts w:hint="eastAsia" w:ascii="宋体" w:hAnsi="宋体" w:cs="宋体"/>
          <w:b/>
          <w:bCs/>
          <w:color w:val="auto"/>
          <w:szCs w:val="21"/>
          <w:highlight w:val="none"/>
        </w:rPr>
        <w:t>22.推荐成交候选供应商原则</w:t>
      </w:r>
    </w:p>
    <w:p w14:paraId="436E801B">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22.1磋商小组应当根据综合评分情况，按照综合得分由高到低顺序推荐成交候选供应商，并编写评审报告。磋商小组根据综合得分由高到低排列次序，若得分相同时，依次按照</w:t>
      </w:r>
      <w:r>
        <w:rPr>
          <w:rFonts w:hint="eastAsia" w:ascii="宋体" w:hAnsi="宋体" w:cs="宋体"/>
          <w:b w:val="0"/>
          <w:bCs w:val="0"/>
          <w:color w:val="auto"/>
          <w:szCs w:val="21"/>
          <w:highlight w:val="none"/>
        </w:rPr>
        <w:t>磋商报价、</w:t>
      </w:r>
      <w:r>
        <w:rPr>
          <w:rFonts w:hint="eastAsia" w:hAnsi="宋体" w:cs="宋体"/>
          <w:b w:val="0"/>
          <w:bCs w:val="0"/>
          <w:color w:val="auto"/>
          <w:szCs w:val="21"/>
          <w:highlight w:val="none"/>
          <w:lang w:val="en-US" w:eastAsia="zh-CN"/>
        </w:rPr>
        <w:t>技术</w:t>
      </w:r>
      <w:r>
        <w:rPr>
          <w:rFonts w:hint="eastAsia" w:hAnsi="宋体" w:cs="宋体"/>
          <w:b w:val="0"/>
          <w:bCs w:val="0"/>
          <w:color w:val="auto"/>
          <w:szCs w:val="21"/>
          <w:highlight w:val="none"/>
          <w:lang w:eastAsia="zh-CN"/>
        </w:rPr>
        <w:t>、商务（</w:t>
      </w:r>
      <w:r>
        <w:rPr>
          <w:rFonts w:hint="eastAsia" w:hAnsi="宋体" w:cs="宋体"/>
          <w:b w:val="0"/>
          <w:bCs w:val="0"/>
          <w:color w:val="auto"/>
          <w:szCs w:val="21"/>
          <w:highlight w:val="none"/>
          <w:lang w:val="en-US" w:eastAsia="zh-CN"/>
        </w:rPr>
        <w:t>B分标</w:t>
      </w:r>
      <w:r>
        <w:rPr>
          <w:rFonts w:hint="eastAsia" w:hAnsi="宋体" w:cs="宋体"/>
          <w:b w:val="0"/>
          <w:bCs w:val="0"/>
          <w:color w:val="auto"/>
          <w:szCs w:val="21"/>
          <w:highlight w:val="none"/>
          <w:lang w:eastAsia="zh-CN"/>
        </w:rPr>
        <w:t>）</w:t>
      </w:r>
      <w:r>
        <w:rPr>
          <w:rFonts w:hint="eastAsia" w:ascii="宋体" w:hAnsi="宋体" w:cs="宋体"/>
          <w:color w:val="auto"/>
          <w:szCs w:val="21"/>
          <w:highlight w:val="none"/>
        </w:rPr>
        <w:t>得分由高到低顺序排列。</w:t>
      </w:r>
    </w:p>
    <w:p w14:paraId="3DCC0E9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22.2采购单位应当确定磋商小组推荐排名第一的成交候选人为成交供应商。</w:t>
      </w:r>
    </w:p>
    <w:p w14:paraId="61C77DF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22.3排名第一的成交候选人放弃成交、因不可抗力提出不能履行合同，或者磋商文件规定应当提交履约保证金而在规定的期限内未能提交的，采购单位可以确定排名第二的成交候选人为成交供应商。</w:t>
      </w:r>
    </w:p>
    <w:p w14:paraId="4624A7B7">
      <w:pPr>
        <w:pStyle w:val="10"/>
        <w:pageBreakBefore w:val="0"/>
        <w:widowControl w:val="0"/>
        <w:kinsoku/>
        <w:wordWrap/>
        <w:overflowPunct/>
        <w:topLinePunct w:val="0"/>
        <w:bidi w:val="0"/>
        <w:spacing w:line="360" w:lineRule="auto"/>
        <w:ind w:left="0" w:leftChars="0" w:firstLine="420"/>
        <w:rPr>
          <w:rFonts w:ascii="宋体" w:hAnsi="宋体" w:cs="宋体"/>
          <w:color w:val="auto"/>
          <w:szCs w:val="21"/>
          <w:highlight w:val="none"/>
        </w:rPr>
      </w:pPr>
      <w:r>
        <w:rPr>
          <w:rFonts w:hint="eastAsia" w:ascii="宋体" w:hAnsi="宋体" w:cs="宋体"/>
          <w:color w:val="auto"/>
          <w:szCs w:val="21"/>
          <w:highlight w:val="none"/>
        </w:rPr>
        <w:t>22.4排名第二的成交候选人因前款规定的同样原因不能签订合同的，采购单位可以确定排名第三的成交候选人为成交供应商。</w:t>
      </w:r>
    </w:p>
    <w:p w14:paraId="58F92DB4">
      <w:pPr>
        <w:pStyle w:val="10"/>
        <w:pageBreakBefore w:val="0"/>
        <w:widowControl w:val="0"/>
        <w:kinsoku/>
        <w:wordWrap/>
        <w:overflowPunct/>
        <w:topLinePunct w:val="0"/>
        <w:bidi w:val="0"/>
        <w:spacing w:line="360" w:lineRule="auto"/>
        <w:ind w:left="0" w:leftChars="0" w:firstLine="420"/>
        <w:rPr>
          <w:rFonts w:ascii="宋体" w:hAnsi="宋体" w:cs="宋体"/>
          <w:b/>
          <w:bCs/>
          <w:color w:val="auto"/>
          <w:szCs w:val="21"/>
          <w:highlight w:val="none"/>
        </w:rPr>
      </w:pPr>
      <w:r>
        <w:rPr>
          <w:rFonts w:hint="eastAsia" w:ascii="宋体" w:hAnsi="宋体" w:cs="宋体"/>
          <w:b/>
          <w:bCs/>
          <w:color w:val="auto"/>
          <w:szCs w:val="21"/>
          <w:highlight w:val="none"/>
        </w:rPr>
        <w:t>23. 属于下列情况之一者，响应文件无效</w:t>
      </w:r>
      <w:bookmarkEnd w:id="113"/>
      <w:bookmarkEnd w:id="114"/>
    </w:p>
    <w:p w14:paraId="1C579CB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（1）未按磋商文件规定完整线上提交响应文件或未按规定要求线上签字、签章的；</w:t>
      </w:r>
    </w:p>
    <w:p w14:paraId="361A05F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（2）不具备磋商文件规定的资格要求的；</w:t>
      </w:r>
    </w:p>
    <w:p w14:paraId="65B30FC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（3）响应文件未按磋商文件的内容和要求编制，或提供虚假材料的；</w:t>
      </w:r>
    </w:p>
    <w:p w14:paraId="514418D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（4）响应文件有效期、售后服务承诺不能满足磋商文件要求的；</w:t>
      </w:r>
    </w:p>
    <w:p w14:paraId="29A92DB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（5）供应商未就“采购需求”中的所有内容作完整唯一报价的，或报价超出采购预算总金额的；</w:t>
      </w:r>
    </w:p>
    <w:p w14:paraId="2CEED11F">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（6）未在磋商小组规定的时间内提交响应文件(包括最后报价)的；</w:t>
      </w:r>
    </w:p>
    <w:p w14:paraId="48262C95">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（7）超越了按照法律法规规定必须获得行政许可或者行政审批的经营范围的；</w:t>
      </w:r>
    </w:p>
    <w:p w14:paraId="2B66AA5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（8）未满足磋商文件实质性要求的或者响应文件有采购人不能接受的附加条件的；</w:t>
      </w:r>
    </w:p>
    <w:p w14:paraId="01936C2C">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（9）响应文件实质性要求未做变动，供应商最后报价高于第一次报价的；</w:t>
      </w:r>
    </w:p>
    <w:p w14:paraId="398FFB3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（10）不符合法律、法规和磋商文件规定的其他实质性要求和条件的。</w:t>
      </w:r>
    </w:p>
    <w:p w14:paraId="79DA9190">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供应商有下列情形之一的视为供应商相互串通磋商，响应文件将被视为无效</w:t>
      </w:r>
    </w:p>
    <w:p w14:paraId="47F37CC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（1）不同供应商的响应文件由同一单位或者个人编制；或不同供应商报名的IP地址一致的；</w:t>
      </w:r>
    </w:p>
    <w:p w14:paraId="4456F3CD">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（2）不同供应商委托同一单位或者个人办理磋商事宜；</w:t>
      </w:r>
    </w:p>
    <w:p w14:paraId="5E40F1A0">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0C046EC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（4）不同供应商的响应文件异常一致或竞标报价呈规律性差异；</w:t>
      </w:r>
    </w:p>
    <w:p w14:paraId="1BA0A4AC">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（5）不同供应商的响应文件相互混编；</w:t>
      </w:r>
    </w:p>
    <w:p w14:paraId="3275AE5A">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699E991F">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15" w:name="_Toc5714"/>
      <w:bookmarkStart w:id="116" w:name="_Toc20770"/>
      <w:r>
        <w:rPr>
          <w:rFonts w:hint="eastAsia" w:ascii="宋体" w:hAnsi="宋体" w:cs="宋体"/>
          <w:color w:val="auto"/>
          <w:sz w:val="21"/>
          <w:szCs w:val="21"/>
          <w:highlight w:val="none"/>
        </w:rPr>
        <w:t>24. 出现下列情形之一的，采购人或者采购代理机构应当终止竞争性磋商采购活动，发布项目终止公告并说明原因，重新开展采购活动</w:t>
      </w:r>
      <w:bookmarkEnd w:id="115"/>
      <w:bookmarkEnd w:id="116"/>
    </w:p>
    <w:p w14:paraId="25BF042B">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（1）因情况变化，不再符合规定的竞争性磋商采购方式适用情形的；</w:t>
      </w:r>
    </w:p>
    <w:p w14:paraId="60F6FAB2">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（2）出现影响采购公正的违法、违规行为的； </w:t>
      </w:r>
    </w:p>
    <w:p w14:paraId="20A2E060">
      <w:pPr>
        <w:pageBreakBefore w:val="0"/>
        <w:widowControl w:val="0"/>
        <w:kinsoku/>
        <w:wordWrap/>
        <w:overflowPunct/>
        <w:topLinePunct w:val="0"/>
        <w:bidi w:val="0"/>
        <w:spacing w:line="360" w:lineRule="auto"/>
        <w:ind w:left="0" w:leftChars="0" w:firstLine="420" w:firstLineChars="200"/>
        <w:rPr>
          <w:rFonts w:ascii="宋体" w:hAnsi="宋体" w:cs="宋体"/>
          <w:b/>
          <w:bCs/>
          <w:color w:val="auto"/>
          <w:szCs w:val="21"/>
          <w:highlight w:val="none"/>
        </w:rPr>
      </w:pPr>
      <w:r>
        <w:rPr>
          <w:rFonts w:hint="eastAsia" w:ascii="宋体" w:hAnsi="宋体" w:cs="宋体"/>
          <w:color w:val="auto"/>
          <w:szCs w:val="21"/>
          <w:highlight w:val="none"/>
        </w:rPr>
        <w:t>（3）在采购过程中符合竞争要求的供应商或者报价未超过采购预算的供应商不足3家的。</w:t>
      </w:r>
      <w:r>
        <w:rPr>
          <w:rFonts w:hint="eastAsia" w:ascii="宋体" w:hAnsi="宋体" w:cs="宋体"/>
          <w:b/>
          <w:bCs/>
          <w:color w:val="auto"/>
          <w:szCs w:val="21"/>
          <w:highlight w:val="none"/>
        </w:rPr>
        <w:t xml:space="preserve">（除财库〔2014〕214 号《政府采购竞争性磋商采购方式管理暂行办法》第二十一条第三款规定的情形外） </w:t>
      </w:r>
    </w:p>
    <w:p w14:paraId="525750F9">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17" w:name="_Toc32461"/>
      <w:bookmarkStart w:id="118" w:name="_Toc19105"/>
      <w:r>
        <w:rPr>
          <w:rFonts w:hint="eastAsia" w:ascii="宋体" w:hAnsi="宋体" w:cs="宋体"/>
          <w:color w:val="auto"/>
          <w:sz w:val="21"/>
          <w:szCs w:val="21"/>
          <w:highlight w:val="none"/>
        </w:rPr>
        <w:t>25. 磋商过程的监控</w:t>
      </w:r>
      <w:bookmarkEnd w:id="117"/>
      <w:bookmarkEnd w:id="118"/>
    </w:p>
    <w:p w14:paraId="423C552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本项目磋商过程实行全程录音、录像监控，供应商在磋商过程中所进行的试图影响磋商结果的不公正活动，可能导致其磋商被拒绝。</w:t>
      </w:r>
    </w:p>
    <w:p w14:paraId="5DBDC2AD">
      <w:pPr>
        <w:pStyle w:val="5"/>
        <w:pageBreakBefore w:val="0"/>
        <w:widowControl w:val="0"/>
        <w:numPr>
          <w:ilvl w:val="0"/>
          <w:numId w:val="5"/>
        </w:numPr>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19" w:name="_Toc32457"/>
      <w:bookmarkStart w:id="120" w:name="_Toc14787"/>
      <w:r>
        <w:rPr>
          <w:rFonts w:hint="eastAsia" w:ascii="宋体" w:hAnsi="宋体" w:cs="宋体"/>
          <w:color w:val="auto"/>
          <w:sz w:val="21"/>
          <w:szCs w:val="21"/>
          <w:highlight w:val="none"/>
        </w:rPr>
        <w:t>信用查询</w:t>
      </w:r>
      <w:bookmarkEnd w:id="119"/>
      <w:bookmarkEnd w:id="120"/>
    </w:p>
    <w:p w14:paraId="253C44F9">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根据《关于做好政府采购有关信用主体标识码登记及在政府采购活动中查询使用信用记录有关问题的通知》（桂财采〔2016〕37号</w:t>
      </w:r>
      <w:r>
        <w:rPr>
          <w:rFonts w:hint="eastAsia"/>
          <w:color w:val="auto"/>
          <w:highlight w:val="none"/>
        </w:rPr>
        <w:t>）</w:t>
      </w:r>
      <w:r>
        <w:rPr>
          <w:rFonts w:hint="eastAsia" w:ascii="宋体" w:hAnsi="宋体" w:cs="宋体"/>
          <w:color w:val="auto"/>
          <w:szCs w:val="21"/>
          <w:highlight w:val="none"/>
        </w:rPr>
        <w:t>，采购代理机构对成交人的成交资格进行信用查询：</w:t>
      </w:r>
    </w:p>
    <w:p w14:paraId="26CC4373">
      <w:pPr>
        <w:pageBreakBefore w:val="0"/>
        <w:widowControl w:val="0"/>
        <w:kinsoku/>
        <w:wordWrap/>
        <w:overflowPunct/>
        <w:topLinePunct w:val="0"/>
        <w:bidi w:val="0"/>
        <w:spacing w:line="360" w:lineRule="auto"/>
        <w:ind w:left="0" w:leftChars="0" w:firstLine="210" w:firstLineChars="100"/>
        <w:rPr>
          <w:rFonts w:ascii="宋体" w:hAnsi="宋体" w:cs="宋体"/>
          <w:color w:val="auto"/>
          <w:szCs w:val="21"/>
          <w:highlight w:val="none"/>
        </w:rPr>
      </w:pPr>
      <w:r>
        <w:rPr>
          <w:rFonts w:hint="eastAsia" w:ascii="宋体" w:hAnsi="宋体" w:cs="宋体"/>
          <w:color w:val="auto"/>
          <w:szCs w:val="21"/>
          <w:highlight w:val="none"/>
        </w:rPr>
        <w:t>（1）查询渠道：“信用中国”网站(www.creditchina.gov.cn)、中国政府采购网(www.ccgp.gov.cn)等；</w:t>
      </w:r>
    </w:p>
    <w:p w14:paraId="38C03714">
      <w:pPr>
        <w:pageBreakBefore w:val="0"/>
        <w:widowControl w:val="0"/>
        <w:kinsoku/>
        <w:wordWrap/>
        <w:overflowPunct/>
        <w:topLinePunct w:val="0"/>
        <w:bidi w:val="0"/>
        <w:spacing w:line="360" w:lineRule="auto"/>
        <w:ind w:left="0" w:leftChars="0" w:firstLine="210" w:firstLineChars="100"/>
        <w:rPr>
          <w:rFonts w:ascii="宋体" w:hAnsi="宋体" w:cs="宋体"/>
          <w:color w:val="auto"/>
          <w:szCs w:val="21"/>
          <w:highlight w:val="none"/>
        </w:rPr>
      </w:pPr>
      <w:r>
        <w:rPr>
          <w:rFonts w:hint="eastAsia" w:ascii="宋体" w:hAnsi="宋体" w:cs="宋体"/>
          <w:color w:val="auto"/>
          <w:szCs w:val="21"/>
          <w:highlight w:val="none"/>
        </w:rPr>
        <w:t>（2）查询时间：成交通知书发出前；</w:t>
      </w:r>
    </w:p>
    <w:p w14:paraId="13EE4F96">
      <w:pPr>
        <w:pageBreakBefore w:val="0"/>
        <w:widowControl w:val="0"/>
        <w:kinsoku/>
        <w:wordWrap/>
        <w:overflowPunct/>
        <w:topLinePunct w:val="0"/>
        <w:bidi w:val="0"/>
        <w:spacing w:line="360" w:lineRule="auto"/>
        <w:ind w:left="0" w:leftChars="0" w:firstLine="210" w:firstLineChars="100"/>
        <w:rPr>
          <w:rFonts w:ascii="宋体" w:hAnsi="宋体" w:cs="宋体"/>
          <w:color w:val="auto"/>
          <w:szCs w:val="21"/>
          <w:highlight w:val="none"/>
        </w:rPr>
      </w:pPr>
      <w:r>
        <w:rPr>
          <w:rFonts w:hint="eastAsia" w:ascii="宋体" w:hAnsi="宋体" w:cs="宋体"/>
          <w:color w:val="auto"/>
          <w:szCs w:val="21"/>
          <w:highlight w:val="none"/>
        </w:rPr>
        <w:t>（3）信用信息查询记录和证据留存方式：在查询网站中直接打印查询记录，打印材料作为采购活动资料保存。</w:t>
      </w:r>
    </w:p>
    <w:p w14:paraId="189B0E5B">
      <w:pPr>
        <w:pageBreakBefore w:val="0"/>
        <w:widowControl w:val="0"/>
        <w:kinsoku/>
        <w:wordWrap/>
        <w:overflowPunct/>
        <w:topLinePunct w:val="0"/>
        <w:bidi w:val="0"/>
        <w:spacing w:line="360" w:lineRule="auto"/>
        <w:ind w:left="0" w:leftChars="0" w:firstLine="210" w:firstLineChars="100"/>
        <w:rPr>
          <w:rFonts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确定排名第二的成交候选人为成交供应商或者重新组织采购。</w:t>
      </w:r>
    </w:p>
    <w:p w14:paraId="0818E0B9">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9AA6673">
      <w:pPr>
        <w:pStyle w:val="5"/>
        <w:pageBreakBefore w:val="0"/>
        <w:widowControl w:val="0"/>
        <w:kinsoku/>
        <w:wordWrap/>
        <w:overflowPunct/>
        <w:topLinePunct w:val="0"/>
        <w:bidi w:val="0"/>
        <w:spacing w:line="360" w:lineRule="auto"/>
        <w:ind w:left="0" w:leftChars="0" w:firstLine="422" w:firstLineChars="200"/>
        <w:rPr>
          <w:rFonts w:ascii="宋体" w:hAnsi="宋体" w:cs="宋体"/>
          <w:color w:val="auto"/>
          <w:sz w:val="21"/>
          <w:szCs w:val="21"/>
          <w:highlight w:val="none"/>
        </w:rPr>
      </w:pPr>
      <w:bookmarkStart w:id="121" w:name="_Toc9438"/>
      <w:bookmarkStart w:id="122" w:name="_Toc778"/>
      <w:r>
        <w:rPr>
          <w:rFonts w:hint="eastAsia" w:ascii="宋体" w:hAnsi="宋体" w:cs="宋体"/>
          <w:color w:val="auto"/>
          <w:sz w:val="21"/>
          <w:szCs w:val="21"/>
          <w:highlight w:val="none"/>
        </w:rPr>
        <w:t>27. 成交结果公告及成交通知书</w:t>
      </w:r>
      <w:bookmarkEnd w:id="121"/>
      <w:bookmarkEnd w:id="122"/>
    </w:p>
    <w:p w14:paraId="3285DF4E">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059700E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27.2 在发布成交公告的同时，采购代理机构向成交供应商发出成交通知书。成交供应商自接到通知之日起七个工作日内，办理成交通知书领取手续。</w:t>
      </w:r>
    </w:p>
    <w:p w14:paraId="6354B466">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27.3 采购代理机构无义务向未成交的供应商解释未成交原因和退还响应文件。</w:t>
      </w:r>
    </w:p>
    <w:p w14:paraId="34C8D98A">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123" w:name="_Toc19479"/>
      <w:bookmarkStart w:id="124" w:name="_Toc25593"/>
      <w:r>
        <w:rPr>
          <w:rFonts w:hint="eastAsia" w:ascii="宋体" w:hAnsi="宋体" w:cs="宋体"/>
          <w:b/>
          <w:bCs w:val="0"/>
          <w:color w:val="auto"/>
          <w:szCs w:val="28"/>
          <w:highlight w:val="none"/>
        </w:rPr>
        <w:t>五、签订合同</w:t>
      </w:r>
      <w:bookmarkEnd w:id="123"/>
      <w:bookmarkEnd w:id="124"/>
    </w:p>
    <w:p w14:paraId="6707D7DA">
      <w:pPr>
        <w:pageBreakBefore w:val="0"/>
        <w:widowControl w:val="0"/>
        <w:kinsoku/>
        <w:wordWrap/>
        <w:overflowPunct/>
        <w:topLinePunct w:val="0"/>
        <w:bidi w:val="0"/>
        <w:spacing w:line="360" w:lineRule="auto"/>
        <w:ind w:left="0" w:leftChars="0" w:firstLine="422" w:firstLineChars="200"/>
        <w:rPr>
          <w:b/>
          <w:bCs/>
          <w:color w:val="auto"/>
          <w:highlight w:val="none"/>
        </w:rPr>
      </w:pPr>
      <w:bookmarkStart w:id="125" w:name="_Toc26520"/>
      <w:bookmarkStart w:id="126" w:name="_Toc2100"/>
      <w:r>
        <w:rPr>
          <w:rFonts w:hint="eastAsia"/>
          <w:b/>
          <w:bCs/>
          <w:color w:val="auto"/>
          <w:highlight w:val="none"/>
        </w:rPr>
        <w:t>28. 履约保证金</w:t>
      </w:r>
      <w:bookmarkEnd w:id="125"/>
      <w:bookmarkEnd w:id="126"/>
      <w:r>
        <w:rPr>
          <w:rFonts w:hint="eastAsia"/>
          <w:b/>
          <w:bCs/>
          <w:color w:val="auto"/>
          <w:highlight w:val="none"/>
        </w:rPr>
        <w:t>：</w:t>
      </w:r>
    </w:p>
    <w:p w14:paraId="14AB3686">
      <w:pPr>
        <w:pStyle w:val="16"/>
        <w:pageBreakBefore w:val="0"/>
        <w:widowControl w:val="0"/>
        <w:kinsoku/>
        <w:wordWrap/>
        <w:overflowPunct/>
        <w:topLinePunct w:val="0"/>
        <w:bidi w:val="0"/>
        <w:spacing w:line="360" w:lineRule="auto"/>
        <w:ind w:left="0" w:leftChars="0"/>
        <w:rPr>
          <w:rFonts w:hint="eastAsia" w:eastAsia="宋体"/>
          <w:color w:val="auto"/>
          <w:highlight w:val="none"/>
          <w:lang w:eastAsia="zh-CN"/>
        </w:rPr>
      </w:pPr>
      <w:r>
        <w:rPr>
          <w:rFonts w:hint="eastAsia"/>
          <w:color w:val="auto"/>
          <w:highlight w:val="none"/>
          <w:lang w:val="en-US" w:eastAsia="zh-CN"/>
        </w:rPr>
        <w:t xml:space="preserve">        </w:t>
      </w:r>
      <w:r>
        <w:rPr>
          <w:rFonts w:hint="eastAsia"/>
          <w:color w:val="auto"/>
          <w:sz w:val="21"/>
          <w:szCs w:val="21"/>
          <w:highlight w:val="none"/>
          <w:lang w:eastAsia="zh-CN"/>
        </w:rPr>
        <w:t>无。</w:t>
      </w:r>
    </w:p>
    <w:p w14:paraId="481196B5">
      <w:pPr>
        <w:pageBreakBefore w:val="0"/>
        <w:widowControl w:val="0"/>
        <w:kinsoku/>
        <w:wordWrap/>
        <w:overflowPunct/>
        <w:topLinePunct w:val="0"/>
        <w:bidi w:val="0"/>
        <w:spacing w:line="360" w:lineRule="auto"/>
        <w:ind w:left="0" w:leftChars="0" w:firstLine="422" w:firstLineChars="200"/>
        <w:jc w:val="left"/>
        <w:rPr>
          <w:b/>
          <w:bCs/>
          <w:color w:val="auto"/>
          <w:highlight w:val="none"/>
        </w:rPr>
      </w:pPr>
      <w:bookmarkStart w:id="127" w:name="_Toc1023"/>
      <w:bookmarkStart w:id="128" w:name="_Toc4956"/>
      <w:r>
        <w:rPr>
          <w:rFonts w:hint="eastAsia"/>
          <w:b/>
          <w:bCs/>
          <w:color w:val="auto"/>
          <w:highlight w:val="none"/>
        </w:rPr>
        <w:t>29. 签订合同</w:t>
      </w:r>
      <w:bookmarkEnd w:id="127"/>
      <w:bookmarkEnd w:id="128"/>
    </w:p>
    <w:p w14:paraId="0FA9EBB4">
      <w:pPr>
        <w:pageBreakBefore w:val="0"/>
        <w:widowControl w:val="0"/>
        <w:kinsoku/>
        <w:wordWrap/>
        <w:overflowPunct/>
        <w:topLinePunct w:val="0"/>
        <w:bidi w:val="0"/>
        <w:spacing w:line="360" w:lineRule="auto"/>
        <w:ind w:left="0" w:leftChars="0"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29.1 签订合同时间：成交通知书发出之日起八个工作日内签订合同。成交供应商领取成交通知书后，应按规定与采购人签订合同。</w:t>
      </w:r>
    </w:p>
    <w:p w14:paraId="5EC9BCA4">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132AA277">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（1）成交后不与采购人签订合同的（不可抗力除外）；</w:t>
      </w:r>
    </w:p>
    <w:p w14:paraId="16F10418">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（2）将成交项目转让给他人，或者在响应文件中未说明，且未经采购人同意，将成交项目分包给他人的；</w:t>
      </w:r>
    </w:p>
    <w:p w14:paraId="42D66483">
      <w:pPr>
        <w:pageBreakBefore w:val="0"/>
        <w:widowControl w:val="0"/>
        <w:kinsoku/>
        <w:wordWrap/>
        <w:overflowPunct/>
        <w:topLinePunct w:val="0"/>
        <w:bidi w:val="0"/>
        <w:spacing w:line="360" w:lineRule="auto"/>
        <w:ind w:left="0" w:leftChars="0" w:firstLine="420" w:firstLineChars="200"/>
        <w:rPr>
          <w:rFonts w:ascii="宋体" w:hAnsi="宋体" w:cs="宋体"/>
          <w:color w:val="auto"/>
          <w:szCs w:val="21"/>
          <w:highlight w:val="none"/>
        </w:rPr>
      </w:pPr>
      <w:r>
        <w:rPr>
          <w:rFonts w:hint="eastAsia" w:ascii="宋体" w:hAnsi="宋体" w:cs="宋体"/>
          <w:color w:val="auto"/>
          <w:szCs w:val="21"/>
          <w:highlight w:val="none"/>
        </w:rPr>
        <w:t>（3）拒绝履行合同义务的。</w:t>
      </w:r>
    </w:p>
    <w:p w14:paraId="6F43DE65">
      <w:pPr>
        <w:pageBreakBefore w:val="0"/>
        <w:widowControl w:val="0"/>
        <w:kinsoku/>
        <w:wordWrap/>
        <w:overflowPunct/>
        <w:topLinePunct w:val="0"/>
        <w:bidi w:val="0"/>
        <w:spacing w:line="360" w:lineRule="auto"/>
        <w:ind w:left="0" w:leftChars="0" w:firstLine="420" w:firstLineChars="200"/>
        <w:rPr>
          <w:rFonts w:ascii="宋体" w:hAnsi="宋体" w:cs="宋体"/>
          <w:color w:val="auto"/>
          <w:highlight w:val="none"/>
        </w:rPr>
      </w:pPr>
      <w:r>
        <w:rPr>
          <w:rFonts w:hint="eastAsia" w:ascii="宋体" w:hAnsi="宋体" w:cs="宋体"/>
          <w:color w:val="auto"/>
          <w:szCs w:val="21"/>
          <w:highlight w:val="none"/>
        </w:rPr>
        <w:t>29.3 合同备案存档：</w:t>
      </w:r>
      <w:r>
        <w:rPr>
          <w:rFonts w:hint="eastAsia" w:ascii="宋体" w:hAnsi="宋体" w:cs="宋体"/>
          <w:color w:val="auto"/>
          <w:highlight w:val="none"/>
        </w:rPr>
        <w:t>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广西天罡工程项目管理有限公司存档。</w:t>
      </w:r>
    </w:p>
    <w:p w14:paraId="38FBDA85">
      <w:pPr>
        <w:pStyle w:val="3"/>
        <w:pageBreakBefore w:val="0"/>
        <w:widowControl w:val="0"/>
        <w:kinsoku/>
        <w:wordWrap/>
        <w:overflowPunct/>
        <w:topLinePunct w:val="0"/>
        <w:bidi w:val="0"/>
        <w:spacing w:line="360" w:lineRule="auto"/>
        <w:ind w:left="0" w:leftChars="0"/>
        <w:jc w:val="center"/>
        <w:rPr>
          <w:rFonts w:ascii="宋体" w:hAnsi="宋体" w:cs="宋体"/>
          <w:b/>
          <w:bCs w:val="0"/>
          <w:color w:val="auto"/>
          <w:szCs w:val="28"/>
          <w:highlight w:val="none"/>
        </w:rPr>
      </w:pPr>
      <w:bookmarkStart w:id="129" w:name="_Toc24170"/>
      <w:bookmarkStart w:id="130" w:name="_Toc16348"/>
      <w:r>
        <w:rPr>
          <w:rFonts w:hint="eastAsia" w:ascii="宋体" w:hAnsi="宋体" w:cs="宋体"/>
          <w:b/>
          <w:bCs w:val="0"/>
          <w:color w:val="auto"/>
          <w:szCs w:val="28"/>
          <w:highlight w:val="none"/>
        </w:rPr>
        <w:t>六、其他事项</w:t>
      </w:r>
      <w:bookmarkEnd w:id="129"/>
      <w:bookmarkEnd w:id="130"/>
    </w:p>
    <w:p w14:paraId="245F2A6A">
      <w:pPr>
        <w:pageBreakBefore w:val="0"/>
        <w:widowControl w:val="0"/>
        <w:kinsoku/>
        <w:wordWrap/>
        <w:overflowPunct/>
        <w:topLinePunct w:val="0"/>
        <w:bidi w:val="0"/>
        <w:spacing w:line="360" w:lineRule="auto"/>
        <w:ind w:left="0" w:leftChars="0" w:firstLine="422" w:firstLineChars="200"/>
        <w:rPr>
          <w:b/>
          <w:bCs/>
          <w:color w:val="auto"/>
          <w:highlight w:val="none"/>
        </w:rPr>
      </w:pPr>
      <w:bookmarkStart w:id="131" w:name="_Toc28647"/>
      <w:bookmarkStart w:id="132" w:name="_Toc2872"/>
      <w:r>
        <w:rPr>
          <w:rFonts w:hint="eastAsia"/>
          <w:b/>
          <w:bCs/>
          <w:color w:val="auto"/>
          <w:highlight w:val="none"/>
        </w:rPr>
        <w:t>30. 采购代理服务费</w:t>
      </w:r>
      <w:bookmarkEnd w:id="131"/>
      <w:bookmarkEnd w:id="132"/>
    </w:p>
    <w:p w14:paraId="0D1D0AE6">
      <w:pPr>
        <w:pageBreakBefore w:val="0"/>
        <w:widowControl w:val="0"/>
        <w:kinsoku/>
        <w:wordWrap/>
        <w:overflowPunct/>
        <w:topLinePunct w:val="0"/>
        <w:bidi w:val="0"/>
        <w:spacing w:line="360" w:lineRule="auto"/>
        <w:ind w:left="0" w:leftChars="0" w:firstLine="420" w:firstLineChars="200"/>
        <w:rPr>
          <w:color w:val="auto"/>
          <w:szCs w:val="21"/>
          <w:highlight w:val="none"/>
        </w:rPr>
      </w:pPr>
      <w:bookmarkStart w:id="133" w:name="_Toc8271"/>
      <w:bookmarkStart w:id="134" w:name="_Toc12374"/>
      <w:r>
        <w:rPr>
          <w:rFonts w:hint="eastAsia" w:ascii="宋体" w:hAnsi="宋体"/>
          <w:color w:val="auto"/>
          <w:szCs w:val="21"/>
          <w:highlight w:val="none"/>
        </w:rPr>
        <w:t>30.1代理服务费：本项目代理服务费按本须知第30.2条“代理服务收费标准”中服务类收费标准</w:t>
      </w:r>
      <w:r>
        <w:rPr>
          <w:rFonts w:hint="eastAsia" w:ascii="宋体" w:hAnsi="宋体"/>
          <w:color w:val="auto"/>
          <w:szCs w:val="21"/>
          <w:highlight w:val="none"/>
          <w:lang w:eastAsia="zh-CN"/>
        </w:rPr>
        <w:t>的</w:t>
      </w:r>
      <w:r>
        <w:rPr>
          <w:rFonts w:hint="eastAsia" w:ascii="宋体" w:hAnsi="宋体"/>
          <w:color w:val="auto"/>
          <w:szCs w:val="21"/>
          <w:highlight w:val="none"/>
          <w:lang w:val="en-US" w:eastAsia="zh-CN"/>
        </w:rPr>
        <w:t>60%</w:t>
      </w:r>
      <w:r>
        <w:rPr>
          <w:rFonts w:hint="eastAsia" w:ascii="宋体" w:hAnsi="宋体"/>
          <w:color w:val="auto"/>
          <w:szCs w:val="21"/>
          <w:highlight w:val="none"/>
        </w:rPr>
        <w:t>计算，</w:t>
      </w:r>
      <w:r>
        <w:rPr>
          <w:rFonts w:hint="eastAsia" w:ascii="宋体" w:hAnsi="宋体"/>
          <w:color w:val="auto"/>
          <w:szCs w:val="21"/>
          <w:highlight w:val="none"/>
          <w:lang w:val="en-US" w:eastAsia="zh-CN"/>
        </w:rPr>
        <w:t>各分标</w:t>
      </w:r>
      <w:r>
        <w:rPr>
          <w:rFonts w:hint="eastAsia" w:ascii="宋体" w:hAnsi="宋体"/>
          <w:color w:val="auto"/>
          <w:szCs w:val="21"/>
          <w:highlight w:val="none"/>
        </w:rPr>
        <w:t>成交供应商在领取成交通知书前，向采购代理机构一次性支付（</w:t>
      </w:r>
      <w:r>
        <w:rPr>
          <w:rFonts w:hint="eastAsia" w:ascii="宋体" w:hAnsi="宋体"/>
          <w:color w:val="auto"/>
          <w:szCs w:val="21"/>
          <w:highlight w:val="none"/>
          <w:lang w:eastAsia="zh-CN"/>
        </w:rPr>
        <w:t>各分标服务费</w:t>
      </w:r>
      <w:r>
        <w:rPr>
          <w:rFonts w:hint="eastAsia" w:ascii="宋体" w:hAnsi="宋体"/>
          <w:color w:val="auto"/>
          <w:szCs w:val="21"/>
          <w:highlight w:val="none"/>
        </w:rPr>
        <w:t>不足人民币</w:t>
      </w:r>
      <w:r>
        <w:rPr>
          <w:rFonts w:hint="eastAsia" w:ascii="宋体" w:hAnsi="宋体"/>
          <w:color w:val="auto"/>
          <w:szCs w:val="21"/>
          <w:highlight w:val="none"/>
          <w:lang w:eastAsia="zh-CN"/>
        </w:rPr>
        <w:t>5000</w:t>
      </w:r>
      <w:r>
        <w:rPr>
          <w:rFonts w:hint="eastAsia" w:ascii="宋体" w:hAnsi="宋体"/>
          <w:color w:val="auto"/>
          <w:szCs w:val="21"/>
          <w:highlight w:val="none"/>
        </w:rPr>
        <w:t>元的，按</w:t>
      </w:r>
      <w:r>
        <w:rPr>
          <w:rFonts w:hint="eastAsia" w:ascii="宋体" w:hAnsi="宋体"/>
          <w:color w:val="auto"/>
          <w:szCs w:val="21"/>
          <w:highlight w:val="none"/>
          <w:lang w:eastAsia="zh-CN"/>
        </w:rPr>
        <w:t>5000</w:t>
      </w:r>
      <w:r>
        <w:rPr>
          <w:rFonts w:hint="eastAsia" w:ascii="宋体" w:hAnsi="宋体"/>
          <w:color w:val="auto"/>
          <w:szCs w:val="21"/>
          <w:highlight w:val="none"/>
        </w:rPr>
        <w:t>元支付）。</w:t>
      </w:r>
    </w:p>
    <w:p w14:paraId="302EEE3F">
      <w:pPr>
        <w:pageBreakBefore w:val="0"/>
        <w:widowControl w:val="0"/>
        <w:kinsoku/>
        <w:wordWrap/>
        <w:overflowPunct/>
        <w:topLinePunct w:val="0"/>
        <w:bidi w:val="0"/>
        <w:spacing w:line="360" w:lineRule="auto"/>
        <w:ind w:left="0" w:leftChars="0" w:firstLine="420" w:firstLineChars="200"/>
        <w:rPr>
          <w:rFonts w:ascii="宋体" w:hAnsi="宋体"/>
          <w:color w:val="auto"/>
          <w:szCs w:val="21"/>
          <w:highlight w:val="none"/>
        </w:rPr>
      </w:pPr>
      <w:r>
        <w:rPr>
          <w:rFonts w:hint="eastAsia" w:ascii="宋体" w:hAnsi="宋体"/>
          <w:color w:val="auto"/>
          <w:szCs w:val="21"/>
          <w:highlight w:val="none"/>
        </w:rPr>
        <w:t>30.2代理服务收费标准：</w:t>
      </w:r>
    </w:p>
    <w:tbl>
      <w:tblPr>
        <w:tblStyle w:val="24"/>
        <w:tblW w:w="9006"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1DD8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880" w:type="dxa"/>
          </w:tcPr>
          <w:p w14:paraId="6D80676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5" name="直线 2"/>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 o:spid="_x0000_s1026" o:spt="20" style="position:absolute;left:0pt;margin-left:23.35pt;margin-top:0.85pt;height:51.45pt;width:115.25pt;z-index:25165926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IBUzTWAAAACAEAAA8AAAAAAAAAAQAgAAAAIgAAAGRycy9kb3ducmV2LnhtbFBLAQIUABQAAAAI&#10;AIdO4kAvKvIl7wEAAO4DAAAOAAAAAAAAAAEAIAAAACUBAABkcnMvZTJvRG9jLnhtbFBLBQYAAAAA&#10;BgAGAFkBAACGBQAAAAA=&#10;">
                      <v:fill on="f" focussize="0,0"/>
                      <v:stroke color="#000000" joinstyle="round"/>
                      <v:imagedata o:title=""/>
                      <o:lock v:ext="edit" aspectratio="f"/>
                    </v:line>
                  </w:pict>
                </mc:Fallback>
              </mc:AlternateContent>
            </w:r>
            <w:r>
              <w:rPr>
                <w:rFonts w:hint="eastAsia" w:hAnsi="宋体"/>
                <w:color w:val="auto"/>
                <w:highlight w:val="none"/>
              </w:rPr>
              <w:t>费率           服务类型</w:t>
            </w:r>
          </w:p>
          <w:p w14:paraId="29C08F7B">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6" name="直线 3"/>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3" o:spid="_x0000_s1026" o:spt="20" style="position:absolute;left:0pt;margin-left:-5.4pt;margin-top:3.1pt;height:31.2pt;width:144pt;z-index:251660288;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ADq9E1gAAAAgBAAAPAAAAAAAAAAEAIAAAACIAAABkcnMvZG93bnJldi54bWxQSwECFAAU&#10;AAAACACHTuJApTIUgPMBAADuAwAADgAAAAAAAAABACAAAAAlAQAAZHJzL2Uyb0RvYy54bWxQSwUG&#10;AAAAAAYABgBZAQAAigUAAAAA&#10;">
                      <v:fill on="f" focussize="0,0"/>
                      <v:stroke color="#000000" joinstyle="round"/>
                      <v:imagedata o:title=""/>
                      <o:lock v:ext="edit" aspectratio="f"/>
                    </v:line>
                  </w:pict>
                </mc:Fallback>
              </mc:AlternateContent>
            </w:r>
          </w:p>
          <w:p w14:paraId="38E5B314">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成交金额</w:t>
            </w:r>
          </w:p>
        </w:tc>
        <w:tc>
          <w:tcPr>
            <w:tcW w:w="1841" w:type="dxa"/>
            <w:vAlign w:val="center"/>
          </w:tcPr>
          <w:p w14:paraId="447472B0">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货物采购</w:t>
            </w:r>
          </w:p>
        </w:tc>
        <w:tc>
          <w:tcPr>
            <w:tcW w:w="1992" w:type="dxa"/>
            <w:vAlign w:val="center"/>
          </w:tcPr>
          <w:p w14:paraId="7F1E8607">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服务采购</w:t>
            </w:r>
          </w:p>
        </w:tc>
        <w:tc>
          <w:tcPr>
            <w:tcW w:w="2293" w:type="dxa"/>
            <w:vAlign w:val="center"/>
          </w:tcPr>
          <w:p w14:paraId="1176C79B">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工程采购</w:t>
            </w:r>
          </w:p>
        </w:tc>
      </w:tr>
      <w:tr w14:paraId="27A0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880" w:type="dxa"/>
          </w:tcPr>
          <w:p w14:paraId="3DD2F53B">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100万元以下</w:t>
            </w:r>
          </w:p>
        </w:tc>
        <w:tc>
          <w:tcPr>
            <w:tcW w:w="1841" w:type="dxa"/>
          </w:tcPr>
          <w:p w14:paraId="03C8CFDA">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1.5%</w:t>
            </w:r>
          </w:p>
        </w:tc>
        <w:tc>
          <w:tcPr>
            <w:tcW w:w="1992" w:type="dxa"/>
          </w:tcPr>
          <w:p w14:paraId="57CBBE12">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1.5%</w:t>
            </w:r>
          </w:p>
        </w:tc>
        <w:tc>
          <w:tcPr>
            <w:tcW w:w="2293" w:type="dxa"/>
          </w:tcPr>
          <w:p w14:paraId="0BF4CACF">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1.0%</w:t>
            </w:r>
          </w:p>
        </w:tc>
      </w:tr>
      <w:tr w14:paraId="300F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2880" w:type="dxa"/>
          </w:tcPr>
          <w:p w14:paraId="1F43CDAC">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100～500万元</w:t>
            </w:r>
          </w:p>
        </w:tc>
        <w:tc>
          <w:tcPr>
            <w:tcW w:w="1841" w:type="dxa"/>
          </w:tcPr>
          <w:p w14:paraId="0CEF2DC4">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1.1%</w:t>
            </w:r>
          </w:p>
        </w:tc>
        <w:tc>
          <w:tcPr>
            <w:tcW w:w="1992" w:type="dxa"/>
          </w:tcPr>
          <w:p w14:paraId="6A041E90">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0.8%</w:t>
            </w:r>
          </w:p>
        </w:tc>
        <w:tc>
          <w:tcPr>
            <w:tcW w:w="2293" w:type="dxa"/>
          </w:tcPr>
          <w:p w14:paraId="6941A151">
            <w:pPr>
              <w:pStyle w:val="44"/>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ascii="宋体" w:hAnsi="宋体"/>
                <w:color w:val="auto"/>
                <w:highlight w:val="none"/>
              </w:rPr>
            </w:pPr>
            <w:r>
              <w:rPr>
                <w:rFonts w:hint="eastAsia" w:ascii="宋体" w:hAnsi="宋体"/>
                <w:color w:val="auto"/>
                <w:highlight w:val="none"/>
              </w:rPr>
              <w:t>0.7%</w:t>
            </w:r>
          </w:p>
        </w:tc>
      </w:tr>
      <w:tr w14:paraId="787B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341D28BB">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500～1000万元</w:t>
            </w:r>
          </w:p>
        </w:tc>
        <w:tc>
          <w:tcPr>
            <w:tcW w:w="1841" w:type="dxa"/>
          </w:tcPr>
          <w:p w14:paraId="3BAB66B3">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0.8%</w:t>
            </w:r>
          </w:p>
        </w:tc>
        <w:tc>
          <w:tcPr>
            <w:tcW w:w="1992" w:type="dxa"/>
          </w:tcPr>
          <w:p w14:paraId="178AD2B4">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0.45%</w:t>
            </w:r>
          </w:p>
        </w:tc>
        <w:tc>
          <w:tcPr>
            <w:tcW w:w="2293" w:type="dxa"/>
          </w:tcPr>
          <w:p w14:paraId="1CEFFB81">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0.55%</w:t>
            </w:r>
          </w:p>
        </w:tc>
      </w:tr>
      <w:tr w14:paraId="2DC5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68088075">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1000～5000万元</w:t>
            </w:r>
          </w:p>
        </w:tc>
        <w:tc>
          <w:tcPr>
            <w:tcW w:w="1841" w:type="dxa"/>
          </w:tcPr>
          <w:p w14:paraId="091D6C26">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0.5%</w:t>
            </w:r>
          </w:p>
        </w:tc>
        <w:tc>
          <w:tcPr>
            <w:tcW w:w="1992" w:type="dxa"/>
          </w:tcPr>
          <w:p w14:paraId="3B765608">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0.25%</w:t>
            </w:r>
          </w:p>
        </w:tc>
        <w:tc>
          <w:tcPr>
            <w:tcW w:w="2293" w:type="dxa"/>
          </w:tcPr>
          <w:p w14:paraId="14E22B1C">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0.35%</w:t>
            </w:r>
          </w:p>
        </w:tc>
      </w:tr>
      <w:tr w14:paraId="4DA2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4691C5F6">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5000万元～1亿元</w:t>
            </w:r>
          </w:p>
        </w:tc>
        <w:tc>
          <w:tcPr>
            <w:tcW w:w="1841" w:type="dxa"/>
          </w:tcPr>
          <w:p w14:paraId="334BAA8F">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0.25%</w:t>
            </w:r>
          </w:p>
        </w:tc>
        <w:tc>
          <w:tcPr>
            <w:tcW w:w="1992" w:type="dxa"/>
          </w:tcPr>
          <w:p w14:paraId="2A85DE4D">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0.1%</w:t>
            </w:r>
          </w:p>
        </w:tc>
        <w:tc>
          <w:tcPr>
            <w:tcW w:w="2293" w:type="dxa"/>
          </w:tcPr>
          <w:p w14:paraId="645161A0">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0.2%</w:t>
            </w:r>
          </w:p>
        </w:tc>
      </w:tr>
      <w:tr w14:paraId="767E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0AF57E11">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1～5亿元</w:t>
            </w:r>
          </w:p>
        </w:tc>
        <w:tc>
          <w:tcPr>
            <w:tcW w:w="1841" w:type="dxa"/>
          </w:tcPr>
          <w:p w14:paraId="0C1E7889">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0.05%</w:t>
            </w:r>
          </w:p>
        </w:tc>
        <w:tc>
          <w:tcPr>
            <w:tcW w:w="1992" w:type="dxa"/>
          </w:tcPr>
          <w:p w14:paraId="62D645F0">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0.05%</w:t>
            </w:r>
          </w:p>
        </w:tc>
        <w:tc>
          <w:tcPr>
            <w:tcW w:w="2293" w:type="dxa"/>
          </w:tcPr>
          <w:p w14:paraId="63ED32E2">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0.05%</w:t>
            </w:r>
          </w:p>
        </w:tc>
      </w:tr>
      <w:tr w14:paraId="15C7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327AC2C9">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5～10亿元</w:t>
            </w:r>
          </w:p>
        </w:tc>
        <w:tc>
          <w:tcPr>
            <w:tcW w:w="1841" w:type="dxa"/>
          </w:tcPr>
          <w:p w14:paraId="004A3E47">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0.035%</w:t>
            </w:r>
          </w:p>
        </w:tc>
        <w:tc>
          <w:tcPr>
            <w:tcW w:w="1992" w:type="dxa"/>
          </w:tcPr>
          <w:p w14:paraId="091E4D22">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0.035%</w:t>
            </w:r>
          </w:p>
        </w:tc>
        <w:tc>
          <w:tcPr>
            <w:tcW w:w="2293" w:type="dxa"/>
          </w:tcPr>
          <w:p w14:paraId="6589D2C6">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0.035%</w:t>
            </w:r>
          </w:p>
        </w:tc>
      </w:tr>
      <w:tr w14:paraId="6481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21F1EA21">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10～50亿元</w:t>
            </w:r>
          </w:p>
        </w:tc>
        <w:tc>
          <w:tcPr>
            <w:tcW w:w="1841" w:type="dxa"/>
          </w:tcPr>
          <w:p w14:paraId="7297C9B9">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0.008%</w:t>
            </w:r>
          </w:p>
        </w:tc>
        <w:tc>
          <w:tcPr>
            <w:tcW w:w="1992" w:type="dxa"/>
          </w:tcPr>
          <w:p w14:paraId="72C5E0F5">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0.008%</w:t>
            </w:r>
          </w:p>
        </w:tc>
        <w:tc>
          <w:tcPr>
            <w:tcW w:w="2293" w:type="dxa"/>
          </w:tcPr>
          <w:p w14:paraId="453B070D">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0.008%</w:t>
            </w:r>
          </w:p>
        </w:tc>
      </w:tr>
      <w:tr w14:paraId="7D1D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7945B2DB">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50～100亿元</w:t>
            </w:r>
          </w:p>
        </w:tc>
        <w:tc>
          <w:tcPr>
            <w:tcW w:w="1841" w:type="dxa"/>
          </w:tcPr>
          <w:p w14:paraId="35C26696">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0.006%</w:t>
            </w:r>
          </w:p>
        </w:tc>
        <w:tc>
          <w:tcPr>
            <w:tcW w:w="1992" w:type="dxa"/>
          </w:tcPr>
          <w:p w14:paraId="566E4129">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0.006%</w:t>
            </w:r>
          </w:p>
        </w:tc>
        <w:tc>
          <w:tcPr>
            <w:tcW w:w="2293" w:type="dxa"/>
          </w:tcPr>
          <w:p w14:paraId="072D5F28">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0.006%</w:t>
            </w:r>
          </w:p>
        </w:tc>
      </w:tr>
      <w:tr w14:paraId="5A1F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1379D4C6">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rPr>
                <w:rFonts w:hint="eastAsia" w:hAnsi="宋体"/>
                <w:color w:val="auto"/>
                <w:highlight w:val="none"/>
              </w:rPr>
            </w:pPr>
            <w:r>
              <w:rPr>
                <w:rFonts w:hint="eastAsia" w:hAnsi="宋体"/>
                <w:color w:val="auto"/>
                <w:highlight w:val="none"/>
              </w:rPr>
              <w:t>100亿以上</w:t>
            </w:r>
          </w:p>
        </w:tc>
        <w:tc>
          <w:tcPr>
            <w:tcW w:w="1841" w:type="dxa"/>
          </w:tcPr>
          <w:p w14:paraId="53BF0664">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0.004%</w:t>
            </w:r>
          </w:p>
        </w:tc>
        <w:tc>
          <w:tcPr>
            <w:tcW w:w="1992" w:type="dxa"/>
          </w:tcPr>
          <w:p w14:paraId="14AE94B4">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0.004%</w:t>
            </w:r>
          </w:p>
        </w:tc>
        <w:tc>
          <w:tcPr>
            <w:tcW w:w="2293" w:type="dxa"/>
          </w:tcPr>
          <w:p w14:paraId="429F7905">
            <w:pPr>
              <w:pStyle w:val="15"/>
              <w:keepNext w:val="0"/>
              <w:keepLines w:val="0"/>
              <w:pageBreakBefore w:val="0"/>
              <w:widowControl w:val="0"/>
              <w:suppressLineNumbers w:val="0"/>
              <w:kinsoku/>
              <w:wordWrap/>
              <w:overflowPunct/>
              <w:topLinePunct w:val="0"/>
              <w:bidi w:val="0"/>
              <w:spacing w:before="0" w:beforeAutospacing="0" w:after="0" w:afterAutospacing="0" w:line="360" w:lineRule="auto"/>
              <w:ind w:left="0" w:leftChars="0" w:right="0"/>
              <w:jc w:val="center"/>
              <w:rPr>
                <w:rFonts w:hint="eastAsia" w:hAnsi="宋体"/>
                <w:color w:val="auto"/>
                <w:highlight w:val="none"/>
              </w:rPr>
            </w:pPr>
            <w:r>
              <w:rPr>
                <w:rFonts w:hint="eastAsia" w:hAnsi="宋体"/>
                <w:color w:val="auto"/>
                <w:highlight w:val="none"/>
              </w:rPr>
              <w:t>0.004%</w:t>
            </w:r>
          </w:p>
        </w:tc>
      </w:tr>
    </w:tbl>
    <w:p w14:paraId="64143F99">
      <w:pPr>
        <w:pStyle w:val="15"/>
        <w:pageBreakBefore w:val="0"/>
        <w:widowControl w:val="0"/>
        <w:kinsoku/>
        <w:wordWrap/>
        <w:overflowPunct/>
        <w:topLinePunct w:val="0"/>
        <w:bidi w:val="0"/>
        <w:spacing w:line="360" w:lineRule="auto"/>
        <w:ind w:left="0" w:leftChars="0"/>
        <w:rPr>
          <w:rFonts w:hAnsi="宋体"/>
          <w:color w:val="auto"/>
          <w:highlight w:val="none"/>
        </w:rPr>
      </w:pPr>
      <w:r>
        <w:rPr>
          <w:rFonts w:hint="eastAsia" w:hAnsi="宋体"/>
          <w:color w:val="auto"/>
          <w:highlight w:val="none"/>
        </w:rPr>
        <w:t>注：代理服务收费按差额定率累进法计算。</w:t>
      </w:r>
    </w:p>
    <w:p w14:paraId="631CB68F">
      <w:pPr>
        <w:pageBreakBefore w:val="0"/>
        <w:widowControl w:val="0"/>
        <w:kinsoku/>
        <w:wordWrap/>
        <w:overflowPunct/>
        <w:topLinePunct w:val="0"/>
        <w:bidi w:val="0"/>
        <w:spacing w:line="360" w:lineRule="auto"/>
        <w:ind w:left="0" w:leftChars="0" w:firstLine="422" w:firstLineChars="200"/>
        <w:rPr>
          <w:rFonts w:ascii="宋体" w:hAnsi="宋体"/>
          <w:b/>
          <w:color w:val="auto"/>
          <w:highlight w:val="none"/>
        </w:rPr>
      </w:pPr>
      <w:r>
        <w:rPr>
          <w:rFonts w:hint="eastAsia" w:ascii="宋体" w:hAnsi="宋体"/>
          <w:b/>
          <w:color w:val="auto"/>
          <w:highlight w:val="none"/>
        </w:rPr>
        <w:t>采购代理机构银行账户：</w:t>
      </w:r>
    </w:p>
    <w:p w14:paraId="242F9845">
      <w:pPr>
        <w:pageBreakBefore w:val="0"/>
        <w:widowControl w:val="0"/>
        <w:kinsoku/>
        <w:wordWrap/>
        <w:overflowPunct/>
        <w:topLinePunct w:val="0"/>
        <w:bidi w:val="0"/>
        <w:spacing w:line="360" w:lineRule="auto"/>
        <w:ind w:left="0" w:leftChars="0" w:firstLine="420" w:firstLineChars="200"/>
        <w:rPr>
          <w:rFonts w:ascii="宋体" w:hAnsi="宋体" w:cs="宋体"/>
          <w:bCs/>
          <w:color w:val="auto"/>
          <w:highlight w:val="none"/>
        </w:rPr>
      </w:pPr>
      <w:r>
        <w:rPr>
          <w:rFonts w:hint="eastAsia" w:ascii="宋体" w:hAnsi="宋体" w:cs="宋体"/>
          <w:bCs/>
          <w:color w:val="auto"/>
          <w:highlight w:val="none"/>
        </w:rPr>
        <w:t>账户名称：广西天罡工程项目管理有限公司</w:t>
      </w:r>
    </w:p>
    <w:p w14:paraId="6B2E63C0">
      <w:pPr>
        <w:pageBreakBefore w:val="0"/>
        <w:widowControl w:val="0"/>
        <w:kinsoku/>
        <w:wordWrap/>
        <w:overflowPunct/>
        <w:topLinePunct w:val="0"/>
        <w:bidi w:val="0"/>
        <w:spacing w:line="360" w:lineRule="auto"/>
        <w:ind w:left="0" w:leftChars="0" w:firstLine="420" w:firstLineChars="200"/>
        <w:rPr>
          <w:rFonts w:ascii="宋体" w:hAnsi="宋体" w:cs="宋体"/>
          <w:bCs/>
          <w:color w:val="auto"/>
          <w:highlight w:val="none"/>
        </w:rPr>
      </w:pPr>
      <w:r>
        <w:rPr>
          <w:rFonts w:hint="eastAsia" w:ascii="宋体" w:hAnsi="宋体" w:cs="宋体"/>
          <w:bCs/>
          <w:color w:val="auto"/>
          <w:highlight w:val="none"/>
        </w:rPr>
        <w:t>开户银行：</w:t>
      </w:r>
      <w:r>
        <w:rPr>
          <w:rFonts w:ascii="宋体" w:hAnsi="宋体" w:cs="宋体"/>
          <w:bCs/>
          <w:color w:val="auto"/>
          <w:highlight w:val="none"/>
        </w:rPr>
        <w:t>中国建设银行股份有限公司南宁安吉路支行</w:t>
      </w:r>
    </w:p>
    <w:p w14:paraId="52FC4AD8">
      <w:pPr>
        <w:pageBreakBefore w:val="0"/>
        <w:widowControl w:val="0"/>
        <w:kinsoku/>
        <w:wordWrap/>
        <w:overflowPunct/>
        <w:topLinePunct w:val="0"/>
        <w:bidi w:val="0"/>
        <w:spacing w:line="360" w:lineRule="auto"/>
        <w:ind w:left="0" w:leftChars="0"/>
        <w:rPr>
          <w:color w:val="auto"/>
          <w:highlight w:val="none"/>
        </w:rPr>
      </w:pPr>
      <w:r>
        <w:rPr>
          <w:rFonts w:hint="eastAsia" w:ascii="宋体" w:hAnsi="宋体" w:cs="宋体"/>
          <w:bCs/>
          <w:color w:val="auto"/>
          <w:highlight w:val="none"/>
        </w:rPr>
        <w:t xml:space="preserve">    银行账号：</w:t>
      </w:r>
      <w:r>
        <w:rPr>
          <w:rFonts w:ascii="宋体" w:hAnsi="宋体" w:cs="宋体"/>
          <w:bCs/>
          <w:color w:val="auto"/>
          <w:highlight w:val="none"/>
        </w:rPr>
        <w:t>4505 0160 4771 0966 9988</w:t>
      </w:r>
      <w:r>
        <w:rPr>
          <w:rFonts w:hint="eastAsia" w:hAnsi="宋体"/>
          <w:color w:val="auto"/>
          <w:highlight w:val="none"/>
        </w:rPr>
        <w:t xml:space="preserve">           </w:t>
      </w:r>
    </w:p>
    <w:p w14:paraId="78CE20D9">
      <w:pPr>
        <w:pageBreakBefore w:val="0"/>
        <w:widowControl w:val="0"/>
        <w:numPr>
          <w:ilvl w:val="0"/>
          <w:numId w:val="6"/>
        </w:numPr>
        <w:kinsoku/>
        <w:wordWrap/>
        <w:overflowPunct/>
        <w:topLinePunct w:val="0"/>
        <w:bidi w:val="0"/>
        <w:spacing w:line="360" w:lineRule="auto"/>
        <w:ind w:left="0" w:leftChars="0" w:firstLine="422" w:firstLineChars="200"/>
        <w:rPr>
          <w:color w:val="auto"/>
          <w:highlight w:val="none"/>
        </w:rPr>
      </w:pPr>
      <w:r>
        <w:rPr>
          <w:rStyle w:val="42"/>
          <w:rFonts w:hint="eastAsia" w:ascii="宋体" w:hAnsi="宋体" w:cs="宋体"/>
          <w:color w:val="auto"/>
          <w:sz w:val="21"/>
          <w:szCs w:val="21"/>
          <w:highlight w:val="none"/>
        </w:rPr>
        <w:t>解释权</w:t>
      </w:r>
      <w:bookmarkEnd w:id="133"/>
      <w:bookmarkEnd w:id="134"/>
      <w:r>
        <w:rPr>
          <w:rFonts w:hint="eastAsia" w:ascii="宋体" w:hAnsi="宋体" w:cs="宋体"/>
          <w:color w:val="auto"/>
          <w:szCs w:val="21"/>
          <w:highlight w:val="none"/>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p w14:paraId="29E794E1">
      <w:pPr>
        <w:pageBreakBefore w:val="0"/>
        <w:widowControl w:val="0"/>
        <w:kinsoku/>
        <w:wordWrap/>
        <w:overflowPunct/>
        <w:topLinePunct w:val="0"/>
        <w:bidi w:val="0"/>
        <w:spacing w:line="360" w:lineRule="auto"/>
        <w:ind w:left="0" w:leftChars="0"/>
        <w:rPr>
          <w:rFonts w:ascii="宋体" w:hAnsi="宋体" w:cs="宋体"/>
          <w:color w:val="auto"/>
          <w:kern w:val="0"/>
          <w:szCs w:val="21"/>
          <w:highlight w:val="none"/>
        </w:rPr>
      </w:pPr>
      <w:bookmarkStart w:id="135" w:name="_Toc24443"/>
      <w:r>
        <w:rPr>
          <w:rStyle w:val="42"/>
          <w:rFonts w:hint="eastAsia" w:ascii="宋体" w:hAnsi="宋体" w:cs="宋体"/>
          <w:color w:val="auto"/>
          <w:sz w:val="21"/>
          <w:szCs w:val="21"/>
          <w:highlight w:val="none"/>
        </w:rPr>
        <w:t xml:space="preserve">    32. 监督管理机构</w:t>
      </w:r>
      <w:bookmarkEnd w:id="135"/>
      <w:r>
        <w:rPr>
          <w:rFonts w:hint="eastAsia" w:ascii="宋体" w:hAnsi="宋体" w:cs="宋体"/>
          <w:color w:val="auto"/>
          <w:szCs w:val="21"/>
          <w:highlight w:val="none"/>
        </w:rPr>
        <w:t>：</w:t>
      </w:r>
      <w:r>
        <w:rPr>
          <w:rFonts w:hint="eastAsia" w:ascii="宋体" w:hAnsi="宋体" w:cs="宋体"/>
          <w:color w:val="auto"/>
          <w:sz w:val="20"/>
          <w:szCs w:val="20"/>
          <w:highlight w:val="none"/>
        </w:rPr>
        <w:t>桂林市政府采购管理办公室</w:t>
      </w:r>
      <w:r>
        <w:rPr>
          <w:rFonts w:hint="eastAsia" w:ascii="宋体" w:hAnsi="宋体" w:cs="宋体"/>
          <w:color w:val="auto"/>
          <w:kern w:val="0"/>
          <w:szCs w:val="21"/>
          <w:highlight w:val="none"/>
        </w:rPr>
        <w:t xml:space="preserve">       联系电话：0773-2862142</w:t>
      </w:r>
    </w:p>
    <w:p w14:paraId="24A26CBD">
      <w:pPr>
        <w:pStyle w:val="10"/>
        <w:pageBreakBefore w:val="0"/>
        <w:widowControl w:val="0"/>
        <w:numPr>
          <w:ilvl w:val="0"/>
          <w:numId w:val="7"/>
        </w:numPr>
        <w:kinsoku/>
        <w:wordWrap/>
        <w:overflowPunct/>
        <w:topLinePunct w:val="0"/>
        <w:bidi w:val="0"/>
        <w:spacing w:line="360" w:lineRule="auto"/>
        <w:ind w:left="0" w:leftChars="0" w:firstLine="422" w:firstLineChars="200"/>
        <w:rPr>
          <w:rFonts w:ascii="宋体" w:hAnsi="宋体" w:cs="宋体"/>
          <w:color w:val="auto"/>
          <w:kern w:val="0"/>
          <w:szCs w:val="21"/>
          <w:highlight w:val="none"/>
        </w:rPr>
      </w:pPr>
      <w:bookmarkStart w:id="136" w:name="_Toc10892"/>
      <w:bookmarkStart w:id="137" w:name="_Toc29649"/>
      <w:r>
        <w:rPr>
          <w:rFonts w:hint="eastAsia" w:ascii="宋体" w:hAnsi="宋体" w:cs="宋体"/>
          <w:b/>
          <w:bCs/>
          <w:color w:val="auto"/>
          <w:kern w:val="0"/>
          <w:szCs w:val="21"/>
          <w:highlight w:val="none"/>
        </w:rPr>
        <w:t>其他：</w:t>
      </w:r>
      <w:r>
        <w:rPr>
          <w:rFonts w:hint="eastAsia" w:ascii="宋体" w:hAnsi="宋体" w:cs="宋体"/>
          <w:color w:val="auto"/>
          <w:kern w:val="0"/>
          <w:szCs w:val="21"/>
          <w:highlight w:val="none"/>
        </w:rPr>
        <w:t>为让政府采购供应商知晓运用政采贷政策，加强政采贷的推广力度，现将《中国人民银行桂林市中心支行桂林市财政局关于转发《中国人民银行南宁中心支行广西壮族自治区财政厅关于推广线上“政采贷”融资模式的通知》的通知》转发。具体内容详见附表。</w:t>
      </w:r>
    </w:p>
    <w:p w14:paraId="0DC65C42">
      <w:pPr>
        <w:pStyle w:val="23"/>
        <w:ind w:left="840" w:leftChars="400" w:firstLine="0" w:firstLineChars="0"/>
        <w:rPr>
          <w:color w:val="auto"/>
          <w:highlight w:val="none"/>
        </w:rPr>
      </w:pPr>
    </w:p>
    <w:p w14:paraId="1FC392D1">
      <w:pPr>
        <w:pStyle w:val="23"/>
        <w:ind w:left="840" w:leftChars="400" w:firstLine="0" w:firstLineChars="0"/>
        <w:rPr>
          <w:color w:val="auto"/>
          <w:highlight w:val="none"/>
        </w:rPr>
      </w:pPr>
    </w:p>
    <w:p w14:paraId="6D5DE247">
      <w:pPr>
        <w:pStyle w:val="23"/>
        <w:ind w:left="840" w:leftChars="400" w:firstLine="0" w:firstLineChars="0"/>
        <w:rPr>
          <w:color w:val="auto"/>
          <w:highlight w:val="none"/>
        </w:rPr>
      </w:pPr>
    </w:p>
    <w:p w14:paraId="745EEBF1">
      <w:pPr>
        <w:jc w:val="center"/>
        <w:outlineLvl w:val="9"/>
        <w:rPr>
          <w:color w:val="auto"/>
          <w:highlight w:val="none"/>
        </w:rPr>
      </w:pPr>
      <w:r>
        <w:rPr>
          <w:color w:val="auto"/>
          <w:highlight w:val="none"/>
        </w:rPr>
        <w:drawing>
          <wp:inline distT="0" distB="0" distL="114300" distR="114300">
            <wp:extent cx="6113780" cy="6652895"/>
            <wp:effectExtent l="0" t="0" r="1270" b="14605"/>
            <wp:docPr id="10"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29"/>
                    <pic:cNvPicPr>
                      <a:picLocks noChangeAspect="1"/>
                    </pic:cNvPicPr>
                  </pic:nvPicPr>
                  <pic:blipFill>
                    <a:blip r:embed="rId9" cstate="print"/>
                    <a:stretch>
                      <a:fillRect/>
                    </a:stretch>
                  </pic:blipFill>
                  <pic:spPr>
                    <a:xfrm>
                      <a:off x="0" y="0"/>
                      <a:ext cx="6113780" cy="6652895"/>
                    </a:xfrm>
                    <a:prstGeom prst="rect">
                      <a:avLst/>
                    </a:prstGeom>
                    <a:noFill/>
                    <a:ln w="9525">
                      <a:noFill/>
                      <a:miter/>
                    </a:ln>
                  </pic:spPr>
                </pic:pic>
              </a:graphicData>
            </a:graphic>
          </wp:inline>
        </w:drawing>
      </w:r>
    </w:p>
    <w:p w14:paraId="00340D22">
      <w:pPr>
        <w:rPr>
          <w:color w:val="auto"/>
          <w:highlight w:val="none"/>
        </w:rPr>
      </w:pPr>
    </w:p>
    <w:p w14:paraId="4531A9E1">
      <w:pPr>
        <w:rPr>
          <w:color w:val="auto"/>
          <w:highlight w:val="none"/>
        </w:rPr>
      </w:pPr>
      <w:bookmarkStart w:id="138" w:name="_Toc24601"/>
      <w:bookmarkStart w:id="139" w:name="_Toc22353"/>
      <w:r>
        <w:rPr>
          <w:rFonts w:hint="eastAsia"/>
          <w:color w:val="auto"/>
          <w:highlight w:val="none"/>
        </w:rPr>
        <w:br w:type="page"/>
      </w:r>
    </w:p>
    <w:p w14:paraId="257AF8D0">
      <w:pPr>
        <w:pStyle w:val="2"/>
        <w:numPr>
          <w:ilvl w:val="0"/>
          <w:numId w:val="0"/>
        </w:numPr>
        <w:rPr>
          <w:color w:val="auto"/>
          <w:highlight w:val="none"/>
        </w:rPr>
      </w:pPr>
      <w:r>
        <w:rPr>
          <w:rFonts w:ascii="Times New Roman" w:hAnsi="Times New Roman" w:eastAsia="宋体" w:cs="Times New Roman"/>
          <w:b/>
          <w:bCs/>
          <w:color w:val="auto"/>
          <w:kern w:val="44"/>
          <w:sz w:val="36"/>
          <w:szCs w:val="44"/>
          <w:highlight w:val="none"/>
          <w:lang w:val="en-US" w:eastAsia="zh-CN" w:bidi="ar-SA"/>
        </w:rPr>
        <w:t>第三章</w:t>
      </w:r>
      <w:r>
        <w:rPr>
          <w:rFonts w:hint="eastAsia" w:cs="Times New Roman"/>
          <w:b/>
          <w:bCs/>
          <w:color w:val="auto"/>
          <w:kern w:val="44"/>
          <w:sz w:val="36"/>
          <w:szCs w:val="44"/>
          <w:highlight w:val="none"/>
          <w:lang w:val="en-US" w:eastAsia="zh-CN" w:bidi="ar-SA"/>
        </w:rPr>
        <w:t xml:space="preserve"> </w:t>
      </w:r>
      <w:r>
        <w:rPr>
          <w:rFonts w:hint="eastAsia"/>
          <w:color w:val="auto"/>
          <w:highlight w:val="none"/>
        </w:rPr>
        <w:t>采购需求</w:t>
      </w:r>
      <w:bookmarkEnd w:id="136"/>
      <w:bookmarkEnd w:id="137"/>
      <w:bookmarkEnd w:id="138"/>
      <w:bookmarkEnd w:id="139"/>
    </w:p>
    <w:p w14:paraId="1F0FF846">
      <w:pPr>
        <w:wordWrap w:val="0"/>
        <w:adjustRightInd w:val="0"/>
        <w:spacing w:line="360" w:lineRule="exact"/>
        <w:jc w:val="left"/>
        <w:rPr>
          <w:rFonts w:hint="eastAsia" w:ascii="宋体" w:hAnsi="宋体" w:cs="宋体"/>
          <w:color w:val="auto"/>
          <w:szCs w:val="21"/>
          <w:highlight w:val="none"/>
        </w:rPr>
      </w:pPr>
      <w:bookmarkStart w:id="140" w:name="_Toc24716"/>
      <w:r>
        <w:rPr>
          <w:rFonts w:hint="eastAsia" w:ascii="宋体" w:hAnsi="宋体" w:cs="宋体"/>
          <w:b/>
          <w:color w:val="auto"/>
          <w:sz w:val="21"/>
          <w:szCs w:val="21"/>
          <w:highlight w:val="none"/>
          <w:lang w:val="en-US"/>
        </w:rPr>
        <w:t xml:space="preserve"> </w:t>
      </w:r>
      <w:r>
        <w:rPr>
          <w:rFonts w:hint="eastAsia" w:ascii="宋体" w:hAnsi="宋体" w:cs="宋体"/>
          <w:b/>
          <w:color w:val="auto"/>
          <w:sz w:val="21"/>
          <w:szCs w:val="21"/>
          <w:highlight w:val="none"/>
          <w:lang w:val="en-US" w:eastAsia="zh-CN"/>
        </w:rPr>
        <w:t xml:space="preserve">  </w:t>
      </w:r>
      <w:r>
        <w:rPr>
          <w:rFonts w:hint="eastAsia" w:ascii="宋体" w:hAnsi="宋体" w:cs="宋体"/>
          <w:color w:val="auto"/>
          <w:szCs w:val="21"/>
          <w:highlight w:val="none"/>
        </w:rPr>
        <w:t>说明：</w:t>
      </w:r>
    </w:p>
    <w:p w14:paraId="3AAA1FD9">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olor w:val="auto"/>
          <w:highlight w:val="none"/>
        </w:rPr>
        <w:t>1</w:t>
      </w:r>
      <w:r>
        <w:rPr>
          <w:rFonts w:hint="eastAsia"/>
          <w:color w:val="auto"/>
          <w:highlight w:val="none"/>
        </w:rPr>
        <w:t>.为落实政府采购政策需满足的</w:t>
      </w:r>
      <w:r>
        <w:rPr>
          <w:rFonts w:hint="eastAsia"/>
          <w:color w:val="auto"/>
          <w:highlight w:val="none"/>
          <w:lang w:eastAsia="zh-CN"/>
        </w:rPr>
        <w:t>要求：</w:t>
      </w:r>
    </w:p>
    <w:p w14:paraId="41E81459">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31E44417">
      <w:pPr>
        <w:tabs>
          <w:tab w:val="left" w:pos="180"/>
          <w:tab w:val="left" w:pos="1620"/>
        </w:tabs>
        <w:wordWrap w:val="0"/>
        <w:adjustRightInd w:val="0"/>
        <w:spacing w:line="36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w:t>
      </w:r>
      <w:r>
        <w:rPr>
          <w:rFonts w:hint="eastAsia" w:ascii="宋体" w:hAnsi="宋体" w:cs="宋体"/>
          <w:b/>
          <w:bCs/>
          <w:color w:val="auto"/>
          <w:szCs w:val="21"/>
          <w:highlight w:val="none"/>
        </w:rPr>
        <w:t>否则响应文件作无效处理</w:t>
      </w:r>
      <w:r>
        <w:rPr>
          <w:rFonts w:hint="eastAsia" w:ascii="宋体" w:hAnsi="宋体" w:cs="宋体"/>
          <w:color w:val="auto"/>
          <w:szCs w:val="21"/>
          <w:highlight w:val="none"/>
        </w:rPr>
        <w:t>。如本项目包含的配套货物属于品目清单内非标注“★”的产品时，应优先采购，具体详见“第四章 评审程序和评定成交的标准”。</w:t>
      </w:r>
    </w:p>
    <w:p w14:paraId="513C1A36">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服务项目中包含货物的，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竞标产品，并在响应文件（商务及技术文件）中提供由中国网信网（http://www.cac.gov.cn/index.htm）最新发布的《网络关键设备和网络安全专用产品安全认证和安全检测结果》截图证明材料，不在《网络关键设备和网络安全专用产品安全认证和安全检测结果》中</w:t>
      </w:r>
      <w:r>
        <w:rPr>
          <w:rFonts w:hint="eastAsia" w:ascii="宋体" w:hAnsi="宋体" w:cs="宋体"/>
          <w:color w:val="auto"/>
          <w:szCs w:val="21"/>
          <w:highlight w:val="none"/>
          <w:lang w:eastAsia="zh-CN"/>
        </w:rPr>
        <w:t>、</w:t>
      </w:r>
      <w:r>
        <w:rPr>
          <w:rFonts w:hint="eastAsia" w:ascii="宋体" w:hAnsi="宋体" w:cs="宋体"/>
          <w:color w:val="auto"/>
          <w:szCs w:val="21"/>
          <w:highlight w:val="none"/>
        </w:rPr>
        <w:t>不在有效期内或未提供有效的《计算机信息系统安全专用产品销售许可证》的，响应无效。如属于《网络关键设备和网络安全专用产品目录》中“二、网络安全专用产品”内“产品类别”</w:t>
      </w:r>
      <w:r>
        <w:rPr>
          <w:rFonts w:hint="eastAsia" w:ascii="宋体" w:hAnsi="宋体" w:cs="宋体"/>
          <w:color w:val="auto"/>
          <w:szCs w:val="21"/>
          <w:highlight w:val="none"/>
          <w:lang w:eastAsia="zh-CN"/>
        </w:rPr>
        <w:t>中</w:t>
      </w:r>
      <w:r>
        <w:rPr>
          <w:rFonts w:hint="eastAsia" w:ascii="宋体" w:hAnsi="宋体" w:cs="宋体"/>
          <w:color w:val="auto"/>
          <w:szCs w:val="21"/>
          <w:highlight w:val="none"/>
        </w:rPr>
        <w:t>所描述的产品，但不属于所列“产品描述”情形的，应提供相应的说明及证明材料。</w:t>
      </w:r>
    </w:p>
    <w:p w14:paraId="1214DF2D">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“实质性要求”是指采购需求中带“▲”的条款</w:t>
      </w:r>
      <w:r>
        <w:rPr>
          <w:rFonts w:hint="eastAsia" w:ascii="宋体" w:hAnsi="宋体" w:cs="宋体"/>
          <w:color w:val="auto"/>
          <w:szCs w:val="21"/>
          <w:highlight w:val="none"/>
          <w:lang w:eastAsia="zh-CN"/>
        </w:rPr>
        <w:t>、</w:t>
      </w:r>
      <w:r>
        <w:rPr>
          <w:rFonts w:hint="eastAsia" w:ascii="宋体" w:hAnsi="宋体" w:cs="宋体"/>
          <w:color w:val="auto"/>
          <w:szCs w:val="21"/>
          <w:highlight w:val="none"/>
        </w:rPr>
        <w:t>不能负偏离的条款</w:t>
      </w:r>
      <w:r>
        <w:rPr>
          <w:rFonts w:hint="eastAsia" w:ascii="宋体" w:hAnsi="宋体" w:cs="宋体"/>
          <w:color w:val="auto"/>
          <w:szCs w:val="21"/>
          <w:highlight w:val="none"/>
          <w:lang w:eastAsia="zh-CN"/>
        </w:rPr>
        <w:t>或</w:t>
      </w:r>
      <w:r>
        <w:rPr>
          <w:rFonts w:hint="eastAsia" w:ascii="宋体" w:hAnsi="宋体" w:cs="宋体"/>
          <w:color w:val="auto"/>
          <w:szCs w:val="21"/>
          <w:highlight w:val="none"/>
        </w:rPr>
        <w:t>已经指明不满足按响应文件作无</w:t>
      </w:r>
      <w:r>
        <w:rPr>
          <w:rFonts w:hint="eastAsia" w:ascii="宋体" w:hAnsi="宋体" w:cs="宋体"/>
          <w:color w:val="auto"/>
          <w:szCs w:val="21"/>
          <w:highlight w:val="none"/>
        </w:rPr>
        <w:t>效处理的条款。</w:t>
      </w:r>
    </w:p>
    <w:p w14:paraId="4F040EE1">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.如供应商竞标产品（或服务）存在侵犯他人的知识产权或者专利成果行为的，应承担相应法律责任。</w:t>
      </w:r>
    </w:p>
    <w:p w14:paraId="7FBE1652">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不需要供应商对采购需求响应为具体数值的，此采购需求的数值后将以◆号标注。</w:t>
      </w:r>
    </w:p>
    <w:p w14:paraId="31B5BA23">
      <w:pPr>
        <w:wordWrap w:val="0"/>
        <w:adjustRightInd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采购标的对应的中小企业划分标准所属行业：根据《关于印发中小企业划型标准规定的通知》（工信部联企业〔2011〕300号），本次采购标的属于</w:t>
      </w:r>
      <w:r>
        <w:rPr>
          <w:rFonts w:hint="eastAsia" w:ascii="宋体" w:hAnsi="宋体" w:cs="宋体"/>
          <w:b/>
          <w:color w:val="auto"/>
          <w:szCs w:val="21"/>
          <w:highlight w:val="none"/>
        </w:rPr>
        <w:t>其他未列明行业</w:t>
      </w:r>
      <w:r>
        <w:rPr>
          <w:rFonts w:hint="eastAsia" w:ascii="宋体" w:hAnsi="宋体" w:cs="宋体"/>
          <w:color w:val="auto"/>
          <w:szCs w:val="21"/>
          <w:highlight w:val="none"/>
        </w:rPr>
        <w:t>。</w:t>
      </w:r>
    </w:p>
    <w:p w14:paraId="525104B7">
      <w:pPr>
        <w:wordWrap w:val="0"/>
        <w:adjustRightInd w:val="0"/>
        <w:spacing w:line="360" w:lineRule="exact"/>
        <w:ind w:firstLine="422" w:firstLineChars="200"/>
        <w:jc w:val="left"/>
        <w:outlineLvl w:val="1"/>
        <w:rPr>
          <w:rFonts w:hint="eastAsia" w:ascii="宋体" w:hAnsi="宋体" w:cs="宋体"/>
          <w:color w:val="auto"/>
          <w:szCs w:val="21"/>
          <w:highlight w:val="none"/>
        </w:rPr>
      </w:pPr>
      <w:r>
        <w:rPr>
          <w:rFonts w:hint="eastAsia" w:ascii="宋体" w:hAnsi="宋体" w:cs="宋体"/>
          <w:b/>
          <w:bCs/>
          <w:color w:val="auto"/>
          <w:kern w:val="0"/>
          <w:szCs w:val="21"/>
          <w:highlight w:val="none"/>
          <w:lang w:val="en-US" w:eastAsia="zh-CN"/>
        </w:rPr>
        <w:t>A分标：</w:t>
      </w:r>
    </w:p>
    <w:tbl>
      <w:tblPr>
        <w:tblStyle w:val="24"/>
        <w:tblW w:w="93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5"/>
        <w:gridCol w:w="892"/>
        <w:gridCol w:w="861"/>
        <w:gridCol w:w="672"/>
        <w:gridCol w:w="6425"/>
      </w:tblGrid>
      <w:tr w14:paraId="39663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9345" w:type="dxa"/>
            <w:gridSpan w:val="5"/>
            <w:noWrap w:val="0"/>
            <w:vAlign w:val="center"/>
          </w:tcPr>
          <w:p w14:paraId="4FDC117C">
            <w:pPr>
              <w:keepNext w:val="0"/>
              <w:keepLines w:val="0"/>
              <w:suppressLineNumbers w:val="0"/>
              <w:tabs>
                <w:tab w:val="left" w:pos="180"/>
                <w:tab w:val="left" w:pos="1620"/>
              </w:tabs>
              <w:wordWrap w:val="0"/>
              <w:spacing w:before="0" w:beforeAutospacing="0" w:after="0" w:afterAutospacing="0" w:line="360" w:lineRule="auto"/>
              <w:ind w:left="0" w:right="0"/>
              <w:jc w:val="left"/>
              <w:rPr>
                <w:rFonts w:hint="eastAsia" w:ascii="宋体" w:hAnsi="宋体" w:eastAsia="宋体" w:cs="宋体"/>
                <w:b/>
                <w:bCs/>
                <w:color w:val="auto"/>
                <w:szCs w:val="21"/>
                <w:highlight w:val="none"/>
              </w:rPr>
            </w:pPr>
            <w:r>
              <w:rPr>
                <w:rFonts w:hint="eastAsia" w:ascii="宋体" w:hAnsi="宋体" w:eastAsia="宋体" w:cs="宋体"/>
                <w:b/>
                <w:color w:val="auto"/>
                <w:highlight w:val="none"/>
              </w:rPr>
              <w:t>▲</w:t>
            </w:r>
            <w:r>
              <w:rPr>
                <w:rFonts w:hint="eastAsia" w:ascii="宋体" w:hAnsi="宋体" w:eastAsia="宋体" w:cs="宋体"/>
                <w:b/>
                <w:bCs/>
                <w:color w:val="auto"/>
                <w:szCs w:val="21"/>
                <w:highlight w:val="none"/>
              </w:rPr>
              <w:t>一、采购内容及技术要求</w:t>
            </w:r>
          </w:p>
        </w:tc>
      </w:tr>
      <w:tr w14:paraId="74EA9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495" w:type="dxa"/>
            <w:noWrap w:val="0"/>
            <w:vAlign w:val="center"/>
          </w:tcPr>
          <w:p w14:paraId="74B3CF42">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892" w:type="dxa"/>
            <w:noWrap w:val="0"/>
            <w:vAlign w:val="center"/>
          </w:tcPr>
          <w:p w14:paraId="61358D8B">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标的的名称</w:t>
            </w:r>
          </w:p>
        </w:tc>
        <w:tc>
          <w:tcPr>
            <w:tcW w:w="861" w:type="dxa"/>
            <w:noWrap w:val="0"/>
            <w:vAlign w:val="center"/>
          </w:tcPr>
          <w:p w14:paraId="7B0B5E22">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数量及单位</w:t>
            </w:r>
          </w:p>
        </w:tc>
        <w:tc>
          <w:tcPr>
            <w:tcW w:w="672" w:type="dxa"/>
            <w:noWrap w:val="0"/>
            <w:vAlign w:val="center"/>
          </w:tcPr>
          <w:p w14:paraId="7A0ED32E">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所属</w:t>
            </w:r>
          </w:p>
          <w:p w14:paraId="707C56F4">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行业</w:t>
            </w:r>
          </w:p>
        </w:tc>
        <w:tc>
          <w:tcPr>
            <w:tcW w:w="6425" w:type="dxa"/>
            <w:noWrap w:val="0"/>
            <w:vAlign w:val="center"/>
          </w:tcPr>
          <w:p w14:paraId="407AA3B3">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技术或服务要求</w:t>
            </w:r>
          </w:p>
        </w:tc>
      </w:tr>
      <w:tr w14:paraId="42B2E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95" w:type="dxa"/>
            <w:noWrap w:val="0"/>
            <w:vAlign w:val="center"/>
          </w:tcPr>
          <w:p w14:paraId="3489D573">
            <w:pPr>
              <w:keepNext w:val="0"/>
              <w:keepLines w:val="0"/>
              <w:suppressLineNumbers w:val="0"/>
              <w:wordWrap w:val="0"/>
              <w:snapToGrid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92" w:type="dxa"/>
            <w:noWrap w:val="0"/>
            <w:vAlign w:val="center"/>
          </w:tcPr>
          <w:p w14:paraId="05586C57">
            <w:pPr>
              <w:keepNext w:val="0"/>
              <w:keepLines w:val="0"/>
              <w:suppressLineNumbers w:val="0"/>
              <w:wordWrap w:val="0"/>
              <w:spacing w:before="0" w:beforeAutospacing="0" w:after="0" w:afterAutospacing="0" w:line="360" w:lineRule="auto"/>
              <w:ind w:left="0" w:right="0"/>
              <w:jc w:val="center"/>
              <w:rPr>
                <w:rFonts w:hint="eastAsia" w:ascii="宋体" w:hAnsi="宋体" w:eastAsia="宋体" w:cs="宋体"/>
                <w:color w:val="auto"/>
                <w:kern w:val="20"/>
                <w:szCs w:val="21"/>
                <w:highlight w:val="none"/>
                <w:lang w:eastAsia="zh-CN"/>
              </w:rPr>
            </w:pPr>
            <w:r>
              <w:rPr>
                <w:rFonts w:hint="eastAsia" w:ascii="宋体" w:hAnsi="宋体" w:cs="宋体"/>
                <w:color w:val="auto"/>
                <w:szCs w:val="21"/>
                <w:highlight w:val="none"/>
                <w:lang w:eastAsia="zh-CN"/>
              </w:rPr>
              <w:t>特种救护、宣传（资料）视频制作、标本养护</w:t>
            </w:r>
          </w:p>
        </w:tc>
        <w:tc>
          <w:tcPr>
            <w:tcW w:w="861" w:type="dxa"/>
            <w:noWrap w:val="0"/>
            <w:vAlign w:val="center"/>
          </w:tcPr>
          <w:p w14:paraId="0BB439D5">
            <w:pPr>
              <w:keepNext/>
              <w:keepLines/>
              <w:pageBreakBefore/>
              <w:widowControl/>
              <w:suppressLineNumbers w:val="0"/>
              <w:wordWrap w:val="0"/>
              <w:spacing w:before="0" w:beforeAutospacing="0" w:after="0" w:afterAutospacing="0" w:line="360" w:lineRule="auto"/>
              <w:ind w:left="0" w:right="0"/>
              <w:jc w:val="center"/>
              <w:rPr>
                <w:rFonts w:hint="eastAsia" w:ascii="宋体" w:hAnsi="宋体" w:eastAsia="宋体" w:cs="宋体"/>
                <w:color w:val="auto"/>
                <w:kern w:val="20"/>
                <w:szCs w:val="21"/>
                <w:highlight w:val="none"/>
              </w:rPr>
            </w:pPr>
            <w:r>
              <w:rPr>
                <w:rFonts w:hint="eastAsia" w:ascii="宋体" w:hAnsi="宋体" w:eastAsia="宋体" w:cs="宋体"/>
                <w:color w:val="auto"/>
                <w:szCs w:val="21"/>
                <w:highlight w:val="none"/>
              </w:rPr>
              <w:t>1项</w:t>
            </w:r>
          </w:p>
        </w:tc>
        <w:tc>
          <w:tcPr>
            <w:tcW w:w="672" w:type="dxa"/>
            <w:noWrap w:val="0"/>
            <w:vAlign w:val="center"/>
          </w:tcPr>
          <w:p w14:paraId="580D50F3">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其他未列明行业</w:t>
            </w:r>
            <w:r>
              <w:rPr>
                <w:rFonts w:hint="eastAsia" w:ascii="宋体" w:hAnsi="宋体" w:eastAsia="宋体" w:cs="宋体"/>
                <w:color w:val="auto"/>
                <w:szCs w:val="21"/>
                <w:highlight w:val="none"/>
              </w:rPr>
              <w:t xml:space="preserve"> </w:t>
            </w:r>
          </w:p>
        </w:tc>
        <w:tc>
          <w:tcPr>
            <w:tcW w:w="6425" w:type="dxa"/>
            <w:noWrap w:val="0"/>
            <w:vAlign w:val="center"/>
          </w:tcPr>
          <w:p w14:paraId="53CE3F14">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bCs/>
                <w:color w:val="auto"/>
                <w:kern w:val="2"/>
                <w:sz w:val="21"/>
                <w:szCs w:val="21"/>
                <w:highlight w:val="none"/>
                <w:lang w:val="en-US" w:eastAsia="zh-CN"/>
              </w:rPr>
              <w:t>工作目标：</w:t>
            </w:r>
          </w:p>
          <w:p w14:paraId="0E5487F3">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（1）</w:t>
            </w:r>
            <w:r>
              <w:rPr>
                <w:rFonts w:hint="default" w:ascii="宋体" w:hAnsi="宋体" w:eastAsia="宋体" w:cs="宋体"/>
                <w:b w:val="0"/>
                <w:bCs w:val="0"/>
                <w:color w:val="auto"/>
                <w:kern w:val="2"/>
                <w:sz w:val="21"/>
                <w:szCs w:val="21"/>
                <w:highlight w:val="none"/>
                <w:lang w:val="en-US" w:eastAsia="zh-CN"/>
              </w:rPr>
              <w:t>特种救护，包括银杉种群救护、建设杜鹃种质园。</w:t>
            </w:r>
          </w:p>
          <w:p w14:paraId="324E2EA6">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（2）</w:t>
            </w:r>
            <w:r>
              <w:rPr>
                <w:rFonts w:hint="default" w:ascii="宋体" w:hAnsi="宋体" w:eastAsia="宋体" w:cs="宋体"/>
                <w:b w:val="0"/>
                <w:bCs w:val="0"/>
                <w:color w:val="auto"/>
                <w:kern w:val="2"/>
                <w:sz w:val="21"/>
                <w:szCs w:val="21"/>
                <w:highlight w:val="none"/>
                <w:lang w:val="en-US" w:eastAsia="zh-CN"/>
              </w:rPr>
              <w:t>宣传片（资料）与视频制作，包括银杉记录片和发现新物种记录片制作、二维码重点保护动植物小视频制作</w:t>
            </w:r>
            <w:r>
              <w:rPr>
                <w:rFonts w:hint="eastAsia" w:ascii="宋体" w:hAnsi="宋体" w:cs="宋体"/>
                <w:b w:val="0"/>
                <w:bCs w:val="0"/>
                <w:color w:val="auto"/>
                <w:kern w:val="2"/>
                <w:sz w:val="21"/>
                <w:szCs w:val="21"/>
                <w:highlight w:val="none"/>
                <w:lang w:val="en-US" w:eastAsia="zh-CN"/>
              </w:rPr>
              <w:t>，</w:t>
            </w:r>
            <w:r>
              <w:rPr>
                <w:rFonts w:hint="eastAsia" w:ascii="宋体" w:hAnsi="宋体" w:cs="宋体"/>
                <w:b w:val="0"/>
                <w:bCs w:val="0"/>
                <w:color w:val="auto"/>
                <w:kern w:val="2"/>
                <w:sz w:val="21"/>
                <w:szCs w:val="21"/>
                <w:highlight w:val="none"/>
                <w:lang w:val="en-US" w:eastAsia="zh-CN"/>
              </w:rPr>
              <w:t>以上视频素材生成出来的效果均为高清版，</w:t>
            </w:r>
            <w:r>
              <w:rPr>
                <w:rFonts w:hint="default" w:ascii="宋体" w:hAnsi="宋体" w:eastAsia="宋体" w:cs="宋体"/>
                <w:b w:val="0"/>
                <w:bCs w:val="0"/>
                <w:color w:val="auto"/>
                <w:kern w:val="2"/>
                <w:sz w:val="21"/>
                <w:szCs w:val="21"/>
                <w:highlight w:val="none"/>
                <w:lang w:val="en-US" w:eastAsia="zh-CN"/>
              </w:rPr>
              <w:t>《保护区国家重点保护野生动植物宣传》手册、保护区宣传折叠页；</w:t>
            </w:r>
          </w:p>
          <w:p w14:paraId="5C45525E">
            <w:pPr>
              <w:pStyle w:val="50"/>
              <w:keepNext w:val="0"/>
              <w:keepLines w:val="0"/>
              <w:widowControl/>
              <w:numPr>
                <w:ilvl w:val="0"/>
                <w:numId w:val="0"/>
              </w:numPr>
              <w:suppressLineNumbers w:val="0"/>
              <w:spacing w:before="0" w:beforeAutospacing="0" w:after="0" w:afterAutospacing="0" w:line="360" w:lineRule="auto"/>
              <w:ind w:left="0" w:leftChars="0" w:right="0" w:rightChars="0" w:firstLine="420" w:firstLineChars="200"/>
              <w:jc w:val="both"/>
              <w:rPr>
                <w:rFonts w:hint="eastAsia" w:ascii="宋体" w:hAnsi="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（3）</w:t>
            </w:r>
            <w:r>
              <w:rPr>
                <w:rFonts w:hint="default" w:ascii="宋体" w:hAnsi="宋体" w:eastAsia="宋体" w:cs="宋体"/>
                <w:b w:val="0"/>
                <w:bCs w:val="0"/>
                <w:color w:val="auto"/>
                <w:kern w:val="2"/>
                <w:sz w:val="21"/>
                <w:szCs w:val="21"/>
                <w:highlight w:val="none"/>
                <w:lang w:val="en-US" w:eastAsia="zh-CN"/>
              </w:rPr>
              <w:t>宣教展示标本养护，包括动植物浸制标本、蜡叶标本、剥皮类标本 、</w:t>
            </w:r>
            <w:r>
              <w:rPr>
                <w:rFonts w:hint="default" w:ascii="宋体" w:hAnsi="宋体" w:eastAsia="宋体" w:cs="宋体"/>
                <w:b w:val="0"/>
                <w:bCs w:val="0"/>
                <w:color w:val="auto"/>
                <w:kern w:val="2"/>
                <w:sz w:val="21"/>
                <w:szCs w:val="21"/>
                <w:highlight w:val="none"/>
                <w:lang w:val="en-US" w:eastAsia="zh-CN"/>
              </w:rPr>
              <w:t>玻璃瓶</w:t>
            </w:r>
            <w:r>
              <w:rPr>
                <w:rFonts w:hint="eastAsia" w:ascii="宋体" w:hAnsi="宋体" w:cs="宋体"/>
                <w:b w:val="0"/>
                <w:bCs w:val="0"/>
                <w:color w:val="auto"/>
                <w:kern w:val="2"/>
                <w:sz w:val="21"/>
                <w:szCs w:val="21"/>
                <w:highlight w:val="none"/>
                <w:lang w:val="en-US" w:eastAsia="zh-CN"/>
              </w:rPr>
              <w:t>浸制标本</w:t>
            </w:r>
            <w:r>
              <w:rPr>
                <w:rFonts w:hint="default" w:ascii="宋体" w:hAnsi="宋体" w:eastAsia="宋体" w:cs="宋体"/>
                <w:b w:val="0"/>
                <w:bCs w:val="0"/>
                <w:color w:val="auto"/>
                <w:kern w:val="2"/>
                <w:sz w:val="21"/>
                <w:szCs w:val="21"/>
                <w:highlight w:val="none"/>
                <w:lang w:val="en-US" w:eastAsia="zh-CN"/>
              </w:rPr>
              <w:t>维护</w:t>
            </w:r>
            <w:r>
              <w:rPr>
                <w:rFonts w:hint="eastAsia" w:ascii="宋体" w:hAnsi="宋体" w:cs="宋体"/>
                <w:b w:val="0"/>
                <w:bCs w:val="0"/>
                <w:color w:val="auto"/>
                <w:kern w:val="2"/>
                <w:sz w:val="21"/>
                <w:szCs w:val="21"/>
                <w:highlight w:val="none"/>
                <w:lang w:val="en-US" w:eastAsia="zh-CN"/>
              </w:rPr>
              <w:t>、</w:t>
            </w:r>
            <w:r>
              <w:rPr>
                <w:rFonts w:hint="default" w:ascii="宋体" w:hAnsi="宋体" w:eastAsia="宋体" w:cs="宋体"/>
                <w:b w:val="0"/>
                <w:bCs w:val="0"/>
                <w:color w:val="auto"/>
                <w:kern w:val="2"/>
                <w:sz w:val="21"/>
                <w:szCs w:val="21"/>
                <w:highlight w:val="none"/>
                <w:lang w:val="en-US" w:eastAsia="zh-CN"/>
              </w:rPr>
              <w:t>玻璃瓶购置</w:t>
            </w:r>
            <w:r>
              <w:rPr>
                <w:rFonts w:hint="eastAsia" w:ascii="宋体" w:hAnsi="宋体" w:cs="宋体"/>
                <w:b w:val="0"/>
                <w:bCs w:val="0"/>
                <w:color w:val="auto"/>
                <w:kern w:val="2"/>
                <w:sz w:val="21"/>
                <w:szCs w:val="21"/>
                <w:highlight w:val="none"/>
                <w:lang w:val="en-US" w:eastAsia="zh-CN"/>
              </w:rPr>
              <w:t>与</w:t>
            </w:r>
            <w:r>
              <w:rPr>
                <w:rFonts w:hint="default" w:ascii="宋体" w:hAnsi="宋体" w:eastAsia="宋体" w:cs="宋体"/>
                <w:b w:val="0"/>
                <w:bCs w:val="0"/>
                <w:color w:val="auto"/>
                <w:kern w:val="2"/>
                <w:sz w:val="21"/>
                <w:szCs w:val="21"/>
                <w:highlight w:val="none"/>
                <w:lang w:val="en-US" w:eastAsia="zh-CN"/>
              </w:rPr>
              <w:t>药品</w:t>
            </w:r>
            <w:r>
              <w:rPr>
                <w:rFonts w:hint="eastAsia" w:ascii="宋体" w:hAnsi="宋体" w:cs="宋体"/>
                <w:b w:val="0"/>
                <w:bCs w:val="0"/>
                <w:color w:val="auto"/>
                <w:kern w:val="2"/>
                <w:sz w:val="21"/>
                <w:szCs w:val="21"/>
                <w:highlight w:val="none"/>
                <w:lang w:val="en-US" w:eastAsia="zh-CN"/>
              </w:rPr>
              <w:t>采购</w:t>
            </w:r>
            <w:r>
              <w:rPr>
                <w:rFonts w:hint="eastAsia" w:ascii="宋体" w:hAnsi="宋体" w:cs="宋体"/>
                <w:b w:val="0"/>
                <w:bCs w:val="0"/>
                <w:color w:val="auto"/>
                <w:kern w:val="2"/>
                <w:sz w:val="21"/>
                <w:szCs w:val="21"/>
                <w:highlight w:val="none"/>
                <w:lang w:val="en-US" w:eastAsia="zh-CN"/>
              </w:rPr>
              <w:t>。</w:t>
            </w:r>
          </w:p>
          <w:p w14:paraId="35BA3845">
            <w:pPr>
              <w:pStyle w:val="50"/>
              <w:keepNext w:val="0"/>
              <w:keepLines w:val="0"/>
              <w:widowControl/>
              <w:numPr>
                <w:ilvl w:val="0"/>
                <w:numId w:val="0"/>
              </w:numPr>
              <w:suppressLineNumbers w:val="0"/>
              <w:spacing w:before="0" w:beforeAutospacing="0" w:after="0" w:afterAutospacing="0" w:line="360" w:lineRule="auto"/>
              <w:ind w:left="0" w:leftChars="0" w:right="0" w:rightChars="0" w:firstLine="422" w:firstLineChars="200"/>
              <w:jc w:val="both"/>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r>
              <w:rPr>
                <w:rFonts w:hint="default" w:ascii="宋体" w:hAnsi="宋体" w:eastAsia="宋体" w:cs="宋体"/>
                <w:b/>
                <w:bCs/>
                <w:color w:val="auto"/>
                <w:kern w:val="2"/>
                <w:sz w:val="21"/>
                <w:szCs w:val="21"/>
                <w:highlight w:val="none"/>
                <w:lang w:eastAsia="zh-CN"/>
              </w:rPr>
              <w:t>项目实施地点：</w:t>
            </w:r>
            <w:r>
              <w:rPr>
                <w:rFonts w:hint="default" w:ascii="宋体" w:hAnsi="宋体" w:eastAsia="宋体" w:cs="宋体"/>
                <w:b w:val="0"/>
                <w:bCs w:val="0"/>
                <w:color w:val="auto"/>
                <w:kern w:val="0"/>
                <w:sz w:val="21"/>
                <w:szCs w:val="21"/>
                <w:highlight w:val="none"/>
                <w:lang w:val="en-US" w:eastAsia="zh-CN"/>
              </w:rPr>
              <w:t>广西桂林花坪国家级自然保护区界</w:t>
            </w:r>
            <w:r>
              <w:rPr>
                <w:rFonts w:hint="eastAsia" w:ascii="宋体" w:hAnsi="宋体" w:eastAsia="宋体" w:cs="宋体"/>
                <w:b w:val="0"/>
                <w:bCs w:val="0"/>
                <w:color w:val="auto"/>
                <w:kern w:val="0"/>
                <w:sz w:val="21"/>
                <w:szCs w:val="21"/>
                <w:highlight w:val="none"/>
                <w:lang w:val="en-US" w:eastAsia="zh-CN"/>
              </w:rPr>
              <w:t>线范围内</w:t>
            </w:r>
            <w:r>
              <w:rPr>
                <w:rFonts w:hint="default" w:ascii="宋体" w:hAnsi="宋体" w:eastAsia="宋体" w:cs="宋体"/>
                <w:b w:val="0"/>
                <w:bCs w:val="0"/>
                <w:color w:val="auto"/>
                <w:kern w:val="0"/>
                <w:sz w:val="21"/>
                <w:szCs w:val="21"/>
                <w:highlight w:val="none"/>
                <w:lang w:val="en-US" w:eastAsia="zh-CN"/>
              </w:rPr>
              <w:t>。</w:t>
            </w:r>
          </w:p>
          <w:p w14:paraId="5AA04CBB">
            <w:pPr>
              <w:pStyle w:val="50"/>
              <w:keepNext w:val="0"/>
              <w:keepLines w:val="0"/>
              <w:widowControl/>
              <w:suppressLineNumbers w:val="0"/>
              <w:spacing w:before="0" w:beforeAutospacing="0" w:after="0" w:afterAutospacing="0" w:line="360" w:lineRule="auto"/>
              <w:ind w:left="0" w:right="0" w:firstLine="422" w:firstLineChars="200"/>
              <w:jc w:val="both"/>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3.项目主要实施内容：</w:t>
            </w:r>
          </w:p>
          <w:p w14:paraId="7A65B2E8">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val="en-US" w:eastAsia="zh-CN"/>
              </w:rPr>
              <w:t>（1）花坪自然保护区特种救护</w:t>
            </w:r>
            <w:r>
              <w:rPr>
                <w:rFonts w:hint="default" w:ascii="宋体" w:hAnsi="宋体" w:eastAsia="宋体" w:cs="宋体"/>
                <w:b w:val="0"/>
                <w:bCs w:val="0"/>
                <w:color w:val="auto"/>
                <w:kern w:val="2"/>
                <w:sz w:val="21"/>
                <w:szCs w:val="21"/>
                <w:highlight w:val="none"/>
                <w:lang w:eastAsia="zh-CN"/>
              </w:rPr>
              <w:t>。银杉种群救护1项；建设杜鹃种质园1个。</w:t>
            </w:r>
          </w:p>
          <w:p w14:paraId="51342BCB">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①银杉种群救护：</w:t>
            </w:r>
          </w:p>
          <w:p w14:paraId="18337EDD">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野外银杉救护20株。对衰退、受损成年银杉植株开展拯救与复壮：对枯死枝、病虫枝进行科学修剪，减少养分消耗和病虫害源，伤口涂抹</w:t>
            </w:r>
          </w:p>
          <w:p w14:paraId="3830DF3B">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保护剂；对树干腐烂空洞进行专业清腐、消毒、填充及防水封闭处理；</w:t>
            </w:r>
          </w:p>
          <w:p w14:paraId="51C88B52">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对极度濒危的银杉成年植株，在生长季进行树干注射植物专用营养液；在极端干旱期，对重点衰弱植株进行根部浇灌，覆盖保墒；加强监测，发现叶部病害、蛀干害虫等，及时采取生物或低毒化学药剂进行靶向防治。</w:t>
            </w:r>
          </w:p>
          <w:p w14:paraId="2EFBC116">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移植人工银杉植株5株。红滩科研站有人工培植银杉林，因其植株的株间距太密，部分生长弱的银杉濒临死亡，计划将红滩管理站周边5株长势衰弱银杉植株进行抢救性保护移植，改善人工银杉生境，营造接近原生境的微生态系统。</w:t>
            </w:r>
          </w:p>
          <w:p w14:paraId="075E2F78">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②建设杜鹃种质园1个。花坪保护区杜鹃物种丰富，有杜鹃15种，有以发现人名字命名的（如济新杜鹃），有以发现地点命名的（如广福杜鹃），为了保育好这些珍贵的种质资源，保护区选址在安江坪管理站周边1200平方米的高寒荒山地，开展杜鹃种质园建设，拟计划移植杜鹃250株，配套建设灌溉系统1套，在杜鹃种植标识区域对应安装植物解说性标识牌18块。</w:t>
            </w:r>
          </w:p>
          <w:p w14:paraId="3982CC31">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2</w:t>
            </w:r>
            <w:r>
              <w:rPr>
                <w:rFonts w:hint="eastAsia" w:ascii="宋体" w:hAnsi="宋体" w:eastAsia="宋体" w:cs="宋体"/>
                <w:b w:val="0"/>
                <w:bCs w:val="0"/>
                <w:color w:val="auto"/>
                <w:kern w:val="2"/>
                <w:sz w:val="21"/>
                <w:szCs w:val="21"/>
                <w:highlight w:val="none"/>
                <w:lang w:eastAsia="zh-CN"/>
              </w:rPr>
              <w:t>）宣传片（资料）与视频制作1项</w:t>
            </w:r>
            <w:r>
              <w:rPr>
                <w:rFonts w:hint="default" w:ascii="宋体" w:hAnsi="宋体" w:eastAsia="宋体" w:cs="宋体"/>
                <w:b w:val="0"/>
                <w:bCs w:val="0"/>
                <w:color w:val="auto"/>
                <w:kern w:val="2"/>
                <w:sz w:val="21"/>
                <w:szCs w:val="21"/>
                <w:highlight w:val="none"/>
                <w:lang w:eastAsia="zh-CN"/>
              </w:rPr>
              <w:t>。</w:t>
            </w:r>
          </w:p>
          <w:p w14:paraId="250ADE2E">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2025年花坪自然保护区开展了综合科学考察，发现了国内未曾记录的新物种和保护区内的新记录物种，同时针对开展银杉拯救工作，拟计划制作记录宣传片2集，分别是银杉专题片1集，新物种或新记录物种宣传片1集，保护区重点保护的动植物制作小视频10集</w:t>
            </w:r>
            <w:r>
              <w:rPr>
                <w:rFonts w:hint="eastAsia" w:ascii="宋体" w:hAnsi="宋体" w:cs="宋体"/>
                <w:b w:val="0"/>
                <w:bCs w:val="0"/>
                <w:color w:val="auto"/>
                <w:kern w:val="2"/>
                <w:sz w:val="21"/>
                <w:szCs w:val="21"/>
                <w:highlight w:val="none"/>
                <w:lang w:eastAsia="zh-CN"/>
              </w:rPr>
              <w:t>，</w:t>
            </w:r>
            <w:r>
              <w:rPr>
                <w:rFonts w:hint="eastAsia" w:ascii="宋体" w:hAnsi="宋体" w:cs="宋体"/>
                <w:b w:val="0"/>
                <w:bCs w:val="0"/>
                <w:color w:val="auto"/>
                <w:kern w:val="2"/>
                <w:sz w:val="21"/>
                <w:szCs w:val="21"/>
                <w:highlight w:val="none"/>
                <w:lang w:eastAsia="zh-CN"/>
              </w:rPr>
              <w:t>全彩图</w:t>
            </w:r>
            <w:r>
              <w:rPr>
                <w:rFonts w:hint="default" w:ascii="宋体" w:hAnsi="宋体" w:eastAsia="宋体" w:cs="宋体"/>
                <w:b w:val="0"/>
                <w:bCs w:val="0"/>
                <w:color w:val="auto"/>
                <w:kern w:val="2"/>
                <w:sz w:val="21"/>
                <w:szCs w:val="21"/>
                <w:highlight w:val="none"/>
                <w:lang w:eastAsia="zh-CN"/>
              </w:rPr>
              <w:t>宣传资料物品的印制 2000 份</w:t>
            </w:r>
            <w:r>
              <w:rPr>
                <w:rFonts w:hint="default" w:ascii="宋体" w:hAnsi="宋体" w:eastAsia="宋体" w:cs="宋体"/>
                <w:b w:val="0"/>
                <w:bCs w:val="0"/>
                <w:color w:val="auto"/>
                <w:kern w:val="2"/>
                <w:sz w:val="21"/>
                <w:szCs w:val="21"/>
                <w:highlight w:val="none"/>
                <w:lang w:eastAsia="zh-CN"/>
              </w:rPr>
              <w:t>。</w:t>
            </w:r>
          </w:p>
          <w:p w14:paraId="122CB073">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结合保护区 2025 年开展的综合科学考察数据，根据境内发现的新物种和特有物种的记录情况，计划就重点野生动植物，进行小视频的制作，结合长期生活在保护区境内的珍稀动植物种实际，设计、拍摄和制作其宣传小视频。根据视频采编需求，还分别在动植物生长活跃的季节，拍摄团队深入保护区腹地进行实地取景，拍照或录像，开展相应的访谈。后期对拍摄素材进行筛选和整理，按照脚本顺序进行剪辑。同时添加动画特效、转场效果、配音，载入背景音乐等，增强影片的视觉冲击力，影片的氛围和情感表达。</w:t>
            </w:r>
          </w:p>
          <w:p w14:paraId="7DD16824">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3</w:t>
            </w:r>
            <w:r>
              <w:rPr>
                <w:rFonts w:hint="eastAsia" w:ascii="宋体" w:hAnsi="宋体" w:eastAsia="宋体" w:cs="宋体"/>
                <w:b w:val="0"/>
                <w:bCs w:val="0"/>
                <w:color w:val="auto"/>
                <w:kern w:val="2"/>
                <w:sz w:val="21"/>
                <w:szCs w:val="21"/>
                <w:highlight w:val="none"/>
                <w:lang w:eastAsia="zh-CN"/>
              </w:rPr>
              <w:t>）宣教展示标本养护290件</w:t>
            </w:r>
            <w:r>
              <w:rPr>
                <w:rFonts w:hint="default" w:ascii="宋体" w:hAnsi="宋体" w:eastAsia="宋体" w:cs="宋体"/>
                <w:b w:val="0"/>
                <w:bCs w:val="0"/>
                <w:color w:val="auto"/>
                <w:kern w:val="2"/>
                <w:sz w:val="21"/>
                <w:szCs w:val="21"/>
                <w:highlight w:val="none"/>
                <w:lang w:eastAsia="zh-CN"/>
              </w:rPr>
              <w:t>。标本养护过程中，剥皮类的动物标本，处理过程中首先将标本的虫卵去掉、粉尘、霉斑清除，表面破损的部分进行适当的修补，调整好标本的局部形态与姿势；然后对凌乱的标本进行精细化打磨处理；而植物蜡叶标本则做的，对其进行药物熏蒸，浸制的动植物标本是把其药水更换，替换成新的保色，保质的浸制液，最后造型封装就行。</w:t>
            </w:r>
          </w:p>
          <w:p w14:paraId="20DA4BE1">
            <w:pPr>
              <w:pStyle w:val="50"/>
              <w:keepNext w:val="0"/>
              <w:keepLines w:val="0"/>
              <w:widowControl/>
              <w:suppressLineNumbers w:val="0"/>
              <w:spacing w:before="0" w:beforeAutospacing="0" w:after="0" w:afterAutospacing="0" w:line="360" w:lineRule="auto"/>
              <w:ind w:left="0" w:right="0" w:firstLine="422" w:firstLineChars="200"/>
              <w:jc w:val="both"/>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4.项目实施依据</w:t>
            </w:r>
          </w:p>
          <w:p w14:paraId="7AAF59A6">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（1）《中华人民共和国森林法》（2019年修订）</w:t>
            </w:r>
            <w:r>
              <w:rPr>
                <w:rFonts w:hint="eastAsia" w:ascii="宋体" w:hAnsi="宋体" w:eastAsia="宋体" w:cs="宋体"/>
                <w:b w:val="0"/>
                <w:bCs w:val="0"/>
                <w:color w:val="auto"/>
                <w:kern w:val="2"/>
                <w:sz w:val="21"/>
                <w:szCs w:val="21"/>
                <w:highlight w:val="none"/>
                <w:lang w:val="en-US" w:eastAsia="zh-CN"/>
              </w:rPr>
              <w:t>；</w:t>
            </w:r>
          </w:p>
          <w:p w14:paraId="05EEF79C">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w:t>
            </w:r>
            <w:r>
              <w:rPr>
                <w:rFonts w:hint="eastAsia" w:ascii="宋体" w:hAnsi="宋体" w:eastAsia="宋体" w:cs="宋体"/>
                <w:b w:val="0"/>
                <w:bCs w:val="0"/>
                <w:color w:val="auto"/>
                <w:kern w:val="2"/>
                <w:sz w:val="21"/>
                <w:szCs w:val="21"/>
                <w:highlight w:val="none"/>
                <w:lang w:val="en-US" w:eastAsia="zh-CN"/>
              </w:rPr>
              <w:t>2</w:t>
            </w:r>
            <w:r>
              <w:rPr>
                <w:rFonts w:hint="default" w:ascii="宋体" w:hAnsi="宋体" w:eastAsia="宋体" w:cs="宋体"/>
                <w:b w:val="0"/>
                <w:bCs w:val="0"/>
                <w:color w:val="auto"/>
                <w:kern w:val="2"/>
                <w:sz w:val="21"/>
                <w:szCs w:val="21"/>
                <w:highlight w:val="none"/>
                <w:lang w:val="en-US" w:eastAsia="zh-CN"/>
              </w:rPr>
              <w:t>）《中华人民共和国野生动物保护法》（2022年修订）；</w:t>
            </w:r>
          </w:p>
          <w:p w14:paraId="2D74D720">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（3）《中华人民共和国自然保护区条例》（2026年修订）</w:t>
            </w:r>
            <w:r>
              <w:rPr>
                <w:rFonts w:hint="eastAsia" w:ascii="宋体" w:hAnsi="宋体" w:eastAsia="宋体" w:cs="宋体"/>
                <w:b w:val="0"/>
                <w:bCs w:val="0"/>
                <w:color w:val="auto"/>
                <w:kern w:val="2"/>
                <w:sz w:val="21"/>
                <w:szCs w:val="21"/>
                <w:highlight w:val="none"/>
                <w:lang w:val="en-US" w:eastAsia="zh-CN"/>
              </w:rPr>
              <w:t>；</w:t>
            </w:r>
          </w:p>
          <w:p w14:paraId="0C015A43">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（4）《中华人民共和国森林法实施条例》（2018年修订）</w:t>
            </w:r>
            <w:r>
              <w:rPr>
                <w:rFonts w:hint="eastAsia" w:ascii="宋体" w:hAnsi="宋体" w:eastAsia="宋体" w:cs="宋体"/>
                <w:b w:val="0"/>
                <w:bCs w:val="0"/>
                <w:color w:val="auto"/>
                <w:kern w:val="2"/>
                <w:sz w:val="21"/>
                <w:szCs w:val="21"/>
                <w:highlight w:val="none"/>
                <w:lang w:val="en-US" w:eastAsia="zh-CN"/>
              </w:rPr>
              <w:t>；</w:t>
            </w:r>
          </w:p>
          <w:p w14:paraId="44F169A5">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（5）《中华人民共和国野生植物保护条例》</w:t>
            </w:r>
            <w:r>
              <w:rPr>
                <w:rFonts w:hint="default" w:ascii="宋体" w:hAnsi="宋体" w:eastAsia="宋体" w:cs="宋体"/>
                <w:b w:val="0"/>
                <w:bCs w:val="0"/>
                <w:color w:val="auto"/>
                <w:kern w:val="2"/>
                <w:sz w:val="21"/>
                <w:szCs w:val="21"/>
                <w:highlight w:val="none"/>
                <w:lang w:val="en-US" w:eastAsia="zh-CN"/>
              </w:rPr>
              <w:t>（201</w:t>
            </w:r>
            <w:r>
              <w:rPr>
                <w:rFonts w:hint="eastAsia" w:ascii="宋体" w:hAnsi="宋体" w:eastAsia="宋体" w:cs="宋体"/>
                <w:b w:val="0"/>
                <w:bCs w:val="0"/>
                <w:color w:val="auto"/>
                <w:kern w:val="2"/>
                <w:sz w:val="21"/>
                <w:szCs w:val="21"/>
                <w:highlight w:val="none"/>
                <w:lang w:val="en-US" w:eastAsia="zh-CN"/>
              </w:rPr>
              <w:t>7</w:t>
            </w:r>
            <w:r>
              <w:rPr>
                <w:rFonts w:hint="default" w:ascii="宋体" w:hAnsi="宋体" w:eastAsia="宋体" w:cs="宋体"/>
                <w:b w:val="0"/>
                <w:bCs w:val="0"/>
                <w:color w:val="auto"/>
                <w:kern w:val="2"/>
                <w:sz w:val="21"/>
                <w:szCs w:val="21"/>
                <w:highlight w:val="none"/>
                <w:lang w:val="en-US" w:eastAsia="zh-CN"/>
              </w:rPr>
              <w:t>年</w:t>
            </w:r>
            <w:r>
              <w:rPr>
                <w:rFonts w:hint="eastAsia" w:ascii="宋体" w:hAnsi="宋体" w:eastAsia="宋体" w:cs="宋体"/>
                <w:b w:val="0"/>
                <w:bCs w:val="0"/>
                <w:color w:val="auto"/>
                <w:kern w:val="2"/>
                <w:sz w:val="21"/>
                <w:szCs w:val="21"/>
                <w:highlight w:val="none"/>
                <w:lang w:val="en-US" w:eastAsia="zh-CN"/>
              </w:rPr>
              <w:t>修正</w:t>
            </w:r>
            <w:r>
              <w:rPr>
                <w:rFonts w:hint="default" w:ascii="宋体" w:hAnsi="宋体" w:eastAsia="宋体" w:cs="宋体"/>
                <w:b w:val="0"/>
                <w:bCs w:val="0"/>
                <w:color w:val="auto"/>
                <w:kern w:val="2"/>
                <w:sz w:val="21"/>
                <w:szCs w:val="21"/>
                <w:highlight w:val="none"/>
                <w:lang w:val="en-US" w:eastAsia="zh-CN"/>
              </w:rPr>
              <w:t>）</w:t>
            </w:r>
            <w:r>
              <w:rPr>
                <w:rFonts w:hint="eastAsia" w:ascii="宋体" w:hAnsi="宋体" w:eastAsia="宋体" w:cs="宋体"/>
                <w:b w:val="0"/>
                <w:bCs w:val="0"/>
                <w:color w:val="auto"/>
                <w:kern w:val="2"/>
                <w:sz w:val="21"/>
                <w:szCs w:val="21"/>
                <w:highlight w:val="none"/>
                <w:lang w:val="en-US" w:eastAsia="zh-CN"/>
              </w:rPr>
              <w:t>；</w:t>
            </w:r>
          </w:p>
          <w:p w14:paraId="4D35BAAA">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（6）</w:t>
            </w:r>
            <w:r>
              <w:rPr>
                <w:rFonts w:hint="default" w:ascii="宋体" w:hAnsi="宋体" w:eastAsia="宋体" w:cs="宋体"/>
                <w:b w:val="0"/>
                <w:bCs w:val="0"/>
                <w:color w:val="auto"/>
                <w:kern w:val="2"/>
                <w:sz w:val="21"/>
                <w:szCs w:val="21"/>
                <w:highlight w:val="none"/>
                <w:lang w:val="en-US" w:eastAsia="zh-CN"/>
              </w:rPr>
              <w:t>《广西壮族自治区野生动物保护条例》（202</w:t>
            </w:r>
            <w:r>
              <w:rPr>
                <w:rFonts w:hint="eastAsia" w:ascii="宋体" w:hAnsi="宋体" w:eastAsia="宋体" w:cs="宋体"/>
                <w:b w:val="0"/>
                <w:bCs w:val="0"/>
                <w:color w:val="auto"/>
                <w:kern w:val="2"/>
                <w:sz w:val="21"/>
                <w:szCs w:val="21"/>
                <w:highlight w:val="none"/>
                <w:lang w:val="en-US" w:eastAsia="zh-CN"/>
              </w:rPr>
              <w:t>3</w:t>
            </w:r>
            <w:r>
              <w:rPr>
                <w:rFonts w:hint="default" w:ascii="宋体" w:hAnsi="宋体" w:eastAsia="宋体" w:cs="宋体"/>
                <w:b w:val="0"/>
                <w:bCs w:val="0"/>
                <w:color w:val="auto"/>
                <w:kern w:val="2"/>
                <w:sz w:val="21"/>
                <w:szCs w:val="21"/>
                <w:highlight w:val="none"/>
                <w:lang w:val="en-US" w:eastAsia="zh-CN"/>
              </w:rPr>
              <w:t>年</w:t>
            </w:r>
            <w:r>
              <w:rPr>
                <w:rFonts w:hint="eastAsia" w:ascii="宋体" w:hAnsi="宋体" w:eastAsia="宋体" w:cs="宋体"/>
                <w:b w:val="0"/>
                <w:bCs w:val="0"/>
                <w:color w:val="auto"/>
                <w:kern w:val="2"/>
                <w:sz w:val="21"/>
                <w:szCs w:val="21"/>
                <w:highlight w:val="none"/>
                <w:lang w:val="en-US" w:eastAsia="zh-CN"/>
              </w:rPr>
              <w:t>）；</w:t>
            </w:r>
          </w:p>
          <w:p w14:paraId="47BA29FA">
            <w:pPr>
              <w:pStyle w:val="50"/>
              <w:keepNext w:val="0"/>
              <w:keepLines w:val="0"/>
              <w:widowControl/>
              <w:suppressLineNumbers w:val="0"/>
              <w:spacing w:before="0" w:beforeAutospacing="0" w:after="0" w:afterAutospacing="0" w:line="360" w:lineRule="auto"/>
              <w:ind w:left="0" w:right="0" w:firstLine="422" w:firstLineChars="200"/>
              <w:jc w:val="both"/>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5.</w:t>
            </w:r>
            <w:r>
              <w:rPr>
                <w:rFonts w:hint="default" w:ascii="宋体" w:hAnsi="宋体" w:eastAsia="宋体" w:cs="宋体"/>
                <w:b/>
                <w:bCs/>
                <w:color w:val="auto"/>
                <w:kern w:val="2"/>
                <w:sz w:val="21"/>
                <w:szCs w:val="21"/>
                <w:highlight w:val="none"/>
                <w:lang w:eastAsia="zh-CN"/>
              </w:rPr>
              <w:t>成果</w:t>
            </w:r>
            <w:r>
              <w:rPr>
                <w:rFonts w:hint="eastAsia" w:ascii="宋体" w:hAnsi="宋体" w:eastAsia="宋体" w:cs="宋体"/>
                <w:b/>
                <w:bCs/>
                <w:color w:val="auto"/>
                <w:kern w:val="2"/>
                <w:sz w:val="21"/>
                <w:szCs w:val="21"/>
                <w:highlight w:val="none"/>
                <w:lang w:val="en-US" w:eastAsia="zh-CN"/>
              </w:rPr>
              <w:t>提交</w:t>
            </w:r>
          </w:p>
          <w:p w14:paraId="12804B56">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该项目需完成救护银杉植株20株，移植人工银杉5株，建设杜鹃种质园1个；银杉记录片1集、发现新物种记录片1集、小视频制作10集、宣传资料印制2000份；宣教展示标本养护290件</w:t>
            </w:r>
            <w:r>
              <w:rPr>
                <w:rFonts w:hint="eastAsia" w:ascii="宋体" w:hAnsi="宋体" w:cs="宋体"/>
                <w:b w:val="0"/>
                <w:bCs w:val="0"/>
                <w:color w:val="auto"/>
                <w:kern w:val="2"/>
                <w:sz w:val="21"/>
                <w:szCs w:val="21"/>
                <w:highlight w:val="none"/>
                <w:lang w:eastAsia="zh-CN"/>
              </w:rPr>
              <w:t>。</w:t>
            </w:r>
          </w:p>
          <w:p w14:paraId="0B8CAB9F">
            <w:pPr>
              <w:pStyle w:val="50"/>
              <w:keepNext w:val="0"/>
              <w:keepLines w:val="0"/>
              <w:widowControl/>
              <w:suppressLineNumbers w:val="0"/>
              <w:spacing w:before="0" w:beforeAutospacing="0" w:after="0" w:afterAutospacing="0" w:line="360" w:lineRule="auto"/>
              <w:ind w:left="0" w:right="0" w:firstLine="422" w:firstLineChars="200"/>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6.服务要求：</w:t>
            </w:r>
            <w:r>
              <w:rPr>
                <w:rFonts w:hint="eastAsia" w:ascii="宋体" w:hAnsi="宋体" w:eastAsia="宋体" w:cs="宋体"/>
                <w:b w:val="0"/>
                <w:bCs w:val="0"/>
                <w:color w:val="auto"/>
                <w:kern w:val="2"/>
                <w:sz w:val="21"/>
                <w:szCs w:val="21"/>
                <w:highlight w:val="none"/>
                <w:lang w:val="en-US" w:eastAsia="zh-CN"/>
              </w:rPr>
              <w:t>需按照竞争性磋商文件中的采购需求执行。</w:t>
            </w:r>
          </w:p>
          <w:p w14:paraId="5F328CCA">
            <w:pPr>
              <w:pStyle w:val="50"/>
              <w:keepNext w:val="0"/>
              <w:keepLines w:val="0"/>
              <w:widowControl/>
              <w:suppressLineNumbers w:val="0"/>
              <w:spacing w:before="0" w:beforeAutospacing="0" w:after="0" w:afterAutospacing="0" w:line="360" w:lineRule="auto"/>
              <w:ind w:left="0" w:right="0" w:firstLine="422"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7.服务标准：</w:t>
            </w:r>
            <w:r>
              <w:rPr>
                <w:rFonts w:hint="eastAsia" w:ascii="宋体" w:hAnsi="宋体" w:eastAsia="宋体" w:cs="宋体"/>
                <w:b w:val="0"/>
                <w:bCs w:val="0"/>
                <w:color w:val="auto"/>
                <w:kern w:val="2"/>
                <w:sz w:val="21"/>
                <w:szCs w:val="21"/>
                <w:highlight w:val="none"/>
                <w:lang w:val="en-US" w:eastAsia="zh-CN"/>
              </w:rPr>
              <w:t>符合现行国家相关标准、行业标准、地方标准或者其他标准、规范。</w:t>
            </w:r>
          </w:p>
        </w:tc>
      </w:tr>
      <w:tr w14:paraId="176EB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9345" w:type="dxa"/>
            <w:gridSpan w:val="5"/>
            <w:tcBorders>
              <w:top w:val="single" w:color="auto" w:sz="4" w:space="0"/>
              <w:left w:val="single" w:color="auto" w:sz="4" w:space="0"/>
              <w:bottom w:val="single" w:color="auto" w:sz="4" w:space="0"/>
              <w:right w:val="single" w:color="auto" w:sz="4" w:space="0"/>
            </w:tcBorders>
            <w:noWrap w:val="0"/>
            <w:vAlign w:val="top"/>
          </w:tcPr>
          <w:p w14:paraId="0F853D5A">
            <w:pPr>
              <w:keepNext w:val="0"/>
              <w:keepLines w:val="0"/>
              <w:suppressLineNumbers w:val="0"/>
              <w:wordWrap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▲二、商务要求</w:t>
            </w:r>
          </w:p>
        </w:tc>
      </w:tr>
      <w:tr w14:paraId="3CB76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4070E0DB">
            <w:pPr>
              <w:keepNext w:val="0"/>
              <w:keepLines w:val="0"/>
              <w:suppressLineNumbers w:val="0"/>
              <w:wordWrap w:val="0"/>
              <w:spacing w:before="0" w:beforeAutospacing="0" w:after="0" w:afterAutospacing="0" w:line="360" w:lineRule="auto"/>
              <w:ind w:left="0" w:right="0"/>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合同履行期限</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616C190B">
            <w:pPr>
              <w:keepNext w:val="0"/>
              <w:keepLines w:val="0"/>
              <w:suppressLineNumbers w:val="0"/>
              <w:wordWrap w:val="0"/>
              <w:spacing w:before="0" w:beforeAutospacing="0" w:after="0" w:afterAutospacing="0" w:line="360" w:lineRule="auto"/>
              <w:ind w:left="0" w:right="0"/>
              <w:jc w:val="left"/>
              <w:rPr>
                <w:rFonts w:hint="eastAsia"/>
                <w:color w:val="auto"/>
                <w:highlight w:val="none"/>
                <w:lang w:eastAsia="zh-CN"/>
              </w:rPr>
            </w:pPr>
            <w:r>
              <w:rPr>
                <w:rFonts w:hint="eastAsia" w:ascii="宋体" w:hAnsi="宋体" w:eastAsia="宋体" w:cs="宋体"/>
                <w:color w:val="auto"/>
                <w:szCs w:val="21"/>
                <w:highlight w:val="none"/>
                <w:lang w:eastAsia="zh-CN"/>
              </w:rPr>
              <w:t>自合同签订之日起至202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31日</w:t>
            </w:r>
            <w:r>
              <w:rPr>
                <w:rFonts w:hint="eastAsia" w:ascii="宋体" w:hAnsi="宋体" w:eastAsia="宋体" w:cs="宋体"/>
                <w:color w:val="auto"/>
                <w:szCs w:val="21"/>
                <w:highlight w:val="none"/>
                <w:lang w:eastAsia="zh-CN"/>
              </w:rPr>
              <w:t>完成全部工作，提交成果并</w:t>
            </w:r>
            <w:r>
              <w:rPr>
                <w:rFonts w:hint="eastAsia" w:ascii="宋体" w:hAnsi="宋体" w:eastAsia="宋体" w:cs="宋体"/>
                <w:color w:val="auto"/>
                <w:szCs w:val="21"/>
                <w:highlight w:val="none"/>
                <w:lang w:val="en-US" w:eastAsia="zh-CN"/>
              </w:rPr>
              <w:t>通过采购人</w:t>
            </w:r>
            <w:r>
              <w:rPr>
                <w:rFonts w:hint="eastAsia" w:ascii="宋体" w:hAnsi="宋体" w:eastAsia="宋体" w:cs="宋体"/>
                <w:color w:val="auto"/>
                <w:szCs w:val="21"/>
                <w:highlight w:val="none"/>
                <w:lang w:eastAsia="zh-CN"/>
              </w:rPr>
              <w:t>内部验收。</w:t>
            </w:r>
          </w:p>
        </w:tc>
      </w:tr>
      <w:tr w14:paraId="0D62B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3CF1D797">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服务地点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4EC21209">
            <w:pPr>
              <w:keepNext w:val="0"/>
              <w:keepLines w:val="0"/>
              <w:suppressLineNumbers w:val="0"/>
              <w:wordWrap w:val="0"/>
              <w:spacing w:before="0" w:beforeAutospacing="0" w:after="0" w:afterAutospacing="0" w:line="360" w:lineRule="auto"/>
              <w:ind w:left="0" w:right="0"/>
              <w:jc w:val="left"/>
              <w:rPr>
                <w:rFonts w:hint="eastAsia"/>
                <w:color w:val="auto"/>
                <w:highlight w:val="none"/>
                <w:lang w:eastAsia="zh-CN"/>
              </w:rPr>
            </w:pPr>
            <w:r>
              <w:rPr>
                <w:rFonts w:hint="eastAsia" w:ascii="宋体" w:hAnsi="宋体" w:eastAsia="宋体" w:cs="宋体"/>
                <w:color w:val="auto"/>
                <w:sz w:val="21"/>
                <w:szCs w:val="21"/>
                <w:highlight w:val="none"/>
                <w:lang w:eastAsia="zh-CN"/>
              </w:rPr>
              <w:t>广西壮族自治区内采购人指定地点。</w:t>
            </w:r>
          </w:p>
        </w:tc>
      </w:tr>
      <w:tr w14:paraId="321A0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40CA49E0">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合同签订时间</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37C63216">
            <w:pPr>
              <w:keepNext w:val="0"/>
              <w:keepLines w:val="0"/>
              <w:suppressLineNumbers w:val="0"/>
              <w:wordWrap w:val="0"/>
              <w:spacing w:before="0" w:beforeAutospacing="0" w:after="0" w:afterAutospacing="0" w:line="360" w:lineRule="auto"/>
              <w:ind w:left="0" w:right="0" w:firstLine="0" w:firstLineChars="0"/>
              <w:rPr>
                <w:rFonts w:hint="eastAsia" w:ascii="宋体" w:hAnsi="宋体" w:eastAsia="宋体" w:cs="宋体"/>
                <w:b/>
                <w:color w:val="auto"/>
                <w:szCs w:val="21"/>
                <w:highlight w:val="none"/>
              </w:rPr>
            </w:pPr>
            <w:r>
              <w:rPr>
                <w:rFonts w:hint="eastAsia" w:ascii="宋体" w:hAnsi="宋体" w:cs="宋体"/>
                <w:color w:val="auto"/>
                <w:szCs w:val="21"/>
                <w:highlight w:val="none"/>
                <w:lang w:eastAsia="zh-CN"/>
              </w:rPr>
              <w:t>自成交通知书发出之日起8个工作日内</w:t>
            </w:r>
            <w:r>
              <w:rPr>
                <w:rFonts w:hint="eastAsia" w:ascii="宋体" w:hAnsi="宋体" w:eastAsia="宋体" w:cs="宋体"/>
                <w:color w:val="auto"/>
                <w:szCs w:val="21"/>
                <w:highlight w:val="none"/>
              </w:rPr>
              <w:t>。</w:t>
            </w:r>
          </w:p>
        </w:tc>
      </w:tr>
      <w:tr w14:paraId="4F992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7BC4E11C">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 w:val="21"/>
                <w:szCs w:val="21"/>
                <w:highlight w:val="none"/>
                <w:lang w:eastAsia="zh-CN"/>
              </w:rPr>
              <w:t>报价要求</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62B0733C">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本项目报价为</w:t>
            </w:r>
            <w:r>
              <w:rPr>
                <w:rStyle w:val="27"/>
                <w:rFonts w:hint="eastAsia" w:ascii="宋体" w:hAnsi="宋体" w:eastAsia="宋体" w:cs="宋体"/>
                <w:b/>
                <w:bCs/>
                <w:color w:val="auto"/>
                <w:sz w:val="21"/>
                <w:szCs w:val="21"/>
                <w:highlight w:val="none"/>
              </w:rPr>
              <w:t>全包固定总价报价</w:t>
            </w:r>
            <w:r>
              <w:rPr>
                <w:rFonts w:hint="eastAsia" w:ascii="宋体" w:hAnsi="宋体" w:eastAsia="宋体" w:cs="宋体"/>
                <w:color w:val="auto"/>
                <w:sz w:val="21"/>
                <w:szCs w:val="21"/>
                <w:highlight w:val="none"/>
              </w:rPr>
              <w:t>，包含本项目开展所需的人工费、差旅费、外业调查费、设备使用费、软件制图费、数据处理费、资料整编费、专家评审费、</w:t>
            </w:r>
            <w:r>
              <w:rPr>
                <w:rFonts w:hint="eastAsia" w:ascii="宋体" w:hAnsi="宋体" w:eastAsia="宋体" w:cs="宋体"/>
                <w:color w:val="auto"/>
                <w:sz w:val="21"/>
                <w:szCs w:val="21"/>
                <w:highlight w:val="none"/>
                <w:lang w:val="en-US" w:eastAsia="zh-CN"/>
              </w:rPr>
              <w:t>保险费、</w:t>
            </w:r>
            <w:r>
              <w:rPr>
                <w:rFonts w:hint="eastAsia" w:ascii="宋体" w:hAnsi="宋体" w:eastAsia="宋体" w:cs="宋体"/>
                <w:color w:val="auto"/>
                <w:sz w:val="21"/>
                <w:szCs w:val="21"/>
                <w:highlight w:val="none"/>
              </w:rPr>
              <w:t>管理费、税费及完成本项目全部工作内容所产生的一切费用，采购人不另行支付任何费用。</w:t>
            </w:r>
          </w:p>
          <w:p w14:paraId="3CAACE3B">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供应商应结合自身实力、市场行情、项目工作量自主合理报价，</w:t>
            </w:r>
            <w:r>
              <w:rPr>
                <w:rStyle w:val="27"/>
                <w:rFonts w:hint="eastAsia" w:ascii="宋体" w:hAnsi="宋体" w:eastAsia="宋体" w:cs="宋体"/>
                <w:b/>
                <w:bCs/>
                <w:color w:val="auto"/>
                <w:sz w:val="21"/>
                <w:szCs w:val="21"/>
                <w:highlight w:val="none"/>
              </w:rPr>
              <w:t>所有漏项、缺项视为包含在总价内</w:t>
            </w:r>
            <w:r>
              <w:rPr>
                <w:rFonts w:hint="eastAsia" w:ascii="宋体" w:hAnsi="宋体" w:eastAsia="宋体" w:cs="宋体"/>
                <w:color w:val="auto"/>
                <w:sz w:val="21"/>
                <w:szCs w:val="21"/>
                <w:highlight w:val="none"/>
              </w:rPr>
              <w:t>，后期不作任何增补。</w:t>
            </w:r>
          </w:p>
          <w:p w14:paraId="5169C070">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default"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报价不得高于本项目最高限价，超出最高限价作无效响应处理。</w:t>
            </w:r>
          </w:p>
        </w:tc>
      </w:tr>
      <w:tr w14:paraId="25908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4F99CBC9">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 w:val="21"/>
                <w:szCs w:val="21"/>
                <w:highlight w:val="none"/>
                <w:lang w:eastAsia="zh-CN"/>
              </w:rPr>
              <w:t>付款条件</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4900E900">
            <w:pPr>
              <w:keepNext w:val="0"/>
              <w:keepLines w:val="0"/>
              <w:suppressLineNumbers w:val="0"/>
              <w:wordWrap/>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成交供应商完成本次</w:t>
            </w:r>
            <w:r>
              <w:rPr>
                <w:rFonts w:hint="eastAsia" w:ascii="宋体" w:hAnsi="宋体" w:cs="宋体"/>
                <w:color w:val="auto"/>
                <w:szCs w:val="21"/>
                <w:highlight w:val="none"/>
                <w:lang w:eastAsia="zh-CN"/>
              </w:rPr>
              <w:t>特种救护、宣传（资料）视频制作、标本养护</w:t>
            </w:r>
            <w:r>
              <w:rPr>
                <w:rFonts w:hint="eastAsia" w:ascii="宋体" w:hAnsi="宋体" w:eastAsia="宋体" w:cs="宋体"/>
                <w:color w:val="auto"/>
                <w:sz w:val="21"/>
                <w:szCs w:val="21"/>
                <w:highlight w:val="none"/>
                <w:lang w:val="en-US" w:eastAsia="zh-CN"/>
              </w:rPr>
              <w:t>工作内容提交全部成果材料后10个工作日内支付合同价款的</w:t>
            </w:r>
            <w:r>
              <w:rPr>
                <w:rFonts w:hint="default" w:ascii="宋体" w:hAnsi="宋体" w:eastAsia="宋体" w:cs="宋体"/>
                <w:color w:val="auto"/>
                <w:sz w:val="21"/>
                <w:szCs w:val="21"/>
                <w:highlight w:val="none"/>
                <w:lang w:val="en-US" w:eastAsia="zh-CN"/>
              </w:rPr>
              <w:t>80</w:t>
            </w:r>
            <w:r>
              <w:rPr>
                <w:rFonts w:hint="eastAsia" w:ascii="宋体" w:hAnsi="宋体" w:eastAsia="宋体" w:cs="宋体"/>
                <w:color w:val="auto"/>
                <w:sz w:val="21"/>
                <w:szCs w:val="21"/>
                <w:highlight w:val="none"/>
                <w:lang w:val="en-US" w:eastAsia="zh-CN"/>
              </w:rPr>
              <w:t>%；提交的全部成果文件通过采购人验收合格后10个工作日内，采购人一次性结清结余款，即合同总价的</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lang w:val="en-US" w:eastAsia="zh-CN"/>
              </w:rPr>
              <w:t>%。成交供应商在采购人支付每笔款项前5个工作日内开具等额有效发票给采购人。以上支付事宜，如遇国库支付程序原因，支付日期顺延（无息），采购人不承担延期付款责任。</w:t>
            </w:r>
          </w:p>
        </w:tc>
      </w:tr>
      <w:tr w14:paraId="5B39B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0D582429">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color w:val="auto"/>
                <w:sz w:val="21"/>
                <w:szCs w:val="21"/>
                <w:highlight w:val="none"/>
              </w:rPr>
              <w:t>验收标准</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0B996EFD">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符合现行国家相关标准、行业标准、地方标准或者其他标准、规范</w:t>
            </w:r>
            <w:r>
              <w:rPr>
                <w:rFonts w:hint="eastAsia" w:ascii="宋体" w:hAnsi="宋体" w:eastAsia="宋体" w:cs="宋体"/>
                <w:color w:val="auto"/>
                <w:sz w:val="21"/>
                <w:szCs w:val="21"/>
                <w:highlight w:val="none"/>
                <w:lang w:eastAsia="zh-CN"/>
              </w:rPr>
              <w:t>。</w:t>
            </w:r>
          </w:p>
        </w:tc>
      </w:tr>
      <w:tr w14:paraId="6AC0E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60CCD181">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lang w:eastAsia="zh-CN"/>
              </w:rPr>
              <w:t>具体验收事项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5EF2B005">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1.验收内容包括</w:t>
            </w:r>
            <w:r>
              <w:rPr>
                <w:rFonts w:hint="eastAsia" w:ascii="宋体" w:hAnsi="宋体" w:eastAsia="宋体" w:cs="宋体"/>
                <w:color w:val="auto"/>
                <w:sz w:val="21"/>
                <w:szCs w:val="21"/>
                <w:highlight w:val="none"/>
              </w:rPr>
              <w:t>项目建设总体完成情况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项目资金到位及使用情况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w:t>
            </w:r>
            <w:r>
              <w:rPr>
                <w:rFonts w:hint="eastAsia" w:ascii="宋体" w:hAnsi="宋体" w:eastAsia="宋体" w:cs="宋体"/>
                <w:color w:val="auto"/>
                <w:sz w:val="21"/>
                <w:szCs w:val="21"/>
                <w:highlight w:val="none"/>
              </w:rPr>
              <w:t>和设备到位情况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竣工财务决算情况</w:t>
            </w:r>
            <w:r>
              <w:rPr>
                <w:rFonts w:hint="eastAsia" w:ascii="宋体" w:hAnsi="宋体" w:eastAsia="宋体" w:cs="宋体"/>
                <w:color w:val="auto"/>
                <w:sz w:val="21"/>
                <w:szCs w:val="21"/>
                <w:highlight w:val="none"/>
                <w:lang w:eastAsia="zh-CN"/>
              </w:rPr>
              <w:t>等。</w:t>
            </w:r>
          </w:p>
          <w:p w14:paraId="366A5C39">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2.验收程序：</w:t>
            </w:r>
            <w:r>
              <w:rPr>
                <w:rFonts w:hint="eastAsia" w:ascii="宋体" w:hAnsi="宋体" w:eastAsia="宋体" w:cs="宋体"/>
                <w:color w:val="auto"/>
                <w:sz w:val="21"/>
                <w:szCs w:val="21"/>
                <w:highlight w:val="none"/>
              </w:rPr>
              <w:t>初步验收之前，由</w:t>
            </w:r>
            <w:r>
              <w:rPr>
                <w:rFonts w:hint="eastAsia" w:ascii="宋体" w:hAnsi="宋体" w:eastAsia="宋体" w:cs="宋体"/>
                <w:color w:val="auto"/>
                <w:sz w:val="21"/>
                <w:szCs w:val="21"/>
                <w:highlight w:val="none"/>
                <w:lang w:eastAsia="zh-CN"/>
              </w:rPr>
              <w:t>实施单位</w:t>
            </w:r>
            <w:r>
              <w:rPr>
                <w:rFonts w:hint="eastAsia" w:ascii="宋体" w:hAnsi="宋体" w:eastAsia="宋体" w:cs="宋体"/>
                <w:color w:val="auto"/>
                <w:sz w:val="21"/>
                <w:szCs w:val="21"/>
                <w:highlight w:val="none"/>
              </w:rPr>
              <w:t>按照规定，整理好文件、技术资料，向管理处提出交工报告。</w:t>
            </w:r>
            <w:r>
              <w:rPr>
                <w:rFonts w:hint="eastAsia" w:ascii="宋体" w:hAnsi="宋体" w:eastAsia="宋体" w:cs="宋体"/>
                <w:color w:val="auto"/>
                <w:sz w:val="21"/>
                <w:szCs w:val="21"/>
                <w:highlight w:val="none"/>
                <w:lang w:val="en-US" w:eastAsia="zh-CN"/>
              </w:rPr>
              <w:t>管理处组织初步验收，合格后再向主管局申请竣工验收。主管局在规定时间内组织竣工验收组开展竣工验收，</w:t>
            </w:r>
            <w:r>
              <w:rPr>
                <w:rFonts w:hint="eastAsia" w:ascii="宋体" w:hAnsi="宋体" w:eastAsia="宋体" w:cs="宋体"/>
                <w:color w:val="auto"/>
                <w:sz w:val="21"/>
                <w:szCs w:val="21"/>
                <w:highlight w:val="none"/>
              </w:rPr>
              <w:t>验收组听取项目建设工作汇报，查阅工程档案、财务账目</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，实地查验建设情况，对项目质量和资金使用等方面做出全面评价，形成竣工验收意见。对验收合格的项目进行批复，对不符合竣工验收要求的不予验收，提出整改要求，限期整改</w:t>
            </w:r>
            <w:r>
              <w:rPr>
                <w:rFonts w:hint="eastAsia" w:ascii="宋体" w:hAnsi="宋体" w:eastAsia="宋体" w:cs="宋体"/>
                <w:color w:val="auto"/>
                <w:sz w:val="21"/>
                <w:szCs w:val="21"/>
                <w:highlight w:val="none"/>
                <w:lang w:val="en-US" w:eastAsia="zh-CN"/>
              </w:rPr>
              <w:t>。</w:t>
            </w:r>
          </w:p>
        </w:tc>
      </w:tr>
      <w:tr w14:paraId="7E9A9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4932EC53">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履约验收其他事项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43FA4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1.验收过程中所产生的一切费用均由成交供应商承担。报价时应考虑相关费用。</w:t>
            </w:r>
          </w:p>
          <w:p w14:paraId="095D80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2.采购人保留对成交供应商所提供产品、服务进行全面</w:t>
            </w:r>
            <w:r>
              <w:rPr>
                <w:rFonts w:hint="eastAsia" w:ascii="宋体" w:hAnsi="宋体" w:eastAsia="宋体" w:cs="宋体"/>
                <w:b w:val="0"/>
                <w:bCs/>
                <w:color w:val="auto"/>
                <w:sz w:val="21"/>
                <w:szCs w:val="21"/>
                <w:highlight w:val="none"/>
                <w:lang w:val="en-US" w:eastAsia="zh-CN"/>
              </w:rPr>
              <w:t>验收</w:t>
            </w:r>
            <w:r>
              <w:rPr>
                <w:rFonts w:hint="eastAsia" w:ascii="宋体" w:hAnsi="宋体" w:eastAsia="宋体" w:cs="宋体"/>
                <w:b w:val="0"/>
                <w:bCs/>
                <w:color w:val="auto"/>
                <w:sz w:val="21"/>
                <w:szCs w:val="21"/>
                <w:highlight w:val="none"/>
                <w:lang w:eastAsia="zh-CN"/>
              </w:rPr>
              <w:t>的权利，如有虚假应标及不满足竞争性磋商文件及响应文件要求的，则视为成交供应商违约，成交供应商承担所有责任和费用，采购人保留进一步追究责任的权利。</w:t>
            </w:r>
          </w:p>
          <w:p w14:paraId="3F7E29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3.验收时，成交供应商需向采购人提供完整的技术资料。</w:t>
            </w:r>
          </w:p>
          <w:p w14:paraId="3AB091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lang w:eastAsia="zh-CN"/>
              </w:rPr>
              <w:t>4.验收依据：竞争性磋商文件、响应文件以及国家和行业验收规范要求及合同中的相关条款。</w:t>
            </w:r>
          </w:p>
        </w:tc>
      </w:tr>
      <w:tr w14:paraId="3F92D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58F0436E">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eastAsia="zh-CN"/>
              </w:rPr>
              <w:t>售后服务要求</w:t>
            </w:r>
          </w:p>
        </w:tc>
        <w:tc>
          <w:tcPr>
            <w:tcW w:w="7097" w:type="dxa"/>
            <w:gridSpan w:val="2"/>
            <w:tcBorders>
              <w:top w:val="single" w:color="auto" w:sz="4" w:space="0"/>
              <w:left w:val="single" w:color="auto" w:sz="4" w:space="0"/>
              <w:bottom w:val="single" w:color="auto" w:sz="4" w:space="0"/>
              <w:right w:val="single" w:color="auto" w:sz="4" w:space="0"/>
            </w:tcBorders>
            <w:noWrap w:val="0"/>
            <w:vAlign w:val="top"/>
          </w:tcPr>
          <w:p w14:paraId="73F65C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1.供应商应设立专职技术服务团队，提供专业技术支持热线，并确保在接到采购人请求后4小时内响应，2个工作日内解决一般问题；对重大影响业务的问题，须2小时内响应并启动应急预案。</w:t>
            </w:r>
          </w:p>
          <w:p w14:paraId="3E4137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2.项目通过验收后，所有交付成果的相关技术文档、图集等资料须完整归档并移交采购人。</w:t>
            </w:r>
          </w:p>
        </w:tc>
      </w:tr>
    </w:tbl>
    <w:p w14:paraId="7E109F6F">
      <w:pPr>
        <w:rPr>
          <w:color w:val="auto"/>
          <w:highlight w:val="none"/>
        </w:rPr>
      </w:pPr>
    </w:p>
    <w:p w14:paraId="37781B26">
      <w:pPr>
        <w:rPr>
          <w:rFonts w:hint="eastAsia" w:ascii="宋体" w:hAnsi="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br w:type="page"/>
      </w:r>
    </w:p>
    <w:p w14:paraId="28506994">
      <w:pPr>
        <w:wordWrap w:val="0"/>
        <w:adjustRightInd w:val="0"/>
        <w:spacing w:line="360" w:lineRule="exact"/>
        <w:ind w:firstLine="422" w:firstLineChars="200"/>
        <w:jc w:val="left"/>
        <w:outlineLvl w:val="1"/>
        <w:rPr>
          <w:rFonts w:hint="eastAsia" w:ascii="宋体" w:hAnsi="宋体" w:cs="宋体"/>
          <w:color w:val="auto"/>
          <w:szCs w:val="21"/>
          <w:highlight w:val="none"/>
        </w:rPr>
      </w:pPr>
      <w:r>
        <w:rPr>
          <w:rFonts w:hint="eastAsia" w:ascii="宋体" w:hAnsi="宋体" w:cs="宋体"/>
          <w:b/>
          <w:bCs/>
          <w:color w:val="auto"/>
          <w:kern w:val="0"/>
          <w:szCs w:val="21"/>
          <w:highlight w:val="none"/>
          <w:lang w:val="en-US" w:eastAsia="zh-CN"/>
        </w:rPr>
        <w:t>B分标：</w:t>
      </w:r>
    </w:p>
    <w:tbl>
      <w:tblPr>
        <w:tblStyle w:val="24"/>
        <w:tblW w:w="93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5"/>
        <w:gridCol w:w="892"/>
        <w:gridCol w:w="861"/>
        <w:gridCol w:w="672"/>
        <w:gridCol w:w="6425"/>
      </w:tblGrid>
      <w:tr w14:paraId="32459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9345" w:type="dxa"/>
            <w:gridSpan w:val="5"/>
            <w:noWrap w:val="0"/>
            <w:vAlign w:val="center"/>
          </w:tcPr>
          <w:p w14:paraId="3A00EF54">
            <w:pPr>
              <w:keepNext w:val="0"/>
              <w:keepLines w:val="0"/>
              <w:suppressLineNumbers w:val="0"/>
              <w:tabs>
                <w:tab w:val="left" w:pos="180"/>
                <w:tab w:val="left" w:pos="1620"/>
              </w:tabs>
              <w:wordWrap w:val="0"/>
              <w:spacing w:before="0" w:beforeAutospacing="0" w:after="0" w:afterAutospacing="0" w:line="360" w:lineRule="auto"/>
              <w:ind w:left="0" w:right="0"/>
              <w:jc w:val="left"/>
              <w:rPr>
                <w:rFonts w:hint="eastAsia" w:ascii="宋体" w:hAnsi="宋体" w:eastAsia="宋体" w:cs="宋体"/>
                <w:b/>
                <w:bCs/>
                <w:color w:val="auto"/>
                <w:szCs w:val="21"/>
                <w:highlight w:val="none"/>
              </w:rPr>
            </w:pPr>
            <w:r>
              <w:rPr>
                <w:rFonts w:hint="eastAsia" w:ascii="宋体" w:hAnsi="宋体" w:eastAsia="宋体" w:cs="宋体"/>
                <w:b/>
                <w:color w:val="auto"/>
                <w:highlight w:val="none"/>
              </w:rPr>
              <w:t>▲</w:t>
            </w:r>
            <w:r>
              <w:rPr>
                <w:rFonts w:hint="eastAsia" w:ascii="宋体" w:hAnsi="宋体" w:eastAsia="宋体" w:cs="宋体"/>
                <w:b/>
                <w:bCs/>
                <w:color w:val="auto"/>
                <w:szCs w:val="21"/>
                <w:highlight w:val="none"/>
              </w:rPr>
              <w:t>一、采购内容及技术要求</w:t>
            </w:r>
          </w:p>
        </w:tc>
      </w:tr>
      <w:tr w14:paraId="7E83C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495" w:type="dxa"/>
            <w:noWrap w:val="0"/>
            <w:vAlign w:val="center"/>
          </w:tcPr>
          <w:p w14:paraId="1B80DA17">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892" w:type="dxa"/>
            <w:noWrap w:val="0"/>
            <w:vAlign w:val="center"/>
          </w:tcPr>
          <w:p w14:paraId="3BDD0964">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标的的名称</w:t>
            </w:r>
          </w:p>
        </w:tc>
        <w:tc>
          <w:tcPr>
            <w:tcW w:w="861" w:type="dxa"/>
            <w:noWrap w:val="0"/>
            <w:vAlign w:val="center"/>
          </w:tcPr>
          <w:p w14:paraId="75AE0125">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数量及单位</w:t>
            </w:r>
          </w:p>
        </w:tc>
        <w:tc>
          <w:tcPr>
            <w:tcW w:w="672" w:type="dxa"/>
            <w:noWrap w:val="0"/>
            <w:vAlign w:val="center"/>
          </w:tcPr>
          <w:p w14:paraId="336F5135">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所属</w:t>
            </w:r>
          </w:p>
          <w:p w14:paraId="1A46A834">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行业</w:t>
            </w:r>
          </w:p>
        </w:tc>
        <w:tc>
          <w:tcPr>
            <w:tcW w:w="6425" w:type="dxa"/>
            <w:noWrap w:val="0"/>
            <w:vAlign w:val="center"/>
          </w:tcPr>
          <w:p w14:paraId="27A11149">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技术或服务要求</w:t>
            </w:r>
          </w:p>
        </w:tc>
      </w:tr>
      <w:tr w14:paraId="1E80C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95" w:type="dxa"/>
            <w:noWrap w:val="0"/>
            <w:vAlign w:val="center"/>
          </w:tcPr>
          <w:p w14:paraId="32C47171">
            <w:pPr>
              <w:keepNext w:val="0"/>
              <w:keepLines w:val="0"/>
              <w:suppressLineNumbers w:val="0"/>
              <w:wordWrap w:val="0"/>
              <w:snapToGrid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892" w:type="dxa"/>
            <w:noWrap w:val="0"/>
            <w:vAlign w:val="center"/>
          </w:tcPr>
          <w:p w14:paraId="532745A1">
            <w:pPr>
              <w:keepNext w:val="0"/>
              <w:keepLines w:val="0"/>
              <w:suppressLineNumbers w:val="0"/>
              <w:wordWrap w:val="0"/>
              <w:spacing w:before="0" w:beforeAutospacing="0" w:after="0" w:afterAutospacing="0" w:line="360" w:lineRule="auto"/>
              <w:ind w:left="0" w:right="0"/>
              <w:jc w:val="center"/>
              <w:rPr>
                <w:rFonts w:hint="eastAsia" w:ascii="宋体" w:hAnsi="宋体" w:eastAsia="宋体" w:cs="宋体"/>
                <w:color w:val="auto"/>
                <w:kern w:val="20"/>
                <w:szCs w:val="21"/>
                <w:highlight w:val="none"/>
                <w:lang w:eastAsia="zh-CN"/>
              </w:rPr>
            </w:pPr>
            <w:r>
              <w:rPr>
                <w:rFonts w:hint="eastAsia" w:ascii="宋体" w:hAnsi="宋体" w:eastAsia="宋体" w:cs="宋体"/>
                <w:color w:val="auto"/>
                <w:kern w:val="20"/>
                <w:szCs w:val="21"/>
                <w:highlight w:val="none"/>
                <w:lang w:eastAsia="zh-CN"/>
              </w:rPr>
              <w:t>古树名木资源普查项目</w:t>
            </w:r>
          </w:p>
        </w:tc>
        <w:tc>
          <w:tcPr>
            <w:tcW w:w="861" w:type="dxa"/>
            <w:noWrap w:val="0"/>
            <w:vAlign w:val="center"/>
          </w:tcPr>
          <w:p w14:paraId="3E68C0A3">
            <w:pPr>
              <w:keepNext/>
              <w:keepLines/>
              <w:pageBreakBefore/>
              <w:widowControl/>
              <w:suppressLineNumbers w:val="0"/>
              <w:wordWrap w:val="0"/>
              <w:spacing w:before="0" w:beforeAutospacing="0" w:after="0" w:afterAutospacing="0" w:line="360" w:lineRule="auto"/>
              <w:ind w:left="0" w:right="0"/>
              <w:jc w:val="center"/>
              <w:rPr>
                <w:rFonts w:hint="eastAsia" w:ascii="宋体" w:hAnsi="宋体" w:eastAsia="宋体" w:cs="宋体"/>
                <w:color w:val="auto"/>
                <w:kern w:val="20"/>
                <w:szCs w:val="21"/>
                <w:highlight w:val="none"/>
              </w:rPr>
            </w:pPr>
            <w:r>
              <w:rPr>
                <w:rFonts w:hint="eastAsia" w:ascii="宋体" w:hAnsi="宋体" w:eastAsia="宋体" w:cs="宋体"/>
                <w:color w:val="auto"/>
                <w:szCs w:val="21"/>
                <w:highlight w:val="none"/>
              </w:rPr>
              <w:t>1项</w:t>
            </w:r>
          </w:p>
        </w:tc>
        <w:tc>
          <w:tcPr>
            <w:tcW w:w="672" w:type="dxa"/>
            <w:noWrap w:val="0"/>
            <w:vAlign w:val="center"/>
          </w:tcPr>
          <w:p w14:paraId="5A730B5A">
            <w:pPr>
              <w:keepNext w:val="0"/>
              <w:keepLines w:val="0"/>
              <w:suppressLineNumbers w:val="0"/>
              <w:tabs>
                <w:tab w:val="left" w:pos="180"/>
                <w:tab w:val="left" w:pos="1620"/>
              </w:tabs>
              <w:wordWrap w:val="0"/>
              <w:spacing w:before="0" w:beforeAutospacing="0" w:after="0" w:afterAutospacing="0" w:line="360" w:lineRule="auto"/>
              <w:ind w:left="0" w:right="0"/>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其他未列明行业</w:t>
            </w:r>
            <w:r>
              <w:rPr>
                <w:rFonts w:hint="eastAsia" w:ascii="宋体" w:hAnsi="宋体" w:eastAsia="宋体" w:cs="宋体"/>
                <w:color w:val="auto"/>
                <w:szCs w:val="21"/>
                <w:highlight w:val="none"/>
              </w:rPr>
              <w:t xml:space="preserve"> </w:t>
            </w:r>
          </w:p>
        </w:tc>
        <w:tc>
          <w:tcPr>
            <w:tcW w:w="6425" w:type="dxa"/>
            <w:noWrap w:val="0"/>
            <w:vAlign w:val="center"/>
          </w:tcPr>
          <w:p w14:paraId="2127855E">
            <w:pPr>
              <w:pStyle w:val="50"/>
              <w:keepNext w:val="0"/>
              <w:keepLines w:val="0"/>
              <w:widowControl/>
              <w:numPr>
                <w:ilvl w:val="0"/>
                <w:numId w:val="0"/>
              </w:numPr>
              <w:suppressLineNumbers w:val="0"/>
              <w:spacing w:before="0" w:beforeAutospacing="0" w:after="0" w:afterAutospacing="0" w:line="360" w:lineRule="auto"/>
              <w:ind w:left="0" w:leftChars="0" w:right="0" w:rightChars="0" w:firstLine="422" w:firstLineChars="200"/>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bCs/>
                <w:color w:val="auto"/>
                <w:kern w:val="2"/>
                <w:sz w:val="21"/>
                <w:szCs w:val="21"/>
                <w:highlight w:val="none"/>
                <w:lang w:val="en-US" w:eastAsia="zh-CN" w:bidi="ar-SA"/>
              </w:rPr>
              <w:t>1</w:t>
            </w:r>
            <w:r>
              <w:rPr>
                <w:rFonts w:hint="default"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kern w:val="2"/>
                <w:sz w:val="21"/>
                <w:szCs w:val="21"/>
                <w:highlight w:val="none"/>
                <w:lang w:val="en-US" w:eastAsia="zh-CN"/>
              </w:rPr>
              <w:t>工作目标：</w:t>
            </w:r>
            <w:r>
              <w:rPr>
                <w:rFonts w:hint="eastAsia" w:ascii="宋体" w:hAnsi="宋体" w:eastAsia="宋体" w:cs="宋体"/>
                <w:b w:val="0"/>
                <w:bCs w:val="0"/>
                <w:color w:val="auto"/>
                <w:kern w:val="2"/>
                <w:sz w:val="21"/>
                <w:szCs w:val="21"/>
                <w:highlight w:val="none"/>
                <w:lang w:val="en-US" w:eastAsia="zh-CN"/>
              </w:rPr>
              <w:t>开展古树名木资源普查，摸清资源分布、生长状况和保护管理等情况，形成保护区全面、准确的古树名木资源管理数据库，为科学、精准、依法保护管理古树名木奠定坚实基础，推进古树名木高水平保护和高质量发展。</w:t>
            </w:r>
          </w:p>
          <w:p w14:paraId="169528D7">
            <w:pPr>
              <w:pStyle w:val="50"/>
              <w:keepNext w:val="0"/>
              <w:keepLines w:val="0"/>
              <w:widowControl/>
              <w:numPr>
                <w:ilvl w:val="0"/>
                <w:numId w:val="0"/>
              </w:numPr>
              <w:suppressLineNumbers w:val="0"/>
              <w:spacing w:before="0" w:beforeAutospacing="0" w:after="0" w:afterAutospacing="0" w:line="360" w:lineRule="auto"/>
              <w:ind w:left="0" w:leftChars="0" w:right="0" w:rightChars="0" w:firstLine="422" w:firstLineChars="200"/>
              <w:jc w:val="both"/>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w:t>
            </w:r>
            <w:r>
              <w:rPr>
                <w:rFonts w:hint="default" w:ascii="宋体" w:hAnsi="宋体" w:eastAsia="宋体" w:cs="宋体"/>
                <w:b/>
                <w:bCs/>
                <w:color w:val="auto"/>
                <w:kern w:val="2"/>
                <w:sz w:val="21"/>
                <w:szCs w:val="21"/>
                <w:highlight w:val="none"/>
                <w:lang w:eastAsia="zh-CN"/>
              </w:rPr>
              <w:t>项目实施地点：</w:t>
            </w:r>
            <w:r>
              <w:rPr>
                <w:rFonts w:hint="default" w:ascii="宋体" w:hAnsi="宋体" w:eastAsia="宋体" w:cs="宋体"/>
                <w:b w:val="0"/>
                <w:bCs w:val="0"/>
                <w:color w:val="auto"/>
                <w:kern w:val="0"/>
                <w:sz w:val="21"/>
                <w:szCs w:val="21"/>
                <w:highlight w:val="none"/>
                <w:lang w:val="en-US" w:eastAsia="zh-CN"/>
              </w:rPr>
              <w:t>广西桂林花坪国家级自然保护区界</w:t>
            </w:r>
            <w:r>
              <w:rPr>
                <w:rFonts w:hint="eastAsia" w:ascii="宋体" w:hAnsi="宋体" w:eastAsia="宋体" w:cs="宋体"/>
                <w:b w:val="0"/>
                <w:bCs w:val="0"/>
                <w:color w:val="auto"/>
                <w:kern w:val="0"/>
                <w:sz w:val="21"/>
                <w:szCs w:val="21"/>
                <w:highlight w:val="none"/>
                <w:lang w:val="en-US" w:eastAsia="zh-CN"/>
              </w:rPr>
              <w:t>线范围内</w:t>
            </w:r>
            <w:r>
              <w:rPr>
                <w:rFonts w:hint="default" w:ascii="宋体" w:hAnsi="宋体" w:eastAsia="宋体" w:cs="宋体"/>
                <w:b w:val="0"/>
                <w:bCs w:val="0"/>
                <w:color w:val="auto"/>
                <w:kern w:val="0"/>
                <w:sz w:val="21"/>
                <w:szCs w:val="21"/>
                <w:highlight w:val="none"/>
                <w:lang w:val="en-US" w:eastAsia="zh-CN"/>
              </w:rPr>
              <w:t>。</w:t>
            </w:r>
          </w:p>
          <w:p w14:paraId="33A33287">
            <w:pPr>
              <w:pStyle w:val="50"/>
              <w:keepNext w:val="0"/>
              <w:keepLines w:val="0"/>
              <w:widowControl/>
              <w:suppressLineNumbers w:val="0"/>
              <w:spacing w:before="0" w:beforeAutospacing="0" w:after="0" w:afterAutospacing="0" w:line="360" w:lineRule="auto"/>
              <w:ind w:left="0" w:right="0" w:firstLine="422" w:firstLineChars="200"/>
              <w:jc w:val="both"/>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3.项目主要实施内容：</w:t>
            </w:r>
          </w:p>
          <w:p w14:paraId="6B43FE16">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val="en-US" w:eastAsia="zh-CN"/>
              </w:rPr>
              <w:t>（1）</w:t>
            </w:r>
            <w:r>
              <w:rPr>
                <w:rFonts w:hint="default" w:ascii="宋体" w:hAnsi="宋体" w:eastAsia="宋体" w:cs="宋体"/>
                <w:b w:val="0"/>
                <w:bCs w:val="0"/>
                <w:color w:val="auto"/>
                <w:kern w:val="2"/>
                <w:sz w:val="21"/>
                <w:szCs w:val="21"/>
                <w:highlight w:val="none"/>
                <w:lang w:eastAsia="zh-CN"/>
              </w:rPr>
              <w:t>古树名木识别。利用机载激光雷达数据，</w:t>
            </w:r>
            <w:r>
              <w:rPr>
                <w:rFonts w:hint="eastAsia" w:ascii="宋体" w:hAnsi="宋体" w:eastAsia="宋体" w:cs="宋体"/>
                <w:b w:val="0"/>
                <w:bCs w:val="0"/>
                <w:color w:val="auto"/>
                <w:kern w:val="2"/>
                <w:sz w:val="21"/>
                <w:szCs w:val="21"/>
                <w:highlight w:val="none"/>
                <w:lang w:eastAsia="zh-CN"/>
              </w:rPr>
              <w:t>在根据</w:t>
            </w:r>
            <w:r>
              <w:rPr>
                <w:rFonts w:hint="default" w:ascii="宋体" w:hAnsi="宋体" w:eastAsia="宋体" w:cs="宋体"/>
                <w:b w:val="0"/>
                <w:bCs w:val="0"/>
                <w:color w:val="auto"/>
                <w:kern w:val="2"/>
                <w:sz w:val="21"/>
                <w:szCs w:val="21"/>
                <w:highlight w:val="none"/>
                <w:lang w:eastAsia="zh-CN"/>
              </w:rPr>
              <w:t>古树形态特征设置参数初步提取疑似古树的基础上，结合高分辨率卫星遥感影像判读和实地抽样调查校正，精准识别疑似古树，并通过查阅资料、访问知情者等方式，获取新增名木信息，形成保护区疑似古树名木数据库。</w:t>
            </w:r>
          </w:p>
          <w:p w14:paraId="24E19283">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2</w:t>
            </w:r>
            <w:r>
              <w:rPr>
                <w:rFonts w:hint="eastAsia" w:ascii="宋体" w:hAnsi="宋体" w:eastAsia="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eastAsia="zh-CN"/>
              </w:rPr>
              <w:t>外业调查。根据识别的疑似古树名木数据，对散生古树名木进行每木调查，包括地理位置、立地条件、生长环境、树种、树龄、树高、胸（地）径、冠幅、生长势、树体受损情况、保护现状等，并保存相关图像资料；对古树群，在调查位置边界、面积、古树株数、平均树龄、主要树种组成、保护现状、重要价值、人为干扰情况等整体信息基础上，开展每木调查，或开展抽样调查和典型生境调查，并保存相关图像资料。对地处偏远人力难以到达的古树群，充分利用卫星遥感、无人机等新技术手段，总体掌握资源分布、数量、主要树种等信息，保存相关图像资料。</w:t>
            </w:r>
          </w:p>
          <w:p w14:paraId="0FA3FD97">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eastAsia" w:ascii="宋体" w:hAnsi="宋体" w:eastAsia="宋体" w:cs="宋体"/>
                <w:b w:val="0"/>
                <w:bCs w:val="0"/>
                <w:color w:val="auto"/>
                <w:kern w:val="2"/>
                <w:sz w:val="21"/>
                <w:szCs w:val="21"/>
                <w:highlight w:val="none"/>
                <w:lang w:eastAsia="zh-CN"/>
              </w:rPr>
              <w:t>（</w:t>
            </w:r>
            <w:r>
              <w:rPr>
                <w:rFonts w:hint="eastAsia" w:ascii="宋体" w:hAnsi="宋体" w:eastAsia="宋体" w:cs="宋体"/>
                <w:b w:val="0"/>
                <w:bCs w:val="0"/>
                <w:color w:val="auto"/>
                <w:kern w:val="2"/>
                <w:sz w:val="21"/>
                <w:szCs w:val="21"/>
                <w:highlight w:val="none"/>
                <w:lang w:val="en-US" w:eastAsia="zh-CN"/>
              </w:rPr>
              <w:t>3</w:t>
            </w:r>
            <w:r>
              <w:rPr>
                <w:rFonts w:hint="eastAsia" w:ascii="宋体" w:hAnsi="宋体" w:eastAsia="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eastAsia="zh-CN"/>
              </w:rPr>
              <w:t>内业整理。包括存疑树种鉴定、存疑树龄测定、历史资料补充、数据和资料复核、分析形成统计报表、建立数据库、开展代表性古树名木或重点古树名木三维可视化建模、形成保护区古树名木资源普查报告等。</w:t>
            </w:r>
          </w:p>
          <w:p w14:paraId="4B42B2A5">
            <w:pPr>
              <w:pStyle w:val="50"/>
              <w:keepNext w:val="0"/>
              <w:keepLines w:val="0"/>
              <w:widowControl/>
              <w:suppressLineNumbers w:val="0"/>
              <w:spacing w:before="0" w:beforeAutospacing="0" w:after="0" w:afterAutospacing="0" w:line="360" w:lineRule="auto"/>
              <w:ind w:left="0" w:right="0" w:firstLine="422" w:firstLineChars="200"/>
              <w:jc w:val="both"/>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4.项目实施依据</w:t>
            </w:r>
          </w:p>
          <w:p w14:paraId="05F00BDD">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（1）《中华人民共和国森林法》（2019年修订）</w:t>
            </w:r>
            <w:r>
              <w:rPr>
                <w:rFonts w:hint="eastAsia" w:ascii="宋体" w:hAnsi="宋体" w:eastAsia="宋体" w:cs="宋体"/>
                <w:b w:val="0"/>
                <w:bCs w:val="0"/>
                <w:color w:val="auto"/>
                <w:kern w:val="2"/>
                <w:sz w:val="21"/>
                <w:szCs w:val="21"/>
                <w:highlight w:val="none"/>
                <w:lang w:val="en-US" w:eastAsia="zh-CN"/>
              </w:rPr>
              <w:t>；</w:t>
            </w:r>
          </w:p>
          <w:p w14:paraId="1ED009BE">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w:t>
            </w:r>
            <w:r>
              <w:rPr>
                <w:rFonts w:hint="eastAsia" w:ascii="宋体" w:hAnsi="宋体" w:cs="宋体"/>
                <w:b w:val="0"/>
                <w:bCs w:val="0"/>
                <w:color w:val="auto"/>
                <w:kern w:val="2"/>
                <w:sz w:val="21"/>
                <w:szCs w:val="21"/>
                <w:highlight w:val="none"/>
                <w:lang w:val="en-US" w:eastAsia="zh-CN"/>
              </w:rPr>
              <w:t>2</w:t>
            </w:r>
            <w:r>
              <w:rPr>
                <w:rFonts w:hint="default" w:ascii="宋体" w:hAnsi="宋体" w:eastAsia="宋体" w:cs="宋体"/>
                <w:b w:val="0"/>
                <w:bCs w:val="0"/>
                <w:color w:val="auto"/>
                <w:kern w:val="2"/>
                <w:sz w:val="21"/>
                <w:szCs w:val="21"/>
                <w:highlight w:val="none"/>
                <w:lang w:val="en-US" w:eastAsia="zh-CN"/>
              </w:rPr>
              <w:t>）《中华人民共和国自然保护区条例》（2026年修订）</w:t>
            </w:r>
            <w:r>
              <w:rPr>
                <w:rFonts w:hint="eastAsia" w:ascii="宋体" w:hAnsi="宋体" w:eastAsia="宋体" w:cs="宋体"/>
                <w:b w:val="0"/>
                <w:bCs w:val="0"/>
                <w:color w:val="auto"/>
                <w:kern w:val="2"/>
                <w:sz w:val="21"/>
                <w:szCs w:val="21"/>
                <w:highlight w:val="none"/>
                <w:lang w:val="en-US" w:eastAsia="zh-CN"/>
              </w:rPr>
              <w:t>；</w:t>
            </w:r>
          </w:p>
          <w:p w14:paraId="1C71473C">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w:t>
            </w:r>
            <w:r>
              <w:rPr>
                <w:rFonts w:hint="eastAsia" w:ascii="宋体" w:hAnsi="宋体" w:cs="宋体"/>
                <w:b w:val="0"/>
                <w:bCs w:val="0"/>
                <w:color w:val="auto"/>
                <w:kern w:val="2"/>
                <w:sz w:val="21"/>
                <w:szCs w:val="21"/>
                <w:highlight w:val="none"/>
                <w:lang w:val="en-US" w:eastAsia="zh-CN"/>
              </w:rPr>
              <w:t>3</w:t>
            </w:r>
            <w:r>
              <w:rPr>
                <w:rFonts w:hint="default" w:ascii="宋体" w:hAnsi="宋体" w:eastAsia="宋体" w:cs="宋体"/>
                <w:b w:val="0"/>
                <w:bCs w:val="0"/>
                <w:color w:val="auto"/>
                <w:kern w:val="2"/>
                <w:sz w:val="21"/>
                <w:szCs w:val="21"/>
                <w:highlight w:val="none"/>
                <w:lang w:val="en-US" w:eastAsia="zh-CN"/>
              </w:rPr>
              <w:t>）《中华人民共和国森林法实施条例》（2018年修订）</w:t>
            </w:r>
            <w:r>
              <w:rPr>
                <w:rFonts w:hint="eastAsia" w:ascii="宋体" w:hAnsi="宋体" w:eastAsia="宋体" w:cs="宋体"/>
                <w:b w:val="0"/>
                <w:bCs w:val="0"/>
                <w:color w:val="auto"/>
                <w:kern w:val="2"/>
                <w:sz w:val="21"/>
                <w:szCs w:val="21"/>
                <w:highlight w:val="none"/>
                <w:lang w:val="en-US" w:eastAsia="zh-CN"/>
              </w:rPr>
              <w:t>；</w:t>
            </w:r>
          </w:p>
          <w:p w14:paraId="713A284F">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w:t>
            </w:r>
            <w:r>
              <w:rPr>
                <w:rFonts w:hint="eastAsia" w:ascii="宋体" w:hAnsi="宋体" w:cs="宋体"/>
                <w:b w:val="0"/>
                <w:bCs w:val="0"/>
                <w:color w:val="auto"/>
                <w:kern w:val="2"/>
                <w:sz w:val="21"/>
                <w:szCs w:val="21"/>
                <w:highlight w:val="none"/>
                <w:lang w:val="en-US" w:eastAsia="zh-CN"/>
              </w:rPr>
              <w:t>4</w:t>
            </w:r>
            <w:r>
              <w:rPr>
                <w:rFonts w:hint="eastAsia" w:ascii="宋体" w:hAnsi="宋体" w:eastAsia="宋体" w:cs="宋体"/>
                <w:b w:val="0"/>
                <w:bCs w:val="0"/>
                <w:color w:val="auto"/>
                <w:kern w:val="2"/>
                <w:sz w:val="21"/>
                <w:szCs w:val="21"/>
                <w:highlight w:val="none"/>
                <w:lang w:val="en-US" w:eastAsia="zh-CN"/>
              </w:rPr>
              <w:t>）《中华人民共和国野生植物保护条例》</w:t>
            </w:r>
            <w:r>
              <w:rPr>
                <w:rFonts w:hint="default" w:ascii="宋体" w:hAnsi="宋体" w:eastAsia="宋体" w:cs="宋体"/>
                <w:b w:val="0"/>
                <w:bCs w:val="0"/>
                <w:color w:val="auto"/>
                <w:kern w:val="2"/>
                <w:sz w:val="21"/>
                <w:szCs w:val="21"/>
                <w:highlight w:val="none"/>
                <w:lang w:val="en-US" w:eastAsia="zh-CN"/>
              </w:rPr>
              <w:t>（201</w:t>
            </w:r>
            <w:r>
              <w:rPr>
                <w:rFonts w:hint="eastAsia" w:ascii="宋体" w:hAnsi="宋体" w:eastAsia="宋体" w:cs="宋体"/>
                <w:b w:val="0"/>
                <w:bCs w:val="0"/>
                <w:color w:val="auto"/>
                <w:kern w:val="2"/>
                <w:sz w:val="21"/>
                <w:szCs w:val="21"/>
                <w:highlight w:val="none"/>
                <w:lang w:val="en-US" w:eastAsia="zh-CN"/>
              </w:rPr>
              <w:t>7</w:t>
            </w:r>
            <w:r>
              <w:rPr>
                <w:rFonts w:hint="default" w:ascii="宋体" w:hAnsi="宋体" w:eastAsia="宋体" w:cs="宋体"/>
                <w:b w:val="0"/>
                <w:bCs w:val="0"/>
                <w:color w:val="auto"/>
                <w:kern w:val="2"/>
                <w:sz w:val="21"/>
                <w:szCs w:val="21"/>
                <w:highlight w:val="none"/>
                <w:lang w:val="en-US" w:eastAsia="zh-CN"/>
              </w:rPr>
              <w:t>年</w:t>
            </w:r>
            <w:r>
              <w:rPr>
                <w:rFonts w:hint="eastAsia" w:ascii="宋体" w:hAnsi="宋体" w:eastAsia="宋体" w:cs="宋体"/>
                <w:b w:val="0"/>
                <w:bCs w:val="0"/>
                <w:color w:val="auto"/>
                <w:kern w:val="2"/>
                <w:sz w:val="21"/>
                <w:szCs w:val="21"/>
                <w:highlight w:val="none"/>
                <w:lang w:val="en-US" w:eastAsia="zh-CN"/>
              </w:rPr>
              <w:t>修正</w:t>
            </w:r>
            <w:r>
              <w:rPr>
                <w:rFonts w:hint="default" w:ascii="宋体" w:hAnsi="宋体" w:eastAsia="宋体" w:cs="宋体"/>
                <w:b w:val="0"/>
                <w:bCs w:val="0"/>
                <w:color w:val="auto"/>
                <w:kern w:val="2"/>
                <w:sz w:val="21"/>
                <w:szCs w:val="21"/>
                <w:highlight w:val="none"/>
                <w:lang w:val="en-US" w:eastAsia="zh-CN"/>
              </w:rPr>
              <w:t>）</w:t>
            </w:r>
            <w:r>
              <w:rPr>
                <w:rFonts w:hint="eastAsia" w:ascii="宋体" w:hAnsi="宋体" w:eastAsia="宋体" w:cs="宋体"/>
                <w:b w:val="0"/>
                <w:bCs w:val="0"/>
                <w:color w:val="auto"/>
                <w:kern w:val="2"/>
                <w:sz w:val="21"/>
                <w:szCs w:val="21"/>
                <w:highlight w:val="none"/>
                <w:lang w:val="en-US" w:eastAsia="zh-CN"/>
              </w:rPr>
              <w:t>；</w:t>
            </w:r>
          </w:p>
          <w:p w14:paraId="12FF7B82">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w:t>
            </w:r>
            <w:r>
              <w:rPr>
                <w:rFonts w:hint="eastAsia" w:ascii="宋体" w:hAnsi="宋体" w:cs="宋体"/>
                <w:b w:val="0"/>
                <w:bCs w:val="0"/>
                <w:color w:val="auto"/>
                <w:kern w:val="2"/>
                <w:sz w:val="21"/>
                <w:szCs w:val="21"/>
                <w:highlight w:val="none"/>
                <w:lang w:val="en-US" w:eastAsia="zh-CN"/>
              </w:rPr>
              <w:t>5</w:t>
            </w:r>
            <w:r>
              <w:rPr>
                <w:rFonts w:hint="eastAsia" w:ascii="宋体" w:hAnsi="宋体" w:eastAsia="宋体" w:cs="宋体"/>
                <w:b w:val="0"/>
                <w:bCs w:val="0"/>
                <w:color w:val="auto"/>
                <w:kern w:val="2"/>
                <w:sz w:val="21"/>
                <w:szCs w:val="21"/>
                <w:highlight w:val="none"/>
                <w:lang w:val="en-US" w:eastAsia="zh-CN"/>
              </w:rPr>
              <w:t>）</w:t>
            </w:r>
            <w:r>
              <w:rPr>
                <w:rFonts w:hint="default" w:ascii="宋体" w:hAnsi="宋体" w:eastAsia="宋体" w:cs="宋体"/>
                <w:b w:val="0"/>
                <w:bCs w:val="0"/>
                <w:color w:val="auto"/>
                <w:kern w:val="2"/>
                <w:sz w:val="21"/>
                <w:szCs w:val="21"/>
                <w:highlight w:val="none"/>
                <w:lang w:val="en-US" w:eastAsia="zh-CN"/>
              </w:rPr>
              <w:t>《广西壮族自治区野生动物保护条例》（202</w:t>
            </w:r>
            <w:r>
              <w:rPr>
                <w:rFonts w:hint="eastAsia" w:ascii="宋体" w:hAnsi="宋体" w:eastAsia="宋体" w:cs="宋体"/>
                <w:b w:val="0"/>
                <w:bCs w:val="0"/>
                <w:color w:val="auto"/>
                <w:kern w:val="2"/>
                <w:sz w:val="21"/>
                <w:szCs w:val="21"/>
                <w:highlight w:val="none"/>
                <w:lang w:val="en-US" w:eastAsia="zh-CN"/>
              </w:rPr>
              <w:t>3</w:t>
            </w:r>
            <w:r>
              <w:rPr>
                <w:rFonts w:hint="default" w:ascii="宋体" w:hAnsi="宋体" w:eastAsia="宋体" w:cs="宋体"/>
                <w:b w:val="0"/>
                <w:bCs w:val="0"/>
                <w:color w:val="auto"/>
                <w:kern w:val="2"/>
                <w:sz w:val="21"/>
                <w:szCs w:val="21"/>
                <w:highlight w:val="none"/>
                <w:lang w:val="en-US" w:eastAsia="zh-CN"/>
              </w:rPr>
              <w:t>年</w:t>
            </w:r>
            <w:r>
              <w:rPr>
                <w:rFonts w:hint="eastAsia" w:ascii="宋体" w:hAnsi="宋体" w:eastAsia="宋体" w:cs="宋体"/>
                <w:b w:val="0"/>
                <w:bCs w:val="0"/>
                <w:color w:val="auto"/>
                <w:kern w:val="2"/>
                <w:sz w:val="21"/>
                <w:szCs w:val="21"/>
                <w:highlight w:val="none"/>
                <w:lang w:val="en-US" w:eastAsia="zh-CN"/>
              </w:rPr>
              <w:t>）；</w:t>
            </w:r>
          </w:p>
          <w:p w14:paraId="29B3724F">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w:t>
            </w:r>
            <w:r>
              <w:rPr>
                <w:rFonts w:hint="eastAsia" w:ascii="宋体" w:hAnsi="宋体" w:cs="宋体"/>
                <w:b w:val="0"/>
                <w:bCs w:val="0"/>
                <w:color w:val="auto"/>
                <w:kern w:val="2"/>
                <w:sz w:val="21"/>
                <w:szCs w:val="21"/>
                <w:highlight w:val="none"/>
                <w:lang w:val="en-US" w:eastAsia="zh-CN"/>
              </w:rPr>
              <w:t>6</w:t>
            </w:r>
            <w:r>
              <w:rPr>
                <w:rFonts w:hint="default" w:ascii="宋体" w:hAnsi="宋体" w:eastAsia="宋体" w:cs="宋体"/>
                <w:b w:val="0"/>
                <w:bCs w:val="0"/>
                <w:color w:val="auto"/>
                <w:kern w:val="2"/>
                <w:sz w:val="21"/>
                <w:szCs w:val="21"/>
                <w:highlight w:val="none"/>
                <w:lang w:val="en-US" w:eastAsia="zh-CN"/>
              </w:rPr>
              <w:t>）《古树名木保护条例》（2025年）</w:t>
            </w:r>
            <w:r>
              <w:rPr>
                <w:rFonts w:hint="eastAsia" w:ascii="宋体" w:hAnsi="宋体" w:eastAsia="宋体" w:cs="宋体"/>
                <w:b w:val="0"/>
                <w:bCs w:val="0"/>
                <w:color w:val="auto"/>
                <w:kern w:val="2"/>
                <w:sz w:val="21"/>
                <w:szCs w:val="21"/>
                <w:highlight w:val="none"/>
                <w:lang w:val="en-US" w:eastAsia="zh-CN"/>
              </w:rPr>
              <w:t>；</w:t>
            </w:r>
          </w:p>
          <w:p w14:paraId="3C784E33">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w:t>
            </w:r>
            <w:r>
              <w:rPr>
                <w:rFonts w:hint="eastAsia" w:ascii="宋体" w:hAnsi="宋体" w:cs="宋体"/>
                <w:b w:val="0"/>
                <w:bCs w:val="0"/>
                <w:color w:val="auto"/>
                <w:kern w:val="2"/>
                <w:sz w:val="21"/>
                <w:szCs w:val="21"/>
                <w:highlight w:val="none"/>
                <w:lang w:val="en-US" w:eastAsia="zh-CN"/>
              </w:rPr>
              <w:t>7</w:t>
            </w:r>
            <w:r>
              <w:rPr>
                <w:rFonts w:hint="default" w:ascii="宋体" w:hAnsi="宋体" w:eastAsia="宋体" w:cs="宋体"/>
                <w:b w:val="0"/>
                <w:bCs w:val="0"/>
                <w:color w:val="auto"/>
                <w:kern w:val="2"/>
                <w:sz w:val="21"/>
                <w:szCs w:val="21"/>
                <w:highlight w:val="none"/>
                <w:lang w:val="en-US" w:eastAsia="zh-CN"/>
              </w:rPr>
              <w:t>）《全国绿化委员会办公室关于开展第三次全国古树名木资源普查的通知》（全绿办〔2025〕9号）</w:t>
            </w:r>
            <w:r>
              <w:rPr>
                <w:rFonts w:hint="eastAsia" w:ascii="宋体" w:hAnsi="宋体" w:eastAsia="宋体" w:cs="宋体"/>
                <w:b w:val="0"/>
                <w:bCs w:val="0"/>
                <w:color w:val="auto"/>
                <w:kern w:val="2"/>
                <w:sz w:val="21"/>
                <w:szCs w:val="21"/>
                <w:highlight w:val="none"/>
                <w:lang w:val="en-US" w:eastAsia="zh-CN"/>
              </w:rPr>
              <w:t>；</w:t>
            </w:r>
          </w:p>
          <w:p w14:paraId="2D6B4B91">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val="en-US" w:eastAsia="zh-CN"/>
              </w:rPr>
            </w:pPr>
            <w:r>
              <w:rPr>
                <w:rFonts w:hint="default" w:ascii="宋体" w:hAnsi="宋体" w:eastAsia="宋体" w:cs="宋体"/>
                <w:b w:val="0"/>
                <w:bCs w:val="0"/>
                <w:color w:val="auto"/>
                <w:kern w:val="2"/>
                <w:sz w:val="21"/>
                <w:szCs w:val="21"/>
                <w:highlight w:val="none"/>
                <w:lang w:val="en-US" w:eastAsia="zh-CN"/>
              </w:rPr>
              <w:t>（</w:t>
            </w:r>
            <w:r>
              <w:rPr>
                <w:rFonts w:hint="eastAsia" w:ascii="宋体" w:hAnsi="宋体" w:cs="宋体"/>
                <w:b w:val="0"/>
                <w:bCs w:val="0"/>
                <w:color w:val="auto"/>
                <w:kern w:val="2"/>
                <w:sz w:val="21"/>
                <w:szCs w:val="21"/>
                <w:highlight w:val="none"/>
                <w:lang w:val="en-US" w:eastAsia="zh-CN"/>
              </w:rPr>
              <w:t>8</w:t>
            </w:r>
            <w:r>
              <w:rPr>
                <w:rFonts w:hint="default" w:ascii="宋体" w:hAnsi="宋体" w:eastAsia="宋体" w:cs="宋体"/>
                <w:b w:val="0"/>
                <w:bCs w:val="0"/>
                <w:color w:val="auto"/>
                <w:kern w:val="2"/>
                <w:sz w:val="21"/>
                <w:szCs w:val="21"/>
                <w:highlight w:val="none"/>
                <w:lang w:val="en-US" w:eastAsia="zh-CN"/>
              </w:rPr>
              <w:t>）《全国绿化委员会办公室关于印发〈第三次全国古树名木资源普查技术方案（试行）〉的通知》（全绿办〔2025〕12号）</w:t>
            </w:r>
            <w:r>
              <w:rPr>
                <w:rFonts w:hint="eastAsia" w:ascii="宋体" w:hAnsi="宋体" w:eastAsia="宋体" w:cs="宋体"/>
                <w:b w:val="0"/>
                <w:bCs w:val="0"/>
                <w:color w:val="auto"/>
                <w:kern w:val="2"/>
                <w:sz w:val="21"/>
                <w:szCs w:val="21"/>
                <w:highlight w:val="none"/>
                <w:lang w:val="en-US" w:eastAsia="zh-CN"/>
              </w:rPr>
              <w:t>；</w:t>
            </w:r>
          </w:p>
          <w:p w14:paraId="2F783A0A">
            <w:pPr>
              <w:pStyle w:val="50"/>
              <w:keepNext w:val="0"/>
              <w:keepLines w:val="0"/>
              <w:widowControl/>
              <w:suppressLineNumbers w:val="0"/>
              <w:spacing w:before="0" w:beforeAutospacing="0" w:after="0" w:afterAutospacing="0" w:line="360" w:lineRule="auto"/>
              <w:ind w:left="0" w:right="0" w:firstLine="422" w:firstLineChars="200"/>
              <w:jc w:val="both"/>
              <w:rPr>
                <w:rFonts w:hint="default"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5.</w:t>
            </w:r>
            <w:r>
              <w:rPr>
                <w:rFonts w:hint="default" w:ascii="宋体" w:hAnsi="宋体" w:eastAsia="宋体" w:cs="宋体"/>
                <w:b/>
                <w:bCs/>
                <w:color w:val="auto"/>
                <w:kern w:val="2"/>
                <w:sz w:val="21"/>
                <w:szCs w:val="21"/>
                <w:highlight w:val="none"/>
                <w:lang w:eastAsia="zh-CN"/>
              </w:rPr>
              <w:t>成果</w:t>
            </w:r>
            <w:r>
              <w:rPr>
                <w:rFonts w:hint="eastAsia" w:ascii="宋体" w:hAnsi="宋体" w:eastAsia="宋体" w:cs="宋体"/>
                <w:b/>
                <w:bCs/>
                <w:color w:val="auto"/>
                <w:kern w:val="2"/>
                <w:sz w:val="21"/>
                <w:szCs w:val="21"/>
                <w:highlight w:val="none"/>
                <w:lang w:val="en-US" w:eastAsia="zh-CN"/>
              </w:rPr>
              <w:t>提交</w:t>
            </w:r>
          </w:p>
          <w:p w14:paraId="72F8A090">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val="en-US" w:eastAsia="zh-CN"/>
              </w:rPr>
              <w:t>1</w:t>
            </w:r>
            <w:r>
              <w:rPr>
                <w:rFonts w:hint="default" w:ascii="宋体" w:hAnsi="宋体" w:eastAsia="宋体" w:cs="宋体"/>
                <w:b w:val="0"/>
                <w:bCs w:val="0"/>
                <w:color w:val="auto"/>
                <w:kern w:val="2"/>
                <w:sz w:val="21"/>
                <w:szCs w:val="21"/>
                <w:highlight w:val="none"/>
                <w:lang w:eastAsia="zh-CN"/>
              </w:rPr>
              <w:t>）数据</w:t>
            </w:r>
            <w:r>
              <w:rPr>
                <w:rFonts w:hint="default" w:ascii="宋体" w:hAnsi="宋体" w:eastAsia="宋体" w:cs="宋体"/>
                <w:b w:val="0"/>
                <w:bCs w:val="0"/>
                <w:color w:val="auto"/>
                <w:kern w:val="2"/>
                <w:sz w:val="21"/>
                <w:szCs w:val="21"/>
                <w:highlight w:val="none"/>
                <w:lang w:val="en-US" w:eastAsia="zh-CN"/>
              </w:rPr>
              <w:t>库</w:t>
            </w:r>
          </w:p>
          <w:p w14:paraId="6AD0489D">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根据调查结果，建立基于先进信息技术的多维度数据和信息库。</w:t>
            </w:r>
          </w:p>
          <w:p w14:paraId="0A61C727">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val="en-US" w:eastAsia="zh-CN"/>
              </w:rPr>
              <w:t>2</w:t>
            </w:r>
            <w:r>
              <w:rPr>
                <w:rFonts w:hint="default" w:ascii="宋体" w:hAnsi="宋体" w:eastAsia="宋体" w:cs="宋体"/>
                <w:b w:val="0"/>
                <w:bCs w:val="0"/>
                <w:color w:val="auto"/>
                <w:kern w:val="2"/>
                <w:sz w:val="21"/>
                <w:szCs w:val="21"/>
                <w:highlight w:val="none"/>
                <w:lang w:eastAsia="zh-CN"/>
              </w:rPr>
              <w:t>）影像资料</w:t>
            </w:r>
          </w:p>
          <w:p w14:paraId="07B65004">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包括古树名木（古树群）多角度全景彩照，呈现特殊状况的局部照片，以及代表性古树名木（古树群）视频资料。</w:t>
            </w:r>
          </w:p>
          <w:p w14:paraId="52D27651">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val="en-US" w:eastAsia="zh-CN"/>
              </w:rPr>
              <w:t>3</w:t>
            </w:r>
            <w:r>
              <w:rPr>
                <w:rFonts w:hint="default" w:ascii="宋体" w:hAnsi="宋体" w:eastAsia="宋体" w:cs="宋体"/>
                <w:b w:val="0"/>
                <w:bCs w:val="0"/>
                <w:color w:val="auto"/>
                <w:kern w:val="2"/>
                <w:sz w:val="21"/>
                <w:szCs w:val="21"/>
                <w:highlight w:val="none"/>
                <w:lang w:eastAsia="zh-CN"/>
              </w:rPr>
              <w:t>）统计报表</w:t>
            </w:r>
          </w:p>
          <w:p w14:paraId="11BA8044">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形成包括古树名木分类株数统计表、分树种株数统计表、古树名木名录等统计报表。</w:t>
            </w:r>
          </w:p>
          <w:p w14:paraId="4B34429A">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val="en-US" w:eastAsia="zh-CN"/>
              </w:rPr>
              <w:t>4</w:t>
            </w:r>
            <w:r>
              <w:rPr>
                <w:rFonts w:hint="default" w:ascii="宋体" w:hAnsi="宋体" w:eastAsia="宋体" w:cs="宋体"/>
                <w:b w:val="0"/>
                <w:bCs w:val="0"/>
                <w:color w:val="auto"/>
                <w:kern w:val="2"/>
                <w:sz w:val="21"/>
                <w:szCs w:val="21"/>
                <w:highlight w:val="none"/>
                <w:lang w:eastAsia="zh-CN"/>
              </w:rPr>
              <w:t>）</w:t>
            </w:r>
            <w:r>
              <w:rPr>
                <w:rFonts w:hint="default" w:ascii="宋体" w:hAnsi="宋体" w:eastAsia="宋体" w:cs="宋体"/>
                <w:b w:val="0"/>
                <w:bCs w:val="0"/>
                <w:color w:val="auto"/>
                <w:kern w:val="2"/>
                <w:sz w:val="21"/>
                <w:szCs w:val="21"/>
                <w:highlight w:val="none"/>
                <w:lang w:val="en-US" w:eastAsia="zh-CN"/>
              </w:rPr>
              <w:t>成果</w:t>
            </w:r>
            <w:r>
              <w:rPr>
                <w:rFonts w:hint="default" w:ascii="宋体" w:hAnsi="宋体" w:eastAsia="宋体" w:cs="宋体"/>
                <w:b w:val="0"/>
                <w:bCs w:val="0"/>
                <w:color w:val="auto"/>
                <w:kern w:val="2"/>
                <w:sz w:val="21"/>
                <w:szCs w:val="21"/>
                <w:highlight w:val="none"/>
                <w:lang w:eastAsia="zh-CN"/>
              </w:rPr>
              <w:t>报告</w:t>
            </w:r>
          </w:p>
          <w:p w14:paraId="7187FA36">
            <w:pPr>
              <w:pStyle w:val="50"/>
              <w:keepNext w:val="0"/>
              <w:keepLines w:val="0"/>
              <w:widowControl/>
              <w:suppressLineNumbers w:val="0"/>
              <w:spacing w:before="0" w:beforeAutospacing="0" w:after="0" w:afterAutospacing="0" w:line="360" w:lineRule="auto"/>
              <w:ind w:left="0" w:right="0" w:firstLine="420" w:firstLineChars="20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val="en-US" w:eastAsia="zh-CN"/>
              </w:rPr>
              <w:t>编写</w:t>
            </w:r>
            <w:r>
              <w:rPr>
                <w:rFonts w:hint="eastAsia" w:ascii="宋体" w:hAnsi="宋体" w:eastAsia="宋体" w:cs="宋体"/>
                <w:b w:val="0"/>
                <w:bCs w:val="0"/>
                <w:color w:val="auto"/>
                <w:kern w:val="2"/>
                <w:sz w:val="21"/>
                <w:szCs w:val="21"/>
                <w:highlight w:val="none"/>
                <w:lang w:val="en-US" w:eastAsia="zh-CN"/>
              </w:rPr>
              <w:t>普查</w:t>
            </w:r>
            <w:r>
              <w:rPr>
                <w:rFonts w:hint="default" w:ascii="宋体" w:hAnsi="宋体" w:eastAsia="宋体" w:cs="宋体"/>
                <w:b w:val="0"/>
                <w:bCs w:val="0"/>
                <w:color w:val="auto"/>
                <w:kern w:val="2"/>
                <w:sz w:val="21"/>
                <w:szCs w:val="21"/>
                <w:highlight w:val="none"/>
                <w:lang w:val="en-US" w:eastAsia="zh-CN"/>
              </w:rPr>
              <w:t>报告，内容主要包括普查工作基本情况、古树名木资源状况、保护管理现状、资源评价、对策建议等</w:t>
            </w:r>
            <w:r>
              <w:rPr>
                <w:rFonts w:hint="default" w:ascii="宋体" w:hAnsi="宋体" w:eastAsia="宋体" w:cs="宋体"/>
                <w:b w:val="0"/>
                <w:bCs w:val="0"/>
                <w:color w:val="auto"/>
                <w:kern w:val="2"/>
                <w:sz w:val="21"/>
                <w:szCs w:val="21"/>
                <w:highlight w:val="none"/>
                <w:lang w:eastAsia="zh-CN"/>
              </w:rPr>
              <w:t>。</w:t>
            </w:r>
          </w:p>
          <w:p w14:paraId="7AC48E82">
            <w:pPr>
              <w:pStyle w:val="50"/>
              <w:keepNext w:val="0"/>
              <w:keepLines w:val="0"/>
              <w:widowControl/>
              <w:suppressLineNumbers w:val="0"/>
              <w:spacing w:before="0" w:beforeAutospacing="0" w:after="0" w:afterAutospacing="0" w:line="360" w:lineRule="auto"/>
              <w:ind w:left="0" w:right="0" w:firstLine="422" w:firstLineChars="200"/>
              <w:jc w:val="both"/>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6.服务要求：</w:t>
            </w:r>
            <w:r>
              <w:rPr>
                <w:rFonts w:hint="eastAsia" w:ascii="宋体" w:hAnsi="宋体" w:eastAsia="宋体" w:cs="宋体"/>
                <w:b w:val="0"/>
                <w:bCs w:val="0"/>
                <w:color w:val="auto"/>
                <w:kern w:val="2"/>
                <w:sz w:val="21"/>
                <w:szCs w:val="21"/>
                <w:highlight w:val="none"/>
                <w:lang w:val="en-US" w:eastAsia="zh-CN"/>
              </w:rPr>
              <w:t>需按照竞争性磋商文件中的采购需求执行。</w:t>
            </w:r>
          </w:p>
          <w:p w14:paraId="5E9DAB8A">
            <w:pPr>
              <w:pStyle w:val="50"/>
              <w:keepNext w:val="0"/>
              <w:keepLines w:val="0"/>
              <w:widowControl/>
              <w:suppressLineNumbers w:val="0"/>
              <w:spacing w:before="0" w:beforeAutospacing="0" w:after="0" w:afterAutospacing="0" w:line="360" w:lineRule="auto"/>
              <w:ind w:left="0" w:right="0" w:firstLine="422" w:firstLineChars="200"/>
              <w:jc w:val="both"/>
              <w:rPr>
                <w:rFonts w:hint="default" w:ascii="宋体" w:hAnsi="宋体" w:eastAsia="宋体" w:cs="宋体"/>
                <w:b w:val="0"/>
                <w:bCs w:val="0"/>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7.服务标准：</w:t>
            </w:r>
            <w:r>
              <w:rPr>
                <w:rFonts w:hint="eastAsia" w:ascii="宋体" w:hAnsi="宋体" w:eastAsia="宋体" w:cs="宋体"/>
                <w:b w:val="0"/>
                <w:bCs w:val="0"/>
                <w:color w:val="auto"/>
                <w:kern w:val="2"/>
                <w:sz w:val="21"/>
                <w:szCs w:val="21"/>
                <w:highlight w:val="none"/>
                <w:lang w:val="en-US" w:eastAsia="zh-CN"/>
              </w:rPr>
              <w:t>符合现行国家相关标准、行业标准、地方标准或者其他标准、规范。</w:t>
            </w:r>
          </w:p>
        </w:tc>
      </w:tr>
      <w:tr w14:paraId="52CF4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jc w:val="center"/>
        </w:trPr>
        <w:tc>
          <w:tcPr>
            <w:tcW w:w="9345" w:type="dxa"/>
            <w:gridSpan w:val="5"/>
            <w:tcBorders>
              <w:top w:val="single" w:color="auto" w:sz="4" w:space="0"/>
              <w:left w:val="single" w:color="auto" w:sz="4" w:space="0"/>
              <w:bottom w:val="single" w:color="auto" w:sz="4" w:space="0"/>
              <w:right w:val="single" w:color="auto" w:sz="4" w:space="0"/>
            </w:tcBorders>
            <w:noWrap w:val="0"/>
            <w:vAlign w:val="top"/>
          </w:tcPr>
          <w:p w14:paraId="6168F1EA">
            <w:pPr>
              <w:keepNext w:val="0"/>
              <w:keepLines w:val="0"/>
              <w:suppressLineNumbers w:val="0"/>
              <w:wordWrap w:val="0"/>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▲二、商务要求</w:t>
            </w:r>
          </w:p>
        </w:tc>
      </w:tr>
      <w:tr w14:paraId="55A9F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34F65AAA">
            <w:pPr>
              <w:keepNext w:val="0"/>
              <w:keepLines w:val="0"/>
              <w:suppressLineNumbers w:val="0"/>
              <w:wordWrap w:val="0"/>
              <w:spacing w:before="0" w:beforeAutospacing="0" w:after="0" w:afterAutospacing="0" w:line="360" w:lineRule="auto"/>
              <w:ind w:left="0" w:right="0"/>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合同履行期限</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432FF3F7">
            <w:pPr>
              <w:keepNext w:val="0"/>
              <w:keepLines w:val="0"/>
              <w:suppressLineNumbers w:val="0"/>
              <w:wordWrap w:val="0"/>
              <w:spacing w:before="0" w:beforeAutospacing="0" w:after="0" w:afterAutospacing="0" w:line="360" w:lineRule="auto"/>
              <w:ind w:left="0" w:right="0"/>
              <w:jc w:val="left"/>
              <w:rPr>
                <w:rFonts w:hint="eastAsia"/>
                <w:color w:val="auto"/>
                <w:highlight w:val="none"/>
                <w:lang w:eastAsia="zh-CN"/>
              </w:rPr>
            </w:pPr>
            <w:r>
              <w:rPr>
                <w:rFonts w:hint="eastAsia" w:ascii="宋体" w:hAnsi="宋体" w:eastAsia="宋体" w:cs="宋体"/>
                <w:color w:val="auto"/>
                <w:szCs w:val="21"/>
                <w:highlight w:val="none"/>
                <w:lang w:eastAsia="zh-CN"/>
              </w:rPr>
              <w:t>自合同签订之日起至202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31日</w:t>
            </w:r>
            <w:r>
              <w:rPr>
                <w:rFonts w:hint="eastAsia" w:ascii="宋体" w:hAnsi="宋体" w:eastAsia="宋体" w:cs="宋体"/>
                <w:color w:val="auto"/>
                <w:szCs w:val="21"/>
                <w:highlight w:val="none"/>
                <w:lang w:eastAsia="zh-CN"/>
              </w:rPr>
              <w:t>完成全部工作，提交成果并</w:t>
            </w:r>
            <w:r>
              <w:rPr>
                <w:rFonts w:hint="eastAsia" w:ascii="宋体" w:hAnsi="宋体" w:eastAsia="宋体" w:cs="宋体"/>
                <w:color w:val="auto"/>
                <w:szCs w:val="21"/>
                <w:highlight w:val="none"/>
                <w:lang w:val="en-US" w:eastAsia="zh-CN"/>
              </w:rPr>
              <w:t>通过采购人</w:t>
            </w:r>
            <w:r>
              <w:rPr>
                <w:rFonts w:hint="eastAsia" w:ascii="宋体" w:hAnsi="宋体" w:eastAsia="宋体" w:cs="宋体"/>
                <w:color w:val="auto"/>
                <w:szCs w:val="21"/>
                <w:highlight w:val="none"/>
                <w:lang w:eastAsia="zh-CN"/>
              </w:rPr>
              <w:t>内部验收。</w:t>
            </w:r>
          </w:p>
        </w:tc>
      </w:tr>
      <w:tr w14:paraId="62683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00233871">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服务地点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3049A88D">
            <w:pPr>
              <w:keepNext w:val="0"/>
              <w:keepLines w:val="0"/>
              <w:suppressLineNumbers w:val="0"/>
              <w:wordWrap w:val="0"/>
              <w:spacing w:before="0" w:beforeAutospacing="0" w:after="0" w:afterAutospacing="0" w:line="360" w:lineRule="auto"/>
              <w:ind w:left="0" w:right="0"/>
              <w:jc w:val="left"/>
              <w:rPr>
                <w:rFonts w:hint="eastAsia"/>
                <w:color w:val="auto"/>
                <w:highlight w:val="none"/>
                <w:lang w:eastAsia="zh-CN"/>
              </w:rPr>
            </w:pPr>
            <w:r>
              <w:rPr>
                <w:rFonts w:hint="eastAsia" w:ascii="宋体" w:hAnsi="宋体" w:eastAsia="宋体" w:cs="宋体"/>
                <w:color w:val="auto"/>
                <w:sz w:val="21"/>
                <w:szCs w:val="21"/>
                <w:highlight w:val="none"/>
                <w:lang w:eastAsia="zh-CN"/>
              </w:rPr>
              <w:t>广西壮族自治区内采购人指定地点。</w:t>
            </w:r>
          </w:p>
        </w:tc>
      </w:tr>
      <w:tr w14:paraId="7088A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061569C5">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合同签订时间</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0C896233">
            <w:pPr>
              <w:keepNext w:val="0"/>
              <w:keepLines w:val="0"/>
              <w:suppressLineNumbers w:val="0"/>
              <w:wordWrap w:val="0"/>
              <w:spacing w:before="0" w:beforeAutospacing="0" w:after="0" w:afterAutospacing="0" w:line="360" w:lineRule="auto"/>
              <w:ind w:left="0" w:right="0" w:firstLine="0" w:firstLineChars="0"/>
              <w:rPr>
                <w:rFonts w:hint="eastAsia" w:ascii="宋体" w:hAnsi="宋体" w:eastAsia="宋体" w:cs="宋体"/>
                <w:b/>
                <w:color w:val="auto"/>
                <w:szCs w:val="21"/>
                <w:highlight w:val="none"/>
              </w:rPr>
            </w:pPr>
            <w:r>
              <w:rPr>
                <w:rFonts w:hint="eastAsia" w:ascii="宋体" w:hAnsi="宋体" w:cs="宋体"/>
                <w:color w:val="auto"/>
                <w:szCs w:val="21"/>
                <w:highlight w:val="none"/>
                <w:lang w:eastAsia="zh-CN"/>
              </w:rPr>
              <w:t>自成交通知书发出之日起8个工作日内</w:t>
            </w:r>
            <w:r>
              <w:rPr>
                <w:rFonts w:hint="eastAsia" w:ascii="宋体" w:hAnsi="宋体" w:eastAsia="宋体" w:cs="宋体"/>
                <w:color w:val="auto"/>
                <w:szCs w:val="21"/>
                <w:highlight w:val="none"/>
              </w:rPr>
              <w:t>。</w:t>
            </w:r>
          </w:p>
        </w:tc>
      </w:tr>
      <w:tr w14:paraId="27968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4F1446BF">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 w:val="21"/>
                <w:szCs w:val="21"/>
                <w:highlight w:val="none"/>
                <w:lang w:eastAsia="zh-CN"/>
              </w:rPr>
              <w:t>报价要求</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7225D233">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eastAsia" w:ascii="宋体" w:hAnsi="宋体" w:cs="宋体"/>
                <w:color w:val="auto"/>
                <w:kern w:val="2"/>
                <w:sz w:val="21"/>
                <w:szCs w:val="21"/>
                <w:highlight w:val="none"/>
                <w:lang w:val="en-US" w:eastAsia="zh-CN" w:bidi="ar-SA"/>
              </w:rPr>
              <w:t>1</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rPr>
              <w:t>本项目报价为</w:t>
            </w:r>
            <w:r>
              <w:rPr>
                <w:rStyle w:val="27"/>
                <w:rFonts w:hint="eastAsia" w:ascii="宋体" w:hAnsi="宋体" w:eastAsia="宋体" w:cs="宋体"/>
                <w:b/>
                <w:bCs/>
                <w:color w:val="auto"/>
                <w:sz w:val="21"/>
                <w:szCs w:val="21"/>
                <w:highlight w:val="none"/>
              </w:rPr>
              <w:t>全包固定总价报价</w:t>
            </w:r>
            <w:r>
              <w:rPr>
                <w:rFonts w:hint="eastAsia" w:ascii="宋体" w:hAnsi="宋体" w:eastAsia="宋体" w:cs="宋体"/>
                <w:color w:val="auto"/>
                <w:sz w:val="21"/>
                <w:szCs w:val="21"/>
                <w:highlight w:val="none"/>
              </w:rPr>
              <w:t>，包含本项目开展所需的人工费、差旅费、外业调查费、设备使用费、软件制图费、数据处理费、资料整编费、专家评审费、</w:t>
            </w:r>
            <w:r>
              <w:rPr>
                <w:rFonts w:hint="eastAsia" w:ascii="宋体" w:hAnsi="宋体" w:eastAsia="宋体" w:cs="宋体"/>
                <w:color w:val="auto"/>
                <w:sz w:val="21"/>
                <w:szCs w:val="21"/>
                <w:highlight w:val="none"/>
                <w:lang w:val="en-US" w:eastAsia="zh-CN"/>
              </w:rPr>
              <w:t>保险费、</w:t>
            </w:r>
            <w:r>
              <w:rPr>
                <w:rFonts w:hint="eastAsia" w:ascii="宋体" w:hAnsi="宋体" w:eastAsia="宋体" w:cs="宋体"/>
                <w:color w:val="auto"/>
                <w:sz w:val="21"/>
                <w:szCs w:val="21"/>
                <w:highlight w:val="none"/>
              </w:rPr>
              <w:t>管理费、税费及完成本项目全部工作内容所产生的一切费用，采购人不另行支付任何费用。</w:t>
            </w:r>
          </w:p>
          <w:p w14:paraId="567FC241">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eastAsia" w:ascii="宋体" w:hAnsi="宋体" w:cs="宋体"/>
                <w:color w:val="auto"/>
                <w:kern w:val="2"/>
                <w:sz w:val="21"/>
                <w:szCs w:val="21"/>
                <w:highlight w:val="none"/>
                <w:lang w:val="en-US" w:eastAsia="zh-CN" w:bidi="ar-SA"/>
              </w:rPr>
              <w:t>2</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rPr>
              <w:t>供应商应结合自身实力、市场行情、项目工作量自主合理报价，</w:t>
            </w:r>
            <w:r>
              <w:rPr>
                <w:rStyle w:val="27"/>
                <w:rFonts w:hint="eastAsia" w:ascii="宋体" w:hAnsi="宋体" w:eastAsia="宋体" w:cs="宋体"/>
                <w:b/>
                <w:bCs/>
                <w:color w:val="auto"/>
                <w:sz w:val="21"/>
                <w:szCs w:val="21"/>
                <w:highlight w:val="none"/>
              </w:rPr>
              <w:t>所有漏项、缺项视为包含在总价内</w:t>
            </w:r>
            <w:r>
              <w:rPr>
                <w:rFonts w:hint="eastAsia" w:ascii="宋体" w:hAnsi="宋体" w:eastAsia="宋体" w:cs="宋体"/>
                <w:color w:val="auto"/>
                <w:sz w:val="21"/>
                <w:szCs w:val="21"/>
                <w:highlight w:val="none"/>
              </w:rPr>
              <w:t>，后期不作任何增补。</w:t>
            </w:r>
          </w:p>
          <w:p w14:paraId="414A518F">
            <w:pPr>
              <w:keepNext w:val="0"/>
              <w:keepLines w:val="0"/>
              <w:numPr>
                <w:ilvl w:val="0"/>
                <w:numId w:val="0"/>
              </w:numPr>
              <w:suppressLineNumbers w:val="0"/>
              <w:tabs>
                <w:tab w:val="center" w:pos="4153"/>
                <w:tab w:val="right" w:pos="8306"/>
              </w:tabs>
              <w:wordWrap/>
              <w:spacing w:before="0" w:beforeAutospacing="0" w:after="0" w:afterAutospacing="0" w:line="360" w:lineRule="auto"/>
              <w:ind w:left="0" w:leftChars="0" w:right="0" w:rightChars="0" w:firstLine="0" w:firstLineChars="0"/>
              <w:rPr>
                <w:rFonts w:hint="eastAsia" w:ascii="宋体" w:hAnsi="宋体" w:eastAsia="宋体" w:cs="宋体"/>
                <w:color w:val="auto"/>
                <w:sz w:val="21"/>
                <w:szCs w:val="21"/>
                <w:highlight w:val="none"/>
              </w:rPr>
            </w:pPr>
            <w:r>
              <w:rPr>
                <w:rFonts w:hint="eastAsia" w:ascii="宋体" w:hAnsi="宋体" w:cs="宋体"/>
                <w:color w:val="auto"/>
                <w:kern w:val="2"/>
                <w:sz w:val="21"/>
                <w:szCs w:val="21"/>
                <w:highlight w:val="none"/>
                <w:lang w:val="en-US" w:eastAsia="zh-CN" w:bidi="ar-SA"/>
              </w:rPr>
              <w:t>3</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sz w:val="21"/>
                <w:szCs w:val="21"/>
                <w:highlight w:val="none"/>
              </w:rPr>
              <w:t>报价不得高于本项目最高限价，超出最高限价作无效响应处理。</w:t>
            </w:r>
          </w:p>
        </w:tc>
      </w:tr>
      <w:tr w14:paraId="1218C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1CAC3EFA">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bCs/>
                <w:color w:val="auto"/>
                <w:sz w:val="21"/>
                <w:szCs w:val="21"/>
                <w:highlight w:val="none"/>
                <w:lang w:eastAsia="zh-CN"/>
              </w:rPr>
              <w:t>付款条件</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73CD74CC">
            <w:pPr>
              <w:keepNext w:val="0"/>
              <w:keepLines w:val="0"/>
              <w:suppressLineNumbers w:val="0"/>
              <w:wordWrap/>
              <w:spacing w:before="0" w:beforeAutospacing="0" w:after="0" w:afterAutospacing="0" w:line="360" w:lineRule="auto"/>
              <w:ind w:left="0" w:right="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成交供应商完成本次古树名木资源普查工作内容提交全部成果材料后10个工作日内支付合同价款的</w:t>
            </w:r>
            <w:r>
              <w:rPr>
                <w:rFonts w:hint="default"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0%；提交的全部成果文件通过采购人验收合格后10个工作日内，采购人一次性结清结余款，即合同总价的</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lang w:val="en-US" w:eastAsia="zh-CN"/>
              </w:rPr>
              <w:t>%。成交供应商在采购人支付每笔款项前5个工作日内开具等额有效发票给采购人。以上支付事宜，如遇国库支付程序原因，支付日期顺延（无息），采购人不承担延期付款责任。</w:t>
            </w:r>
          </w:p>
        </w:tc>
      </w:tr>
      <w:tr w14:paraId="1FE6C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784D93B1">
            <w:pPr>
              <w:keepNext w:val="0"/>
              <w:keepLines w:val="0"/>
              <w:suppressLineNumbers w:val="0"/>
              <w:wordWrap w:val="0"/>
              <w:spacing w:before="0" w:beforeAutospacing="0" w:after="0" w:afterAutospacing="0" w:line="360" w:lineRule="auto"/>
              <w:ind w:left="0" w:right="0"/>
              <w:rPr>
                <w:rFonts w:hint="eastAsia" w:ascii="宋体" w:hAnsi="宋体" w:eastAsia="宋体" w:cs="宋体"/>
                <w:b/>
                <w:bCs/>
                <w:color w:val="auto"/>
                <w:szCs w:val="21"/>
                <w:highlight w:val="none"/>
              </w:rPr>
            </w:pPr>
            <w:r>
              <w:rPr>
                <w:rFonts w:hint="eastAsia" w:ascii="宋体" w:hAnsi="宋体" w:eastAsia="宋体" w:cs="宋体"/>
                <w:b/>
                <w:color w:val="auto"/>
                <w:sz w:val="21"/>
                <w:szCs w:val="21"/>
                <w:highlight w:val="none"/>
              </w:rPr>
              <w:t>验收标准</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7BA2F9C8">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符合现行国家相关标准、行业标准、地方标准或者其他标准、规范</w:t>
            </w:r>
            <w:r>
              <w:rPr>
                <w:rFonts w:hint="eastAsia" w:ascii="宋体" w:hAnsi="宋体" w:eastAsia="宋体" w:cs="宋体"/>
                <w:color w:val="auto"/>
                <w:sz w:val="21"/>
                <w:szCs w:val="21"/>
                <w:highlight w:val="none"/>
                <w:lang w:eastAsia="zh-CN"/>
              </w:rPr>
              <w:t>。</w:t>
            </w:r>
          </w:p>
        </w:tc>
      </w:tr>
      <w:tr w14:paraId="6394F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516DAA45">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lang w:eastAsia="zh-CN"/>
              </w:rPr>
              <w:t>具体验收事项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2089EDD4">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1.验收内容包括</w:t>
            </w:r>
            <w:r>
              <w:rPr>
                <w:rFonts w:hint="eastAsia" w:ascii="宋体" w:hAnsi="宋体" w:eastAsia="宋体" w:cs="宋体"/>
                <w:color w:val="auto"/>
                <w:sz w:val="21"/>
                <w:szCs w:val="21"/>
                <w:highlight w:val="none"/>
              </w:rPr>
              <w:t>项目建设总体完成情况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项目资金到位及使用情况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施工</w:t>
            </w:r>
            <w:r>
              <w:rPr>
                <w:rFonts w:hint="eastAsia" w:ascii="宋体" w:hAnsi="宋体" w:eastAsia="宋体" w:cs="宋体"/>
                <w:color w:val="auto"/>
                <w:sz w:val="21"/>
                <w:szCs w:val="21"/>
                <w:highlight w:val="none"/>
              </w:rPr>
              <w:t>和设备到位情况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竣工财务决算情况</w:t>
            </w:r>
            <w:r>
              <w:rPr>
                <w:rFonts w:hint="eastAsia" w:ascii="宋体" w:hAnsi="宋体" w:eastAsia="宋体" w:cs="宋体"/>
                <w:color w:val="auto"/>
                <w:sz w:val="21"/>
                <w:szCs w:val="21"/>
                <w:highlight w:val="none"/>
                <w:lang w:eastAsia="zh-CN"/>
              </w:rPr>
              <w:t>等。</w:t>
            </w:r>
          </w:p>
          <w:p w14:paraId="6CC4FD2C">
            <w:pPr>
              <w:keepNext w:val="0"/>
              <w:keepLines w:val="0"/>
              <w:suppressLineNumbers w:val="0"/>
              <w:tabs>
                <w:tab w:val="center" w:pos="4153"/>
                <w:tab w:val="right" w:pos="8306"/>
              </w:tabs>
              <w:wordWrap/>
              <w:spacing w:before="0" w:beforeAutospacing="0" w:after="0" w:afterAutospacing="0" w:line="360" w:lineRule="auto"/>
              <w:ind w:left="0" w:right="0"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2.验收程序：</w:t>
            </w:r>
            <w:r>
              <w:rPr>
                <w:rFonts w:hint="eastAsia" w:ascii="宋体" w:hAnsi="宋体" w:eastAsia="宋体" w:cs="宋体"/>
                <w:color w:val="auto"/>
                <w:sz w:val="21"/>
                <w:szCs w:val="21"/>
                <w:highlight w:val="none"/>
              </w:rPr>
              <w:t>初步验收之前，由</w:t>
            </w:r>
            <w:r>
              <w:rPr>
                <w:rFonts w:hint="eastAsia" w:ascii="宋体" w:hAnsi="宋体" w:eastAsia="宋体" w:cs="宋体"/>
                <w:color w:val="auto"/>
                <w:sz w:val="21"/>
                <w:szCs w:val="21"/>
                <w:highlight w:val="none"/>
                <w:lang w:eastAsia="zh-CN"/>
              </w:rPr>
              <w:t>实施单位</w:t>
            </w:r>
            <w:r>
              <w:rPr>
                <w:rFonts w:hint="eastAsia" w:ascii="宋体" w:hAnsi="宋体" w:eastAsia="宋体" w:cs="宋体"/>
                <w:color w:val="auto"/>
                <w:sz w:val="21"/>
                <w:szCs w:val="21"/>
                <w:highlight w:val="none"/>
              </w:rPr>
              <w:t>按照规定，整理好文件、技术资料，向管理处提出交工报告。</w:t>
            </w:r>
            <w:r>
              <w:rPr>
                <w:rFonts w:hint="eastAsia" w:ascii="宋体" w:hAnsi="宋体" w:eastAsia="宋体" w:cs="宋体"/>
                <w:color w:val="auto"/>
                <w:sz w:val="21"/>
                <w:szCs w:val="21"/>
                <w:highlight w:val="none"/>
                <w:lang w:val="en-US" w:eastAsia="zh-CN"/>
              </w:rPr>
              <w:t>管理处组织初步验收，合格后再向主管局申请竣工验收。主管局在规定时间内组织竣工验收组开展竣工验收，</w:t>
            </w:r>
            <w:r>
              <w:rPr>
                <w:rFonts w:hint="eastAsia" w:ascii="宋体" w:hAnsi="宋体" w:eastAsia="宋体" w:cs="宋体"/>
                <w:color w:val="auto"/>
                <w:sz w:val="21"/>
                <w:szCs w:val="21"/>
                <w:highlight w:val="none"/>
              </w:rPr>
              <w:t>验收组听取项目建设工作汇报，查阅工程档案、财务账目</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，实地查验建设情况，对项目质量和资金使用等方面做出全面评价，形成竣工验收意见。对验收合格的项目进行批复，对不符合竣工验收要求的不予验收，提出整改要求，限期整改</w:t>
            </w:r>
            <w:r>
              <w:rPr>
                <w:rFonts w:hint="eastAsia" w:ascii="宋体" w:hAnsi="宋体" w:eastAsia="宋体" w:cs="宋体"/>
                <w:color w:val="auto"/>
                <w:sz w:val="21"/>
                <w:szCs w:val="21"/>
                <w:highlight w:val="none"/>
                <w:lang w:val="en-US" w:eastAsia="zh-CN"/>
              </w:rPr>
              <w:t>。</w:t>
            </w:r>
          </w:p>
        </w:tc>
      </w:tr>
      <w:tr w14:paraId="462D9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5A4AF6DF">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履约验收其他事项</w:t>
            </w:r>
          </w:p>
        </w:tc>
        <w:tc>
          <w:tcPr>
            <w:tcW w:w="7097" w:type="dxa"/>
            <w:gridSpan w:val="2"/>
            <w:tcBorders>
              <w:top w:val="single" w:color="auto" w:sz="4" w:space="0"/>
              <w:left w:val="single" w:color="auto" w:sz="4" w:space="0"/>
              <w:bottom w:val="single" w:color="auto" w:sz="4" w:space="0"/>
              <w:right w:val="single" w:color="auto" w:sz="4" w:space="0"/>
            </w:tcBorders>
            <w:noWrap w:val="0"/>
            <w:vAlign w:val="center"/>
          </w:tcPr>
          <w:p w14:paraId="5D766B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1.验收过程中所产生的一切费用均由成交供应商承担。报价时应考虑相关费用。</w:t>
            </w:r>
          </w:p>
          <w:p w14:paraId="35336A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2.采购人保留对成交供应商所提供产品、服务进行全面</w:t>
            </w:r>
            <w:r>
              <w:rPr>
                <w:rFonts w:hint="eastAsia" w:ascii="宋体" w:hAnsi="宋体" w:eastAsia="宋体" w:cs="宋体"/>
                <w:b w:val="0"/>
                <w:bCs/>
                <w:color w:val="auto"/>
                <w:sz w:val="21"/>
                <w:szCs w:val="21"/>
                <w:highlight w:val="none"/>
                <w:lang w:val="en-US" w:eastAsia="zh-CN"/>
              </w:rPr>
              <w:t>验收</w:t>
            </w:r>
            <w:r>
              <w:rPr>
                <w:rFonts w:hint="eastAsia" w:ascii="宋体" w:hAnsi="宋体" w:eastAsia="宋体" w:cs="宋体"/>
                <w:b w:val="0"/>
                <w:bCs/>
                <w:color w:val="auto"/>
                <w:sz w:val="21"/>
                <w:szCs w:val="21"/>
                <w:highlight w:val="none"/>
                <w:lang w:eastAsia="zh-CN"/>
              </w:rPr>
              <w:t>的权利，如有虚假应标及不满足竞争性磋商文件及响应文件要求的，则视为成交供应商违约，成交供应商承担所有责任和费用，采购人保留进一步追究责任的权利。</w:t>
            </w:r>
          </w:p>
          <w:p w14:paraId="4B3AFF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3.验收时，成交供应商需向采购人提供完整的技术资料。</w:t>
            </w:r>
          </w:p>
          <w:p w14:paraId="1B01ED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lang w:eastAsia="zh-CN"/>
              </w:rPr>
              <w:t>4.验收依据：竞争性磋商文件、响应文件以及国家和行业验收规范要求及合同中的相关条款。</w:t>
            </w:r>
          </w:p>
        </w:tc>
      </w:tr>
      <w:tr w14:paraId="56C01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 w:hRule="atLeast"/>
          <w:jc w:val="center"/>
        </w:trPr>
        <w:tc>
          <w:tcPr>
            <w:tcW w:w="2248" w:type="dxa"/>
            <w:gridSpan w:val="3"/>
            <w:tcBorders>
              <w:top w:val="single" w:color="auto" w:sz="4" w:space="0"/>
              <w:left w:val="single" w:color="auto" w:sz="4" w:space="0"/>
              <w:bottom w:val="single" w:color="auto" w:sz="4" w:space="0"/>
              <w:right w:val="single" w:color="auto" w:sz="4" w:space="0"/>
            </w:tcBorders>
            <w:noWrap w:val="0"/>
            <w:vAlign w:val="center"/>
          </w:tcPr>
          <w:p w14:paraId="1FFB738C">
            <w:pPr>
              <w:keepNext w:val="0"/>
              <w:keepLines w:val="0"/>
              <w:suppressLineNumbers w:val="0"/>
              <w:wordWrap w:val="0"/>
              <w:spacing w:before="0" w:beforeAutospacing="0" w:after="0" w:afterAutospacing="0" w:line="360" w:lineRule="auto"/>
              <w:ind w:left="0" w:right="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eastAsia="zh-CN"/>
              </w:rPr>
              <w:t>售后服务要求</w:t>
            </w:r>
          </w:p>
        </w:tc>
        <w:tc>
          <w:tcPr>
            <w:tcW w:w="7097" w:type="dxa"/>
            <w:gridSpan w:val="2"/>
            <w:tcBorders>
              <w:top w:val="single" w:color="auto" w:sz="4" w:space="0"/>
              <w:left w:val="single" w:color="auto" w:sz="4" w:space="0"/>
              <w:bottom w:val="single" w:color="auto" w:sz="4" w:space="0"/>
              <w:right w:val="single" w:color="auto" w:sz="4" w:space="0"/>
            </w:tcBorders>
            <w:noWrap w:val="0"/>
            <w:vAlign w:val="top"/>
          </w:tcPr>
          <w:p w14:paraId="4B1AA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1.供应商应设立专职技术服务团队，提供专业技术支持热线，并确保在接到采购人请求后4小时内响应，2个工作日内解决一般问题；对重大影响业务的问题，须2小时内响应并启动应急预案。</w:t>
            </w:r>
          </w:p>
          <w:p w14:paraId="0BC92C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2.项目通过验收后，所有交付成果的相关技术文档、图集等资料须完整归档并移交采购人。</w:t>
            </w:r>
          </w:p>
        </w:tc>
      </w:tr>
    </w:tbl>
    <w:p w14:paraId="19FF7716">
      <w:pPr>
        <w:rPr>
          <w:color w:val="auto"/>
          <w:highlight w:val="none"/>
        </w:rPr>
      </w:pPr>
    </w:p>
    <w:p w14:paraId="6ACEA4CE">
      <w:pPr>
        <w:rPr>
          <w:color w:val="auto"/>
          <w:highlight w:val="none"/>
        </w:rPr>
      </w:pPr>
    </w:p>
    <w:p w14:paraId="71C09448">
      <w:pPr>
        <w:pStyle w:val="4"/>
        <w:rPr>
          <w:rFonts w:hint="eastAsia"/>
          <w:bCs/>
          <w:color w:val="auto"/>
          <w:highlight w:val="none"/>
        </w:rPr>
      </w:pPr>
      <w:r>
        <w:rPr>
          <w:rFonts w:hint="eastAsia" w:ascii="宋体" w:hAnsi="宋体" w:cs="宋体"/>
          <w:b/>
          <w:color w:val="auto"/>
          <w:sz w:val="21"/>
          <w:szCs w:val="21"/>
          <w:highlight w:val="none"/>
          <w:lang w:val="en-US" w:eastAsia="zh-CN"/>
        </w:rPr>
        <w:t xml:space="preserve"> </w:t>
      </w:r>
    </w:p>
    <w:p w14:paraId="641C28F8">
      <w:pPr>
        <w:pStyle w:val="23"/>
        <w:rPr>
          <w:color w:val="auto"/>
          <w:highlight w:val="none"/>
        </w:rPr>
      </w:pPr>
    </w:p>
    <w:p w14:paraId="5E0AF0FF">
      <w:pPr>
        <w:pStyle w:val="23"/>
        <w:rPr>
          <w:color w:val="auto"/>
          <w:highlight w:val="none"/>
        </w:rPr>
      </w:pPr>
    </w:p>
    <w:p w14:paraId="0C1E2CCD">
      <w:pPr>
        <w:pStyle w:val="23"/>
        <w:rPr>
          <w:color w:val="auto"/>
          <w:highlight w:val="none"/>
        </w:rPr>
      </w:pPr>
    </w:p>
    <w:p w14:paraId="26B746DC">
      <w:pPr>
        <w:rPr>
          <w:rFonts w:hint="eastAsia"/>
          <w:color w:val="auto"/>
          <w:highlight w:val="none"/>
        </w:rPr>
      </w:pPr>
      <w:r>
        <w:rPr>
          <w:rFonts w:hint="eastAsia"/>
          <w:color w:val="auto"/>
          <w:highlight w:val="none"/>
        </w:rPr>
        <w:br w:type="page"/>
      </w:r>
    </w:p>
    <w:p w14:paraId="7B748265">
      <w:pPr>
        <w:pStyle w:val="2"/>
        <w:rPr>
          <w:color w:val="auto"/>
          <w:highlight w:val="none"/>
        </w:rPr>
      </w:pPr>
      <w:r>
        <w:rPr>
          <w:rFonts w:hint="eastAsia"/>
          <w:color w:val="auto"/>
          <w:highlight w:val="none"/>
        </w:rPr>
        <w:t>第四章 评审办法</w:t>
      </w:r>
      <w:bookmarkEnd w:id="140"/>
    </w:p>
    <w:p w14:paraId="28A01B64">
      <w:pPr>
        <w:spacing w:line="40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一、评审依据及方式</w:t>
      </w:r>
    </w:p>
    <w:p w14:paraId="1AA69A33">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 评审依据：磋商小组以磋商文件和响应文件为评标依据，对磋</w:t>
      </w:r>
      <w:r>
        <w:rPr>
          <w:rFonts w:hint="eastAsia" w:ascii="宋体" w:hAnsi="宋体" w:cs="宋体"/>
          <w:b w:val="0"/>
          <w:bCs w:val="0"/>
          <w:color w:val="auto"/>
          <w:szCs w:val="21"/>
          <w:highlight w:val="none"/>
        </w:rPr>
        <w:t>商供应商的磋商报价、</w:t>
      </w:r>
      <w:r>
        <w:rPr>
          <w:rFonts w:hint="eastAsia" w:hAnsi="宋体" w:cs="宋体"/>
          <w:b w:val="0"/>
          <w:bCs w:val="0"/>
          <w:color w:val="auto"/>
          <w:szCs w:val="21"/>
          <w:highlight w:val="none"/>
          <w:lang w:val="en-US" w:eastAsia="zh-CN"/>
        </w:rPr>
        <w:t>技术</w:t>
      </w:r>
      <w:r>
        <w:rPr>
          <w:rFonts w:hint="eastAsia" w:hAnsi="宋体" w:cs="宋体"/>
          <w:b w:val="0"/>
          <w:bCs w:val="0"/>
          <w:color w:val="auto"/>
          <w:szCs w:val="21"/>
          <w:highlight w:val="none"/>
          <w:lang w:eastAsia="zh-CN"/>
        </w:rPr>
        <w:t>、商务（</w:t>
      </w:r>
      <w:r>
        <w:rPr>
          <w:rFonts w:hint="eastAsia" w:hAnsi="宋体" w:cs="宋体"/>
          <w:b w:val="0"/>
          <w:bCs w:val="0"/>
          <w:color w:val="auto"/>
          <w:szCs w:val="21"/>
          <w:highlight w:val="none"/>
          <w:lang w:val="en-US" w:eastAsia="zh-CN"/>
        </w:rPr>
        <w:t>B分标</w:t>
      </w:r>
      <w:r>
        <w:rPr>
          <w:rFonts w:hint="eastAsia" w:hAnsi="宋体" w:cs="宋体"/>
          <w:b w:val="0"/>
          <w:bCs w:val="0"/>
          <w:color w:val="auto"/>
          <w:szCs w:val="21"/>
          <w:highlight w:val="none"/>
          <w:lang w:eastAsia="zh-CN"/>
        </w:rPr>
        <w:t>）</w:t>
      </w:r>
      <w:r>
        <w:rPr>
          <w:rFonts w:hint="eastAsia" w:ascii="宋体" w:hAnsi="宋体" w:cs="宋体"/>
          <w:b w:val="0"/>
          <w:bCs w:val="0"/>
          <w:color w:val="auto"/>
          <w:szCs w:val="21"/>
          <w:highlight w:val="none"/>
        </w:rPr>
        <w:t>等几个方面内</w:t>
      </w:r>
      <w:r>
        <w:rPr>
          <w:rFonts w:hint="eastAsia" w:ascii="宋体" w:hAnsi="宋体" w:cs="宋体"/>
          <w:color w:val="auto"/>
          <w:szCs w:val="21"/>
          <w:highlight w:val="none"/>
        </w:rPr>
        <w:t>容按百分制打分。</w:t>
      </w:r>
    </w:p>
    <w:p w14:paraId="1F19DFB0">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 评审方式：以封闭方式进行评标。</w:t>
      </w:r>
    </w:p>
    <w:p w14:paraId="52C4A8AE">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 采购人和采购代理机构、磋商小组成员要严格遵守政府采购相关法律制度，依法履行各自职责，公正、客观、审慎地组织和参与评审工作。</w:t>
      </w:r>
    </w:p>
    <w:p w14:paraId="7E5C0E3B">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二、评审办法</w:t>
      </w:r>
    </w:p>
    <w:p w14:paraId="3A8278F4">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（一）对进入详评的，采用综合评分法。</w:t>
      </w:r>
    </w:p>
    <w:p w14:paraId="6A1CF6CA">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（二）计分办法（按四舍五入取至小数点后二位）</w:t>
      </w:r>
    </w:p>
    <w:p w14:paraId="0CA06FA6">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磋商小组将以磋商响应文件为评审依据，对供应商的报价、技术、服务、商务等方面内容按百分制打分。（计分方法按四舍五入取至百分位）</w:t>
      </w:r>
    </w:p>
    <w:p w14:paraId="0833D594">
      <w:pPr>
        <w:spacing w:line="400" w:lineRule="exact"/>
        <w:ind w:firstLine="422" w:firstLineChars="200"/>
        <w:outlineLvl w:val="1"/>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A分标：</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451"/>
        <w:gridCol w:w="1534"/>
        <w:gridCol w:w="6444"/>
      </w:tblGrid>
      <w:tr w14:paraId="0277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00" w:type="dxa"/>
            <w:noWrap w:val="0"/>
            <w:vAlign w:val="center"/>
          </w:tcPr>
          <w:p w14:paraId="49B359AA">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4"/>
                <w:sz w:val="21"/>
                <w:szCs w:val="21"/>
                <w:highlight w:val="none"/>
              </w:rPr>
              <w:t>序号</w:t>
            </w:r>
          </w:p>
        </w:tc>
        <w:tc>
          <w:tcPr>
            <w:tcW w:w="1451" w:type="dxa"/>
            <w:noWrap w:val="0"/>
            <w:vAlign w:val="center"/>
          </w:tcPr>
          <w:p w14:paraId="244FF106">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both"/>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评审项目</w:t>
            </w:r>
          </w:p>
        </w:tc>
        <w:tc>
          <w:tcPr>
            <w:tcW w:w="1534" w:type="dxa"/>
            <w:noWrap w:val="0"/>
            <w:vAlign w:val="center"/>
          </w:tcPr>
          <w:p w14:paraId="34C1FD6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评分因素</w:t>
            </w:r>
          </w:p>
        </w:tc>
        <w:tc>
          <w:tcPr>
            <w:tcW w:w="6444" w:type="dxa"/>
            <w:noWrap w:val="0"/>
            <w:vAlign w:val="center"/>
          </w:tcPr>
          <w:p w14:paraId="0806E69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评分标准</w:t>
            </w:r>
          </w:p>
        </w:tc>
      </w:tr>
      <w:tr w14:paraId="329F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center"/>
          </w:tcPr>
          <w:p w14:paraId="5959588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1</w:t>
            </w:r>
          </w:p>
        </w:tc>
        <w:tc>
          <w:tcPr>
            <w:tcW w:w="1451" w:type="dxa"/>
            <w:noWrap w:val="0"/>
            <w:vAlign w:val="center"/>
          </w:tcPr>
          <w:p w14:paraId="6B357F4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价格分（满分10分）</w:t>
            </w:r>
          </w:p>
        </w:tc>
        <w:tc>
          <w:tcPr>
            <w:tcW w:w="1534" w:type="dxa"/>
            <w:noWrap w:val="0"/>
            <w:vAlign w:val="center"/>
          </w:tcPr>
          <w:p w14:paraId="18CE6298">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响应报价（满分10 分）</w:t>
            </w:r>
          </w:p>
        </w:tc>
        <w:tc>
          <w:tcPr>
            <w:tcW w:w="6444" w:type="dxa"/>
            <w:noWrap w:val="0"/>
            <w:vAlign w:val="center"/>
          </w:tcPr>
          <w:p w14:paraId="0120EC0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（1）评审价为供应商的最后报价进行政策性扣除后的价格，评审价只是作为评审时使用。最终成交供应商的成交金额等于最后报价（如有修正，以确认修正后的最后报价为准）。</w:t>
            </w:r>
          </w:p>
          <w:p w14:paraId="28E6E2B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（2）中小企业政策性扣除计算方法</w:t>
            </w:r>
          </w:p>
          <w:p w14:paraId="1B0A83C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竞标报价给予</w:t>
            </w:r>
            <w:r>
              <w:rPr>
                <w:rFonts w:hint="eastAsia" w:cs="宋体"/>
                <w:b w:val="0"/>
                <w:bCs w:val="0"/>
                <w:color w:val="auto"/>
                <w:spacing w:val="3"/>
                <w:sz w:val="21"/>
                <w:szCs w:val="21"/>
                <w:highlight w:val="none"/>
                <w:lang w:eastAsia="zh-CN"/>
              </w:rPr>
              <w:t>20%</w:t>
            </w:r>
            <w:r>
              <w:rPr>
                <w:rFonts w:hint="eastAsia" w:ascii="宋体" w:hAnsi="宋体" w:eastAsia="宋体" w:cs="宋体"/>
                <w:b w:val="0"/>
                <w:bCs w:val="0"/>
                <w:color w:val="auto"/>
                <w:spacing w:val="3"/>
                <w:sz w:val="21"/>
                <w:szCs w:val="21"/>
                <w:highlight w:val="none"/>
              </w:rPr>
              <w:t>的扣除，扣除后的价格为评审价，即中小企业折扣=竞标报价×</w:t>
            </w:r>
            <w:r>
              <w:rPr>
                <w:rFonts w:hint="eastAsia" w:cs="宋体"/>
                <w:b w:val="0"/>
                <w:bCs w:val="0"/>
                <w:color w:val="auto"/>
                <w:spacing w:val="3"/>
                <w:sz w:val="21"/>
                <w:szCs w:val="21"/>
                <w:highlight w:val="none"/>
                <w:lang w:eastAsia="zh-CN"/>
              </w:rPr>
              <w:t>20%</w:t>
            </w:r>
            <w:r>
              <w:rPr>
                <w:rFonts w:hint="eastAsia" w:ascii="宋体" w:hAnsi="宋体" w:eastAsia="宋体" w:cs="宋体"/>
                <w:b w:val="0"/>
                <w:bCs w:val="0"/>
                <w:color w:val="auto"/>
                <w:spacing w:val="3"/>
                <w:sz w:val="21"/>
                <w:szCs w:val="21"/>
                <w:highlight w:val="none"/>
              </w:rPr>
              <w:t xml:space="preserve">。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 </w:t>
            </w:r>
            <w:r>
              <w:rPr>
                <w:rFonts w:hint="eastAsia" w:cs="宋体"/>
                <w:b w:val="0"/>
                <w:bCs w:val="0"/>
                <w:color w:val="auto"/>
                <w:spacing w:val="3"/>
                <w:sz w:val="21"/>
                <w:szCs w:val="21"/>
                <w:highlight w:val="none"/>
                <w:lang w:eastAsia="zh-CN"/>
              </w:rPr>
              <w:t>6%</w:t>
            </w:r>
            <w:r>
              <w:rPr>
                <w:rFonts w:hint="eastAsia" w:ascii="宋体" w:hAnsi="宋体" w:eastAsia="宋体" w:cs="宋体"/>
                <w:b w:val="0"/>
                <w:bCs w:val="0"/>
                <w:color w:val="auto"/>
                <w:spacing w:val="3"/>
                <w:sz w:val="21"/>
                <w:szCs w:val="21"/>
                <w:highlight w:val="none"/>
              </w:rPr>
              <w:t>的扣除，用扣除后的价格参加评审，扣除后的价格为评审价，即中小企业折扣=竞标报价×</w:t>
            </w:r>
            <w:r>
              <w:rPr>
                <w:rFonts w:hint="eastAsia" w:cs="宋体"/>
                <w:b w:val="0"/>
                <w:bCs w:val="0"/>
                <w:color w:val="auto"/>
                <w:spacing w:val="3"/>
                <w:sz w:val="21"/>
                <w:szCs w:val="21"/>
                <w:highlight w:val="none"/>
                <w:lang w:eastAsia="zh-CN"/>
              </w:rPr>
              <w:t>6%</w:t>
            </w:r>
            <w:r>
              <w:rPr>
                <w:rFonts w:hint="eastAsia" w:ascii="宋体" w:hAnsi="宋体" w:eastAsia="宋体" w:cs="宋体"/>
                <w:b w:val="0"/>
                <w:bCs w:val="0"/>
                <w:color w:val="auto"/>
                <w:spacing w:val="3"/>
                <w:sz w:val="21"/>
                <w:szCs w:val="21"/>
                <w:highlight w:val="none"/>
              </w:rPr>
              <w:t>。</w:t>
            </w:r>
          </w:p>
          <w:p w14:paraId="3A3A311A">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2CB0A5D6">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121C0B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（5）本国产品政策性扣除计算方法。</w:t>
            </w:r>
          </w:p>
          <w:p w14:paraId="5FEA330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本项目服务不属于本国产品标准的适用范围，供应商均无本国产品价格扣除。</w:t>
            </w:r>
          </w:p>
          <w:p w14:paraId="0B535201">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（6）满足采购文件要求且评标报价最低的评标报价为评标基准价，其价格分为满分。</w:t>
            </w:r>
          </w:p>
          <w:p w14:paraId="5D5C2EA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（7）价格分计算公式：</w:t>
            </w:r>
          </w:p>
          <w:p w14:paraId="22114B8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both"/>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val="0"/>
                <w:bCs w:val="0"/>
                <w:color w:val="auto"/>
                <w:spacing w:val="3"/>
                <w:sz w:val="21"/>
                <w:szCs w:val="21"/>
                <w:highlight w:val="none"/>
              </w:rPr>
              <w:t>价格分=（评标基准价／评标报价）×10 分</w:t>
            </w:r>
          </w:p>
        </w:tc>
      </w:tr>
      <w:tr w14:paraId="086A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noWrap w:val="0"/>
            <w:vAlign w:val="center"/>
          </w:tcPr>
          <w:p w14:paraId="5494F69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p>
        </w:tc>
        <w:tc>
          <w:tcPr>
            <w:tcW w:w="1451" w:type="dxa"/>
            <w:vMerge w:val="restart"/>
            <w:noWrap w:val="0"/>
            <w:vAlign w:val="center"/>
          </w:tcPr>
          <w:p w14:paraId="0F2D0A1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lang w:val="en-US" w:eastAsia="zh-CN"/>
              </w:rPr>
              <w:t>技术</w:t>
            </w:r>
            <w:r>
              <w:rPr>
                <w:rFonts w:hint="eastAsia" w:ascii="宋体" w:hAnsi="宋体" w:eastAsia="宋体" w:cs="宋体"/>
                <w:b/>
                <w:bCs/>
                <w:color w:val="auto"/>
                <w:spacing w:val="4"/>
                <w:sz w:val="21"/>
                <w:szCs w:val="21"/>
                <w:highlight w:val="none"/>
              </w:rPr>
              <w:t>分（满分</w:t>
            </w:r>
            <w:r>
              <w:rPr>
                <w:rFonts w:hint="eastAsia" w:cs="宋体"/>
                <w:b/>
                <w:bCs/>
                <w:color w:val="auto"/>
                <w:spacing w:val="4"/>
                <w:sz w:val="21"/>
                <w:szCs w:val="21"/>
                <w:highlight w:val="none"/>
                <w:lang w:val="en-US" w:eastAsia="zh-CN"/>
              </w:rPr>
              <w:t>90</w:t>
            </w:r>
            <w:r>
              <w:rPr>
                <w:rFonts w:hint="eastAsia" w:ascii="宋体" w:hAnsi="宋体" w:eastAsia="宋体" w:cs="宋体"/>
                <w:b/>
                <w:bCs/>
                <w:color w:val="auto"/>
                <w:spacing w:val="4"/>
                <w:sz w:val="21"/>
                <w:szCs w:val="21"/>
                <w:highlight w:val="none"/>
              </w:rPr>
              <w:t>分）</w:t>
            </w:r>
          </w:p>
        </w:tc>
        <w:tc>
          <w:tcPr>
            <w:tcW w:w="1534" w:type="dxa"/>
            <w:noWrap w:val="0"/>
            <w:vAlign w:val="center"/>
          </w:tcPr>
          <w:p w14:paraId="69EBF8B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2.1特种救护实施方案（满分</w:t>
            </w:r>
            <w:r>
              <w:rPr>
                <w:rFonts w:hint="eastAsia" w:cs="宋体"/>
                <w:b/>
                <w:bCs/>
                <w:color w:val="auto"/>
                <w:spacing w:val="4"/>
                <w:sz w:val="21"/>
                <w:szCs w:val="21"/>
                <w:highlight w:val="none"/>
                <w:lang w:val="en-US" w:eastAsia="zh-CN"/>
              </w:rPr>
              <w:t>30</w:t>
            </w:r>
            <w:r>
              <w:rPr>
                <w:rFonts w:hint="eastAsia" w:ascii="宋体" w:hAnsi="宋体" w:eastAsia="宋体" w:cs="宋体"/>
                <w:b/>
                <w:bCs/>
                <w:color w:val="auto"/>
                <w:spacing w:val="4"/>
                <w:sz w:val="21"/>
                <w:szCs w:val="21"/>
                <w:highlight w:val="none"/>
                <w:lang w:val="en-US" w:eastAsia="zh-CN"/>
              </w:rPr>
              <w:t>分</w:t>
            </w:r>
            <w:r>
              <w:rPr>
                <w:rFonts w:hint="eastAsia" w:ascii="宋体" w:hAnsi="宋体" w:eastAsia="宋体" w:cs="宋体"/>
                <w:b/>
                <w:bCs/>
                <w:color w:val="auto"/>
                <w:spacing w:val="4"/>
                <w:sz w:val="21"/>
                <w:szCs w:val="21"/>
                <w:highlight w:val="none"/>
                <w:lang w:val="en-US" w:eastAsia="zh-CN"/>
              </w:rPr>
              <w:t>）</w:t>
            </w:r>
          </w:p>
        </w:tc>
        <w:tc>
          <w:tcPr>
            <w:tcW w:w="6444" w:type="dxa"/>
            <w:noWrap w:val="0"/>
            <w:vAlign w:val="center"/>
          </w:tcPr>
          <w:p w14:paraId="48ED0080">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2" w:leftChars="0" w:right="109" w:rightChars="0" w:firstLine="540" w:firstLineChars="0"/>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核心工作包含银杉种群专项救护、杜鹃种质园建设两大核心内容。磋商小组对各供应商提供的方案中项目背景、政策依据、救护工作范围、项目实施目标、花坪保护区现场基本情况、银杉种群救护专项技术要点、杜鹃种质园建设技术标准、现场实施管控、应急处置方案、全过程质量管控要求等内容的完整性、可行性、针对性、专业性进行综合评审，包含但不限于：①救护工作目的、范围、政策依据、实施原则；②专项技术路线与实施流程；③银杉救护、杜鹃种质园建设核心调查与实施内容；④现场作业方法、技术标准与管控要求；⑤人员设备配置、应急保障与质量管控体系，按档次独立打分：</w:t>
            </w:r>
          </w:p>
          <w:p w14:paraId="6BEB2CEA">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一档（</w:t>
            </w:r>
            <w:r>
              <w:rPr>
                <w:rFonts w:hint="eastAsia" w:cs="宋体"/>
                <w:color w:val="auto"/>
                <w:spacing w:val="6"/>
                <w:kern w:val="2"/>
                <w:sz w:val="21"/>
                <w:szCs w:val="21"/>
                <w:highlight w:val="none"/>
                <w:lang w:val="en-US" w:eastAsia="zh-CN" w:bidi="ar-SA"/>
              </w:rPr>
              <w:t>6</w:t>
            </w:r>
            <w:r>
              <w:rPr>
                <w:rFonts w:hint="eastAsia" w:ascii="宋体" w:hAnsi="宋体" w:eastAsia="宋体" w:cs="宋体"/>
                <w:color w:val="auto"/>
                <w:spacing w:val="6"/>
                <w:kern w:val="2"/>
                <w:sz w:val="21"/>
                <w:szCs w:val="21"/>
                <w:highlight w:val="none"/>
                <w:lang w:val="en-US" w:eastAsia="zh-CN" w:bidi="ar-SA"/>
              </w:rPr>
              <w:t>分</w:t>
            </w:r>
            <w:r>
              <w:rPr>
                <w:rFonts w:hint="eastAsia" w:ascii="宋体" w:hAnsi="宋体" w:eastAsia="宋体" w:cs="宋体"/>
                <w:color w:val="auto"/>
                <w:spacing w:val="6"/>
                <w:kern w:val="2"/>
                <w:sz w:val="21"/>
                <w:szCs w:val="21"/>
                <w:highlight w:val="none"/>
                <w:lang w:val="en-US" w:eastAsia="zh-CN" w:bidi="ar-SA"/>
              </w:rPr>
              <w:t>）：五项评审因素仅有一项内容经评审合理、可行且贴合本项目花坪保护区特种救护专属工作需求，方案整体简略，针对性不足。</w:t>
            </w:r>
          </w:p>
          <w:p w14:paraId="3B3E4522">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二档（</w:t>
            </w:r>
            <w:r>
              <w:rPr>
                <w:rFonts w:hint="eastAsia" w:cs="宋体"/>
                <w:color w:val="auto"/>
                <w:spacing w:val="6"/>
                <w:kern w:val="2"/>
                <w:sz w:val="21"/>
                <w:szCs w:val="21"/>
                <w:highlight w:val="none"/>
                <w:lang w:val="en-US" w:eastAsia="zh-CN" w:bidi="ar-SA"/>
              </w:rPr>
              <w:t>12</w:t>
            </w:r>
            <w:r>
              <w:rPr>
                <w:rFonts w:hint="eastAsia" w:ascii="宋体" w:hAnsi="宋体" w:eastAsia="宋体" w:cs="宋体"/>
                <w:color w:val="auto"/>
                <w:spacing w:val="6"/>
                <w:kern w:val="2"/>
                <w:sz w:val="21"/>
                <w:szCs w:val="21"/>
                <w:highlight w:val="none"/>
                <w:lang w:val="en-US" w:eastAsia="zh-CN" w:bidi="ar-SA"/>
              </w:rPr>
              <w:t>分</w:t>
            </w:r>
            <w:r>
              <w:rPr>
                <w:rFonts w:hint="eastAsia" w:ascii="宋体" w:hAnsi="宋体" w:eastAsia="宋体" w:cs="宋体"/>
                <w:color w:val="auto"/>
                <w:spacing w:val="6"/>
                <w:kern w:val="2"/>
                <w:sz w:val="21"/>
                <w:szCs w:val="21"/>
                <w:highlight w:val="none"/>
                <w:lang w:val="en-US" w:eastAsia="zh-CN" w:bidi="ar-SA"/>
              </w:rPr>
              <w:t>）：五项评审因素有两项内容经评审合理、可行且贴合本项目花坪保护区特种救护专属工作需求，仅具备基础工作思路。</w:t>
            </w:r>
          </w:p>
          <w:p w14:paraId="571A45F6">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三档（</w:t>
            </w:r>
            <w:r>
              <w:rPr>
                <w:rFonts w:hint="eastAsia" w:cs="宋体"/>
                <w:color w:val="auto"/>
                <w:spacing w:val="6"/>
                <w:kern w:val="2"/>
                <w:sz w:val="21"/>
                <w:szCs w:val="21"/>
                <w:highlight w:val="none"/>
                <w:lang w:val="en-US" w:eastAsia="zh-CN" w:bidi="ar-SA"/>
              </w:rPr>
              <w:t>18</w:t>
            </w:r>
            <w:r>
              <w:rPr>
                <w:rFonts w:hint="eastAsia" w:ascii="宋体" w:hAnsi="宋体" w:eastAsia="宋体" w:cs="宋体"/>
                <w:color w:val="auto"/>
                <w:spacing w:val="6"/>
                <w:kern w:val="2"/>
                <w:sz w:val="21"/>
                <w:szCs w:val="21"/>
                <w:highlight w:val="none"/>
                <w:lang w:val="en-US" w:eastAsia="zh-CN" w:bidi="ar-SA"/>
              </w:rPr>
              <w:t>分</w:t>
            </w:r>
            <w:r>
              <w:rPr>
                <w:rFonts w:hint="eastAsia" w:ascii="宋体" w:hAnsi="宋体" w:eastAsia="宋体" w:cs="宋体"/>
                <w:color w:val="auto"/>
                <w:spacing w:val="6"/>
                <w:kern w:val="2"/>
                <w:sz w:val="21"/>
                <w:szCs w:val="21"/>
                <w:highlight w:val="none"/>
                <w:lang w:val="en-US" w:eastAsia="zh-CN" w:bidi="ar-SA"/>
              </w:rPr>
              <w:t>）：五项评审因素有三项内容经评审合理、可行且贴合本项目花坪保护区特种救护专属工作需求，方案基本完整，满足基础实施要求。</w:t>
            </w:r>
          </w:p>
          <w:p w14:paraId="10ECEDC1">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四档（</w:t>
            </w:r>
            <w:r>
              <w:rPr>
                <w:rFonts w:hint="eastAsia" w:cs="宋体"/>
                <w:color w:val="auto"/>
                <w:spacing w:val="6"/>
                <w:kern w:val="2"/>
                <w:sz w:val="21"/>
                <w:szCs w:val="21"/>
                <w:highlight w:val="none"/>
                <w:lang w:val="en-US" w:eastAsia="zh-CN" w:bidi="ar-SA"/>
              </w:rPr>
              <w:t>24</w:t>
            </w:r>
            <w:r>
              <w:rPr>
                <w:rFonts w:hint="eastAsia" w:ascii="宋体" w:hAnsi="宋体" w:eastAsia="宋体" w:cs="宋体"/>
                <w:color w:val="auto"/>
                <w:spacing w:val="6"/>
                <w:kern w:val="2"/>
                <w:sz w:val="21"/>
                <w:szCs w:val="21"/>
                <w:highlight w:val="none"/>
                <w:lang w:val="en-US" w:eastAsia="zh-CN" w:bidi="ar-SA"/>
              </w:rPr>
              <w:t>分</w:t>
            </w:r>
            <w:r>
              <w:rPr>
                <w:rFonts w:hint="eastAsia" w:ascii="宋体" w:hAnsi="宋体" w:eastAsia="宋体" w:cs="宋体"/>
                <w:color w:val="auto"/>
                <w:spacing w:val="6"/>
                <w:kern w:val="2"/>
                <w:sz w:val="21"/>
                <w:szCs w:val="21"/>
                <w:highlight w:val="none"/>
                <w:lang w:val="en-US" w:eastAsia="zh-CN" w:bidi="ar-SA"/>
              </w:rPr>
              <w:t>）：五项评审因素有四项内容经评审合理、可行且贴合本项目花坪保护区特种救护专属工作需求，方案内容详实、逻辑清晰，可落地性较强。</w:t>
            </w:r>
          </w:p>
          <w:p w14:paraId="0AE24097">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0" w:leftChars="5" w:right="109" w:rightChars="0" w:firstLine="539" w:firstLineChars="243"/>
              <w:jc w:val="both"/>
              <w:textAlignment w:val="auto"/>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五档（</w:t>
            </w:r>
            <w:r>
              <w:rPr>
                <w:rFonts w:hint="eastAsia" w:cs="宋体"/>
                <w:color w:val="auto"/>
                <w:spacing w:val="6"/>
                <w:kern w:val="2"/>
                <w:sz w:val="21"/>
                <w:szCs w:val="21"/>
                <w:highlight w:val="none"/>
                <w:lang w:val="en-US" w:eastAsia="zh-CN" w:bidi="ar-SA"/>
              </w:rPr>
              <w:t>30</w:t>
            </w:r>
            <w:r>
              <w:rPr>
                <w:rFonts w:hint="eastAsia" w:ascii="宋体" w:hAnsi="宋体" w:eastAsia="宋体" w:cs="宋体"/>
                <w:color w:val="auto"/>
                <w:spacing w:val="6"/>
                <w:kern w:val="2"/>
                <w:sz w:val="21"/>
                <w:szCs w:val="21"/>
                <w:highlight w:val="none"/>
                <w:lang w:val="en-US" w:eastAsia="zh-CN" w:bidi="ar-SA"/>
              </w:rPr>
              <w:t>分</w:t>
            </w:r>
            <w:r>
              <w:rPr>
                <w:rFonts w:hint="eastAsia" w:ascii="宋体" w:hAnsi="宋体" w:eastAsia="宋体" w:cs="宋体"/>
                <w:color w:val="auto"/>
                <w:spacing w:val="6"/>
                <w:kern w:val="2"/>
                <w:sz w:val="21"/>
                <w:szCs w:val="21"/>
                <w:highlight w:val="none"/>
                <w:lang w:val="en-US" w:eastAsia="zh-CN" w:bidi="ar-SA"/>
              </w:rPr>
              <w:t>）：五项评审因素内容均完整、合理、可行，针对性极强。方案深度结合花坪保护区地域特点、银杉种群保护特性及杜鹃种质园建设专项标准，全面覆盖专项技术流程、现场管控、应急处置、质量验收、设备人员保障等内容，思路科学严谨，完全符合国家及自治区野生动植物保护、种质资源建设相关技术规范及项目专项要求。</w:t>
            </w:r>
          </w:p>
          <w:p w14:paraId="3B25000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10" w:leftChars="5" w:right="0" w:firstLine="512" w:firstLineChars="243"/>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10E5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63A191C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686AF30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117FF51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2.2宣传视频制作方案（满分</w:t>
            </w:r>
            <w:r>
              <w:rPr>
                <w:rFonts w:hint="eastAsia" w:cs="宋体"/>
                <w:b/>
                <w:bCs/>
                <w:color w:val="auto"/>
                <w:spacing w:val="4"/>
                <w:sz w:val="21"/>
                <w:szCs w:val="21"/>
                <w:highlight w:val="none"/>
                <w:lang w:val="en-US" w:eastAsia="zh-CN"/>
              </w:rPr>
              <w:t>20</w:t>
            </w:r>
            <w:r>
              <w:rPr>
                <w:rFonts w:hint="eastAsia" w:ascii="宋体" w:hAnsi="宋体" w:eastAsia="宋体" w:cs="宋体"/>
                <w:b/>
                <w:bCs/>
                <w:color w:val="auto"/>
                <w:spacing w:val="4"/>
                <w:sz w:val="21"/>
                <w:szCs w:val="21"/>
                <w:highlight w:val="none"/>
                <w:lang w:val="en-US" w:eastAsia="zh-CN"/>
              </w:rPr>
              <w:t>分）</w:t>
            </w:r>
          </w:p>
        </w:tc>
        <w:tc>
          <w:tcPr>
            <w:tcW w:w="6444" w:type="dxa"/>
            <w:noWrap w:val="0"/>
            <w:vAlign w:val="center"/>
          </w:tcPr>
          <w:p w14:paraId="0790E0CC">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核心工作包含银杉纪录片、新物种纪录片、重点保护动植物二维码小视频制作，</w:t>
            </w:r>
            <w:r>
              <w:rPr>
                <w:rFonts w:hint="eastAsia" w:ascii="宋体" w:hAnsi="宋体" w:cs="宋体"/>
                <w:color w:val="auto"/>
                <w:spacing w:val="11"/>
                <w:kern w:val="2"/>
                <w:sz w:val="21"/>
                <w:szCs w:val="21"/>
                <w:highlight w:val="none"/>
                <w:lang w:val="en-US" w:eastAsia="zh-CN" w:bidi="ar-SA"/>
              </w:rPr>
              <w:t>视频生成出来的效果均为高清版</w:t>
            </w:r>
            <w:r>
              <w:rPr>
                <w:rFonts w:hint="eastAsia" w:ascii="宋体" w:hAnsi="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以及《保护区国家重点保护野生动植物宣传》手册、保护区宣传折叠页设计制作。磋商小组根据各供应商提供的项目工作方案中包含但不限于：①视频及宣传资料制作目的、范围、政策依据、创作原则；②整体策划思路及全套脚本设计方案；③野外实地取景、拍摄剪辑、后期制作技术路线；④银杉、新物种、重点动植物视频拍摄内容、场景取材、访谈安排及宣传手册、折叠页设计</w:t>
            </w:r>
            <w:r>
              <w:rPr>
                <w:rFonts w:hint="eastAsia" w:ascii="宋体" w:hAnsi="宋体" w:cs="宋体"/>
                <w:color w:val="auto"/>
                <w:spacing w:val="11"/>
                <w:kern w:val="2"/>
                <w:sz w:val="21"/>
                <w:szCs w:val="21"/>
                <w:highlight w:val="none"/>
                <w:lang w:val="en-US" w:eastAsia="zh-CN" w:bidi="ar-SA"/>
              </w:rPr>
              <w:t>排版样式提供与</w:t>
            </w:r>
            <w:r>
              <w:rPr>
                <w:rFonts w:hint="eastAsia" w:ascii="宋体" w:hAnsi="宋体" w:eastAsia="宋体" w:cs="宋体"/>
                <w:color w:val="auto"/>
                <w:spacing w:val="11"/>
                <w:kern w:val="2"/>
                <w:sz w:val="21"/>
                <w:szCs w:val="21"/>
                <w:highlight w:val="none"/>
                <w:lang w:val="en-US" w:eastAsia="en-US" w:bidi="ar-SA"/>
              </w:rPr>
              <w:t>交付要求；⑤专业拍摄设备配置、专项项目团队保障配置等五项核心评审内容进行综合评审，并独立打分：</w:t>
            </w:r>
          </w:p>
          <w:p w14:paraId="1F121707">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cs="宋体"/>
                <w:color w:val="auto"/>
                <w:spacing w:val="11"/>
                <w:kern w:val="2"/>
                <w:sz w:val="21"/>
                <w:szCs w:val="21"/>
                <w:highlight w:val="none"/>
                <w:lang w:val="en-US" w:eastAsia="zh-CN" w:bidi="ar-SA"/>
              </w:rPr>
              <w:t>4</w:t>
            </w:r>
            <w:r>
              <w:rPr>
                <w:rFonts w:hint="eastAsia" w:ascii="宋体" w:hAnsi="宋体" w:eastAsia="宋体" w:cs="宋体"/>
                <w:color w:val="auto"/>
                <w:spacing w:val="11"/>
                <w:kern w:val="2"/>
                <w:sz w:val="21"/>
                <w:szCs w:val="21"/>
                <w:highlight w:val="none"/>
                <w:lang w:val="en-US" w:eastAsia="en-US" w:bidi="ar-SA"/>
              </w:rPr>
              <w:t>分）：五项评审因素仅有一项内容经评审合理、可行且贴合</w:t>
            </w:r>
            <w:r>
              <w:rPr>
                <w:rFonts w:hint="eastAsia" w:ascii="宋体" w:hAnsi="宋体" w:eastAsia="宋体" w:cs="宋体"/>
                <w:color w:val="auto"/>
                <w:spacing w:val="11"/>
                <w:kern w:val="2"/>
                <w:sz w:val="21"/>
                <w:szCs w:val="21"/>
                <w:highlight w:val="none"/>
                <w:lang w:val="en-US" w:eastAsia="en-US" w:bidi="ar-SA"/>
              </w:rPr>
              <w:t>花坪保护区专属宣传制作需求。</w:t>
            </w:r>
          </w:p>
          <w:p w14:paraId="5D688656">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cs="宋体"/>
                <w:color w:val="auto"/>
                <w:spacing w:val="11"/>
                <w:kern w:val="2"/>
                <w:sz w:val="21"/>
                <w:szCs w:val="21"/>
                <w:highlight w:val="none"/>
                <w:lang w:val="en-US" w:eastAsia="zh-CN" w:bidi="ar-SA"/>
              </w:rPr>
              <w:t>8</w:t>
            </w:r>
            <w:r>
              <w:rPr>
                <w:rFonts w:hint="eastAsia" w:ascii="宋体" w:hAnsi="宋体" w:eastAsia="宋体" w:cs="宋体"/>
                <w:color w:val="auto"/>
                <w:spacing w:val="11"/>
                <w:kern w:val="2"/>
                <w:sz w:val="21"/>
                <w:szCs w:val="21"/>
                <w:highlight w:val="none"/>
                <w:lang w:val="en-US" w:eastAsia="en-US" w:bidi="ar-SA"/>
              </w:rPr>
              <w:t>分）：五项评审因素有两项内容经评审合理、可行且贴合</w:t>
            </w:r>
            <w:r>
              <w:rPr>
                <w:rFonts w:hint="eastAsia" w:ascii="宋体" w:hAnsi="宋体" w:eastAsia="宋体" w:cs="宋体"/>
                <w:color w:val="auto"/>
                <w:spacing w:val="11"/>
                <w:kern w:val="2"/>
                <w:sz w:val="21"/>
                <w:szCs w:val="21"/>
                <w:highlight w:val="none"/>
                <w:lang w:val="en-US" w:eastAsia="en-US" w:bidi="ar-SA"/>
              </w:rPr>
              <w:t>花坪保护区专属宣传制作需求。</w:t>
            </w:r>
          </w:p>
          <w:p w14:paraId="29FF494D">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cs="宋体"/>
                <w:color w:val="auto"/>
                <w:spacing w:val="11"/>
                <w:kern w:val="2"/>
                <w:sz w:val="21"/>
                <w:szCs w:val="21"/>
                <w:highlight w:val="none"/>
                <w:lang w:val="en-US" w:eastAsia="zh-CN" w:bidi="ar-SA"/>
              </w:rPr>
              <w:t>12</w:t>
            </w:r>
            <w:r>
              <w:rPr>
                <w:rFonts w:hint="eastAsia" w:ascii="宋体" w:hAnsi="宋体" w:eastAsia="宋体" w:cs="宋体"/>
                <w:color w:val="auto"/>
                <w:spacing w:val="11"/>
                <w:kern w:val="2"/>
                <w:sz w:val="21"/>
                <w:szCs w:val="21"/>
                <w:highlight w:val="none"/>
                <w:lang w:val="en-US" w:eastAsia="en-US" w:bidi="ar-SA"/>
              </w:rPr>
              <w:t>分）：五项评审因素有三项内容经评审合理、可行且贴合</w:t>
            </w:r>
            <w:r>
              <w:rPr>
                <w:rFonts w:hint="eastAsia" w:ascii="宋体" w:hAnsi="宋体" w:eastAsia="宋体" w:cs="宋体"/>
                <w:color w:val="auto"/>
                <w:spacing w:val="11"/>
                <w:kern w:val="2"/>
                <w:sz w:val="21"/>
                <w:szCs w:val="21"/>
                <w:highlight w:val="none"/>
                <w:lang w:val="en-US" w:eastAsia="en-US" w:bidi="ar-SA"/>
              </w:rPr>
              <w:t>花坪保护区专属宣传制作需求</w:t>
            </w:r>
            <w:r>
              <w:rPr>
                <w:rFonts w:hint="eastAsia" w:ascii="宋体" w:hAnsi="宋体" w:eastAsia="宋体" w:cs="宋体"/>
                <w:color w:val="auto"/>
                <w:spacing w:val="11"/>
                <w:kern w:val="2"/>
                <w:sz w:val="21"/>
                <w:szCs w:val="21"/>
                <w:highlight w:val="none"/>
                <w:lang w:val="en-US" w:eastAsia="en-US" w:bidi="ar-SA"/>
              </w:rPr>
              <w:t>。</w:t>
            </w:r>
          </w:p>
          <w:p w14:paraId="26201019">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四档（1</w:t>
            </w:r>
            <w:r>
              <w:rPr>
                <w:rFonts w:hint="eastAsia" w:ascii="宋体" w:hAnsi="宋体" w:cs="宋体"/>
                <w:color w:val="auto"/>
                <w:spacing w:val="11"/>
                <w:kern w:val="2"/>
                <w:sz w:val="21"/>
                <w:szCs w:val="21"/>
                <w:highlight w:val="none"/>
                <w:lang w:val="en-US" w:eastAsia="zh-CN" w:bidi="ar-SA"/>
              </w:rPr>
              <w:t>6</w:t>
            </w:r>
            <w:r>
              <w:rPr>
                <w:rFonts w:hint="eastAsia" w:ascii="宋体" w:hAnsi="宋体" w:eastAsia="宋体" w:cs="宋体"/>
                <w:color w:val="auto"/>
                <w:spacing w:val="11"/>
                <w:kern w:val="2"/>
                <w:sz w:val="21"/>
                <w:szCs w:val="21"/>
                <w:highlight w:val="none"/>
                <w:lang w:val="en-US" w:eastAsia="en-US" w:bidi="ar-SA"/>
              </w:rPr>
              <w:t>分）：五项评审因素有四项内容经评审合理、可行且贴合</w:t>
            </w:r>
            <w:r>
              <w:rPr>
                <w:rFonts w:hint="eastAsia" w:ascii="宋体" w:hAnsi="宋体" w:eastAsia="宋体" w:cs="宋体"/>
                <w:color w:val="auto"/>
                <w:spacing w:val="11"/>
                <w:kern w:val="2"/>
                <w:sz w:val="21"/>
                <w:szCs w:val="21"/>
                <w:highlight w:val="none"/>
                <w:lang w:val="en-US" w:eastAsia="en-US" w:bidi="ar-SA"/>
              </w:rPr>
              <w:t>花坪保护区专属宣传制作需求。</w:t>
            </w:r>
          </w:p>
          <w:p w14:paraId="0625B593">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五档（</w:t>
            </w:r>
            <w:r>
              <w:rPr>
                <w:rFonts w:hint="eastAsia" w:ascii="宋体" w:hAnsi="宋体" w:cs="宋体"/>
                <w:color w:val="auto"/>
                <w:spacing w:val="11"/>
                <w:kern w:val="2"/>
                <w:sz w:val="21"/>
                <w:szCs w:val="21"/>
                <w:highlight w:val="none"/>
                <w:lang w:val="en-US" w:eastAsia="zh-CN" w:bidi="ar-SA"/>
              </w:rPr>
              <w:t>20</w:t>
            </w:r>
            <w:r>
              <w:rPr>
                <w:rFonts w:hint="eastAsia" w:ascii="宋体" w:hAnsi="宋体" w:eastAsia="宋体" w:cs="宋体"/>
                <w:color w:val="auto"/>
                <w:spacing w:val="11"/>
                <w:kern w:val="2"/>
                <w:sz w:val="21"/>
                <w:szCs w:val="21"/>
                <w:highlight w:val="none"/>
                <w:lang w:val="en-US" w:eastAsia="en-US" w:bidi="ar-SA"/>
              </w:rPr>
              <w:t>分）：五项评审因素内容均完整、合理、可行，针对性极强。深度结合花坪保护区2025年综合科考数据、新物种及</w:t>
            </w:r>
            <w:r>
              <w:rPr>
                <w:rFonts w:hint="eastAsia" w:ascii="宋体" w:hAnsi="宋体" w:cs="宋体"/>
                <w:color w:val="auto"/>
                <w:spacing w:val="11"/>
                <w:kern w:val="2"/>
                <w:sz w:val="21"/>
                <w:szCs w:val="21"/>
                <w:highlight w:val="none"/>
                <w:lang w:val="en-US" w:eastAsia="zh-CN" w:bidi="ar-SA"/>
              </w:rPr>
              <w:t>重点保护</w:t>
            </w:r>
            <w:r>
              <w:rPr>
                <w:rFonts w:hint="eastAsia" w:ascii="宋体" w:hAnsi="宋体" w:eastAsia="宋体" w:cs="宋体"/>
                <w:color w:val="auto"/>
                <w:spacing w:val="11"/>
                <w:kern w:val="2"/>
                <w:sz w:val="21"/>
                <w:szCs w:val="21"/>
                <w:highlight w:val="none"/>
                <w:lang w:val="en-US" w:eastAsia="en-US" w:bidi="ar-SA"/>
              </w:rPr>
              <w:t>物种</w:t>
            </w:r>
            <w:r>
              <w:rPr>
                <w:rFonts w:hint="eastAsia" w:ascii="宋体" w:hAnsi="宋体" w:cs="宋体"/>
                <w:color w:val="auto"/>
                <w:spacing w:val="11"/>
                <w:kern w:val="2"/>
                <w:sz w:val="21"/>
                <w:szCs w:val="21"/>
                <w:highlight w:val="none"/>
                <w:lang w:val="en-US" w:eastAsia="zh-CN" w:bidi="ar-SA"/>
              </w:rPr>
              <w:t>的素材选择丰富性</w:t>
            </w:r>
            <w:r>
              <w:rPr>
                <w:rFonts w:hint="eastAsia" w:ascii="宋体" w:hAnsi="宋体" w:eastAsia="宋体" w:cs="宋体"/>
                <w:color w:val="auto"/>
                <w:spacing w:val="11"/>
                <w:kern w:val="2"/>
                <w:sz w:val="21"/>
                <w:szCs w:val="21"/>
                <w:highlight w:val="none"/>
                <w:lang w:val="en-US" w:eastAsia="en-US" w:bidi="ar-SA"/>
              </w:rPr>
              <w:t>、</w:t>
            </w:r>
            <w:r>
              <w:rPr>
                <w:rFonts w:hint="eastAsia" w:ascii="宋体" w:hAnsi="宋体" w:eastAsia="宋体" w:cs="宋体"/>
                <w:color w:val="auto"/>
                <w:spacing w:val="11"/>
                <w:kern w:val="2"/>
                <w:sz w:val="21"/>
                <w:szCs w:val="21"/>
                <w:highlight w:val="none"/>
                <w:lang w:val="en-US" w:eastAsia="en-US" w:bidi="ar-SA"/>
              </w:rPr>
              <w:t>珍稀动植物</w:t>
            </w:r>
            <w:r>
              <w:rPr>
                <w:rFonts w:hint="eastAsia" w:ascii="宋体" w:hAnsi="宋体" w:cs="宋体"/>
                <w:color w:val="auto"/>
                <w:spacing w:val="11"/>
                <w:kern w:val="2"/>
                <w:sz w:val="21"/>
                <w:szCs w:val="21"/>
                <w:highlight w:val="none"/>
                <w:lang w:val="en-US" w:eastAsia="zh-CN" w:bidi="ar-SA"/>
              </w:rPr>
              <w:t>拍摄原素材清楚度与有趣性</w:t>
            </w:r>
            <w:r>
              <w:rPr>
                <w:rFonts w:hint="eastAsia" w:ascii="宋体" w:hAnsi="宋体" w:eastAsia="宋体" w:cs="宋体"/>
                <w:color w:val="auto"/>
                <w:spacing w:val="11"/>
                <w:kern w:val="2"/>
                <w:sz w:val="21"/>
                <w:szCs w:val="21"/>
                <w:highlight w:val="none"/>
                <w:lang w:val="en-US" w:eastAsia="en-US" w:bidi="ar-SA"/>
              </w:rPr>
              <w:t>，涵盖四季实地取景、专业访谈、素材精修、剪辑包装、动画特效、配音配乐、</w:t>
            </w:r>
            <w:r>
              <w:rPr>
                <w:rFonts w:hint="eastAsia" w:ascii="宋体" w:hAnsi="宋体" w:eastAsia="宋体" w:cs="宋体"/>
                <w:color w:val="auto"/>
                <w:spacing w:val="11"/>
                <w:kern w:val="2"/>
                <w:sz w:val="21"/>
                <w:szCs w:val="21"/>
                <w:highlight w:val="none"/>
                <w:lang w:val="en-US" w:eastAsia="en-US" w:bidi="ar-SA"/>
              </w:rPr>
              <w:t>宣传物</w:t>
            </w:r>
            <w:r>
              <w:rPr>
                <w:rFonts w:hint="eastAsia" w:ascii="宋体" w:hAnsi="宋体" w:cs="宋体"/>
                <w:color w:val="auto"/>
                <w:spacing w:val="11"/>
                <w:kern w:val="2"/>
                <w:sz w:val="21"/>
                <w:szCs w:val="21"/>
                <w:highlight w:val="none"/>
                <w:lang w:val="en-US" w:eastAsia="zh-CN" w:bidi="ar-SA"/>
              </w:rPr>
              <w:t>资料</w:t>
            </w:r>
            <w:r>
              <w:rPr>
                <w:rFonts w:hint="eastAsia" w:ascii="宋体" w:hAnsi="宋体" w:eastAsia="宋体" w:cs="宋体"/>
                <w:color w:val="auto"/>
                <w:spacing w:val="11"/>
                <w:kern w:val="2"/>
                <w:sz w:val="21"/>
                <w:szCs w:val="21"/>
                <w:highlight w:val="none"/>
                <w:lang w:val="en-US" w:eastAsia="en-US" w:bidi="ar-SA"/>
              </w:rPr>
              <w:t>设计</w:t>
            </w:r>
            <w:r>
              <w:rPr>
                <w:rFonts w:hint="eastAsia" w:ascii="宋体" w:hAnsi="宋体" w:cs="宋体"/>
                <w:color w:val="auto"/>
                <w:spacing w:val="11"/>
                <w:kern w:val="2"/>
                <w:sz w:val="21"/>
                <w:szCs w:val="21"/>
                <w:highlight w:val="none"/>
                <w:lang w:val="en-US" w:eastAsia="zh-CN" w:bidi="ar-SA"/>
              </w:rPr>
              <w:t>排版的吸引度，超前性以及</w:t>
            </w:r>
            <w:r>
              <w:rPr>
                <w:rFonts w:hint="eastAsia" w:ascii="宋体" w:hAnsi="宋体" w:eastAsia="宋体" w:cs="宋体"/>
                <w:color w:val="auto"/>
                <w:spacing w:val="11"/>
                <w:kern w:val="2"/>
                <w:sz w:val="21"/>
                <w:szCs w:val="21"/>
                <w:highlight w:val="none"/>
                <w:lang w:val="en-US" w:eastAsia="en-US" w:bidi="ar-SA"/>
              </w:rPr>
              <w:t>方案专业</w:t>
            </w:r>
            <w:r>
              <w:rPr>
                <w:rFonts w:hint="eastAsia" w:ascii="宋体" w:hAnsi="宋体" w:cs="宋体"/>
                <w:color w:val="auto"/>
                <w:spacing w:val="11"/>
                <w:kern w:val="2"/>
                <w:sz w:val="21"/>
                <w:szCs w:val="21"/>
                <w:highlight w:val="none"/>
                <w:lang w:val="en-US" w:eastAsia="zh-CN" w:bidi="ar-SA"/>
              </w:rPr>
              <w:t>的落地可实施占比</w:t>
            </w:r>
            <w:r>
              <w:rPr>
                <w:rFonts w:hint="eastAsia" w:ascii="宋体" w:hAnsi="宋体" w:eastAsia="宋体" w:cs="宋体"/>
                <w:color w:val="auto"/>
                <w:spacing w:val="11"/>
                <w:kern w:val="2"/>
                <w:sz w:val="21"/>
                <w:szCs w:val="21"/>
                <w:highlight w:val="none"/>
                <w:lang w:val="en-US" w:eastAsia="en-US" w:bidi="ar-SA"/>
              </w:rPr>
              <w:t>，完全满足项目宣传交付标准与科普宣教要求。</w:t>
            </w:r>
          </w:p>
          <w:p w14:paraId="6A97FD57">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6" w:firstLineChars="200"/>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11"/>
                <w:kern w:val="2"/>
                <w:sz w:val="21"/>
                <w:szCs w:val="21"/>
                <w:highlight w:val="none"/>
                <w:lang w:val="en-US" w:eastAsia="en-US" w:bidi="ar-SA"/>
              </w:rPr>
              <w:t>注：未提供项目视频及宣传资料制作工作方案的</w:t>
            </w:r>
            <w:r>
              <w:rPr>
                <w:rFonts w:hint="eastAsia" w:ascii="宋体" w:hAnsi="宋体" w:cs="宋体"/>
                <w:b/>
                <w:bCs/>
                <w:color w:val="auto"/>
                <w:spacing w:val="11"/>
                <w:kern w:val="2"/>
                <w:sz w:val="21"/>
                <w:szCs w:val="21"/>
                <w:highlight w:val="none"/>
                <w:lang w:val="en-US" w:eastAsia="zh-CN" w:bidi="ar-SA"/>
              </w:rPr>
              <w:t>计</w:t>
            </w:r>
            <w:r>
              <w:rPr>
                <w:rFonts w:hint="eastAsia" w:ascii="宋体" w:hAnsi="宋体" w:eastAsia="宋体" w:cs="宋体"/>
                <w:b/>
                <w:bCs/>
                <w:color w:val="auto"/>
                <w:spacing w:val="11"/>
                <w:kern w:val="2"/>
                <w:sz w:val="21"/>
                <w:szCs w:val="21"/>
                <w:highlight w:val="none"/>
                <w:lang w:val="en-US" w:eastAsia="en-US" w:bidi="ar-SA"/>
              </w:rPr>
              <w:t>0分。</w:t>
            </w:r>
          </w:p>
        </w:tc>
      </w:tr>
      <w:tr w14:paraId="1D19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1BBE0856">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508F179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61B5EB1E">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r>
              <w:rPr>
                <w:rFonts w:hint="eastAsia" w:cs="宋体"/>
                <w:b/>
                <w:bCs/>
                <w:color w:val="auto"/>
                <w:spacing w:val="4"/>
                <w:sz w:val="21"/>
                <w:szCs w:val="21"/>
                <w:highlight w:val="none"/>
                <w:lang w:val="en-US" w:eastAsia="zh-CN"/>
              </w:rPr>
              <w:t>3</w:t>
            </w:r>
            <w:r>
              <w:rPr>
                <w:rFonts w:hint="eastAsia" w:ascii="宋体" w:hAnsi="宋体" w:eastAsia="宋体" w:cs="宋体"/>
                <w:b/>
                <w:bCs/>
                <w:color w:val="auto"/>
                <w:spacing w:val="4"/>
                <w:sz w:val="21"/>
                <w:szCs w:val="21"/>
                <w:highlight w:val="none"/>
                <w:lang w:val="en-US" w:eastAsia="zh-CN"/>
              </w:rPr>
              <w:t>标本养护实施方案（满分</w:t>
            </w:r>
            <w:r>
              <w:rPr>
                <w:rFonts w:hint="eastAsia" w:cs="宋体"/>
                <w:b/>
                <w:bCs/>
                <w:color w:val="auto"/>
                <w:spacing w:val="4"/>
                <w:sz w:val="21"/>
                <w:szCs w:val="21"/>
                <w:highlight w:val="none"/>
                <w:lang w:val="en-US" w:eastAsia="zh-CN"/>
              </w:rPr>
              <w:t>10</w:t>
            </w:r>
            <w:r>
              <w:rPr>
                <w:rFonts w:hint="eastAsia" w:ascii="宋体" w:hAnsi="宋体" w:eastAsia="宋体" w:cs="宋体"/>
                <w:b/>
                <w:bCs/>
                <w:color w:val="auto"/>
                <w:spacing w:val="4"/>
                <w:sz w:val="21"/>
                <w:szCs w:val="21"/>
                <w:highlight w:val="none"/>
                <w:lang w:val="en-US" w:eastAsia="zh-CN"/>
              </w:rPr>
              <w:t>分</w:t>
            </w:r>
            <w:r>
              <w:rPr>
                <w:rFonts w:hint="eastAsia" w:ascii="宋体" w:hAnsi="宋体" w:eastAsia="宋体" w:cs="宋体"/>
                <w:b/>
                <w:bCs/>
                <w:color w:val="auto"/>
                <w:spacing w:val="4"/>
                <w:sz w:val="21"/>
                <w:szCs w:val="21"/>
                <w:highlight w:val="none"/>
                <w:lang w:val="en-US" w:eastAsia="zh-CN"/>
              </w:rPr>
              <w:t>）</w:t>
            </w:r>
          </w:p>
        </w:tc>
        <w:tc>
          <w:tcPr>
            <w:tcW w:w="6444" w:type="dxa"/>
            <w:noWrap w:val="0"/>
            <w:vAlign w:val="center"/>
          </w:tcPr>
          <w:p w14:paraId="762E30C8">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本项目实施地点为广西桂林花坪国家级自然保护区，需完成290件各类宣教标本养护工作，涵盖鸟类、兽类剥皮类标本、植物蜡叶标本、动植物浸制标本养护，包含标本除尘除霉除虫、修复上色、药液更换、容器维护、药品购置、展厅环境消杀等专项工作。磋商小组对各供应商提供的方案，围绕包含但不限于：①标本养护工作目的、范围、政策依据、实施原则；②分类养护技术路线与作业流程；③鸟类、兽类、蜡叶、浸制标本专项养护内容与技术参数；④玻璃瓶</w:t>
            </w:r>
            <w:r>
              <w:rPr>
                <w:rFonts w:hint="eastAsia" w:cs="宋体"/>
                <w:b w:val="0"/>
                <w:bCs/>
                <w:color w:val="auto"/>
                <w:sz w:val="21"/>
                <w:szCs w:val="21"/>
                <w:highlight w:val="none"/>
                <w:lang w:eastAsia="zh-CN"/>
              </w:rPr>
              <w:t>浸制标本</w:t>
            </w:r>
            <w:r>
              <w:rPr>
                <w:rFonts w:hint="eastAsia" w:ascii="宋体" w:hAnsi="宋体" w:eastAsia="宋体" w:cs="宋体"/>
                <w:b w:val="0"/>
                <w:bCs/>
                <w:color w:val="auto"/>
                <w:sz w:val="21"/>
                <w:szCs w:val="21"/>
                <w:highlight w:val="none"/>
              </w:rPr>
              <w:t>维护、药液配置、展厅环境消杀管控方法与标准；⑤养护设备、耗材药品配置及质量验收、售后保障措施等五项核心评审内容进行综合评审，按档次独立打分：</w:t>
            </w:r>
          </w:p>
          <w:p w14:paraId="02B0F8F1">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一档（</w:t>
            </w:r>
            <w:r>
              <w:rPr>
                <w:rFonts w:hint="eastAsia"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分</w:t>
            </w:r>
            <w:r>
              <w:rPr>
                <w:rFonts w:hint="eastAsia" w:ascii="宋体" w:hAnsi="宋体" w:eastAsia="宋体" w:cs="宋体"/>
                <w:b w:val="0"/>
                <w:bCs/>
                <w:color w:val="auto"/>
                <w:sz w:val="21"/>
                <w:szCs w:val="21"/>
                <w:highlight w:val="none"/>
              </w:rPr>
              <w:t>）：五项评审因素仅有一项内容经评审合理、可行且贴合本项目花坪保护区标本养护专属技术需求，方案通用性强、无项目针对性。</w:t>
            </w:r>
          </w:p>
          <w:p w14:paraId="59FE45E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二档（</w:t>
            </w:r>
            <w:r>
              <w:rPr>
                <w:rFonts w:hint="eastAsia"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分</w:t>
            </w:r>
            <w:r>
              <w:rPr>
                <w:rFonts w:hint="eastAsia" w:ascii="宋体" w:hAnsi="宋体" w:eastAsia="宋体" w:cs="宋体"/>
                <w:b w:val="0"/>
                <w:bCs/>
                <w:color w:val="auto"/>
                <w:sz w:val="21"/>
                <w:szCs w:val="21"/>
                <w:highlight w:val="none"/>
              </w:rPr>
              <w:t>）：五项评审因素有两项内容经评审合理、可行且贴合本项目花坪保护区标本养护专属技术需求。</w:t>
            </w:r>
          </w:p>
          <w:p w14:paraId="540FF10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三档（</w:t>
            </w:r>
            <w:r>
              <w:rPr>
                <w:rFonts w:hint="eastAsia"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分</w:t>
            </w:r>
            <w:r>
              <w:rPr>
                <w:rFonts w:hint="eastAsia" w:ascii="宋体" w:hAnsi="宋体" w:eastAsia="宋体" w:cs="宋体"/>
                <w:b w:val="0"/>
                <w:bCs/>
                <w:color w:val="auto"/>
                <w:sz w:val="21"/>
                <w:szCs w:val="21"/>
                <w:highlight w:val="none"/>
              </w:rPr>
              <w:t>）：五项评审因素有三项内容经评审合理、可行且贴合本项目花坪保护区标本养护专属技术需求，方案基本满足基础养护工作要求。</w:t>
            </w:r>
          </w:p>
          <w:p w14:paraId="6E15641A">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四档（</w:t>
            </w:r>
            <w:r>
              <w:rPr>
                <w:rFonts w:hint="eastAsia"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分</w:t>
            </w:r>
            <w:r>
              <w:rPr>
                <w:rFonts w:hint="eastAsia" w:ascii="宋体" w:hAnsi="宋体" w:eastAsia="宋体" w:cs="宋体"/>
                <w:b w:val="0"/>
                <w:bCs/>
                <w:color w:val="auto"/>
                <w:sz w:val="21"/>
                <w:szCs w:val="21"/>
                <w:highlight w:val="none"/>
              </w:rPr>
              <w:t>）：五项评审因素有四项内容经评审合理、可行且贴合本项目花坪保护区标本养护专属技术需求，方案内容完善，贴合项目技术参数标准。</w:t>
            </w:r>
          </w:p>
          <w:p w14:paraId="5E85FA1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0" w:firstLineChars="200"/>
              <w:jc w:val="lef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五档（</w:t>
            </w:r>
            <w:r>
              <w:rPr>
                <w:rFonts w:hint="eastAsia" w:cs="宋体"/>
                <w:b w:val="0"/>
                <w:bCs/>
                <w:color w:val="auto"/>
                <w:sz w:val="21"/>
                <w:szCs w:val="21"/>
                <w:highlight w:val="none"/>
                <w:lang w:val="en-US" w:eastAsia="zh-CN"/>
              </w:rPr>
              <w:t>10</w:t>
            </w:r>
            <w:r>
              <w:rPr>
                <w:rFonts w:hint="eastAsia" w:ascii="宋体" w:hAnsi="宋体" w:eastAsia="宋体" w:cs="宋体"/>
                <w:b w:val="0"/>
                <w:bCs/>
                <w:color w:val="auto"/>
                <w:sz w:val="21"/>
                <w:szCs w:val="21"/>
                <w:highlight w:val="none"/>
              </w:rPr>
              <w:t>分</w:t>
            </w:r>
            <w:r>
              <w:rPr>
                <w:rFonts w:hint="eastAsia" w:ascii="宋体" w:hAnsi="宋体" w:eastAsia="宋体" w:cs="宋体"/>
                <w:b w:val="0"/>
                <w:bCs/>
                <w:color w:val="auto"/>
                <w:sz w:val="21"/>
                <w:szCs w:val="21"/>
                <w:highlight w:val="none"/>
              </w:rPr>
              <w:t>）：五项评审因素内容均完整、合理、可行，针对性、专业性极强。方案完整覆盖鸟类兽类标本除尘除霉、修形上色、义眼更换、毛发羽毛修复，蜡叶标本药物熏蒸，浸制标本药液更换、浓度调控、温湿度避光管控，四种规格玻璃瓶维护、专用药品购置、展厅消杀防鼠等全部项目专属技术参数，养护流程标准化、质量管控体系完善，完全符合本项目技术要求及行业标本养护规范。</w:t>
            </w:r>
          </w:p>
          <w:p w14:paraId="70D6894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bCs w:val="0"/>
                <w:color w:val="auto"/>
                <w:sz w:val="21"/>
                <w:szCs w:val="21"/>
                <w:highlight w:val="none"/>
              </w:rPr>
              <w:t>注：未提供专项实施方案或不符合最低入档条件的按不入档计0分。</w:t>
            </w:r>
          </w:p>
        </w:tc>
      </w:tr>
      <w:tr w14:paraId="51A2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6263877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36D3CDE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3EF3278F">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r>
              <w:rPr>
                <w:rFonts w:hint="eastAsia" w:cs="宋体"/>
                <w:b/>
                <w:bCs/>
                <w:color w:val="auto"/>
                <w:spacing w:val="4"/>
                <w:sz w:val="21"/>
                <w:szCs w:val="21"/>
                <w:highlight w:val="none"/>
                <w:lang w:val="en-US" w:eastAsia="zh-CN"/>
              </w:rPr>
              <w:t>4</w:t>
            </w:r>
            <w:r>
              <w:rPr>
                <w:rFonts w:hint="eastAsia" w:ascii="宋体" w:hAnsi="宋体" w:eastAsia="宋体" w:cs="宋体"/>
                <w:b/>
                <w:bCs/>
                <w:color w:val="auto"/>
                <w:spacing w:val="4"/>
                <w:sz w:val="21"/>
                <w:szCs w:val="21"/>
                <w:highlight w:val="none"/>
                <w:lang w:val="en-US" w:eastAsia="zh-CN"/>
              </w:rPr>
              <w:t>质量保障措施（满分10分）</w:t>
            </w:r>
          </w:p>
        </w:tc>
        <w:tc>
          <w:tcPr>
            <w:tcW w:w="6444" w:type="dxa"/>
            <w:noWrap w:val="0"/>
            <w:vAlign w:val="center"/>
          </w:tcPr>
          <w:p w14:paraId="6A2E8E23">
            <w:pPr>
              <w:pStyle w:val="56"/>
              <w:keepNext w:val="0"/>
              <w:keepLines w:val="0"/>
              <w:pageBreakBefore w:val="0"/>
              <w:widowControl w:val="0"/>
              <w:suppressLineNumbers w:val="0"/>
              <w:kinsoku/>
              <w:wordWrap/>
              <w:overflowPunct/>
              <w:topLinePunct w:val="0"/>
              <w:autoSpaceDE/>
              <w:autoSpaceDN/>
              <w:bidi w:val="0"/>
              <w:spacing w:before="170" w:beforeAutospacing="0" w:after="0" w:afterAutospacing="0" w:line="360" w:lineRule="exact"/>
              <w:ind w:left="0" w:right="109" w:firstLine="464" w:firstLineChars="200"/>
              <w:textAlignment w:val="auto"/>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磋商小组根据各供应商提供的</w:t>
            </w:r>
            <w:r>
              <w:rPr>
                <w:rFonts w:hint="eastAsia" w:ascii="宋体" w:hAnsi="宋体" w:eastAsia="宋体" w:cs="宋体"/>
                <w:color w:val="auto"/>
                <w:spacing w:val="11"/>
                <w:sz w:val="21"/>
                <w:szCs w:val="21"/>
                <w:highlight w:val="none"/>
                <w:lang w:val="en-US" w:eastAsia="zh-CN"/>
              </w:rPr>
              <w:t>质量保证措施中“包含但不限于：①三级质量核查管控体系</w:t>
            </w:r>
            <w:r>
              <w:rPr>
                <w:rFonts w:hint="eastAsia" w:ascii="宋体" w:hAnsi="宋体" w:eastAsia="宋体" w:cs="宋体"/>
                <w:color w:val="auto"/>
                <w:spacing w:val="11"/>
                <w:sz w:val="21"/>
                <w:szCs w:val="21"/>
                <w:highlight w:val="none"/>
              </w:rPr>
              <w:t>；②</w:t>
            </w:r>
            <w:r>
              <w:rPr>
                <w:rFonts w:hint="eastAsia" w:ascii="宋体" w:hAnsi="宋体" w:eastAsia="宋体" w:cs="宋体"/>
                <w:color w:val="auto"/>
                <w:spacing w:val="11"/>
                <w:sz w:val="21"/>
                <w:szCs w:val="21"/>
                <w:highlight w:val="none"/>
                <w:lang w:val="en-US" w:eastAsia="zh-CN"/>
              </w:rPr>
              <w:t>花坪保护区野外作业安全保障方案</w:t>
            </w:r>
            <w:r>
              <w:rPr>
                <w:rFonts w:hint="eastAsia" w:ascii="宋体" w:hAnsi="宋体" w:eastAsia="宋体" w:cs="宋体"/>
                <w:color w:val="auto"/>
                <w:spacing w:val="11"/>
                <w:sz w:val="21"/>
                <w:szCs w:val="21"/>
                <w:highlight w:val="none"/>
              </w:rPr>
              <w:t>；③</w:t>
            </w:r>
            <w:r>
              <w:rPr>
                <w:rFonts w:hint="eastAsia" w:ascii="宋体" w:hAnsi="宋体" w:eastAsia="宋体" w:cs="宋体"/>
                <w:color w:val="auto"/>
                <w:spacing w:val="11"/>
                <w:sz w:val="21"/>
                <w:szCs w:val="21"/>
                <w:highlight w:val="none"/>
                <w:lang w:val="en-US" w:eastAsia="zh-CN"/>
              </w:rPr>
              <w:t>普查数据与成果保密管理措施”</w:t>
            </w:r>
            <w:r>
              <w:rPr>
                <w:rFonts w:hint="eastAsia" w:ascii="宋体" w:hAnsi="宋体" w:eastAsia="宋体" w:cs="宋体"/>
                <w:color w:val="auto"/>
                <w:spacing w:val="11"/>
                <w:sz w:val="21"/>
                <w:szCs w:val="21"/>
                <w:highlight w:val="none"/>
              </w:rPr>
              <w:t>等内容进行综合评审，并独立打分：</w:t>
            </w:r>
          </w:p>
          <w:p w14:paraId="0B0EFE63">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（3</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19D0A9FB">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（7</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项评审因素有</w:t>
            </w:r>
            <w:r>
              <w:rPr>
                <w:rFonts w:hint="eastAsia" w:ascii="宋体" w:hAnsi="宋体" w:eastAsia="宋体" w:cs="宋体"/>
                <w:color w:val="auto"/>
                <w:spacing w:val="11"/>
                <w:kern w:val="2"/>
                <w:sz w:val="21"/>
                <w:szCs w:val="21"/>
                <w:highlight w:val="none"/>
                <w:lang w:val="en-US" w:eastAsia="zh-CN" w:bidi="ar-SA"/>
              </w:rPr>
              <w:t>两项</w:t>
            </w:r>
            <w:r>
              <w:rPr>
                <w:rFonts w:hint="eastAsia" w:ascii="宋体" w:hAnsi="宋体" w:eastAsia="宋体" w:cs="宋体"/>
                <w:color w:val="auto"/>
                <w:spacing w:val="11"/>
                <w:kern w:val="2"/>
                <w:sz w:val="21"/>
                <w:szCs w:val="21"/>
                <w:highlight w:val="none"/>
                <w:lang w:val="en-US" w:eastAsia="en-US" w:bidi="ar-SA"/>
              </w:rPr>
              <w:t>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7D0FC68D">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（10</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项评审因素内容经评审合理、可行且具有</w:t>
            </w:r>
            <w:r>
              <w:rPr>
                <w:rFonts w:hint="eastAsia" w:ascii="宋体" w:hAnsi="宋体" w:eastAsia="宋体" w:cs="宋体"/>
                <w:color w:val="auto"/>
                <w:spacing w:val="11"/>
                <w:kern w:val="2"/>
                <w:sz w:val="21"/>
                <w:szCs w:val="21"/>
                <w:highlight w:val="none"/>
                <w:lang w:val="en-US" w:eastAsia="zh-CN" w:bidi="ar-SA"/>
              </w:rPr>
              <w:t>针对性。</w:t>
            </w:r>
          </w:p>
          <w:p w14:paraId="69C8CD5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779A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213C892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0837DD9F">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46187F8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r>
              <w:rPr>
                <w:rFonts w:hint="eastAsia" w:cs="宋体"/>
                <w:b/>
                <w:bCs/>
                <w:color w:val="auto"/>
                <w:spacing w:val="4"/>
                <w:sz w:val="21"/>
                <w:szCs w:val="21"/>
                <w:highlight w:val="none"/>
                <w:lang w:val="en-US" w:eastAsia="zh-CN"/>
              </w:rPr>
              <w:t>5</w:t>
            </w:r>
            <w:r>
              <w:rPr>
                <w:rFonts w:hint="eastAsia" w:ascii="宋体" w:hAnsi="宋体" w:eastAsia="宋体" w:cs="宋体"/>
                <w:b/>
                <w:bCs/>
                <w:color w:val="auto"/>
                <w:spacing w:val="4"/>
                <w:sz w:val="21"/>
                <w:szCs w:val="21"/>
                <w:highlight w:val="none"/>
                <w:lang w:val="en-US" w:eastAsia="zh-CN"/>
              </w:rPr>
              <w:t>进度与安全保障（满分12分）</w:t>
            </w:r>
          </w:p>
        </w:tc>
        <w:tc>
          <w:tcPr>
            <w:tcW w:w="6444" w:type="dxa"/>
            <w:noWrap w:val="0"/>
            <w:vAlign w:val="center"/>
          </w:tcPr>
          <w:p w14:paraId="5D9CF769">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zh-CN" w:bidi="ar-SA"/>
              </w:rPr>
            </w:pPr>
            <w:r>
              <w:rPr>
                <w:rFonts w:hint="eastAsia" w:ascii="宋体" w:hAnsi="宋体" w:eastAsia="宋体" w:cs="宋体"/>
                <w:color w:val="auto"/>
                <w:spacing w:val="11"/>
                <w:kern w:val="2"/>
                <w:sz w:val="21"/>
                <w:szCs w:val="21"/>
                <w:highlight w:val="none"/>
                <w:lang w:val="en-US" w:eastAsia="en-US" w:bidi="ar-SA"/>
              </w:rPr>
              <w:t>磋商小组根据各供应商提供的项目工作方案</w:t>
            </w:r>
            <w:r>
              <w:rPr>
                <w:rFonts w:hint="eastAsia" w:ascii="宋体" w:hAnsi="宋体" w:eastAsia="宋体" w:cs="宋体"/>
                <w:color w:val="auto"/>
                <w:spacing w:val="11"/>
                <w:kern w:val="2"/>
                <w:sz w:val="21"/>
                <w:szCs w:val="21"/>
                <w:highlight w:val="none"/>
                <w:lang w:val="en-US" w:eastAsia="zh-CN" w:bidi="ar-SA"/>
              </w:rPr>
              <w:t>中“包含但不限于：①全周期进度排布</w:t>
            </w:r>
            <w:r>
              <w:rPr>
                <w:rFonts w:hint="eastAsia" w:ascii="宋体" w:hAnsi="宋体" w:eastAsia="宋体" w:cs="宋体"/>
                <w:color w:val="auto"/>
                <w:spacing w:val="11"/>
                <w:kern w:val="2"/>
                <w:sz w:val="21"/>
                <w:szCs w:val="21"/>
                <w:highlight w:val="none"/>
                <w:lang w:val="en-US" w:eastAsia="en-US" w:bidi="ar-SA"/>
              </w:rPr>
              <w:t>；②</w:t>
            </w:r>
            <w:r>
              <w:rPr>
                <w:rFonts w:hint="eastAsia" w:ascii="宋体" w:hAnsi="宋体" w:eastAsia="宋体" w:cs="宋体"/>
                <w:color w:val="auto"/>
                <w:spacing w:val="11"/>
                <w:kern w:val="2"/>
                <w:sz w:val="21"/>
                <w:szCs w:val="21"/>
                <w:highlight w:val="none"/>
                <w:lang w:val="en-US" w:eastAsia="zh-CN" w:bidi="ar-SA"/>
              </w:rPr>
              <w:t>工期延误防控保障措施</w:t>
            </w:r>
            <w:r>
              <w:rPr>
                <w:rFonts w:hint="eastAsia" w:ascii="宋体" w:hAnsi="宋体" w:eastAsia="宋体" w:cs="宋体"/>
                <w:color w:val="auto"/>
                <w:spacing w:val="11"/>
                <w:kern w:val="2"/>
                <w:sz w:val="21"/>
                <w:szCs w:val="21"/>
                <w:highlight w:val="none"/>
                <w:lang w:val="en-US" w:eastAsia="en-US" w:bidi="ar-SA"/>
              </w:rPr>
              <w:t>；③</w:t>
            </w:r>
            <w:r>
              <w:rPr>
                <w:rFonts w:hint="eastAsia" w:ascii="宋体" w:hAnsi="宋体" w:eastAsia="宋体" w:cs="宋体"/>
                <w:color w:val="auto"/>
                <w:spacing w:val="11"/>
                <w:kern w:val="2"/>
                <w:sz w:val="21"/>
                <w:szCs w:val="21"/>
                <w:highlight w:val="none"/>
                <w:lang w:val="en-US" w:eastAsia="zh-CN" w:bidi="ar-SA"/>
              </w:rPr>
              <w:t>野外作业安全管理制度；</w:t>
            </w:r>
            <w:r>
              <w:rPr>
                <w:rFonts w:hint="eastAsia" w:ascii="宋体" w:hAnsi="宋体" w:eastAsia="宋体" w:cs="宋体"/>
                <w:color w:val="auto"/>
                <w:spacing w:val="11"/>
                <w:kern w:val="2"/>
                <w:sz w:val="21"/>
                <w:szCs w:val="21"/>
                <w:highlight w:val="none"/>
                <w:lang w:val="en-US" w:eastAsia="en-US" w:bidi="ar-SA"/>
              </w:rPr>
              <w:t>④</w:t>
            </w:r>
            <w:r>
              <w:rPr>
                <w:rFonts w:hint="eastAsia" w:ascii="宋体" w:hAnsi="宋体" w:eastAsia="宋体" w:cs="宋体"/>
                <w:color w:val="auto"/>
                <w:spacing w:val="11"/>
                <w:kern w:val="2"/>
                <w:sz w:val="21"/>
                <w:szCs w:val="21"/>
                <w:highlight w:val="none"/>
                <w:lang w:val="en-US" w:eastAsia="zh-CN" w:bidi="ar-SA"/>
              </w:rPr>
              <w:t>野外作业安全管理制度；</w:t>
            </w:r>
            <w:r>
              <w:rPr>
                <w:rFonts w:hint="eastAsia" w:ascii="宋体" w:hAnsi="宋体" w:eastAsia="宋体" w:cs="宋体"/>
                <w:color w:val="auto"/>
                <w:spacing w:val="11"/>
                <w:kern w:val="2"/>
                <w:sz w:val="21"/>
                <w:szCs w:val="21"/>
                <w:highlight w:val="none"/>
                <w:lang w:val="en-US" w:eastAsia="en-US" w:bidi="ar-SA"/>
              </w:rPr>
              <w:t>⑤</w:t>
            </w:r>
            <w:r>
              <w:rPr>
                <w:rFonts w:hint="eastAsia" w:ascii="宋体" w:hAnsi="宋体" w:eastAsia="宋体" w:cs="宋体"/>
                <w:color w:val="auto"/>
                <w:spacing w:val="11"/>
                <w:kern w:val="2"/>
                <w:sz w:val="21"/>
                <w:szCs w:val="21"/>
                <w:highlight w:val="none"/>
                <w:lang w:val="en-US" w:eastAsia="zh-CN" w:bidi="ar-SA"/>
              </w:rPr>
              <w:t>安全事故应急处置预案”</w:t>
            </w:r>
            <w:r>
              <w:rPr>
                <w:rFonts w:hint="eastAsia" w:ascii="宋体" w:hAnsi="宋体" w:eastAsia="宋体" w:cs="宋体"/>
                <w:color w:val="auto"/>
                <w:spacing w:val="11"/>
                <w:kern w:val="2"/>
                <w:sz w:val="21"/>
                <w:szCs w:val="21"/>
                <w:highlight w:val="none"/>
                <w:lang w:val="en-US" w:eastAsia="en-US" w:bidi="ar-SA"/>
              </w:rPr>
              <w:t>等内容进行综合评审，并独立打分：</w:t>
            </w:r>
          </w:p>
          <w:p w14:paraId="2BFFC96B">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3E3126EC">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（5</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w:t>
            </w:r>
            <w:r>
              <w:rPr>
                <w:rFonts w:hint="eastAsia" w:ascii="宋体" w:hAnsi="宋体" w:eastAsia="宋体" w:cs="宋体"/>
                <w:color w:val="auto"/>
                <w:spacing w:val="11"/>
                <w:kern w:val="2"/>
                <w:sz w:val="21"/>
                <w:szCs w:val="21"/>
                <w:highlight w:val="none"/>
                <w:lang w:val="en-US" w:eastAsia="zh-CN" w:bidi="ar-SA"/>
              </w:rPr>
              <w:t>两</w:t>
            </w:r>
            <w:r>
              <w:rPr>
                <w:rFonts w:hint="eastAsia" w:ascii="宋体" w:hAnsi="宋体" w:eastAsia="宋体" w:cs="宋体"/>
                <w:color w:val="auto"/>
                <w:spacing w:val="11"/>
                <w:kern w:val="2"/>
                <w:sz w:val="21"/>
                <w:szCs w:val="21"/>
                <w:highlight w:val="none"/>
                <w:lang w:val="en-US" w:eastAsia="en-US" w:bidi="ar-SA"/>
              </w:rPr>
              <w:t>项内容经评审合理、可行且具有针对性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5B493C78">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（8</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五项评审因素有三项内容经评审合理、可行且具有针对性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24184AA4">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w:t>
            </w:r>
            <w:r>
              <w:rPr>
                <w:rFonts w:hint="eastAsia" w:ascii="宋体" w:hAnsi="宋体" w:eastAsia="宋体" w:cs="宋体"/>
                <w:color w:val="auto"/>
                <w:spacing w:val="11"/>
                <w:kern w:val="2"/>
                <w:sz w:val="21"/>
                <w:szCs w:val="21"/>
                <w:highlight w:val="none"/>
                <w:lang w:val="en-US" w:eastAsia="zh-CN" w:bidi="ar-SA"/>
              </w:rPr>
              <w:t>（10</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五项评审因素有四项内容经评审合理、可行且具有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2922ADD9">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五档</w:t>
            </w:r>
            <w:r>
              <w:rPr>
                <w:rFonts w:hint="eastAsia" w:ascii="宋体" w:hAnsi="宋体" w:eastAsia="宋体" w:cs="宋体"/>
                <w:color w:val="auto"/>
                <w:spacing w:val="11"/>
                <w:kern w:val="2"/>
                <w:sz w:val="21"/>
                <w:szCs w:val="21"/>
                <w:highlight w:val="none"/>
                <w:lang w:val="en-US" w:eastAsia="zh-CN" w:bidi="ar-SA"/>
              </w:rPr>
              <w:t>（12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：五项评审因素内容经评审均合理、可行且具有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78C03C8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3CEA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5A2AB14F">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6CA8DF1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24E00A0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2.5售后服务承诺方案（满分8分）</w:t>
            </w:r>
          </w:p>
        </w:tc>
        <w:tc>
          <w:tcPr>
            <w:tcW w:w="6444" w:type="dxa"/>
            <w:noWrap w:val="0"/>
            <w:vAlign w:val="center"/>
          </w:tcPr>
          <w:p w14:paraId="4DF1005D">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zh-CN" w:bidi="ar-SA"/>
              </w:rPr>
            </w:pPr>
            <w:r>
              <w:rPr>
                <w:rFonts w:hint="eastAsia" w:ascii="宋体" w:hAnsi="宋体" w:eastAsia="宋体" w:cs="宋体"/>
                <w:color w:val="auto"/>
                <w:spacing w:val="11"/>
                <w:kern w:val="2"/>
                <w:sz w:val="21"/>
                <w:szCs w:val="21"/>
                <w:highlight w:val="none"/>
                <w:lang w:val="en-US" w:eastAsia="en-US" w:bidi="ar-SA"/>
              </w:rPr>
              <w:t>磋商小组根据各供应商所提供服务承诺方案中“包含但不限于：①</w:t>
            </w:r>
            <w:r>
              <w:rPr>
                <w:rFonts w:hint="eastAsia" w:ascii="宋体" w:hAnsi="宋体" w:eastAsia="宋体" w:cs="宋体"/>
                <w:color w:val="auto"/>
                <w:spacing w:val="11"/>
                <w:kern w:val="2"/>
                <w:sz w:val="21"/>
                <w:szCs w:val="21"/>
                <w:highlight w:val="none"/>
                <w:lang w:val="en-US" w:eastAsia="zh-CN" w:bidi="ar-SA"/>
              </w:rPr>
              <w:t>售后</w:t>
            </w:r>
            <w:r>
              <w:rPr>
                <w:rFonts w:hint="eastAsia" w:ascii="宋体" w:hAnsi="宋体" w:eastAsia="宋体" w:cs="宋体"/>
                <w:color w:val="auto"/>
                <w:spacing w:val="11"/>
                <w:kern w:val="2"/>
                <w:sz w:val="21"/>
                <w:szCs w:val="21"/>
                <w:highlight w:val="none"/>
                <w:lang w:val="en-US" w:eastAsia="en-US" w:bidi="ar-SA"/>
              </w:rPr>
              <w:t>服务内容；②售后服务保障措施；③</w:t>
            </w:r>
            <w:r>
              <w:rPr>
                <w:rFonts w:hint="eastAsia" w:ascii="宋体" w:hAnsi="宋体" w:eastAsia="宋体" w:cs="宋体"/>
                <w:color w:val="auto"/>
                <w:spacing w:val="11"/>
                <w:kern w:val="2"/>
                <w:sz w:val="21"/>
                <w:szCs w:val="21"/>
                <w:highlight w:val="none"/>
                <w:lang w:val="en-US" w:eastAsia="zh-CN" w:bidi="ar-SA"/>
              </w:rPr>
              <w:t>售后</w:t>
            </w:r>
            <w:r>
              <w:rPr>
                <w:rFonts w:hint="eastAsia" w:ascii="宋体" w:hAnsi="宋体" w:eastAsia="宋体" w:cs="宋体"/>
                <w:color w:val="auto"/>
                <w:spacing w:val="11"/>
                <w:kern w:val="2"/>
                <w:sz w:val="21"/>
                <w:szCs w:val="21"/>
                <w:highlight w:val="none"/>
                <w:lang w:val="en-US" w:eastAsia="en-US" w:bidi="ar-SA"/>
              </w:rPr>
              <w:t>处理问题响应时间</w:t>
            </w:r>
            <w:r>
              <w:rPr>
                <w:rFonts w:hint="eastAsia" w:ascii="宋体" w:hAnsi="宋体" w:eastAsia="宋体" w:cs="宋体"/>
                <w:color w:val="auto"/>
                <w:spacing w:val="11"/>
                <w:kern w:val="2"/>
                <w:sz w:val="21"/>
                <w:szCs w:val="21"/>
                <w:highlight w:val="none"/>
                <w:lang w:val="en-US" w:eastAsia="zh-CN" w:bidi="ar-SA"/>
              </w:rPr>
              <w:t>、联系人及联系方式</w:t>
            </w:r>
            <w:r>
              <w:rPr>
                <w:rFonts w:hint="eastAsia" w:ascii="宋体" w:hAnsi="宋体" w:eastAsia="宋体" w:cs="宋体"/>
                <w:color w:val="auto"/>
                <w:spacing w:val="11"/>
                <w:kern w:val="2"/>
                <w:sz w:val="21"/>
                <w:szCs w:val="21"/>
                <w:highlight w:val="none"/>
                <w:lang w:val="en-US" w:eastAsia="en-US" w:bidi="ar-SA"/>
              </w:rPr>
              <w:t>；④售后应急保障措施</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等内容进行综合评审，并独立打分：</w:t>
            </w:r>
          </w:p>
          <w:p w14:paraId="6C05193C">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44B6512F">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（4</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w:t>
            </w:r>
            <w:r>
              <w:rPr>
                <w:rFonts w:hint="eastAsia" w:ascii="宋体" w:hAnsi="宋体" w:eastAsia="宋体" w:cs="宋体"/>
                <w:color w:val="auto"/>
                <w:spacing w:val="11"/>
                <w:kern w:val="2"/>
                <w:sz w:val="21"/>
                <w:szCs w:val="21"/>
                <w:highlight w:val="none"/>
                <w:lang w:val="en-US" w:eastAsia="zh-CN" w:bidi="ar-SA"/>
              </w:rPr>
              <w:t>两</w:t>
            </w:r>
            <w:r>
              <w:rPr>
                <w:rFonts w:hint="eastAsia" w:ascii="宋体" w:hAnsi="宋体" w:eastAsia="宋体" w:cs="宋体"/>
                <w:color w:val="auto"/>
                <w:spacing w:val="11"/>
                <w:kern w:val="2"/>
                <w:sz w:val="21"/>
                <w:szCs w:val="21"/>
                <w:highlight w:val="none"/>
                <w:lang w:val="en-US" w:eastAsia="en-US" w:bidi="ar-SA"/>
              </w:rPr>
              <w:t>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050F5BE3">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（6</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项评审因素有三项内容经评审合理、可行且具有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4A4A6A6B">
            <w:pPr>
              <w:keepNext w:val="0"/>
              <w:keepLines w:val="0"/>
              <w:pageBreakBefore w:val="0"/>
              <w:widowControl w:val="0"/>
              <w:suppressLineNumbers w:val="0"/>
              <w:tabs>
                <w:tab w:val="center" w:pos="4153"/>
                <w:tab w:val="right" w:pos="8306"/>
              </w:tabs>
              <w:kinsoku/>
              <w:wordWrap/>
              <w:overflowPunct/>
              <w:topLinePunct w:val="0"/>
              <w:autoSpaceDE/>
              <w:autoSpaceDN/>
              <w:bidi w:val="0"/>
              <w:snapToGrid w:val="0"/>
              <w:spacing w:before="0" w:beforeAutospacing="0" w:after="0" w:afterAutospacing="0" w:line="360" w:lineRule="exact"/>
              <w:ind w:left="0" w:right="0" w:firstLine="464" w:firstLineChars="200"/>
              <w:textAlignment w:val="auto"/>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w:t>
            </w:r>
            <w:r>
              <w:rPr>
                <w:rFonts w:hint="eastAsia" w:ascii="宋体" w:hAnsi="宋体" w:eastAsia="宋体" w:cs="宋体"/>
                <w:color w:val="auto"/>
                <w:spacing w:val="11"/>
                <w:kern w:val="2"/>
                <w:sz w:val="21"/>
                <w:szCs w:val="21"/>
                <w:highlight w:val="none"/>
                <w:lang w:val="en-US" w:eastAsia="zh-CN" w:bidi="ar-SA"/>
              </w:rPr>
              <w:t>（8</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5007F06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7278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9" w:type="dxa"/>
            <w:gridSpan w:val="4"/>
            <w:noWrap w:val="0"/>
            <w:vAlign w:val="center"/>
          </w:tcPr>
          <w:p w14:paraId="68A68188">
            <w:pPr>
              <w:pStyle w:val="56"/>
              <w:keepNext w:val="0"/>
              <w:keepLines w:val="0"/>
              <w:pageBreakBefore w:val="0"/>
              <w:widowControl w:val="0"/>
              <w:suppressLineNumbers w:val="0"/>
              <w:kinsoku/>
              <w:wordWrap/>
              <w:overflowPunct/>
              <w:topLinePunct w:val="0"/>
              <w:autoSpaceDE/>
              <w:autoSpaceDN/>
              <w:bidi w:val="0"/>
              <w:spacing w:before="2" w:beforeAutospacing="0" w:after="0" w:afterAutospacing="0" w:line="360" w:lineRule="exact"/>
              <w:ind w:left="117" w:leftChars="0" w:right="160" w:rightChars="0" w:firstLine="16" w:firstLineChars="0"/>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总得分=1+2</w:t>
            </w:r>
          </w:p>
          <w:p w14:paraId="5996785C">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both"/>
              <w:textAlignment w:val="auto"/>
              <w:rPr>
                <w:rFonts w:hint="eastAsia" w:ascii="宋体" w:hAnsi="宋体" w:eastAsia="宋体" w:cs="宋体"/>
                <w:b/>
                <w:color w:val="auto"/>
                <w:kern w:val="0"/>
                <w:sz w:val="21"/>
                <w:szCs w:val="21"/>
                <w:highlight w:val="none"/>
              </w:rPr>
            </w:pPr>
            <w:r>
              <w:rPr>
                <w:rFonts w:hint="eastAsia" w:ascii="宋体" w:hAnsi="宋体" w:eastAsia="宋体" w:cs="宋体"/>
                <w:b/>
                <w:bCs/>
                <w:color w:val="auto"/>
                <w:kern w:val="2"/>
                <w:sz w:val="21"/>
                <w:szCs w:val="21"/>
                <w:highlight w:val="none"/>
              </w:rPr>
              <w:t>注：</w:t>
            </w:r>
            <w:r>
              <w:rPr>
                <w:rFonts w:hint="eastAsia" w:ascii="宋体" w:hAnsi="宋体" w:eastAsia="宋体" w:cs="宋体"/>
                <w:b/>
                <w:bCs/>
                <w:color w:val="auto"/>
                <w:spacing w:val="-8"/>
                <w:kern w:val="2"/>
                <w:sz w:val="21"/>
                <w:szCs w:val="21"/>
                <w:highlight w:val="none"/>
              </w:rPr>
              <w:t>本项目为服务类项目，不涉及节能环保政策考核，也不涉及本国产品政策考核。</w:t>
            </w:r>
          </w:p>
        </w:tc>
      </w:tr>
    </w:tbl>
    <w:p w14:paraId="36DD6CA3">
      <w:pPr>
        <w:spacing w:line="400" w:lineRule="exact"/>
        <w:ind w:firstLine="422" w:firstLineChars="200"/>
        <w:rPr>
          <w:rFonts w:hint="eastAsia" w:ascii="宋体" w:hAnsi="宋体" w:cs="宋体"/>
          <w:b/>
          <w:bCs/>
          <w:color w:val="auto"/>
          <w:szCs w:val="21"/>
          <w:highlight w:val="none"/>
          <w:lang w:val="en-US" w:eastAsia="zh-CN"/>
        </w:rPr>
      </w:pPr>
    </w:p>
    <w:p w14:paraId="70639A51">
      <w:pPr>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br w:type="page"/>
      </w:r>
    </w:p>
    <w:p w14:paraId="73A86BE8">
      <w:pPr>
        <w:spacing w:line="400" w:lineRule="exact"/>
        <w:ind w:firstLine="422" w:firstLineChars="200"/>
        <w:outlineLvl w:val="1"/>
        <w:rPr>
          <w:rFonts w:hint="eastAsia" w:ascii="宋体" w:hAnsi="宋体" w:eastAsia="宋体" w:cs="宋体"/>
          <w:color w:val="auto"/>
          <w:szCs w:val="21"/>
          <w:highlight w:val="none"/>
        </w:rPr>
      </w:pPr>
      <w:r>
        <w:rPr>
          <w:rFonts w:hint="eastAsia" w:ascii="宋体" w:hAnsi="宋体" w:cs="宋体"/>
          <w:b/>
          <w:bCs/>
          <w:color w:val="auto"/>
          <w:szCs w:val="21"/>
          <w:highlight w:val="none"/>
          <w:lang w:val="en-US" w:eastAsia="zh-CN"/>
        </w:rPr>
        <w:t>B分标：</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451"/>
        <w:gridCol w:w="1534"/>
        <w:gridCol w:w="6444"/>
      </w:tblGrid>
      <w:tr w14:paraId="09A0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900" w:type="dxa"/>
            <w:noWrap w:val="0"/>
            <w:vAlign w:val="center"/>
          </w:tcPr>
          <w:p w14:paraId="4C4FD1E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4"/>
                <w:sz w:val="21"/>
                <w:szCs w:val="21"/>
                <w:highlight w:val="none"/>
              </w:rPr>
              <w:t>序号</w:t>
            </w:r>
          </w:p>
        </w:tc>
        <w:tc>
          <w:tcPr>
            <w:tcW w:w="1451" w:type="dxa"/>
            <w:noWrap w:val="0"/>
            <w:vAlign w:val="center"/>
          </w:tcPr>
          <w:p w14:paraId="4E1E3B5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8" w:lineRule="auto"/>
              <w:ind w:left="0" w:right="0"/>
              <w:jc w:val="both"/>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评审项目</w:t>
            </w:r>
          </w:p>
        </w:tc>
        <w:tc>
          <w:tcPr>
            <w:tcW w:w="1534" w:type="dxa"/>
            <w:noWrap w:val="0"/>
            <w:vAlign w:val="center"/>
          </w:tcPr>
          <w:p w14:paraId="19FD71F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8" w:lineRule="auto"/>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评分因素</w:t>
            </w:r>
          </w:p>
        </w:tc>
        <w:tc>
          <w:tcPr>
            <w:tcW w:w="6444" w:type="dxa"/>
            <w:noWrap w:val="0"/>
            <w:vAlign w:val="center"/>
          </w:tcPr>
          <w:p w14:paraId="491A2D1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8" w:lineRule="auto"/>
              <w:ind w:left="0" w:right="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b/>
                <w:bCs/>
                <w:color w:val="auto"/>
                <w:spacing w:val="6"/>
                <w:sz w:val="21"/>
                <w:szCs w:val="21"/>
                <w:highlight w:val="none"/>
              </w:rPr>
              <w:t>评分标准</w:t>
            </w:r>
          </w:p>
        </w:tc>
      </w:tr>
      <w:tr w14:paraId="7B6F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noWrap w:val="0"/>
            <w:vAlign w:val="center"/>
          </w:tcPr>
          <w:p w14:paraId="00306F71">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1</w:t>
            </w:r>
          </w:p>
        </w:tc>
        <w:tc>
          <w:tcPr>
            <w:tcW w:w="1451" w:type="dxa"/>
            <w:noWrap w:val="0"/>
            <w:vAlign w:val="center"/>
          </w:tcPr>
          <w:p w14:paraId="58EC4A8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价格分（满分10分）</w:t>
            </w:r>
          </w:p>
        </w:tc>
        <w:tc>
          <w:tcPr>
            <w:tcW w:w="1534" w:type="dxa"/>
            <w:noWrap w:val="0"/>
            <w:vAlign w:val="center"/>
          </w:tcPr>
          <w:p w14:paraId="0CCEA32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响应报价（满分10 分）</w:t>
            </w:r>
          </w:p>
        </w:tc>
        <w:tc>
          <w:tcPr>
            <w:tcW w:w="6444" w:type="dxa"/>
            <w:noWrap w:val="0"/>
            <w:vAlign w:val="center"/>
          </w:tcPr>
          <w:p w14:paraId="50231FE1">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（1）评审价为供应商的最后报价进行政策性扣除后的价格，评审价只是作为评审时使用。最终成交供应商的成交金额等于最后报价（如有修正，以确认修正后的最后报价为准）。</w:t>
            </w:r>
          </w:p>
          <w:p w14:paraId="224C9E9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（2）中小企业政策性扣除计算方法</w:t>
            </w:r>
          </w:p>
          <w:p w14:paraId="5A920EB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根据《政府采购促进中小企业发展管理办法》（财库〔2020〕46号）及《广西壮族自治区财政厅关于持续优化政府采购营商环境推动高质量发展的通知》（桂财采〔2024〕55号）的规定，供应商在其响应文件中提供《中小企业声明函》，且服务全部由小微企业承接，对供应商的竞标报价给予</w:t>
            </w:r>
            <w:r>
              <w:rPr>
                <w:rFonts w:hint="eastAsia" w:cs="宋体"/>
                <w:b w:val="0"/>
                <w:bCs w:val="0"/>
                <w:color w:val="auto"/>
                <w:spacing w:val="3"/>
                <w:sz w:val="21"/>
                <w:szCs w:val="21"/>
                <w:highlight w:val="none"/>
                <w:lang w:eastAsia="zh-CN"/>
              </w:rPr>
              <w:t>20%</w:t>
            </w:r>
            <w:r>
              <w:rPr>
                <w:rFonts w:hint="eastAsia" w:ascii="宋体" w:hAnsi="宋体" w:eastAsia="宋体" w:cs="宋体"/>
                <w:b w:val="0"/>
                <w:bCs w:val="0"/>
                <w:color w:val="auto"/>
                <w:spacing w:val="3"/>
                <w:sz w:val="21"/>
                <w:szCs w:val="21"/>
                <w:highlight w:val="none"/>
              </w:rPr>
              <w:t>的扣除，扣除后的价格为评审价，即中小企业折扣=竞标报价×</w:t>
            </w:r>
            <w:r>
              <w:rPr>
                <w:rFonts w:hint="eastAsia" w:cs="宋体"/>
                <w:b w:val="0"/>
                <w:bCs w:val="0"/>
                <w:color w:val="auto"/>
                <w:spacing w:val="3"/>
                <w:sz w:val="21"/>
                <w:szCs w:val="21"/>
                <w:highlight w:val="none"/>
                <w:lang w:eastAsia="zh-CN"/>
              </w:rPr>
              <w:t>20%</w:t>
            </w:r>
            <w:r>
              <w:rPr>
                <w:rFonts w:hint="eastAsia" w:ascii="宋体" w:hAnsi="宋体" w:eastAsia="宋体" w:cs="宋体"/>
                <w:b w:val="0"/>
                <w:bCs w:val="0"/>
                <w:color w:val="auto"/>
                <w:spacing w:val="3"/>
                <w:sz w:val="21"/>
                <w:szCs w:val="21"/>
                <w:highlight w:val="none"/>
              </w:rPr>
              <w:t xml:space="preserve">。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 </w:t>
            </w:r>
            <w:r>
              <w:rPr>
                <w:rFonts w:hint="eastAsia" w:cs="宋体"/>
                <w:b w:val="0"/>
                <w:bCs w:val="0"/>
                <w:color w:val="auto"/>
                <w:spacing w:val="3"/>
                <w:sz w:val="21"/>
                <w:szCs w:val="21"/>
                <w:highlight w:val="none"/>
                <w:lang w:eastAsia="zh-CN"/>
              </w:rPr>
              <w:t>6%</w:t>
            </w:r>
            <w:r>
              <w:rPr>
                <w:rFonts w:hint="eastAsia" w:ascii="宋体" w:hAnsi="宋体" w:eastAsia="宋体" w:cs="宋体"/>
                <w:b w:val="0"/>
                <w:bCs w:val="0"/>
                <w:color w:val="auto"/>
                <w:spacing w:val="3"/>
                <w:sz w:val="21"/>
                <w:szCs w:val="21"/>
                <w:highlight w:val="none"/>
              </w:rPr>
              <w:t>的扣除，用扣除后的价格参加评审，扣除后的价格为评审价，即中小企业折扣=竞标报价×</w:t>
            </w:r>
            <w:r>
              <w:rPr>
                <w:rFonts w:hint="eastAsia" w:cs="宋体"/>
                <w:b w:val="0"/>
                <w:bCs w:val="0"/>
                <w:color w:val="auto"/>
                <w:spacing w:val="3"/>
                <w:sz w:val="21"/>
                <w:szCs w:val="21"/>
                <w:highlight w:val="none"/>
                <w:lang w:eastAsia="zh-CN"/>
              </w:rPr>
              <w:t>6%</w:t>
            </w:r>
            <w:r>
              <w:rPr>
                <w:rFonts w:hint="eastAsia" w:ascii="宋体" w:hAnsi="宋体" w:eastAsia="宋体" w:cs="宋体"/>
                <w:b w:val="0"/>
                <w:bCs w:val="0"/>
                <w:color w:val="auto"/>
                <w:spacing w:val="3"/>
                <w:sz w:val="21"/>
                <w:szCs w:val="21"/>
                <w:highlight w:val="none"/>
              </w:rPr>
              <w:t>。</w:t>
            </w:r>
          </w:p>
          <w:p w14:paraId="1C89E0E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82029F1">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889D52A">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（5）本国产品政策性扣除计算方法。</w:t>
            </w:r>
          </w:p>
          <w:p w14:paraId="4A9DC8C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本项目服务不属于本国产品标准的适用范围，供应商均无本国产品价格扣除。</w:t>
            </w:r>
          </w:p>
          <w:p w14:paraId="172EBB6F">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（6）满足采购文件要求且评标报价最低的评标报价为评标基准价，其价格分为满分。</w:t>
            </w:r>
          </w:p>
          <w:p w14:paraId="3267915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color w:val="auto"/>
                <w:spacing w:val="3"/>
                <w:sz w:val="21"/>
                <w:szCs w:val="21"/>
                <w:highlight w:val="none"/>
              </w:rPr>
            </w:pPr>
            <w:r>
              <w:rPr>
                <w:rFonts w:hint="eastAsia" w:ascii="宋体" w:hAnsi="宋体" w:eastAsia="宋体" w:cs="宋体"/>
                <w:b w:val="0"/>
                <w:bCs w:val="0"/>
                <w:color w:val="auto"/>
                <w:spacing w:val="3"/>
                <w:sz w:val="21"/>
                <w:szCs w:val="21"/>
                <w:highlight w:val="none"/>
              </w:rPr>
              <w:t>（7）价格分计算公式：</w:t>
            </w:r>
          </w:p>
          <w:p w14:paraId="388113AB">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bCs/>
                <w:color w:val="auto"/>
                <w:spacing w:val="3"/>
                <w:sz w:val="21"/>
                <w:szCs w:val="21"/>
                <w:highlight w:val="none"/>
              </w:rPr>
            </w:pPr>
            <w:r>
              <w:rPr>
                <w:rFonts w:hint="eastAsia" w:ascii="宋体" w:hAnsi="宋体" w:eastAsia="宋体" w:cs="宋体"/>
                <w:b w:val="0"/>
                <w:bCs w:val="0"/>
                <w:color w:val="auto"/>
                <w:spacing w:val="3"/>
                <w:sz w:val="21"/>
                <w:szCs w:val="21"/>
                <w:highlight w:val="none"/>
              </w:rPr>
              <w:t>价格分=（评标基准价／评标报价）×10 分</w:t>
            </w:r>
          </w:p>
        </w:tc>
      </w:tr>
      <w:tr w14:paraId="5940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noWrap w:val="0"/>
            <w:vAlign w:val="center"/>
          </w:tcPr>
          <w:p w14:paraId="34A7C10C">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w:t>
            </w:r>
          </w:p>
        </w:tc>
        <w:tc>
          <w:tcPr>
            <w:tcW w:w="1451" w:type="dxa"/>
            <w:vMerge w:val="restart"/>
            <w:noWrap w:val="0"/>
            <w:vAlign w:val="center"/>
          </w:tcPr>
          <w:p w14:paraId="276C8C26">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lang w:val="en-US" w:eastAsia="zh-CN"/>
              </w:rPr>
              <w:t>技术</w:t>
            </w:r>
            <w:r>
              <w:rPr>
                <w:rFonts w:hint="eastAsia" w:ascii="宋体" w:hAnsi="宋体" w:eastAsia="宋体" w:cs="宋体"/>
                <w:b/>
                <w:bCs/>
                <w:color w:val="auto"/>
                <w:spacing w:val="4"/>
                <w:sz w:val="21"/>
                <w:szCs w:val="21"/>
                <w:highlight w:val="none"/>
              </w:rPr>
              <w:t>分（满分</w:t>
            </w:r>
            <w:r>
              <w:rPr>
                <w:rFonts w:hint="eastAsia" w:ascii="宋体" w:hAnsi="宋体" w:eastAsia="宋体" w:cs="宋体"/>
                <w:b/>
                <w:bCs/>
                <w:color w:val="auto"/>
                <w:spacing w:val="4"/>
                <w:sz w:val="21"/>
                <w:szCs w:val="21"/>
                <w:highlight w:val="none"/>
                <w:lang w:val="en-US" w:eastAsia="zh-CN"/>
              </w:rPr>
              <w:t>65</w:t>
            </w:r>
            <w:r>
              <w:rPr>
                <w:rFonts w:hint="eastAsia" w:ascii="宋体" w:hAnsi="宋体" w:eastAsia="宋体" w:cs="宋体"/>
                <w:b/>
                <w:bCs/>
                <w:color w:val="auto"/>
                <w:spacing w:val="4"/>
                <w:sz w:val="21"/>
                <w:szCs w:val="21"/>
                <w:highlight w:val="none"/>
              </w:rPr>
              <w:t>分）</w:t>
            </w:r>
          </w:p>
        </w:tc>
        <w:tc>
          <w:tcPr>
            <w:tcW w:w="1534" w:type="dxa"/>
            <w:noWrap w:val="0"/>
            <w:vAlign w:val="center"/>
          </w:tcPr>
          <w:p w14:paraId="4B1BE35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2.1项目理解与工作思路（满分15分）</w:t>
            </w:r>
          </w:p>
        </w:tc>
        <w:tc>
          <w:tcPr>
            <w:tcW w:w="6444" w:type="dxa"/>
            <w:noWrap w:val="0"/>
            <w:vAlign w:val="center"/>
          </w:tcPr>
          <w:p w14:paraId="4A6CCBAC">
            <w:pPr>
              <w:keepNext w:val="0"/>
              <w:keepLines w:val="0"/>
              <w:suppressLineNumbers w:val="0"/>
              <w:tabs>
                <w:tab w:val="center" w:pos="4153"/>
                <w:tab w:val="right" w:pos="8306"/>
              </w:tabs>
              <w:snapToGrid w:val="0"/>
              <w:spacing w:before="0" w:beforeAutospacing="0" w:after="0" w:afterAutospacing="0" w:line="360" w:lineRule="exact"/>
              <w:ind w:left="0" w:right="0" w:firstLine="444" w:firstLineChars="200"/>
              <w:rPr>
                <w:rFonts w:hint="eastAsia" w:ascii="宋体" w:hAnsi="宋体" w:eastAsia="宋体" w:cs="宋体"/>
                <w:color w:val="auto"/>
                <w:spacing w:val="6"/>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en-US" w:bidi="ar-SA"/>
              </w:rPr>
              <w:t>磋商小组对各供应商提供</w:t>
            </w:r>
            <w:r>
              <w:rPr>
                <w:rFonts w:hint="eastAsia" w:ascii="宋体" w:hAnsi="宋体" w:eastAsia="宋体" w:cs="宋体"/>
                <w:color w:val="auto"/>
                <w:spacing w:val="6"/>
                <w:kern w:val="2"/>
                <w:sz w:val="21"/>
                <w:szCs w:val="21"/>
                <w:highlight w:val="none"/>
                <w:lang w:val="en-US" w:eastAsia="zh-CN" w:bidi="ar-SA"/>
              </w:rPr>
              <w:t>的</w:t>
            </w:r>
            <w:r>
              <w:rPr>
                <w:rFonts w:hint="eastAsia" w:ascii="宋体" w:hAnsi="宋体" w:eastAsia="宋体" w:cs="宋体"/>
                <w:color w:val="auto"/>
                <w:spacing w:val="6"/>
                <w:kern w:val="2"/>
                <w:sz w:val="21"/>
                <w:szCs w:val="21"/>
                <w:highlight w:val="none"/>
                <w:lang w:val="en-US" w:eastAsia="en-US" w:bidi="ar-SA"/>
              </w:rPr>
              <w:t>项目背景、政策依据、</w:t>
            </w:r>
            <w:r>
              <w:rPr>
                <w:rFonts w:hint="eastAsia" w:ascii="宋体" w:hAnsi="宋体" w:eastAsia="宋体" w:cs="宋体"/>
                <w:color w:val="auto"/>
                <w:spacing w:val="6"/>
                <w:kern w:val="2"/>
                <w:sz w:val="21"/>
                <w:szCs w:val="21"/>
                <w:highlight w:val="none"/>
                <w:lang w:val="en-US" w:eastAsia="zh-CN" w:bidi="ar-SA"/>
              </w:rPr>
              <w:t>普查范围</w:t>
            </w:r>
            <w:r>
              <w:rPr>
                <w:rFonts w:hint="eastAsia" w:ascii="宋体" w:hAnsi="宋体" w:eastAsia="宋体" w:cs="宋体"/>
                <w:color w:val="auto"/>
                <w:spacing w:val="6"/>
                <w:kern w:val="2"/>
                <w:sz w:val="21"/>
                <w:szCs w:val="21"/>
                <w:highlight w:val="none"/>
                <w:lang w:val="en-US" w:eastAsia="en-US" w:bidi="ar-SA"/>
              </w:rPr>
              <w:t>、</w:t>
            </w:r>
            <w:r>
              <w:rPr>
                <w:rFonts w:hint="eastAsia" w:ascii="宋体" w:hAnsi="宋体" w:eastAsia="宋体" w:cs="宋体"/>
                <w:color w:val="auto"/>
                <w:spacing w:val="6"/>
                <w:kern w:val="2"/>
                <w:sz w:val="21"/>
                <w:szCs w:val="21"/>
                <w:highlight w:val="none"/>
                <w:lang w:val="en-US" w:eastAsia="zh-CN" w:bidi="ar-SA"/>
              </w:rPr>
              <w:t>工作目标、</w:t>
            </w:r>
            <w:r>
              <w:rPr>
                <w:rFonts w:hint="eastAsia" w:ascii="宋体" w:hAnsi="宋体" w:eastAsia="宋体" w:cs="宋体"/>
                <w:color w:val="auto"/>
                <w:spacing w:val="6"/>
                <w:kern w:val="2"/>
                <w:sz w:val="21"/>
                <w:szCs w:val="21"/>
                <w:highlight w:val="none"/>
                <w:lang w:val="en-US" w:eastAsia="en-US" w:bidi="ar-SA"/>
              </w:rPr>
              <w:t>保护区基本情况、古树名木普查技术要点、质量管控要求等方面</w:t>
            </w:r>
            <w:r>
              <w:rPr>
                <w:rFonts w:hint="eastAsia" w:ascii="宋体" w:hAnsi="宋体" w:eastAsia="宋体" w:cs="宋体"/>
                <w:color w:val="auto"/>
                <w:spacing w:val="6"/>
                <w:kern w:val="2"/>
                <w:sz w:val="21"/>
                <w:szCs w:val="21"/>
                <w:highlight w:val="none"/>
                <w:lang w:val="en-US" w:eastAsia="zh-CN" w:bidi="ar-SA"/>
              </w:rPr>
              <w:t>的完整性</w:t>
            </w:r>
            <w:r>
              <w:rPr>
                <w:rFonts w:hint="eastAsia" w:ascii="宋体" w:hAnsi="宋体" w:eastAsia="宋体" w:cs="宋体"/>
                <w:color w:val="auto"/>
                <w:spacing w:val="6"/>
                <w:kern w:val="2"/>
                <w:sz w:val="21"/>
                <w:szCs w:val="21"/>
                <w:highlight w:val="none"/>
                <w:lang w:val="en-US" w:eastAsia="en-US" w:bidi="ar-SA"/>
              </w:rPr>
              <w:t>、可行性、针对性进行综合评审，确定所属档次并独立打分：</w:t>
            </w:r>
          </w:p>
          <w:p w14:paraId="5A5C6637">
            <w:pPr>
              <w:pStyle w:val="56"/>
              <w:keepNext w:val="0"/>
              <w:keepLines w:val="0"/>
              <w:suppressLineNumbers w:val="0"/>
              <w:spacing w:before="3" w:beforeAutospacing="0" w:after="0" w:afterAutospacing="0" w:line="431" w:lineRule="auto"/>
              <w:ind w:left="112" w:right="109" w:firstLine="424"/>
              <w:jc w:val="both"/>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lang w:val="en-US" w:eastAsia="zh-CN"/>
              </w:rPr>
              <w:t>一</w:t>
            </w:r>
            <w:r>
              <w:rPr>
                <w:rFonts w:hint="eastAsia" w:ascii="宋体" w:hAnsi="宋体" w:eastAsia="宋体" w:cs="宋体"/>
                <w:color w:val="auto"/>
                <w:spacing w:val="6"/>
                <w:sz w:val="21"/>
                <w:szCs w:val="21"/>
                <w:highlight w:val="none"/>
              </w:rPr>
              <w:t>档（</w:t>
            </w:r>
            <w:r>
              <w:rPr>
                <w:rFonts w:hint="eastAsia" w:ascii="宋体" w:hAnsi="宋体" w:eastAsia="宋体" w:cs="宋体"/>
                <w:color w:val="auto"/>
                <w:spacing w:val="6"/>
                <w:sz w:val="21"/>
                <w:szCs w:val="21"/>
                <w:highlight w:val="none"/>
                <w:lang w:val="en-US" w:eastAsia="zh-CN"/>
              </w:rPr>
              <w:t>5</w:t>
            </w:r>
            <w:r>
              <w:rPr>
                <w:rFonts w:hint="eastAsia" w:ascii="宋体" w:hAnsi="宋体" w:eastAsia="宋体" w:cs="宋体"/>
                <w:color w:val="auto"/>
                <w:spacing w:val="-38"/>
                <w:sz w:val="21"/>
                <w:szCs w:val="21"/>
                <w:highlight w:val="none"/>
              </w:rPr>
              <w:t xml:space="preserve"> </w:t>
            </w:r>
            <w:r>
              <w:rPr>
                <w:rFonts w:hint="eastAsia" w:ascii="宋体" w:hAnsi="宋体" w:eastAsia="宋体" w:cs="宋体"/>
                <w:color w:val="auto"/>
                <w:spacing w:val="6"/>
                <w:sz w:val="21"/>
                <w:szCs w:val="21"/>
                <w:highlight w:val="none"/>
              </w:rPr>
              <w:t>分）：对项目背景、政策依据、普查范围、工作目标理</w:t>
            </w:r>
            <w:r>
              <w:rPr>
                <w:rFonts w:hint="eastAsia" w:ascii="宋体" w:hAnsi="宋体" w:eastAsia="宋体" w:cs="宋体"/>
                <w:color w:val="auto"/>
                <w:spacing w:val="12"/>
                <w:sz w:val="21"/>
                <w:szCs w:val="21"/>
                <w:highlight w:val="none"/>
              </w:rPr>
              <w:t>解不完整，工作思路简单，未结合自然保护区古树名木普查特点编</w:t>
            </w:r>
            <w:r>
              <w:rPr>
                <w:rFonts w:hint="eastAsia" w:ascii="宋体" w:hAnsi="宋体" w:eastAsia="宋体" w:cs="宋体"/>
                <w:color w:val="auto"/>
                <w:sz w:val="21"/>
                <w:szCs w:val="21"/>
                <w:highlight w:val="none"/>
              </w:rPr>
              <w:t>制。</w:t>
            </w:r>
          </w:p>
          <w:p w14:paraId="769BE603">
            <w:pPr>
              <w:pStyle w:val="56"/>
              <w:keepNext w:val="0"/>
              <w:keepLines w:val="0"/>
              <w:suppressLineNumbers w:val="0"/>
              <w:spacing w:before="0" w:beforeAutospacing="0" w:after="0" w:afterAutospacing="0" w:line="432" w:lineRule="auto"/>
              <w:ind w:left="114" w:right="109" w:firstLine="419"/>
              <w:jc w:val="both"/>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lang w:val="en-US" w:eastAsia="zh-CN"/>
              </w:rPr>
              <w:t>二</w:t>
            </w:r>
            <w:r>
              <w:rPr>
                <w:rFonts w:hint="eastAsia" w:ascii="宋体" w:hAnsi="宋体" w:eastAsia="宋体" w:cs="宋体"/>
                <w:color w:val="auto"/>
                <w:spacing w:val="11"/>
                <w:sz w:val="21"/>
                <w:szCs w:val="21"/>
                <w:highlight w:val="none"/>
              </w:rPr>
              <w:t>档（1</w:t>
            </w:r>
            <w:r>
              <w:rPr>
                <w:rFonts w:hint="eastAsia" w:ascii="宋体" w:hAnsi="宋体" w:eastAsia="宋体" w:cs="宋体"/>
                <w:color w:val="auto"/>
                <w:spacing w:val="11"/>
                <w:sz w:val="21"/>
                <w:szCs w:val="21"/>
                <w:highlight w:val="none"/>
                <w:lang w:val="en-US" w:eastAsia="zh-CN"/>
              </w:rPr>
              <w:t>0</w:t>
            </w:r>
            <w:r>
              <w:rPr>
                <w:rFonts w:hint="eastAsia" w:ascii="宋体" w:hAnsi="宋体" w:eastAsia="宋体" w:cs="宋体"/>
                <w:color w:val="auto"/>
                <w:spacing w:val="11"/>
                <w:sz w:val="21"/>
                <w:szCs w:val="21"/>
                <w:highlight w:val="none"/>
              </w:rPr>
              <w:t>分</w:t>
            </w:r>
            <w:r>
              <w:rPr>
                <w:rFonts w:hint="eastAsia" w:ascii="宋体" w:hAnsi="宋体" w:eastAsia="宋体" w:cs="宋体"/>
                <w:color w:val="auto"/>
                <w:spacing w:val="24"/>
                <w:sz w:val="21"/>
                <w:szCs w:val="21"/>
                <w:highlight w:val="none"/>
              </w:rPr>
              <w:t>）：</w:t>
            </w:r>
            <w:r>
              <w:rPr>
                <w:rFonts w:hint="eastAsia" w:ascii="宋体" w:hAnsi="宋体" w:eastAsia="宋体" w:cs="宋体"/>
                <w:color w:val="auto"/>
                <w:spacing w:val="11"/>
                <w:sz w:val="21"/>
                <w:szCs w:val="21"/>
                <w:highlight w:val="none"/>
              </w:rPr>
              <w:t>对项目背景、政策依据、普查范围、工作目标</w:t>
            </w:r>
            <w:r>
              <w:rPr>
                <w:rFonts w:hint="eastAsia" w:ascii="宋体" w:hAnsi="宋体" w:eastAsia="宋体" w:cs="宋体"/>
                <w:color w:val="auto"/>
                <w:spacing w:val="12"/>
                <w:sz w:val="21"/>
                <w:szCs w:val="21"/>
                <w:highlight w:val="none"/>
              </w:rPr>
              <w:t>理解基本完整，工作思路清晰，基本符合自然保护区古树普查工作</w:t>
            </w:r>
            <w:r>
              <w:rPr>
                <w:rFonts w:hint="eastAsia" w:ascii="宋体" w:hAnsi="宋体" w:eastAsia="宋体" w:cs="宋体"/>
                <w:color w:val="auto"/>
                <w:spacing w:val="2"/>
                <w:sz w:val="21"/>
                <w:szCs w:val="21"/>
                <w:highlight w:val="none"/>
              </w:rPr>
              <w:t>要求。</w:t>
            </w:r>
          </w:p>
          <w:p w14:paraId="4CAF9402">
            <w:pPr>
              <w:pStyle w:val="56"/>
              <w:keepNext w:val="0"/>
              <w:keepLines w:val="0"/>
              <w:suppressLineNumbers w:val="0"/>
              <w:spacing w:before="2" w:beforeAutospacing="0" w:after="0" w:afterAutospacing="0" w:line="400" w:lineRule="auto"/>
              <w:ind w:left="112" w:leftChars="0" w:right="109" w:rightChars="0" w:firstLine="440" w:firstLineChars="0"/>
              <w:jc w:val="both"/>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lang w:val="en-US" w:eastAsia="zh-CN"/>
              </w:rPr>
              <w:t>三</w:t>
            </w:r>
            <w:r>
              <w:rPr>
                <w:rFonts w:hint="eastAsia" w:ascii="宋体" w:hAnsi="宋体" w:eastAsia="宋体" w:cs="宋体"/>
                <w:color w:val="auto"/>
                <w:spacing w:val="6"/>
                <w:sz w:val="21"/>
                <w:szCs w:val="21"/>
                <w:highlight w:val="none"/>
              </w:rPr>
              <w:t>档（</w:t>
            </w:r>
            <w:r>
              <w:rPr>
                <w:rFonts w:hint="eastAsia" w:ascii="宋体" w:hAnsi="宋体" w:eastAsia="宋体" w:cs="宋体"/>
                <w:color w:val="auto"/>
                <w:spacing w:val="6"/>
                <w:sz w:val="21"/>
                <w:szCs w:val="21"/>
                <w:highlight w:val="none"/>
                <w:lang w:val="en-US" w:eastAsia="zh-CN"/>
              </w:rPr>
              <w:t>15</w:t>
            </w:r>
            <w:r>
              <w:rPr>
                <w:rFonts w:hint="eastAsia" w:ascii="宋体" w:hAnsi="宋体" w:eastAsia="宋体" w:cs="宋体"/>
                <w:color w:val="auto"/>
                <w:spacing w:val="6"/>
                <w:sz w:val="21"/>
                <w:szCs w:val="21"/>
                <w:highlight w:val="none"/>
              </w:rPr>
              <w:t>分</w:t>
            </w:r>
            <w:r>
              <w:rPr>
                <w:rFonts w:hint="eastAsia" w:ascii="宋体" w:hAnsi="宋体" w:eastAsia="宋体" w:cs="宋体"/>
                <w:color w:val="auto"/>
                <w:spacing w:val="13"/>
                <w:sz w:val="21"/>
                <w:szCs w:val="21"/>
                <w:highlight w:val="none"/>
              </w:rPr>
              <w:t>）：</w:t>
            </w:r>
            <w:r>
              <w:rPr>
                <w:rFonts w:hint="eastAsia" w:ascii="宋体" w:hAnsi="宋体" w:eastAsia="宋体" w:cs="宋体"/>
                <w:color w:val="auto"/>
                <w:spacing w:val="6"/>
                <w:sz w:val="21"/>
                <w:szCs w:val="21"/>
                <w:highlight w:val="none"/>
              </w:rPr>
              <w:t>对项目背景、政策依据、</w:t>
            </w:r>
            <w:r>
              <w:rPr>
                <w:rFonts w:hint="eastAsia" w:ascii="宋体" w:hAnsi="宋体" w:eastAsia="宋体" w:cs="宋体"/>
                <w:color w:val="auto"/>
                <w:spacing w:val="6"/>
                <w:sz w:val="21"/>
                <w:szCs w:val="21"/>
                <w:highlight w:val="none"/>
                <w:lang w:val="en-US" w:eastAsia="zh-CN"/>
              </w:rPr>
              <w:t>普查范围</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6"/>
                <w:sz w:val="21"/>
                <w:szCs w:val="21"/>
                <w:highlight w:val="none"/>
                <w:lang w:val="en-US" w:eastAsia="zh-CN"/>
              </w:rPr>
              <w:t>工作目标、</w:t>
            </w:r>
            <w:r>
              <w:rPr>
                <w:rFonts w:hint="eastAsia" w:ascii="宋体" w:hAnsi="宋体" w:eastAsia="宋体" w:cs="宋体"/>
                <w:color w:val="auto"/>
                <w:spacing w:val="12"/>
                <w:sz w:val="21"/>
                <w:szCs w:val="21"/>
                <w:highlight w:val="none"/>
              </w:rPr>
              <w:t>保护区基本情况、古树名木普查技术要点、质量管控要求理解全面透彻，工作思路科学严谨、逻辑清晰、针对性强、符合国家及自治</w:t>
            </w:r>
            <w:r>
              <w:rPr>
                <w:rFonts w:hint="eastAsia" w:ascii="宋体" w:hAnsi="宋体" w:eastAsia="宋体" w:cs="宋体"/>
                <w:color w:val="auto"/>
                <w:spacing w:val="8"/>
                <w:sz w:val="21"/>
                <w:szCs w:val="21"/>
                <w:highlight w:val="none"/>
              </w:rPr>
              <w:t>区普查技术方案要求。</w:t>
            </w:r>
          </w:p>
          <w:p w14:paraId="46815C7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6A20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6522806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00C980C1">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741C312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2.2项目工作方案（满分20分）</w:t>
            </w:r>
          </w:p>
        </w:tc>
        <w:tc>
          <w:tcPr>
            <w:tcW w:w="6444" w:type="dxa"/>
            <w:noWrap w:val="0"/>
            <w:vAlign w:val="center"/>
          </w:tcPr>
          <w:p w14:paraId="349C9ED1">
            <w:pPr>
              <w:pStyle w:val="56"/>
              <w:keepNext w:val="0"/>
              <w:keepLines w:val="0"/>
              <w:suppressLineNumbers w:val="0"/>
              <w:spacing w:before="130" w:beforeAutospacing="0" w:after="0" w:afterAutospacing="0" w:line="432" w:lineRule="auto"/>
              <w:ind w:left="118" w:right="109" w:firstLine="440"/>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磋商小组根据各供应商提供的项目工作方案</w:t>
            </w:r>
            <w:r>
              <w:rPr>
                <w:rFonts w:hint="eastAsia" w:ascii="宋体" w:hAnsi="宋体" w:eastAsia="宋体" w:cs="宋体"/>
                <w:color w:val="auto"/>
                <w:spacing w:val="11"/>
                <w:sz w:val="21"/>
                <w:szCs w:val="21"/>
                <w:highlight w:val="none"/>
                <w:lang w:val="en-US" w:eastAsia="zh-CN"/>
              </w:rPr>
              <w:t>中“包含但不限于：①</w:t>
            </w:r>
            <w:r>
              <w:rPr>
                <w:rFonts w:hint="eastAsia" w:ascii="宋体" w:hAnsi="宋体" w:eastAsia="宋体" w:cs="宋体"/>
                <w:color w:val="auto"/>
                <w:spacing w:val="11"/>
                <w:sz w:val="21"/>
                <w:szCs w:val="21"/>
                <w:highlight w:val="none"/>
              </w:rPr>
              <w:t>普查目的、范围、依据、原则；②技术路线；③</w:t>
            </w:r>
            <w:r>
              <w:rPr>
                <w:rFonts w:hint="eastAsia" w:ascii="宋体" w:hAnsi="宋体" w:eastAsia="宋体" w:cs="宋体"/>
                <w:color w:val="auto"/>
                <w:spacing w:val="11"/>
                <w:sz w:val="21"/>
                <w:szCs w:val="21"/>
                <w:highlight w:val="none"/>
                <w:lang w:val="en-US" w:eastAsia="zh-CN"/>
              </w:rPr>
              <w:t>调查</w:t>
            </w:r>
            <w:r>
              <w:rPr>
                <w:rFonts w:hint="eastAsia" w:ascii="宋体" w:hAnsi="宋体" w:eastAsia="宋体" w:cs="宋体"/>
                <w:color w:val="auto"/>
                <w:spacing w:val="11"/>
                <w:sz w:val="21"/>
                <w:szCs w:val="21"/>
                <w:highlight w:val="none"/>
              </w:rPr>
              <w:t>内容；④</w:t>
            </w:r>
            <w:r>
              <w:rPr>
                <w:rFonts w:hint="eastAsia" w:ascii="宋体" w:hAnsi="宋体" w:eastAsia="宋体" w:cs="宋体"/>
                <w:color w:val="auto"/>
                <w:spacing w:val="11"/>
                <w:sz w:val="21"/>
                <w:szCs w:val="21"/>
                <w:highlight w:val="none"/>
                <w:lang w:val="en-US" w:eastAsia="zh-CN"/>
              </w:rPr>
              <w:t>调查</w:t>
            </w:r>
            <w:r>
              <w:rPr>
                <w:rFonts w:hint="eastAsia" w:ascii="宋体" w:hAnsi="宋体" w:eastAsia="宋体" w:cs="宋体"/>
                <w:color w:val="auto"/>
                <w:spacing w:val="11"/>
                <w:sz w:val="21"/>
                <w:szCs w:val="21"/>
                <w:highlight w:val="none"/>
              </w:rPr>
              <w:t>方法与要求；⑤调查设备配置</w:t>
            </w:r>
            <w:r>
              <w:rPr>
                <w:rFonts w:hint="eastAsia" w:ascii="宋体" w:hAnsi="宋体" w:eastAsia="宋体" w:cs="宋体"/>
                <w:color w:val="auto"/>
                <w:spacing w:val="11"/>
                <w:sz w:val="21"/>
                <w:szCs w:val="21"/>
                <w:highlight w:val="none"/>
                <w:lang w:val="en-US" w:eastAsia="zh-CN"/>
              </w:rPr>
              <w:t>”</w:t>
            </w:r>
            <w:r>
              <w:rPr>
                <w:rFonts w:hint="eastAsia" w:ascii="宋体" w:hAnsi="宋体" w:eastAsia="宋体" w:cs="宋体"/>
                <w:color w:val="auto"/>
                <w:sz w:val="21"/>
                <w:szCs w:val="21"/>
                <w:highlight w:val="none"/>
              </w:rPr>
              <w:t>等内容进行综合评审，并独立打分：</w:t>
            </w:r>
          </w:p>
          <w:p w14:paraId="288B8BA4">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4分</w:t>
            </w:r>
            <w:r>
              <w:rPr>
                <w:rFonts w:hint="eastAsia" w:ascii="宋体" w:hAnsi="宋体" w:eastAsia="宋体" w:cs="宋体"/>
                <w:color w:val="auto"/>
                <w:spacing w:val="11"/>
                <w:kern w:val="2"/>
                <w:sz w:val="21"/>
                <w:szCs w:val="21"/>
                <w:highlight w:val="none"/>
                <w:lang w:val="en-US" w:eastAsia="zh-CN" w:bidi="ar-SA"/>
              </w:rPr>
              <w:t>）：</w:t>
            </w:r>
            <w:bookmarkStart w:id="141" w:name="OLE_LINK12"/>
            <w:bookmarkStart w:id="142" w:name="OLE_LINK10"/>
            <w:r>
              <w:rPr>
                <w:rFonts w:hint="eastAsia" w:ascii="宋体" w:hAnsi="宋体" w:eastAsia="宋体" w:cs="宋体"/>
                <w:color w:val="auto"/>
                <w:spacing w:val="11"/>
                <w:kern w:val="2"/>
                <w:sz w:val="21"/>
                <w:szCs w:val="21"/>
                <w:highlight w:val="none"/>
                <w:lang w:val="en-US" w:eastAsia="en-US" w:bidi="ar-SA"/>
              </w:rPr>
              <w:t>五</w:t>
            </w:r>
            <w:bookmarkEnd w:id="141"/>
            <w:bookmarkEnd w:id="142"/>
            <w:r>
              <w:rPr>
                <w:rFonts w:hint="eastAsia" w:ascii="宋体" w:hAnsi="宋体" w:eastAsia="宋体" w:cs="宋体"/>
                <w:color w:val="auto"/>
                <w:spacing w:val="11"/>
                <w:kern w:val="2"/>
                <w:sz w:val="21"/>
                <w:szCs w:val="21"/>
                <w:highlight w:val="none"/>
                <w:lang w:val="en-US" w:eastAsia="en-US" w:bidi="ar-SA"/>
              </w:rPr>
              <w:t>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37984616">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（8</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w:t>
            </w:r>
            <w:r>
              <w:rPr>
                <w:rFonts w:hint="eastAsia" w:ascii="宋体" w:hAnsi="宋体" w:eastAsia="宋体" w:cs="宋体"/>
                <w:color w:val="auto"/>
                <w:spacing w:val="11"/>
                <w:kern w:val="2"/>
                <w:sz w:val="21"/>
                <w:szCs w:val="21"/>
                <w:highlight w:val="none"/>
                <w:lang w:val="en-US" w:eastAsia="zh-CN" w:bidi="ar-SA"/>
              </w:rPr>
              <w:t>两项</w:t>
            </w:r>
            <w:r>
              <w:rPr>
                <w:rFonts w:hint="eastAsia" w:ascii="宋体" w:hAnsi="宋体" w:eastAsia="宋体" w:cs="宋体"/>
                <w:color w:val="auto"/>
                <w:spacing w:val="11"/>
                <w:kern w:val="2"/>
                <w:sz w:val="21"/>
                <w:szCs w:val="21"/>
                <w:highlight w:val="none"/>
                <w:lang w:val="en-US" w:eastAsia="en-US" w:bidi="ar-SA"/>
              </w:rPr>
              <w:t>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3A97C058">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（12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五项评审因素有三项内容经评审合理、可行且具有针对性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7EBA722D">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1</w:t>
            </w:r>
            <w:r>
              <w:rPr>
                <w:rFonts w:hint="eastAsia" w:ascii="宋体" w:hAnsi="宋体" w:eastAsia="宋体" w:cs="宋体"/>
                <w:color w:val="auto"/>
                <w:spacing w:val="11"/>
                <w:kern w:val="2"/>
                <w:sz w:val="21"/>
                <w:szCs w:val="21"/>
                <w:highlight w:val="none"/>
                <w:lang w:val="en-US" w:eastAsia="zh-CN" w:bidi="ar-SA"/>
              </w:rPr>
              <w:t>6</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五项评审因素有四项内容经评审合理、可行且具有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3A62885F">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bookmarkStart w:id="143" w:name="OLE_LINK159"/>
            <w:bookmarkStart w:id="144" w:name="OLE_LINK160"/>
            <w:r>
              <w:rPr>
                <w:rFonts w:hint="eastAsia" w:ascii="宋体" w:hAnsi="宋体" w:eastAsia="宋体" w:cs="宋体"/>
                <w:color w:val="auto"/>
                <w:spacing w:val="11"/>
                <w:kern w:val="2"/>
                <w:sz w:val="21"/>
                <w:szCs w:val="21"/>
                <w:highlight w:val="none"/>
                <w:lang w:val="en-US" w:eastAsia="en-US" w:bidi="ar-SA"/>
              </w:rPr>
              <w:t>五档</w:t>
            </w:r>
            <w:r>
              <w:rPr>
                <w:rFonts w:hint="eastAsia" w:ascii="宋体" w:hAnsi="宋体" w:eastAsia="宋体" w:cs="宋体"/>
                <w:color w:val="auto"/>
                <w:spacing w:val="11"/>
                <w:kern w:val="2"/>
                <w:sz w:val="21"/>
                <w:szCs w:val="21"/>
                <w:highlight w:val="none"/>
                <w:lang w:val="en-US" w:eastAsia="zh-CN" w:bidi="ar-SA"/>
              </w:rPr>
              <w:t>（20</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：五项评审因素内容经评审均合理、可行且具有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bookmarkEnd w:id="143"/>
          <w:bookmarkEnd w:id="144"/>
          <w:p w14:paraId="32C6517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sz w:val="21"/>
                <w:szCs w:val="21"/>
                <w:highlight w:val="none"/>
              </w:rPr>
              <w:t>注：未提供</w:t>
            </w:r>
            <w:r>
              <w:rPr>
                <w:rFonts w:hint="eastAsia" w:ascii="宋体" w:hAnsi="宋体" w:eastAsia="宋体" w:cs="宋体"/>
                <w:b/>
                <w:bCs/>
                <w:color w:val="auto"/>
                <w:kern w:val="0"/>
                <w:sz w:val="21"/>
                <w:szCs w:val="21"/>
                <w:highlight w:val="none"/>
              </w:rPr>
              <w:t>项目</w:t>
            </w:r>
            <w:r>
              <w:rPr>
                <w:rFonts w:hint="eastAsia" w:ascii="宋体" w:hAnsi="宋体" w:eastAsia="宋体" w:cs="宋体"/>
                <w:b/>
                <w:bCs/>
                <w:color w:val="auto"/>
                <w:kern w:val="0"/>
                <w:sz w:val="21"/>
                <w:szCs w:val="21"/>
                <w:highlight w:val="none"/>
                <w:lang w:val="en-US" w:eastAsia="zh-CN"/>
              </w:rPr>
              <w:t>工作</w:t>
            </w:r>
            <w:r>
              <w:rPr>
                <w:rFonts w:hint="eastAsia" w:ascii="宋体" w:hAnsi="宋体" w:eastAsia="宋体" w:cs="宋体"/>
                <w:b/>
                <w:bCs/>
                <w:color w:val="auto"/>
                <w:kern w:val="0"/>
                <w:sz w:val="21"/>
                <w:szCs w:val="21"/>
                <w:highlight w:val="none"/>
              </w:rPr>
              <w:t>方案</w:t>
            </w:r>
            <w:r>
              <w:rPr>
                <w:rFonts w:hint="eastAsia" w:ascii="宋体" w:hAnsi="宋体" w:eastAsia="宋体" w:cs="宋体"/>
                <w:b/>
                <w:color w:val="auto"/>
                <w:sz w:val="21"/>
                <w:szCs w:val="21"/>
                <w:highlight w:val="none"/>
              </w:rPr>
              <w:t>的，得0分。</w:t>
            </w:r>
          </w:p>
        </w:tc>
      </w:tr>
      <w:tr w14:paraId="6EAF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0CB4650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495978A9">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4B19118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2.3质量保障措施（满分10分）</w:t>
            </w:r>
          </w:p>
        </w:tc>
        <w:tc>
          <w:tcPr>
            <w:tcW w:w="6444" w:type="dxa"/>
            <w:noWrap w:val="0"/>
            <w:vAlign w:val="center"/>
          </w:tcPr>
          <w:p w14:paraId="02DE9F38">
            <w:pPr>
              <w:pStyle w:val="56"/>
              <w:keepNext w:val="0"/>
              <w:keepLines w:val="0"/>
              <w:suppressLineNumbers w:val="0"/>
              <w:spacing w:before="170" w:beforeAutospacing="0" w:after="0" w:afterAutospacing="0" w:line="432" w:lineRule="auto"/>
              <w:ind w:left="0" w:right="109" w:firstLine="464" w:firstLineChars="200"/>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磋商小组根据各供应商提供的</w:t>
            </w:r>
            <w:r>
              <w:rPr>
                <w:rFonts w:hint="eastAsia" w:ascii="宋体" w:hAnsi="宋体" w:eastAsia="宋体" w:cs="宋体"/>
                <w:color w:val="auto"/>
                <w:spacing w:val="11"/>
                <w:sz w:val="21"/>
                <w:szCs w:val="21"/>
                <w:highlight w:val="none"/>
                <w:lang w:val="en-US" w:eastAsia="zh-CN"/>
              </w:rPr>
              <w:t>质量保证措施中“包含但不限于：①三级质量核查管控体系</w:t>
            </w:r>
            <w:r>
              <w:rPr>
                <w:rFonts w:hint="eastAsia" w:ascii="宋体" w:hAnsi="宋体" w:eastAsia="宋体" w:cs="宋体"/>
                <w:color w:val="auto"/>
                <w:spacing w:val="11"/>
                <w:sz w:val="21"/>
                <w:szCs w:val="21"/>
                <w:highlight w:val="none"/>
              </w:rPr>
              <w:t>；②</w:t>
            </w:r>
            <w:r>
              <w:rPr>
                <w:rFonts w:hint="eastAsia" w:ascii="宋体" w:hAnsi="宋体" w:eastAsia="宋体" w:cs="宋体"/>
                <w:color w:val="auto"/>
                <w:spacing w:val="11"/>
                <w:sz w:val="21"/>
                <w:szCs w:val="21"/>
                <w:highlight w:val="none"/>
                <w:lang w:val="en-US" w:eastAsia="zh-CN"/>
              </w:rPr>
              <w:t>花坪保护区野外作业安全保障方案</w:t>
            </w:r>
            <w:r>
              <w:rPr>
                <w:rFonts w:hint="eastAsia" w:ascii="宋体" w:hAnsi="宋体" w:eastAsia="宋体" w:cs="宋体"/>
                <w:color w:val="auto"/>
                <w:spacing w:val="11"/>
                <w:sz w:val="21"/>
                <w:szCs w:val="21"/>
                <w:highlight w:val="none"/>
              </w:rPr>
              <w:t>；③</w:t>
            </w:r>
            <w:r>
              <w:rPr>
                <w:rFonts w:hint="eastAsia" w:ascii="宋体" w:hAnsi="宋体" w:eastAsia="宋体" w:cs="宋体"/>
                <w:color w:val="auto"/>
                <w:spacing w:val="11"/>
                <w:sz w:val="21"/>
                <w:szCs w:val="21"/>
                <w:highlight w:val="none"/>
                <w:lang w:val="en-US" w:eastAsia="zh-CN"/>
              </w:rPr>
              <w:t>普查数据与成果保密管理措施”</w:t>
            </w:r>
            <w:r>
              <w:rPr>
                <w:rFonts w:hint="eastAsia" w:ascii="宋体" w:hAnsi="宋体" w:eastAsia="宋体" w:cs="宋体"/>
                <w:color w:val="auto"/>
                <w:spacing w:val="11"/>
                <w:sz w:val="21"/>
                <w:szCs w:val="21"/>
                <w:highlight w:val="none"/>
              </w:rPr>
              <w:t>等内容进行综合评审，并独立打分：</w:t>
            </w:r>
          </w:p>
          <w:p w14:paraId="35B13895">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（3</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6665654D">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（7</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项评审因素有</w:t>
            </w:r>
            <w:r>
              <w:rPr>
                <w:rFonts w:hint="eastAsia" w:ascii="宋体" w:hAnsi="宋体" w:eastAsia="宋体" w:cs="宋体"/>
                <w:color w:val="auto"/>
                <w:spacing w:val="11"/>
                <w:kern w:val="2"/>
                <w:sz w:val="21"/>
                <w:szCs w:val="21"/>
                <w:highlight w:val="none"/>
                <w:lang w:val="en-US" w:eastAsia="zh-CN" w:bidi="ar-SA"/>
              </w:rPr>
              <w:t>两项</w:t>
            </w:r>
            <w:r>
              <w:rPr>
                <w:rFonts w:hint="eastAsia" w:ascii="宋体" w:hAnsi="宋体" w:eastAsia="宋体" w:cs="宋体"/>
                <w:color w:val="auto"/>
                <w:spacing w:val="11"/>
                <w:kern w:val="2"/>
                <w:sz w:val="21"/>
                <w:szCs w:val="21"/>
                <w:highlight w:val="none"/>
                <w:lang w:val="en-US" w:eastAsia="en-US" w:bidi="ar-SA"/>
              </w:rPr>
              <w:t>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37CCE8B6">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sz w:val="21"/>
                <w:szCs w:val="21"/>
                <w:highlight w:val="none"/>
                <w:lang w:eastAsia="zh-CN"/>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（10</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）：三</w:t>
            </w:r>
            <w:r>
              <w:rPr>
                <w:rFonts w:hint="eastAsia" w:ascii="宋体" w:hAnsi="宋体" w:eastAsia="宋体" w:cs="宋体"/>
                <w:color w:val="auto"/>
                <w:spacing w:val="11"/>
                <w:kern w:val="2"/>
                <w:sz w:val="21"/>
                <w:szCs w:val="21"/>
                <w:highlight w:val="none"/>
                <w:lang w:val="en-US" w:eastAsia="en-US" w:bidi="ar-SA"/>
              </w:rPr>
              <w:t>项评审因素内容经评审合理、可行且具有</w:t>
            </w:r>
            <w:r>
              <w:rPr>
                <w:rFonts w:hint="eastAsia" w:ascii="宋体" w:hAnsi="宋体" w:eastAsia="宋体" w:cs="宋体"/>
                <w:color w:val="auto"/>
                <w:spacing w:val="11"/>
                <w:kern w:val="2"/>
                <w:sz w:val="21"/>
                <w:szCs w:val="21"/>
                <w:highlight w:val="none"/>
                <w:lang w:val="en-US" w:eastAsia="zh-CN" w:bidi="ar-SA"/>
              </w:rPr>
              <w:t>针对性。</w:t>
            </w:r>
          </w:p>
          <w:p w14:paraId="0F0FB706">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38C1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51748BC0">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2BDC5968">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237021A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2.4进度与安全保障（满分12分）</w:t>
            </w:r>
          </w:p>
        </w:tc>
        <w:tc>
          <w:tcPr>
            <w:tcW w:w="6444" w:type="dxa"/>
            <w:noWrap w:val="0"/>
            <w:vAlign w:val="center"/>
          </w:tcPr>
          <w:p w14:paraId="449E6043">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zh-CN" w:bidi="ar-SA"/>
              </w:rPr>
            </w:pPr>
            <w:r>
              <w:rPr>
                <w:rFonts w:hint="eastAsia" w:ascii="宋体" w:hAnsi="宋体" w:eastAsia="宋体" w:cs="宋体"/>
                <w:color w:val="auto"/>
                <w:spacing w:val="11"/>
                <w:kern w:val="2"/>
                <w:sz w:val="21"/>
                <w:szCs w:val="21"/>
                <w:highlight w:val="none"/>
                <w:lang w:val="en-US" w:eastAsia="en-US" w:bidi="ar-SA"/>
              </w:rPr>
              <w:t>磋商小组根据各供应商提供的项目工作方案</w:t>
            </w:r>
            <w:r>
              <w:rPr>
                <w:rFonts w:hint="eastAsia" w:ascii="宋体" w:hAnsi="宋体" w:eastAsia="宋体" w:cs="宋体"/>
                <w:color w:val="auto"/>
                <w:spacing w:val="11"/>
                <w:kern w:val="2"/>
                <w:sz w:val="21"/>
                <w:szCs w:val="21"/>
                <w:highlight w:val="none"/>
                <w:lang w:val="en-US" w:eastAsia="zh-CN" w:bidi="ar-SA"/>
              </w:rPr>
              <w:t>中“包含但不限于：①全周期进度排布</w:t>
            </w:r>
            <w:r>
              <w:rPr>
                <w:rFonts w:hint="eastAsia" w:ascii="宋体" w:hAnsi="宋体" w:eastAsia="宋体" w:cs="宋体"/>
                <w:color w:val="auto"/>
                <w:spacing w:val="11"/>
                <w:kern w:val="2"/>
                <w:sz w:val="21"/>
                <w:szCs w:val="21"/>
                <w:highlight w:val="none"/>
                <w:lang w:val="en-US" w:eastAsia="en-US" w:bidi="ar-SA"/>
              </w:rPr>
              <w:t>；②</w:t>
            </w:r>
            <w:r>
              <w:rPr>
                <w:rFonts w:hint="eastAsia" w:ascii="宋体" w:hAnsi="宋体" w:eastAsia="宋体" w:cs="宋体"/>
                <w:color w:val="auto"/>
                <w:spacing w:val="11"/>
                <w:kern w:val="2"/>
                <w:sz w:val="21"/>
                <w:szCs w:val="21"/>
                <w:highlight w:val="none"/>
                <w:lang w:val="en-US" w:eastAsia="zh-CN" w:bidi="ar-SA"/>
              </w:rPr>
              <w:t>工期延误防控保障措施</w:t>
            </w:r>
            <w:r>
              <w:rPr>
                <w:rFonts w:hint="eastAsia" w:ascii="宋体" w:hAnsi="宋体" w:eastAsia="宋体" w:cs="宋体"/>
                <w:color w:val="auto"/>
                <w:spacing w:val="11"/>
                <w:kern w:val="2"/>
                <w:sz w:val="21"/>
                <w:szCs w:val="21"/>
                <w:highlight w:val="none"/>
                <w:lang w:val="en-US" w:eastAsia="en-US" w:bidi="ar-SA"/>
              </w:rPr>
              <w:t>；③</w:t>
            </w:r>
            <w:r>
              <w:rPr>
                <w:rFonts w:hint="eastAsia" w:ascii="宋体" w:hAnsi="宋体" w:eastAsia="宋体" w:cs="宋体"/>
                <w:color w:val="auto"/>
                <w:spacing w:val="11"/>
                <w:kern w:val="2"/>
                <w:sz w:val="21"/>
                <w:szCs w:val="21"/>
                <w:highlight w:val="none"/>
                <w:lang w:val="en-US" w:eastAsia="zh-CN" w:bidi="ar-SA"/>
              </w:rPr>
              <w:t>野外作业安全管理制度；</w:t>
            </w:r>
            <w:r>
              <w:rPr>
                <w:rFonts w:hint="eastAsia" w:ascii="宋体" w:hAnsi="宋体" w:eastAsia="宋体" w:cs="宋体"/>
                <w:color w:val="auto"/>
                <w:spacing w:val="11"/>
                <w:kern w:val="2"/>
                <w:sz w:val="21"/>
                <w:szCs w:val="21"/>
                <w:highlight w:val="none"/>
                <w:lang w:val="en-US" w:eastAsia="en-US" w:bidi="ar-SA"/>
              </w:rPr>
              <w:t>④</w:t>
            </w:r>
            <w:r>
              <w:rPr>
                <w:rFonts w:hint="eastAsia" w:ascii="宋体" w:hAnsi="宋体" w:eastAsia="宋体" w:cs="宋体"/>
                <w:color w:val="auto"/>
                <w:spacing w:val="11"/>
                <w:kern w:val="2"/>
                <w:sz w:val="21"/>
                <w:szCs w:val="21"/>
                <w:highlight w:val="none"/>
                <w:lang w:val="en-US" w:eastAsia="zh-CN" w:bidi="ar-SA"/>
              </w:rPr>
              <w:t>野外作业安全管理制度；</w:t>
            </w:r>
            <w:r>
              <w:rPr>
                <w:rFonts w:hint="eastAsia" w:ascii="宋体" w:hAnsi="宋体" w:eastAsia="宋体" w:cs="宋体"/>
                <w:color w:val="auto"/>
                <w:spacing w:val="11"/>
                <w:kern w:val="2"/>
                <w:sz w:val="21"/>
                <w:szCs w:val="21"/>
                <w:highlight w:val="none"/>
                <w:lang w:val="en-US" w:eastAsia="en-US" w:bidi="ar-SA"/>
              </w:rPr>
              <w:t>⑤</w:t>
            </w:r>
            <w:r>
              <w:rPr>
                <w:rFonts w:hint="eastAsia" w:ascii="宋体" w:hAnsi="宋体" w:eastAsia="宋体" w:cs="宋体"/>
                <w:color w:val="auto"/>
                <w:spacing w:val="11"/>
                <w:kern w:val="2"/>
                <w:sz w:val="21"/>
                <w:szCs w:val="21"/>
                <w:highlight w:val="none"/>
                <w:lang w:val="en-US" w:eastAsia="zh-CN" w:bidi="ar-SA"/>
              </w:rPr>
              <w:t>安全事故应急处置预案”</w:t>
            </w:r>
            <w:r>
              <w:rPr>
                <w:rFonts w:hint="eastAsia" w:ascii="宋体" w:hAnsi="宋体" w:eastAsia="宋体" w:cs="宋体"/>
                <w:color w:val="auto"/>
                <w:spacing w:val="11"/>
                <w:kern w:val="2"/>
                <w:sz w:val="21"/>
                <w:szCs w:val="21"/>
                <w:highlight w:val="none"/>
                <w:lang w:val="en-US" w:eastAsia="en-US" w:bidi="ar-SA"/>
              </w:rPr>
              <w:t>等内容进行综合评审，并独立打分：</w:t>
            </w:r>
          </w:p>
          <w:p w14:paraId="0AAC0857">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09AE36D9">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（5</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w:t>
            </w:r>
            <w:r>
              <w:rPr>
                <w:rFonts w:hint="eastAsia" w:ascii="宋体" w:hAnsi="宋体" w:eastAsia="宋体" w:cs="宋体"/>
                <w:color w:val="auto"/>
                <w:spacing w:val="11"/>
                <w:kern w:val="2"/>
                <w:sz w:val="21"/>
                <w:szCs w:val="21"/>
                <w:highlight w:val="none"/>
                <w:lang w:val="en-US" w:eastAsia="zh-CN" w:bidi="ar-SA"/>
              </w:rPr>
              <w:t>两</w:t>
            </w:r>
            <w:r>
              <w:rPr>
                <w:rFonts w:hint="eastAsia" w:ascii="宋体" w:hAnsi="宋体" w:eastAsia="宋体" w:cs="宋体"/>
                <w:color w:val="auto"/>
                <w:spacing w:val="11"/>
                <w:kern w:val="2"/>
                <w:sz w:val="21"/>
                <w:szCs w:val="21"/>
                <w:highlight w:val="none"/>
                <w:lang w:val="en-US" w:eastAsia="en-US" w:bidi="ar-SA"/>
              </w:rPr>
              <w:t>项内容经评审合理、可行且具有针对性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3A303032">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（8</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五项评审因素有三项内容经评审合理、可行且具有针对性</w:t>
            </w:r>
            <w:r>
              <w:rPr>
                <w:rFonts w:hint="eastAsia" w:ascii="宋体" w:hAnsi="宋体" w:eastAsia="宋体" w:cs="宋体"/>
                <w:color w:val="auto"/>
                <w:spacing w:val="11"/>
                <w:kern w:val="2"/>
                <w:sz w:val="21"/>
                <w:szCs w:val="21"/>
                <w:highlight w:val="none"/>
                <w:lang w:val="en-US" w:eastAsia="zh-CN" w:bidi="ar-SA"/>
              </w:rPr>
              <w:t>。</w:t>
            </w:r>
          </w:p>
          <w:p w14:paraId="1E736A0E">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w:t>
            </w:r>
            <w:r>
              <w:rPr>
                <w:rFonts w:hint="eastAsia" w:ascii="宋体" w:hAnsi="宋体" w:eastAsia="宋体" w:cs="宋体"/>
                <w:color w:val="auto"/>
                <w:spacing w:val="11"/>
                <w:kern w:val="2"/>
                <w:sz w:val="21"/>
                <w:szCs w:val="21"/>
                <w:highlight w:val="none"/>
                <w:lang w:val="en-US" w:eastAsia="zh-CN" w:bidi="ar-SA"/>
              </w:rPr>
              <w:t>（10</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五项评审因素有四项内容经评审合理、可行且具有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6D2D9019">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五档</w:t>
            </w:r>
            <w:r>
              <w:rPr>
                <w:rFonts w:hint="eastAsia" w:ascii="宋体" w:hAnsi="宋体" w:eastAsia="宋体" w:cs="宋体"/>
                <w:color w:val="auto"/>
                <w:spacing w:val="11"/>
                <w:kern w:val="2"/>
                <w:sz w:val="21"/>
                <w:szCs w:val="21"/>
                <w:highlight w:val="none"/>
                <w:lang w:val="en-US" w:eastAsia="zh-CN" w:bidi="ar-SA"/>
              </w:rPr>
              <w:t>（12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：五项评审因素内容经评审均合理、可行且具有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0D3ABE24">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1933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7ADAA01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0F73AFC7">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6C2C493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2.5售后服务承诺方案（满分8分）</w:t>
            </w:r>
          </w:p>
        </w:tc>
        <w:tc>
          <w:tcPr>
            <w:tcW w:w="6444" w:type="dxa"/>
            <w:noWrap w:val="0"/>
            <w:vAlign w:val="center"/>
          </w:tcPr>
          <w:p w14:paraId="5D652A35">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zh-CN" w:bidi="ar-SA"/>
              </w:rPr>
            </w:pPr>
            <w:r>
              <w:rPr>
                <w:rFonts w:hint="eastAsia" w:ascii="宋体" w:hAnsi="宋体" w:eastAsia="宋体" w:cs="宋体"/>
                <w:color w:val="auto"/>
                <w:spacing w:val="11"/>
                <w:kern w:val="2"/>
                <w:sz w:val="21"/>
                <w:szCs w:val="21"/>
                <w:highlight w:val="none"/>
                <w:lang w:val="en-US" w:eastAsia="en-US" w:bidi="ar-SA"/>
              </w:rPr>
              <w:t>磋商小组根据各供应商所提供服务承诺方案中“包含但不限于：①</w:t>
            </w:r>
            <w:r>
              <w:rPr>
                <w:rFonts w:hint="eastAsia" w:ascii="宋体" w:hAnsi="宋体" w:eastAsia="宋体" w:cs="宋体"/>
                <w:color w:val="auto"/>
                <w:spacing w:val="11"/>
                <w:kern w:val="2"/>
                <w:sz w:val="21"/>
                <w:szCs w:val="21"/>
                <w:highlight w:val="none"/>
                <w:lang w:val="en-US" w:eastAsia="zh-CN" w:bidi="ar-SA"/>
              </w:rPr>
              <w:t>售后</w:t>
            </w:r>
            <w:r>
              <w:rPr>
                <w:rFonts w:hint="eastAsia" w:ascii="宋体" w:hAnsi="宋体" w:eastAsia="宋体" w:cs="宋体"/>
                <w:color w:val="auto"/>
                <w:spacing w:val="11"/>
                <w:kern w:val="2"/>
                <w:sz w:val="21"/>
                <w:szCs w:val="21"/>
                <w:highlight w:val="none"/>
                <w:lang w:val="en-US" w:eastAsia="en-US" w:bidi="ar-SA"/>
              </w:rPr>
              <w:t>服务内容；②售后服务保障措施；③</w:t>
            </w:r>
            <w:r>
              <w:rPr>
                <w:rFonts w:hint="eastAsia" w:ascii="宋体" w:hAnsi="宋体" w:eastAsia="宋体" w:cs="宋体"/>
                <w:color w:val="auto"/>
                <w:spacing w:val="11"/>
                <w:kern w:val="2"/>
                <w:sz w:val="21"/>
                <w:szCs w:val="21"/>
                <w:highlight w:val="none"/>
                <w:lang w:val="en-US" w:eastAsia="zh-CN" w:bidi="ar-SA"/>
              </w:rPr>
              <w:t>售后</w:t>
            </w:r>
            <w:r>
              <w:rPr>
                <w:rFonts w:hint="eastAsia" w:ascii="宋体" w:hAnsi="宋体" w:eastAsia="宋体" w:cs="宋体"/>
                <w:color w:val="auto"/>
                <w:spacing w:val="11"/>
                <w:kern w:val="2"/>
                <w:sz w:val="21"/>
                <w:szCs w:val="21"/>
                <w:highlight w:val="none"/>
                <w:lang w:val="en-US" w:eastAsia="en-US" w:bidi="ar-SA"/>
              </w:rPr>
              <w:t>处理问题响应时间</w:t>
            </w:r>
            <w:r>
              <w:rPr>
                <w:rFonts w:hint="eastAsia" w:ascii="宋体" w:hAnsi="宋体" w:eastAsia="宋体" w:cs="宋体"/>
                <w:color w:val="auto"/>
                <w:spacing w:val="11"/>
                <w:kern w:val="2"/>
                <w:sz w:val="21"/>
                <w:szCs w:val="21"/>
                <w:highlight w:val="none"/>
                <w:lang w:val="en-US" w:eastAsia="zh-CN" w:bidi="ar-SA"/>
              </w:rPr>
              <w:t>、联系人及联系方式</w:t>
            </w:r>
            <w:r>
              <w:rPr>
                <w:rFonts w:hint="eastAsia" w:ascii="宋体" w:hAnsi="宋体" w:eastAsia="宋体" w:cs="宋体"/>
                <w:color w:val="auto"/>
                <w:spacing w:val="11"/>
                <w:kern w:val="2"/>
                <w:sz w:val="21"/>
                <w:szCs w:val="21"/>
                <w:highlight w:val="none"/>
                <w:lang w:val="en-US" w:eastAsia="en-US" w:bidi="ar-SA"/>
              </w:rPr>
              <w:t>；④售后应急保障措施</w:t>
            </w:r>
            <w:r>
              <w:rPr>
                <w:rFonts w:hint="eastAsia" w:ascii="宋体" w:hAnsi="宋体" w:eastAsia="宋体" w:cs="宋体"/>
                <w:color w:val="auto"/>
                <w:spacing w:val="11"/>
                <w:kern w:val="2"/>
                <w:sz w:val="21"/>
                <w:szCs w:val="21"/>
                <w:highlight w:val="none"/>
                <w:lang w:val="en-US" w:eastAsia="zh-CN" w:bidi="ar-SA"/>
              </w:rPr>
              <w:t>”</w:t>
            </w:r>
            <w:r>
              <w:rPr>
                <w:rFonts w:hint="eastAsia" w:ascii="宋体" w:hAnsi="宋体" w:eastAsia="宋体" w:cs="宋体"/>
                <w:color w:val="auto"/>
                <w:spacing w:val="11"/>
                <w:kern w:val="2"/>
                <w:sz w:val="21"/>
                <w:szCs w:val="21"/>
                <w:highlight w:val="none"/>
                <w:lang w:val="en-US" w:eastAsia="en-US" w:bidi="ar-SA"/>
              </w:rPr>
              <w:t>等内容进行综合评审，并独立打分：</w:t>
            </w:r>
          </w:p>
          <w:p w14:paraId="2457699E">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bookmarkStart w:id="145" w:name="OLE_LINK243"/>
            <w:bookmarkStart w:id="146" w:name="OLE_LINK242"/>
            <w:r>
              <w:rPr>
                <w:rFonts w:hint="eastAsia" w:ascii="宋体" w:hAnsi="宋体" w:eastAsia="宋体" w:cs="宋体"/>
                <w:color w:val="auto"/>
                <w:spacing w:val="11"/>
                <w:kern w:val="2"/>
                <w:sz w:val="21"/>
                <w:szCs w:val="21"/>
                <w:highlight w:val="none"/>
                <w:lang w:val="en-US" w:eastAsia="en-US" w:bidi="ar-SA"/>
              </w:rPr>
              <w:t>一档</w:t>
            </w:r>
            <w:r>
              <w:rPr>
                <w:rFonts w:hint="eastAsia" w:ascii="宋体" w:hAnsi="宋体" w:eastAsia="宋体" w:cs="宋体"/>
                <w:color w:val="auto"/>
                <w:spacing w:val="11"/>
                <w:kern w:val="2"/>
                <w:sz w:val="21"/>
                <w:szCs w:val="21"/>
                <w:highlight w:val="none"/>
                <w:lang w:val="en-US" w:eastAsia="zh-CN" w:bidi="ar-SA"/>
              </w:rPr>
              <w:t>（2</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项评审因素有一项内容经评审合理、可行且具有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68A7A745">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二档</w:t>
            </w:r>
            <w:r>
              <w:rPr>
                <w:rFonts w:hint="eastAsia" w:ascii="宋体" w:hAnsi="宋体" w:eastAsia="宋体" w:cs="宋体"/>
                <w:color w:val="auto"/>
                <w:spacing w:val="11"/>
                <w:kern w:val="2"/>
                <w:sz w:val="21"/>
                <w:szCs w:val="21"/>
                <w:highlight w:val="none"/>
                <w:lang w:val="en-US" w:eastAsia="zh-CN" w:bidi="ar-SA"/>
              </w:rPr>
              <w:t>（4</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w:t>
            </w:r>
            <w:r>
              <w:rPr>
                <w:rFonts w:hint="eastAsia" w:ascii="宋体" w:hAnsi="宋体" w:eastAsia="宋体" w:cs="宋体"/>
                <w:color w:val="auto"/>
                <w:spacing w:val="11"/>
                <w:kern w:val="2"/>
                <w:sz w:val="21"/>
                <w:szCs w:val="21"/>
                <w:highlight w:val="none"/>
                <w:lang w:val="en-US" w:eastAsia="zh-CN" w:bidi="ar-SA"/>
              </w:rPr>
              <w:t>两</w:t>
            </w:r>
            <w:r>
              <w:rPr>
                <w:rFonts w:hint="eastAsia" w:ascii="宋体" w:hAnsi="宋体" w:eastAsia="宋体" w:cs="宋体"/>
                <w:color w:val="auto"/>
                <w:spacing w:val="11"/>
                <w:kern w:val="2"/>
                <w:sz w:val="21"/>
                <w:szCs w:val="21"/>
                <w:highlight w:val="none"/>
                <w:lang w:val="en-US" w:eastAsia="en-US" w:bidi="ar-SA"/>
              </w:rPr>
              <w:t>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7F985BFF">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三档</w:t>
            </w:r>
            <w:r>
              <w:rPr>
                <w:rFonts w:hint="eastAsia" w:ascii="宋体" w:hAnsi="宋体" w:eastAsia="宋体" w:cs="宋体"/>
                <w:color w:val="auto"/>
                <w:spacing w:val="11"/>
                <w:kern w:val="2"/>
                <w:sz w:val="21"/>
                <w:szCs w:val="21"/>
                <w:highlight w:val="none"/>
                <w:lang w:val="en-US" w:eastAsia="zh-CN" w:bidi="ar-SA"/>
              </w:rPr>
              <w:t>（6</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项评审因素有三项内容经评审合理、可行且具有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p w14:paraId="45374DBA">
            <w:pPr>
              <w:keepNext w:val="0"/>
              <w:keepLines w:val="0"/>
              <w:suppressLineNumbers w:val="0"/>
              <w:tabs>
                <w:tab w:val="center" w:pos="4153"/>
                <w:tab w:val="right" w:pos="8306"/>
              </w:tabs>
              <w:snapToGrid w:val="0"/>
              <w:spacing w:before="0" w:beforeAutospacing="0" w:after="0" w:afterAutospacing="0" w:line="360" w:lineRule="exact"/>
              <w:ind w:left="0" w:right="0" w:firstLine="464" w:firstLineChars="200"/>
              <w:rPr>
                <w:rFonts w:hint="eastAsia" w:ascii="宋体" w:hAnsi="宋体" w:eastAsia="宋体" w:cs="宋体"/>
                <w:color w:val="auto"/>
                <w:spacing w:val="11"/>
                <w:kern w:val="2"/>
                <w:sz w:val="21"/>
                <w:szCs w:val="21"/>
                <w:highlight w:val="none"/>
                <w:lang w:val="en-US" w:eastAsia="en-US" w:bidi="ar-SA"/>
              </w:rPr>
            </w:pPr>
            <w:r>
              <w:rPr>
                <w:rFonts w:hint="eastAsia" w:ascii="宋体" w:hAnsi="宋体" w:eastAsia="宋体" w:cs="宋体"/>
                <w:color w:val="auto"/>
                <w:spacing w:val="11"/>
                <w:kern w:val="2"/>
                <w:sz w:val="21"/>
                <w:szCs w:val="21"/>
                <w:highlight w:val="none"/>
                <w:lang w:val="en-US" w:eastAsia="en-US" w:bidi="ar-SA"/>
              </w:rPr>
              <w:t>四档</w:t>
            </w:r>
            <w:r>
              <w:rPr>
                <w:rFonts w:hint="eastAsia" w:ascii="宋体" w:hAnsi="宋体" w:eastAsia="宋体" w:cs="宋体"/>
                <w:color w:val="auto"/>
                <w:spacing w:val="11"/>
                <w:kern w:val="2"/>
                <w:sz w:val="21"/>
                <w:szCs w:val="21"/>
                <w:highlight w:val="none"/>
                <w:lang w:val="en-US" w:eastAsia="zh-CN" w:bidi="ar-SA"/>
              </w:rPr>
              <w:t>（8</w:t>
            </w:r>
            <w:r>
              <w:rPr>
                <w:rFonts w:hint="eastAsia" w:ascii="宋体" w:hAnsi="宋体" w:eastAsia="宋体" w:cs="宋体"/>
                <w:color w:val="auto"/>
                <w:spacing w:val="11"/>
                <w:kern w:val="2"/>
                <w:sz w:val="21"/>
                <w:szCs w:val="21"/>
                <w:highlight w:val="none"/>
                <w:lang w:val="en-US" w:eastAsia="en-US" w:bidi="ar-SA"/>
              </w:rPr>
              <w:t>分</w:t>
            </w:r>
            <w:r>
              <w:rPr>
                <w:rFonts w:hint="eastAsia" w:ascii="宋体" w:hAnsi="宋体" w:eastAsia="宋体" w:cs="宋体"/>
                <w:color w:val="auto"/>
                <w:spacing w:val="11"/>
                <w:kern w:val="2"/>
                <w:sz w:val="21"/>
                <w:szCs w:val="21"/>
                <w:highlight w:val="none"/>
                <w:lang w:val="en-US" w:eastAsia="zh-CN" w:bidi="ar-SA"/>
              </w:rPr>
              <w:t>）：四</w:t>
            </w:r>
            <w:r>
              <w:rPr>
                <w:rFonts w:hint="eastAsia" w:ascii="宋体" w:hAnsi="宋体" w:eastAsia="宋体" w:cs="宋体"/>
                <w:color w:val="auto"/>
                <w:spacing w:val="11"/>
                <w:kern w:val="2"/>
                <w:sz w:val="21"/>
                <w:szCs w:val="21"/>
                <w:highlight w:val="none"/>
                <w:lang w:val="en-US" w:eastAsia="en-US" w:bidi="ar-SA"/>
              </w:rPr>
              <w:t>项评审因素内容经评审合理、可行且具有</w:t>
            </w:r>
            <w:r>
              <w:rPr>
                <w:rFonts w:hint="eastAsia" w:ascii="宋体" w:hAnsi="宋体" w:eastAsia="宋体" w:cs="宋体"/>
                <w:color w:val="auto"/>
                <w:spacing w:val="11"/>
                <w:kern w:val="2"/>
                <w:sz w:val="21"/>
                <w:szCs w:val="21"/>
                <w:highlight w:val="none"/>
                <w:lang w:val="en-US" w:eastAsia="zh-CN" w:bidi="ar-SA"/>
              </w:rPr>
              <w:t>针对性</w:t>
            </w:r>
            <w:r>
              <w:rPr>
                <w:rFonts w:hint="eastAsia" w:ascii="宋体" w:hAnsi="宋体" w:eastAsia="宋体" w:cs="宋体"/>
                <w:color w:val="auto"/>
                <w:spacing w:val="11"/>
                <w:kern w:val="2"/>
                <w:sz w:val="21"/>
                <w:szCs w:val="21"/>
                <w:highlight w:val="none"/>
                <w:lang w:val="en-US" w:eastAsia="en-US" w:bidi="ar-SA"/>
              </w:rPr>
              <w:t>。</w:t>
            </w:r>
          </w:p>
          <w:bookmarkEnd w:id="145"/>
          <w:bookmarkEnd w:id="146"/>
          <w:p w14:paraId="6B45DBF3">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color w:val="auto"/>
                <w:kern w:val="0"/>
                <w:sz w:val="21"/>
                <w:szCs w:val="21"/>
                <w:highlight w:val="none"/>
              </w:rPr>
              <w:t>注：未提供或不符合最低入档条件的按不入档计0分</w:t>
            </w:r>
            <w:r>
              <w:rPr>
                <w:rFonts w:hint="eastAsia" w:ascii="宋体" w:hAnsi="宋体" w:eastAsia="宋体" w:cs="宋体"/>
                <w:b/>
                <w:color w:val="auto"/>
                <w:sz w:val="21"/>
                <w:szCs w:val="21"/>
                <w:highlight w:val="none"/>
              </w:rPr>
              <w:t>。</w:t>
            </w:r>
          </w:p>
        </w:tc>
      </w:tr>
      <w:tr w14:paraId="4005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restart"/>
            <w:noWrap w:val="0"/>
            <w:vAlign w:val="center"/>
          </w:tcPr>
          <w:p w14:paraId="0A864FA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3</w:t>
            </w:r>
          </w:p>
        </w:tc>
        <w:tc>
          <w:tcPr>
            <w:tcW w:w="1451" w:type="dxa"/>
            <w:vMerge w:val="restart"/>
            <w:noWrap w:val="0"/>
            <w:vAlign w:val="center"/>
          </w:tcPr>
          <w:p w14:paraId="59EFAD3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rPr>
              <w:t>商务分（满分25分）</w:t>
            </w:r>
          </w:p>
        </w:tc>
        <w:tc>
          <w:tcPr>
            <w:tcW w:w="1534" w:type="dxa"/>
            <w:noWrap w:val="0"/>
            <w:vAlign w:val="center"/>
          </w:tcPr>
          <w:p w14:paraId="0E48F15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3.1项目负责人（满分5分）</w:t>
            </w:r>
          </w:p>
        </w:tc>
        <w:tc>
          <w:tcPr>
            <w:tcW w:w="6444" w:type="dxa"/>
            <w:noWrap w:val="0"/>
            <w:vAlign w:val="center"/>
          </w:tcPr>
          <w:p w14:paraId="45290AD9">
            <w:pPr>
              <w:pStyle w:val="56"/>
              <w:keepNext w:val="0"/>
              <w:keepLines w:val="0"/>
              <w:suppressLineNumbers w:val="0"/>
              <w:spacing w:before="131" w:beforeAutospacing="0" w:after="0" w:afterAutospacing="0" w:line="432" w:lineRule="auto"/>
              <w:ind w:left="115" w:right="109" w:firstLine="432"/>
              <w:jc w:val="both"/>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lang w:eastAsia="zh-CN"/>
              </w:rPr>
              <w:t>（1）</w:t>
            </w:r>
            <w:r>
              <w:rPr>
                <w:rFonts w:hint="eastAsia" w:ascii="宋体" w:hAnsi="宋体" w:eastAsia="宋体" w:cs="宋体"/>
                <w:color w:val="auto"/>
                <w:spacing w:val="6"/>
                <w:sz w:val="21"/>
                <w:szCs w:val="21"/>
                <w:highlight w:val="none"/>
              </w:rPr>
              <w:t>专业资质（2</w:t>
            </w:r>
            <w:r>
              <w:rPr>
                <w:rFonts w:hint="eastAsia" w:ascii="宋体" w:hAnsi="宋体" w:eastAsia="宋体" w:cs="宋体"/>
                <w:color w:val="auto"/>
                <w:spacing w:val="-35"/>
                <w:sz w:val="21"/>
                <w:szCs w:val="21"/>
                <w:highlight w:val="none"/>
              </w:rPr>
              <w:t xml:space="preserve"> </w:t>
            </w:r>
            <w:r>
              <w:rPr>
                <w:rFonts w:hint="eastAsia" w:ascii="宋体" w:hAnsi="宋体" w:eastAsia="宋体" w:cs="宋体"/>
                <w:color w:val="auto"/>
                <w:spacing w:val="6"/>
                <w:sz w:val="21"/>
                <w:szCs w:val="21"/>
                <w:highlight w:val="none"/>
              </w:rPr>
              <w:t>分</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6"/>
                <w:sz w:val="21"/>
                <w:szCs w:val="21"/>
                <w:highlight w:val="none"/>
              </w:rPr>
              <w:t>拟投入项目负责人为林学、植</w:t>
            </w:r>
            <w:r>
              <w:rPr>
                <w:rFonts w:hint="eastAsia" w:ascii="宋体" w:hAnsi="宋体" w:eastAsia="宋体" w:cs="宋体"/>
                <w:color w:val="auto"/>
                <w:spacing w:val="5"/>
                <w:sz w:val="21"/>
                <w:szCs w:val="21"/>
                <w:highlight w:val="none"/>
              </w:rPr>
              <w:t>物学、生态</w:t>
            </w:r>
            <w:r>
              <w:rPr>
                <w:rFonts w:hint="eastAsia" w:ascii="宋体" w:hAnsi="宋体" w:eastAsia="宋体" w:cs="宋体"/>
                <w:color w:val="auto"/>
                <w:spacing w:val="11"/>
                <w:sz w:val="21"/>
                <w:szCs w:val="21"/>
                <w:highlight w:val="none"/>
              </w:rPr>
              <w:t>学、森林经理、</w:t>
            </w:r>
            <w:r>
              <w:rPr>
                <w:rFonts w:hint="eastAsia" w:ascii="宋体" w:hAnsi="宋体" w:eastAsia="宋体" w:cs="宋体"/>
                <w:color w:val="auto"/>
                <w:spacing w:val="11"/>
                <w:sz w:val="21"/>
                <w:szCs w:val="21"/>
                <w:highlight w:val="none"/>
                <w:lang w:val="en-US" w:eastAsia="zh-CN"/>
              </w:rPr>
              <w:t>风景园林学、</w:t>
            </w:r>
            <w:r>
              <w:rPr>
                <w:rFonts w:hint="eastAsia" w:ascii="宋体" w:hAnsi="宋体" w:eastAsia="宋体" w:cs="宋体"/>
                <w:color w:val="auto"/>
                <w:spacing w:val="11"/>
                <w:sz w:val="21"/>
                <w:szCs w:val="21"/>
                <w:highlight w:val="none"/>
              </w:rPr>
              <w:t>森林资源调查相关专业，得</w:t>
            </w:r>
            <w:r>
              <w:rPr>
                <w:rFonts w:hint="eastAsia" w:ascii="宋体" w:hAnsi="宋体" w:eastAsia="宋体" w:cs="宋体"/>
                <w:color w:val="auto"/>
                <w:spacing w:val="-35"/>
                <w:sz w:val="21"/>
                <w:szCs w:val="21"/>
                <w:highlight w:val="none"/>
              </w:rPr>
              <w:t xml:space="preserve"> </w:t>
            </w:r>
            <w:r>
              <w:rPr>
                <w:rFonts w:hint="eastAsia" w:ascii="宋体" w:hAnsi="宋体" w:eastAsia="宋体" w:cs="宋体"/>
                <w:color w:val="auto"/>
                <w:spacing w:val="11"/>
                <w:sz w:val="21"/>
                <w:szCs w:val="21"/>
                <w:highlight w:val="none"/>
              </w:rPr>
              <w:t>2</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11"/>
                <w:sz w:val="21"/>
                <w:szCs w:val="21"/>
                <w:highlight w:val="none"/>
              </w:rPr>
              <w:t>分，专业不符不得</w:t>
            </w:r>
            <w:r>
              <w:rPr>
                <w:rFonts w:hint="eastAsia" w:ascii="宋体" w:hAnsi="宋体" w:eastAsia="宋体" w:cs="宋体"/>
                <w:color w:val="auto"/>
                <w:spacing w:val="-1"/>
                <w:sz w:val="21"/>
                <w:szCs w:val="21"/>
                <w:highlight w:val="none"/>
              </w:rPr>
              <w:t>分。</w:t>
            </w:r>
          </w:p>
          <w:p w14:paraId="5A41242C">
            <w:pPr>
              <w:pStyle w:val="56"/>
              <w:keepNext w:val="0"/>
              <w:keepLines w:val="0"/>
              <w:suppressLineNumbers w:val="0"/>
              <w:spacing w:before="2" w:beforeAutospacing="0" w:after="0" w:afterAutospacing="0" w:line="431" w:lineRule="auto"/>
              <w:ind w:left="113" w:right="109"/>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注：须提供身份证</w:t>
            </w:r>
            <w:r>
              <w:rPr>
                <w:rFonts w:hint="eastAsia" w:ascii="宋体" w:hAnsi="宋体" w:eastAsia="宋体" w:cs="宋体"/>
                <w:b/>
                <w:bCs/>
                <w:color w:val="auto"/>
                <w:spacing w:val="10"/>
                <w:sz w:val="21"/>
                <w:szCs w:val="21"/>
                <w:highlight w:val="none"/>
                <w:lang w:eastAsia="zh-CN"/>
              </w:rPr>
              <w:t>、</w:t>
            </w:r>
            <w:r>
              <w:rPr>
                <w:rFonts w:hint="eastAsia" w:ascii="宋体" w:hAnsi="宋体" w:eastAsia="宋体" w:cs="宋体"/>
                <w:b/>
                <w:bCs/>
                <w:color w:val="auto"/>
                <w:spacing w:val="10"/>
                <w:sz w:val="21"/>
                <w:szCs w:val="21"/>
                <w:highlight w:val="none"/>
              </w:rPr>
              <w:t>毕业证书复印件，资料清晰可辨并加盖</w:t>
            </w:r>
            <w:r>
              <w:rPr>
                <w:rFonts w:hint="eastAsia" w:ascii="宋体" w:hAnsi="宋体" w:eastAsia="宋体" w:cs="宋体"/>
                <w:b/>
                <w:bCs/>
                <w:color w:val="auto"/>
                <w:spacing w:val="6"/>
                <w:sz w:val="21"/>
                <w:szCs w:val="21"/>
                <w:highlight w:val="none"/>
              </w:rPr>
              <w:t>供应商公章，否则不计分。</w:t>
            </w:r>
          </w:p>
          <w:p w14:paraId="66DEC8D0">
            <w:pPr>
              <w:pStyle w:val="56"/>
              <w:keepNext w:val="0"/>
              <w:keepLines w:val="0"/>
              <w:suppressLineNumbers w:val="0"/>
              <w:spacing w:before="0" w:beforeAutospacing="0" w:after="0" w:afterAutospacing="0" w:line="432" w:lineRule="auto"/>
              <w:ind w:left="112" w:right="109" w:firstLine="423"/>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lang w:eastAsia="zh-CN"/>
              </w:rPr>
              <w:t>（2）</w:t>
            </w:r>
            <w:r>
              <w:rPr>
                <w:rFonts w:hint="eastAsia" w:ascii="宋体" w:hAnsi="宋体" w:eastAsia="宋体" w:cs="宋体"/>
                <w:color w:val="auto"/>
                <w:spacing w:val="9"/>
                <w:sz w:val="21"/>
                <w:szCs w:val="21"/>
                <w:highlight w:val="none"/>
              </w:rPr>
              <w:t>职称要求（3分</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9"/>
                <w:sz w:val="21"/>
                <w:szCs w:val="21"/>
                <w:highlight w:val="none"/>
              </w:rPr>
              <w:t>拟投入项目负责人具有</w:t>
            </w:r>
            <w:r>
              <w:rPr>
                <w:rFonts w:hint="eastAsia" w:ascii="宋体" w:hAnsi="宋体" w:eastAsia="宋体" w:cs="宋体"/>
                <w:color w:val="auto"/>
                <w:spacing w:val="9"/>
                <w:sz w:val="21"/>
                <w:szCs w:val="21"/>
                <w:highlight w:val="none"/>
                <w:lang w:val="en-US" w:eastAsia="zh-CN"/>
              </w:rPr>
              <w:t>园林或</w:t>
            </w:r>
            <w:r>
              <w:rPr>
                <w:rFonts w:hint="eastAsia" w:ascii="宋体" w:hAnsi="宋体" w:eastAsia="宋体" w:cs="宋体"/>
                <w:color w:val="auto"/>
                <w:spacing w:val="9"/>
                <w:sz w:val="21"/>
                <w:szCs w:val="21"/>
                <w:highlight w:val="none"/>
              </w:rPr>
              <w:t>林业相关专业高级</w:t>
            </w:r>
            <w:r>
              <w:rPr>
                <w:rFonts w:hint="eastAsia" w:ascii="宋体" w:hAnsi="宋体" w:eastAsia="宋体" w:cs="宋体"/>
                <w:color w:val="auto"/>
                <w:spacing w:val="7"/>
                <w:sz w:val="21"/>
                <w:szCs w:val="21"/>
                <w:highlight w:val="none"/>
              </w:rPr>
              <w:t>及以上职称，得</w:t>
            </w:r>
            <w:r>
              <w:rPr>
                <w:rFonts w:hint="eastAsia" w:ascii="宋体" w:hAnsi="宋体" w:eastAsia="宋体" w:cs="宋体"/>
                <w:color w:val="auto"/>
                <w:spacing w:val="-29"/>
                <w:sz w:val="21"/>
                <w:szCs w:val="21"/>
                <w:highlight w:val="none"/>
              </w:rPr>
              <w:t xml:space="preserve"> </w:t>
            </w:r>
            <w:r>
              <w:rPr>
                <w:rFonts w:hint="eastAsia" w:ascii="宋体" w:hAnsi="宋体" w:eastAsia="宋体" w:cs="宋体"/>
                <w:color w:val="auto"/>
                <w:spacing w:val="7"/>
                <w:sz w:val="21"/>
                <w:szCs w:val="21"/>
                <w:highlight w:val="none"/>
              </w:rPr>
              <w:t>3</w:t>
            </w:r>
            <w:r>
              <w:rPr>
                <w:rFonts w:hint="eastAsia" w:ascii="宋体" w:hAnsi="宋体" w:eastAsia="宋体" w:cs="宋体"/>
                <w:color w:val="auto"/>
                <w:spacing w:val="-35"/>
                <w:sz w:val="21"/>
                <w:szCs w:val="21"/>
                <w:highlight w:val="none"/>
              </w:rPr>
              <w:t xml:space="preserve"> </w:t>
            </w:r>
            <w:r>
              <w:rPr>
                <w:rFonts w:hint="eastAsia" w:ascii="宋体" w:hAnsi="宋体" w:eastAsia="宋体" w:cs="宋体"/>
                <w:color w:val="auto"/>
                <w:spacing w:val="7"/>
                <w:sz w:val="21"/>
                <w:szCs w:val="21"/>
                <w:highlight w:val="none"/>
              </w:rPr>
              <w:t>分，未达到要求不得分。</w:t>
            </w:r>
          </w:p>
          <w:p w14:paraId="7E363F6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bCs/>
                <w:color w:val="auto"/>
                <w:spacing w:val="5"/>
                <w:sz w:val="21"/>
                <w:szCs w:val="21"/>
                <w:highlight w:val="none"/>
              </w:rPr>
              <w:t>注：须提供职称证书</w:t>
            </w:r>
            <w:r>
              <w:rPr>
                <w:rFonts w:hint="eastAsia" w:ascii="宋体" w:hAnsi="宋体" w:eastAsia="宋体" w:cs="宋体"/>
                <w:b/>
                <w:bCs/>
                <w:color w:val="auto"/>
                <w:spacing w:val="5"/>
                <w:sz w:val="21"/>
                <w:szCs w:val="21"/>
                <w:highlight w:val="none"/>
                <w:lang w:eastAsia="zh-CN"/>
              </w:rPr>
              <w:t>复印件并加盖</w:t>
            </w:r>
            <w:r>
              <w:rPr>
                <w:rFonts w:hint="eastAsia" w:ascii="宋体" w:hAnsi="宋体" w:eastAsia="宋体" w:cs="宋体"/>
                <w:b/>
                <w:bCs/>
                <w:color w:val="auto"/>
                <w:spacing w:val="5"/>
                <w:sz w:val="21"/>
                <w:szCs w:val="21"/>
                <w:highlight w:val="none"/>
              </w:rPr>
              <w:t>公章，证书</w:t>
            </w:r>
            <w:r>
              <w:rPr>
                <w:rFonts w:hint="eastAsia" w:ascii="宋体" w:hAnsi="宋体" w:eastAsia="宋体" w:cs="宋体"/>
                <w:b/>
                <w:bCs/>
                <w:color w:val="auto"/>
                <w:spacing w:val="6"/>
                <w:sz w:val="21"/>
                <w:szCs w:val="21"/>
                <w:highlight w:val="none"/>
              </w:rPr>
              <w:t>专业不符不予计分。</w:t>
            </w:r>
          </w:p>
        </w:tc>
      </w:tr>
      <w:tr w14:paraId="568C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73059472">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75863E3C">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12A22F2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3.2项目技术团队（满分10分）</w:t>
            </w:r>
          </w:p>
        </w:tc>
        <w:tc>
          <w:tcPr>
            <w:tcW w:w="6444" w:type="dxa"/>
            <w:noWrap w:val="0"/>
            <w:vAlign w:val="center"/>
          </w:tcPr>
          <w:p w14:paraId="62C13B14">
            <w:pPr>
              <w:pStyle w:val="56"/>
              <w:keepNext w:val="0"/>
              <w:keepLines w:val="0"/>
              <w:suppressLineNumbers w:val="0"/>
              <w:spacing w:before="132" w:beforeAutospacing="0" w:after="0" w:afterAutospacing="0" w:line="432" w:lineRule="auto"/>
              <w:ind w:left="112" w:right="109" w:firstLine="424"/>
              <w:jc w:val="both"/>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项目团队成员（除项目负责人外）具有</w:t>
            </w:r>
            <w:r>
              <w:rPr>
                <w:rFonts w:hint="eastAsia" w:ascii="宋体" w:hAnsi="宋体" w:eastAsia="宋体" w:cs="宋体"/>
                <w:color w:val="auto"/>
                <w:spacing w:val="12"/>
                <w:sz w:val="21"/>
                <w:szCs w:val="21"/>
                <w:highlight w:val="none"/>
                <w:lang w:val="en-US" w:eastAsia="zh-CN"/>
              </w:rPr>
              <w:t>园林或</w:t>
            </w:r>
            <w:r>
              <w:rPr>
                <w:rFonts w:hint="eastAsia" w:ascii="宋体" w:hAnsi="宋体" w:eastAsia="宋体" w:cs="宋体"/>
                <w:color w:val="auto"/>
                <w:spacing w:val="12"/>
                <w:sz w:val="21"/>
                <w:szCs w:val="21"/>
                <w:highlight w:val="none"/>
              </w:rPr>
              <w:t>林业相关专业中级职称</w:t>
            </w:r>
            <w:r>
              <w:rPr>
                <w:rFonts w:hint="eastAsia" w:ascii="宋体" w:hAnsi="宋体" w:eastAsia="宋体" w:cs="宋体"/>
                <w:color w:val="auto"/>
                <w:spacing w:val="6"/>
                <w:sz w:val="21"/>
                <w:szCs w:val="21"/>
                <w:highlight w:val="none"/>
              </w:rPr>
              <w:t>的，每提供</w:t>
            </w:r>
            <w:r>
              <w:rPr>
                <w:rFonts w:hint="eastAsia" w:ascii="宋体" w:hAnsi="宋体" w:eastAsia="宋体" w:cs="宋体"/>
                <w:color w:val="auto"/>
                <w:spacing w:val="-6"/>
                <w:sz w:val="21"/>
                <w:szCs w:val="21"/>
                <w:highlight w:val="none"/>
                <w:lang w:val="en-US" w:eastAsia="zh-CN"/>
              </w:rPr>
              <w:t>1</w:t>
            </w:r>
            <w:r>
              <w:rPr>
                <w:rFonts w:hint="eastAsia" w:ascii="宋体" w:hAnsi="宋体" w:eastAsia="宋体" w:cs="宋体"/>
                <w:color w:val="auto"/>
                <w:spacing w:val="6"/>
                <w:sz w:val="21"/>
                <w:szCs w:val="21"/>
                <w:highlight w:val="none"/>
              </w:rPr>
              <w:t>人得</w:t>
            </w:r>
            <w:r>
              <w:rPr>
                <w:rFonts w:hint="eastAsia" w:ascii="宋体" w:hAnsi="宋体" w:eastAsia="宋体" w:cs="宋体"/>
                <w:color w:val="auto"/>
                <w:spacing w:val="-21"/>
                <w:sz w:val="21"/>
                <w:szCs w:val="21"/>
                <w:highlight w:val="none"/>
                <w:lang w:val="en-US" w:eastAsia="zh-CN"/>
              </w:rPr>
              <w:t>1</w:t>
            </w:r>
            <w:r>
              <w:rPr>
                <w:rFonts w:hint="eastAsia" w:ascii="宋体" w:hAnsi="宋体" w:eastAsia="宋体" w:cs="宋体"/>
                <w:color w:val="auto"/>
                <w:spacing w:val="6"/>
                <w:sz w:val="21"/>
                <w:szCs w:val="21"/>
                <w:highlight w:val="none"/>
              </w:rPr>
              <w:t>分，副高级职称每提供</w:t>
            </w:r>
            <w:r>
              <w:rPr>
                <w:rFonts w:hint="eastAsia" w:ascii="宋体" w:hAnsi="宋体" w:eastAsia="宋体" w:cs="宋体"/>
                <w:color w:val="auto"/>
                <w:spacing w:val="-22"/>
                <w:sz w:val="21"/>
                <w:szCs w:val="21"/>
                <w:highlight w:val="none"/>
                <w:lang w:val="en-US" w:eastAsia="zh-CN"/>
              </w:rPr>
              <w:t>1</w:t>
            </w:r>
            <w:r>
              <w:rPr>
                <w:rFonts w:hint="eastAsia" w:ascii="宋体" w:hAnsi="宋体" w:eastAsia="宋体" w:cs="宋体"/>
                <w:color w:val="auto"/>
                <w:spacing w:val="6"/>
                <w:sz w:val="21"/>
                <w:szCs w:val="21"/>
                <w:highlight w:val="none"/>
              </w:rPr>
              <w:t>人得</w:t>
            </w:r>
            <w:r>
              <w:rPr>
                <w:rFonts w:hint="eastAsia" w:ascii="宋体" w:hAnsi="宋体" w:eastAsia="宋体" w:cs="宋体"/>
                <w:color w:val="auto"/>
                <w:spacing w:val="-34"/>
                <w:sz w:val="21"/>
                <w:szCs w:val="21"/>
                <w:highlight w:val="none"/>
                <w:lang w:val="en-US" w:eastAsia="zh-CN"/>
              </w:rPr>
              <w:t>2</w:t>
            </w:r>
            <w:r>
              <w:rPr>
                <w:rFonts w:hint="eastAsia" w:ascii="宋体" w:hAnsi="宋体" w:eastAsia="宋体" w:cs="宋体"/>
                <w:color w:val="auto"/>
                <w:spacing w:val="6"/>
                <w:sz w:val="21"/>
                <w:szCs w:val="21"/>
                <w:highlight w:val="none"/>
              </w:rPr>
              <w:t>分，正高级职</w:t>
            </w:r>
            <w:r>
              <w:rPr>
                <w:rFonts w:hint="eastAsia" w:ascii="宋体" w:hAnsi="宋体" w:eastAsia="宋体" w:cs="宋体"/>
                <w:color w:val="auto"/>
                <w:spacing w:val="3"/>
                <w:sz w:val="21"/>
                <w:szCs w:val="21"/>
                <w:highlight w:val="none"/>
              </w:rPr>
              <w:t>称每提供</w:t>
            </w:r>
            <w:r>
              <w:rPr>
                <w:rFonts w:hint="eastAsia" w:ascii="宋体" w:hAnsi="宋体" w:eastAsia="宋体" w:cs="宋体"/>
                <w:color w:val="auto"/>
                <w:spacing w:val="-9"/>
                <w:sz w:val="21"/>
                <w:szCs w:val="21"/>
                <w:highlight w:val="none"/>
                <w:lang w:val="en-US" w:eastAsia="zh-CN"/>
              </w:rPr>
              <w:t>1</w:t>
            </w:r>
            <w:r>
              <w:rPr>
                <w:rFonts w:hint="eastAsia" w:ascii="宋体" w:hAnsi="宋体" w:eastAsia="宋体" w:cs="宋体"/>
                <w:color w:val="auto"/>
                <w:spacing w:val="3"/>
                <w:sz w:val="21"/>
                <w:szCs w:val="21"/>
                <w:highlight w:val="none"/>
              </w:rPr>
              <w:t>人得</w:t>
            </w:r>
            <w:r>
              <w:rPr>
                <w:rFonts w:hint="eastAsia" w:ascii="宋体" w:hAnsi="宋体" w:eastAsia="宋体" w:cs="宋体"/>
                <w:color w:val="auto"/>
                <w:spacing w:val="3"/>
                <w:sz w:val="21"/>
                <w:szCs w:val="21"/>
                <w:highlight w:val="none"/>
                <w:lang w:val="en-US" w:eastAsia="zh-CN"/>
              </w:rPr>
              <w:t>3</w:t>
            </w:r>
            <w:r>
              <w:rPr>
                <w:rFonts w:hint="eastAsia" w:ascii="宋体" w:hAnsi="宋体" w:eastAsia="宋体" w:cs="宋体"/>
                <w:color w:val="auto"/>
                <w:spacing w:val="3"/>
                <w:sz w:val="21"/>
                <w:szCs w:val="21"/>
                <w:highlight w:val="none"/>
              </w:rPr>
              <w:t>分。 注：本项最高得</w:t>
            </w:r>
            <w:r>
              <w:rPr>
                <w:rFonts w:hint="eastAsia" w:ascii="宋体" w:hAnsi="宋体" w:eastAsia="宋体" w:cs="宋体"/>
                <w:color w:val="auto"/>
                <w:spacing w:val="-24"/>
                <w:sz w:val="21"/>
                <w:szCs w:val="21"/>
                <w:highlight w:val="none"/>
                <w:lang w:val="en-US" w:eastAsia="zh-CN"/>
              </w:rPr>
              <w:t>10</w:t>
            </w:r>
            <w:r>
              <w:rPr>
                <w:rFonts w:hint="eastAsia" w:ascii="宋体" w:hAnsi="宋体" w:eastAsia="宋体" w:cs="宋体"/>
                <w:color w:val="auto"/>
                <w:spacing w:val="3"/>
                <w:sz w:val="21"/>
                <w:szCs w:val="21"/>
                <w:highlight w:val="none"/>
              </w:rPr>
              <w:t>分。</w:t>
            </w:r>
          </w:p>
          <w:p w14:paraId="1ED11D4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bCs/>
                <w:color w:val="auto"/>
                <w:spacing w:val="10"/>
                <w:sz w:val="21"/>
                <w:szCs w:val="21"/>
                <w:highlight w:val="none"/>
              </w:rPr>
              <w:t>注：须提供人员职称证书复印件、身份证复印件</w:t>
            </w:r>
            <w:r>
              <w:rPr>
                <w:rFonts w:hint="eastAsia" w:ascii="宋体" w:hAnsi="宋体" w:eastAsia="宋体" w:cs="宋体"/>
                <w:b/>
                <w:bCs/>
                <w:color w:val="auto"/>
                <w:spacing w:val="10"/>
                <w:sz w:val="21"/>
                <w:szCs w:val="21"/>
                <w:highlight w:val="none"/>
                <w:lang w:eastAsia="zh-CN"/>
              </w:rPr>
              <w:t>，以及</w:t>
            </w:r>
            <w:r>
              <w:rPr>
                <w:rFonts w:hint="eastAsia" w:ascii="宋体" w:hAnsi="宋体" w:eastAsia="宋体" w:cs="宋体"/>
                <w:b/>
                <w:color w:val="auto"/>
                <w:sz w:val="21"/>
                <w:szCs w:val="21"/>
                <w:highlight w:val="none"/>
                <w:lang w:val="en-US" w:eastAsia="zh-CN"/>
              </w:rPr>
              <w:t>供应商自2026年1月至今任意一个月为拟投入本项目的人员缴纳社保的证明材料，或</w:t>
            </w:r>
            <w:r>
              <w:rPr>
                <w:rFonts w:hint="eastAsia" w:ascii="宋体" w:hAnsi="宋体" w:eastAsia="宋体" w:cs="宋体"/>
                <w:b/>
                <w:bCs w:val="0"/>
                <w:color w:val="auto"/>
                <w:kern w:val="2"/>
                <w:sz w:val="21"/>
                <w:szCs w:val="21"/>
                <w:highlight w:val="none"/>
                <w:lang w:val="en-US" w:eastAsia="zh-CN" w:bidi="ar-SA"/>
              </w:rPr>
              <w:t>截标时间前半年内任意一个月人员工资流水证明</w:t>
            </w:r>
            <w:r>
              <w:rPr>
                <w:rFonts w:hint="eastAsia" w:ascii="宋体" w:hAnsi="宋体" w:eastAsia="宋体" w:cs="宋体"/>
                <w:b/>
                <w:color w:val="auto"/>
                <w:sz w:val="21"/>
                <w:szCs w:val="21"/>
                <w:highlight w:val="none"/>
                <w:lang w:val="en-US" w:eastAsia="zh-CN"/>
              </w:rPr>
              <w:t>或劳动合同扫描件</w:t>
            </w:r>
            <w:r>
              <w:rPr>
                <w:rFonts w:hint="eastAsia" w:ascii="宋体" w:hAnsi="宋体" w:eastAsia="宋体" w:cs="宋体"/>
                <w:b/>
                <w:bCs/>
                <w:color w:val="auto"/>
                <w:spacing w:val="7"/>
                <w:sz w:val="21"/>
                <w:szCs w:val="21"/>
                <w:highlight w:val="none"/>
                <w:lang w:eastAsia="zh-CN"/>
              </w:rPr>
              <w:t>加盖</w:t>
            </w:r>
            <w:r>
              <w:rPr>
                <w:rFonts w:hint="eastAsia" w:ascii="宋体" w:hAnsi="宋体" w:eastAsia="宋体" w:cs="宋体"/>
                <w:b/>
                <w:bCs/>
                <w:color w:val="auto"/>
                <w:spacing w:val="7"/>
                <w:sz w:val="21"/>
                <w:szCs w:val="21"/>
                <w:highlight w:val="none"/>
              </w:rPr>
              <w:t>公章</w:t>
            </w:r>
            <w:r>
              <w:rPr>
                <w:rFonts w:hint="eastAsia" w:ascii="宋体" w:hAnsi="宋体" w:eastAsia="宋体" w:cs="宋体"/>
                <w:b/>
                <w:bCs/>
                <w:color w:val="auto"/>
                <w:spacing w:val="7"/>
                <w:sz w:val="21"/>
                <w:szCs w:val="21"/>
                <w:highlight w:val="none"/>
                <w:lang w:eastAsia="zh-CN"/>
              </w:rPr>
              <w:t>，</w:t>
            </w:r>
            <w:r>
              <w:rPr>
                <w:rFonts w:hint="eastAsia" w:ascii="宋体" w:hAnsi="宋体" w:eastAsia="宋体" w:cs="宋体"/>
                <w:b/>
                <w:color w:val="auto"/>
                <w:sz w:val="21"/>
                <w:szCs w:val="21"/>
                <w:highlight w:val="none"/>
                <w:lang w:val="en-US" w:eastAsia="zh-CN"/>
              </w:rPr>
              <w:t>方可计分</w:t>
            </w:r>
            <w:r>
              <w:rPr>
                <w:rFonts w:hint="eastAsia" w:ascii="宋体" w:hAnsi="宋体" w:eastAsia="宋体" w:cs="宋体"/>
                <w:b/>
                <w:bCs/>
                <w:color w:val="auto"/>
                <w:spacing w:val="7"/>
                <w:sz w:val="21"/>
                <w:szCs w:val="21"/>
                <w:highlight w:val="none"/>
              </w:rPr>
              <w:t>。证明材料不全的不得分。</w:t>
            </w:r>
          </w:p>
        </w:tc>
      </w:tr>
      <w:tr w14:paraId="122D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vMerge w:val="continue"/>
            <w:noWrap w:val="0"/>
            <w:vAlign w:val="center"/>
          </w:tcPr>
          <w:p w14:paraId="42A6B6D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451" w:type="dxa"/>
            <w:vMerge w:val="continue"/>
            <w:noWrap w:val="0"/>
            <w:vAlign w:val="center"/>
          </w:tcPr>
          <w:p w14:paraId="3DFE71F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rPr>
            </w:pPr>
          </w:p>
        </w:tc>
        <w:tc>
          <w:tcPr>
            <w:tcW w:w="1534" w:type="dxa"/>
            <w:noWrap w:val="0"/>
            <w:vAlign w:val="center"/>
          </w:tcPr>
          <w:p w14:paraId="4A82C856">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center"/>
              <w:textAlignment w:val="auto"/>
              <w:rPr>
                <w:rFonts w:hint="eastAsia" w:ascii="宋体" w:hAnsi="宋体" w:eastAsia="宋体" w:cs="宋体"/>
                <w:b/>
                <w:bCs/>
                <w:color w:val="auto"/>
                <w:spacing w:val="4"/>
                <w:sz w:val="21"/>
                <w:szCs w:val="21"/>
                <w:highlight w:val="none"/>
                <w:lang w:val="en-US" w:eastAsia="zh-CN"/>
              </w:rPr>
            </w:pPr>
            <w:r>
              <w:rPr>
                <w:rFonts w:hint="eastAsia" w:ascii="宋体" w:hAnsi="宋体" w:eastAsia="宋体" w:cs="宋体"/>
                <w:b/>
                <w:bCs/>
                <w:color w:val="auto"/>
                <w:spacing w:val="4"/>
                <w:sz w:val="21"/>
                <w:szCs w:val="21"/>
                <w:highlight w:val="none"/>
                <w:lang w:val="en-US" w:eastAsia="zh-CN"/>
              </w:rPr>
              <w:t>3.3业绩分（满分10分）</w:t>
            </w:r>
          </w:p>
        </w:tc>
        <w:tc>
          <w:tcPr>
            <w:tcW w:w="6444" w:type="dxa"/>
            <w:noWrap w:val="0"/>
            <w:vAlign w:val="center"/>
          </w:tcPr>
          <w:p w14:paraId="16EC3589">
            <w:pPr>
              <w:pStyle w:val="56"/>
              <w:keepNext w:val="0"/>
              <w:keepLines w:val="0"/>
              <w:suppressLineNumbers w:val="0"/>
              <w:spacing w:before="99" w:beforeAutospacing="0" w:after="0" w:afterAutospacing="0" w:line="371" w:lineRule="auto"/>
              <w:ind w:left="114" w:right="109" w:firstLine="419"/>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2023年1月1日起至提交响应文件截止时间止</w:t>
            </w:r>
            <w:r>
              <w:rPr>
                <w:rFonts w:hint="eastAsia" w:ascii="宋体" w:hAnsi="宋体" w:eastAsia="宋体" w:cs="宋体"/>
                <w:color w:val="auto"/>
                <w:spacing w:val="3"/>
                <w:sz w:val="21"/>
                <w:szCs w:val="21"/>
                <w:highlight w:val="none"/>
                <w:lang w:val="en-US" w:eastAsia="zh-CN"/>
              </w:rPr>
              <w:t>具有类似</w:t>
            </w:r>
            <w:r>
              <w:rPr>
                <w:rFonts w:hint="eastAsia" w:ascii="宋体" w:hAnsi="宋体" w:eastAsia="宋体" w:cs="宋体"/>
                <w:color w:val="auto"/>
                <w:spacing w:val="3"/>
                <w:sz w:val="21"/>
                <w:szCs w:val="21"/>
                <w:highlight w:val="none"/>
              </w:rPr>
              <w:t>项目业绩，每提供一项</w:t>
            </w:r>
            <w:r>
              <w:rPr>
                <w:rFonts w:hint="eastAsia" w:ascii="宋体" w:hAnsi="宋体" w:eastAsia="宋体" w:cs="宋体"/>
                <w:color w:val="auto"/>
                <w:spacing w:val="4"/>
                <w:sz w:val="21"/>
                <w:szCs w:val="21"/>
                <w:highlight w:val="none"/>
              </w:rPr>
              <w:t>得</w:t>
            </w:r>
            <w:r>
              <w:rPr>
                <w:rFonts w:hint="eastAsia" w:ascii="宋体" w:hAnsi="宋体" w:eastAsia="宋体" w:cs="宋体"/>
                <w:color w:val="auto"/>
                <w:spacing w:val="-22"/>
                <w:sz w:val="21"/>
                <w:szCs w:val="21"/>
                <w:highlight w:val="none"/>
              </w:rPr>
              <w:t xml:space="preserve"> </w:t>
            </w:r>
            <w:r>
              <w:rPr>
                <w:rFonts w:hint="eastAsia" w:ascii="宋体" w:hAnsi="宋体" w:eastAsia="宋体" w:cs="宋体"/>
                <w:color w:val="auto"/>
                <w:spacing w:val="4"/>
                <w:sz w:val="21"/>
                <w:szCs w:val="21"/>
                <w:highlight w:val="none"/>
                <w:lang w:val="en-US" w:eastAsia="zh-CN"/>
              </w:rPr>
              <w:t>2</w:t>
            </w:r>
            <w:r>
              <w:rPr>
                <w:rFonts w:hint="eastAsia" w:ascii="宋体" w:hAnsi="宋体" w:eastAsia="宋体" w:cs="宋体"/>
                <w:color w:val="auto"/>
                <w:spacing w:val="4"/>
                <w:sz w:val="21"/>
                <w:szCs w:val="21"/>
                <w:highlight w:val="none"/>
              </w:rPr>
              <w:t>分，满分</w:t>
            </w:r>
            <w:r>
              <w:rPr>
                <w:rFonts w:hint="eastAsia" w:ascii="宋体" w:hAnsi="宋体" w:eastAsia="宋体" w:cs="宋体"/>
                <w:color w:val="auto"/>
                <w:spacing w:val="-33"/>
                <w:sz w:val="21"/>
                <w:szCs w:val="21"/>
                <w:highlight w:val="none"/>
                <w:lang w:val="en-US" w:eastAsia="zh-CN"/>
              </w:rPr>
              <w:t>10</w:t>
            </w:r>
            <w:r>
              <w:rPr>
                <w:rFonts w:hint="eastAsia" w:ascii="宋体" w:hAnsi="宋体" w:eastAsia="宋体" w:cs="宋体"/>
                <w:color w:val="auto"/>
                <w:spacing w:val="4"/>
                <w:sz w:val="21"/>
                <w:szCs w:val="21"/>
                <w:highlight w:val="none"/>
              </w:rPr>
              <w:t>分。不提供不得分。</w:t>
            </w:r>
          </w:p>
          <w:p w14:paraId="3522B5C4">
            <w:pPr>
              <w:pStyle w:val="56"/>
              <w:keepNext w:val="0"/>
              <w:keepLines w:val="0"/>
              <w:suppressLineNumbers w:val="0"/>
              <w:spacing w:before="75" w:beforeAutospacing="0" w:after="0" w:afterAutospacing="0" w:line="405" w:lineRule="auto"/>
              <w:ind w:left="117" w:right="159" w:hanging="4"/>
              <w:rPr>
                <w:rFonts w:hint="eastAsia" w:ascii="宋体" w:hAnsi="宋体" w:eastAsia="宋体" w:cs="宋体"/>
                <w:color w:val="auto"/>
                <w:sz w:val="21"/>
                <w:szCs w:val="21"/>
                <w:highlight w:val="none"/>
              </w:rPr>
            </w:pPr>
            <w:r>
              <w:rPr>
                <w:rFonts w:hint="eastAsia" w:ascii="宋体" w:hAnsi="宋体" w:eastAsia="宋体" w:cs="宋体"/>
                <w:b/>
                <w:bCs/>
                <w:color w:val="auto"/>
                <w:spacing w:val="8"/>
                <w:sz w:val="21"/>
                <w:szCs w:val="21"/>
                <w:highlight w:val="none"/>
              </w:rPr>
              <w:t>注：需提供项目业绩合同或中标（成交）通知书复印件并加盖供应</w:t>
            </w:r>
            <w:r>
              <w:rPr>
                <w:rFonts w:hint="eastAsia" w:ascii="宋体" w:hAnsi="宋体" w:eastAsia="宋体" w:cs="宋体"/>
                <w:b/>
                <w:bCs/>
                <w:color w:val="auto"/>
                <w:spacing w:val="6"/>
                <w:sz w:val="21"/>
                <w:szCs w:val="21"/>
                <w:highlight w:val="none"/>
              </w:rPr>
              <w:t>商公章，否则不予计分。</w:t>
            </w:r>
          </w:p>
          <w:p w14:paraId="619FD6AD">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bCs/>
                <w:color w:val="auto"/>
                <w:spacing w:val="8"/>
                <w:sz w:val="21"/>
                <w:szCs w:val="21"/>
                <w:highlight w:val="none"/>
                <w:lang w:val="en-US" w:eastAsia="zh-CN"/>
              </w:rPr>
              <w:t>类似</w:t>
            </w:r>
            <w:r>
              <w:rPr>
                <w:rFonts w:hint="eastAsia" w:ascii="宋体" w:hAnsi="宋体" w:eastAsia="宋体" w:cs="宋体"/>
                <w:b/>
                <w:bCs/>
                <w:color w:val="auto"/>
                <w:spacing w:val="8"/>
                <w:sz w:val="21"/>
                <w:szCs w:val="21"/>
                <w:highlight w:val="none"/>
              </w:rPr>
              <w:t>项目是指自然保护区调查</w:t>
            </w:r>
            <w:r>
              <w:rPr>
                <w:rFonts w:hint="eastAsia" w:ascii="宋体" w:hAnsi="宋体" w:eastAsia="宋体" w:cs="宋体"/>
                <w:b/>
                <w:bCs/>
                <w:color w:val="auto"/>
                <w:spacing w:val="8"/>
                <w:sz w:val="21"/>
                <w:szCs w:val="21"/>
                <w:highlight w:val="none"/>
                <w:lang w:eastAsia="zh-CN"/>
              </w:rPr>
              <w:t>、</w:t>
            </w:r>
            <w:r>
              <w:rPr>
                <w:rFonts w:hint="eastAsia" w:ascii="宋体" w:hAnsi="宋体" w:eastAsia="宋体" w:cs="宋体"/>
                <w:b/>
                <w:bCs/>
                <w:color w:val="auto"/>
                <w:spacing w:val="7"/>
                <w:sz w:val="21"/>
                <w:szCs w:val="21"/>
                <w:highlight w:val="none"/>
              </w:rPr>
              <w:t>野生动植物资源调查</w:t>
            </w:r>
            <w:r>
              <w:rPr>
                <w:rFonts w:hint="eastAsia" w:ascii="宋体" w:hAnsi="宋体" w:eastAsia="宋体" w:cs="宋体"/>
                <w:b/>
                <w:bCs/>
                <w:color w:val="auto"/>
                <w:spacing w:val="7"/>
                <w:sz w:val="21"/>
                <w:szCs w:val="21"/>
                <w:highlight w:val="none"/>
                <w:lang w:eastAsia="zh-CN"/>
              </w:rPr>
              <w:t>、</w:t>
            </w:r>
            <w:r>
              <w:rPr>
                <w:rFonts w:hint="eastAsia" w:ascii="宋体" w:hAnsi="宋体" w:eastAsia="宋体" w:cs="宋体"/>
                <w:b/>
                <w:bCs/>
                <w:color w:val="auto"/>
                <w:spacing w:val="7"/>
                <w:sz w:val="21"/>
                <w:szCs w:val="21"/>
                <w:highlight w:val="none"/>
                <w:lang w:val="en-US" w:eastAsia="zh-CN"/>
              </w:rPr>
              <w:t>森林资源二类调查</w:t>
            </w:r>
            <w:r>
              <w:rPr>
                <w:rFonts w:hint="eastAsia" w:ascii="宋体" w:hAnsi="宋体" w:eastAsia="宋体" w:cs="宋体"/>
                <w:b/>
                <w:bCs/>
                <w:color w:val="auto"/>
                <w:spacing w:val="7"/>
                <w:sz w:val="21"/>
                <w:szCs w:val="21"/>
                <w:highlight w:val="none"/>
                <w:lang w:eastAsia="zh-CN"/>
              </w:rPr>
              <w:t>以及</w:t>
            </w:r>
            <w:r>
              <w:rPr>
                <w:rFonts w:hint="eastAsia" w:ascii="宋体" w:hAnsi="宋体" w:eastAsia="宋体" w:cs="宋体"/>
                <w:b/>
                <w:bCs/>
                <w:color w:val="auto"/>
                <w:spacing w:val="6"/>
                <w:sz w:val="21"/>
                <w:szCs w:val="21"/>
                <w:highlight w:val="none"/>
              </w:rPr>
              <w:t>与采购内容相关的项目等。</w:t>
            </w:r>
          </w:p>
        </w:tc>
      </w:tr>
      <w:tr w14:paraId="070A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29" w:type="dxa"/>
            <w:gridSpan w:val="4"/>
            <w:noWrap w:val="0"/>
            <w:vAlign w:val="center"/>
          </w:tcPr>
          <w:p w14:paraId="36ACA4BB">
            <w:pPr>
              <w:pStyle w:val="56"/>
              <w:keepNext w:val="0"/>
              <w:keepLines w:val="0"/>
              <w:suppressLineNumbers w:val="0"/>
              <w:spacing w:before="2" w:beforeAutospacing="0" w:after="0" w:afterAutospacing="0" w:line="321" w:lineRule="auto"/>
              <w:ind w:left="117" w:leftChars="0" w:right="160" w:rightChars="0" w:firstLine="16" w:firstLineChars="0"/>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总得分=1+2+3</w:t>
            </w:r>
          </w:p>
          <w:p w14:paraId="0C425D15">
            <w:pPr>
              <w:pStyle w:val="5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29" w:lineRule="auto"/>
              <w:ind w:left="0" w:right="0"/>
              <w:jc w:val="both"/>
              <w:textAlignment w:val="auto"/>
              <w:rPr>
                <w:rFonts w:hint="eastAsia" w:ascii="宋体" w:hAnsi="宋体" w:eastAsia="宋体" w:cs="宋体"/>
                <w:b/>
                <w:color w:val="auto"/>
                <w:kern w:val="0"/>
                <w:sz w:val="21"/>
                <w:szCs w:val="21"/>
                <w:highlight w:val="none"/>
              </w:rPr>
            </w:pPr>
            <w:r>
              <w:rPr>
                <w:rFonts w:hint="eastAsia" w:ascii="宋体" w:hAnsi="宋体" w:eastAsia="宋体" w:cs="宋体"/>
                <w:b/>
                <w:bCs/>
                <w:color w:val="auto"/>
                <w:kern w:val="2"/>
                <w:sz w:val="21"/>
                <w:szCs w:val="21"/>
                <w:highlight w:val="none"/>
              </w:rPr>
              <w:t>注：</w:t>
            </w:r>
            <w:r>
              <w:rPr>
                <w:rFonts w:hint="eastAsia" w:ascii="宋体" w:hAnsi="宋体" w:eastAsia="宋体" w:cs="宋体"/>
                <w:b/>
                <w:bCs/>
                <w:color w:val="auto"/>
                <w:spacing w:val="-8"/>
                <w:kern w:val="2"/>
                <w:sz w:val="21"/>
                <w:szCs w:val="21"/>
                <w:highlight w:val="none"/>
              </w:rPr>
              <w:t>本项目为服务类项目，不涉及节能环保政策考核，也不涉及本国产品政策考核。</w:t>
            </w:r>
          </w:p>
        </w:tc>
      </w:tr>
    </w:tbl>
    <w:p w14:paraId="7BE882D7">
      <w:pPr>
        <w:spacing w:line="55" w:lineRule="auto"/>
        <w:rPr>
          <w:rFonts w:ascii="Arial" w:hAnsi="Arial" w:eastAsia="Arial" w:cs="Arial"/>
          <w:color w:val="auto"/>
          <w:sz w:val="2"/>
          <w:szCs w:val="2"/>
          <w:highlight w:val="none"/>
        </w:rPr>
        <w:sectPr>
          <w:footerReference r:id="rId3" w:type="default"/>
          <w:pgSz w:w="11906" w:h="16839"/>
          <w:pgMar w:top="1134" w:right="897" w:bottom="1202" w:left="896" w:header="0" w:footer="923" w:gutter="0"/>
          <w:pgNumType w:fmt="decimal" w:start="1"/>
          <w:cols w:space="720" w:num="1"/>
        </w:sectPr>
      </w:pPr>
    </w:p>
    <w:p w14:paraId="32018ABC">
      <w:pPr>
        <w:spacing w:line="400" w:lineRule="exact"/>
        <w:outlineLvl w:val="9"/>
        <w:rPr>
          <w:rFonts w:hint="default" w:ascii="宋体" w:hAnsi="宋体" w:eastAsia="宋体" w:cs="宋体"/>
          <w:b/>
          <w:bCs/>
          <w:color w:val="auto"/>
          <w:szCs w:val="21"/>
          <w:highlight w:val="none"/>
          <w:lang w:val="en-US" w:eastAsia="zh-CN"/>
        </w:rPr>
      </w:pPr>
    </w:p>
    <w:p w14:paraId="4B2644E3">
      <w:pPr>
        <w:spacing w:line="400" w:lineRule="exact"/>
        <w:ind w:firstLine="422" w:firstLineChars="200"/>
        <w:outlineLvl w:val="9"/>
        <w:rPr>
          <w:rFonts w:ascii="宋体" w:hAnsi="宋体" w:cs="宋体"/>
          <w:b/>
          <w:bCs/>
          <w:color w:val="auto"/>
          <w:szCs w:val="21"/>
          <w:highlight w:val="none"/>
        </w:rPr>
      </w:pPr>
      <w:r>
        <w:rPr>
          <w:rFonts w:hint="eastAsia" w:ascii="宋体" w:hAnsi="宋体" w:cs="宋体"/>
          <w:b/>
          <w:bCs/>
          <w:color w:val="auto"/>
          <w:szCs w:val="21"/>
          <w:highlight w:val="none"/>
        </w:rPr>
        <w:t>三、推荐成交候选供应商原则</w:t>
      </w:r>
    </w:p>
    <w:p w14:paraId="37ED59E0">
      <w:pPr>
        <w:spacing w:line="400" w:lineRule="exact"/>
        <w:ind w:firstLine="422" w:firstLineChars="200"/>
        <w:outlineLvl w:val="9"/>
        <w:rPr>
          <w:rFonts w:ascii="宋体" w:hAnsi="宋体" w:cs="宋体"/>
          <w:b/>
          <w:bCs/>
          <w:color w:val="auto"/>
          <w:szCs w:val="21"/>
          <w:highlight w:val="none"/>
        </w:rPr>
      </w:pPr>
      <w:r>
        <w:rPr>
          <w:rFonts w:hint="eastAsia" w:ascii="宋体" w:hAnsi="宋体" w:cs="宋体"/>
          <w:b/>
          <w:bCs/>
          <w:color w:val="auto"/>
          <w:szCs w:val="21"/>
          <w:highlight w:val="none"/>
        </w:rPr>
        <w:t>（1）磋商小组应当根据综合评分情况，按照综合得分由高到低顺序推荐成交候选供应商，并编写评审报告。磋商小组根据综合得分由高到低排列次序，若得分相同时，依次按照磋商报价、技术、商务（B分标）得分由高到低顺序排列。</w:t>
      </w:r>
    </w:p>
    <w:p w14:paraId="07088C84">
      <w:pPr>
        <w:spacing w:line="40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（2）采购单位应当确定磋商小组推荐排名第一的成交候选人为成交供应商。</w:t>
      </w:r>
    </w:p>
    <w:p w14:paraId="10290952">
      <w:pPr>
        <w:spacing w:line="40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（3）排名第一的成交候选人放弃成交、因不可抗力提出不能履行合同，或者磋商文件规定应当提交履约保证金而在规定的期限内未能提交的，采购单位可以确定排名第二的成交候选人为成交供应商。</w:t>
      </w:r>
    </w:p>
    <w:p w14:paraId="21201079">
      <w:pPr>
        <w:pStyle w:val="10"/>
        <w:spacing w:line="360" w:lineRule="auto"/>
        <w:ind w:firstLine="421"/>
        <w:rPr>
          <w:rFonts w:hint="eastAsia" w:ascii="宋体" w:hAnsi="宋体" w:cs="宋体"/>
          <w:b/>
          <w:bCs/>
          <w:color w:val="auto"/>
          <w:szCs w:val="21"/>
          <w:highlight w:val="none"/>
        </w:rPr>
      </w:pPr>
      <w:r>
        <w:rPr>
          <w:rFonts w:hint="eastAsia" w:ascii="宋体" w:hAnsi="宋体" w:cs="宋体"/>
          <w:b/>
          <w:bCs/>
          <w:color w:val="auto"/>
          <w:szCs w:val="21"/>
          <w:highlight w:val="none"/>
        </w:rPr>
        <w:t>（4）排名第二的成交候选人因前款规定的同样原因不能签订合同的，采购单位可以确定排名第三的成交候选人为成交供应商。</w:t>
      </w:r>
    </w:p>
    <w:p w14:paraId="11BD5CBA">
      <w:pPr>
        <w:pStyle w:val="10"/>
        <w:spacing w:line="360" w:lineRule="auto"/>
        <w:ind w:firstLine="421"/>
        <w:rPr>
          <w:rFonts w:hint="eastAsia" w:ascii="宋体" w:hAnsi="宋体" w:cs="宋体"/>
          <w:b/>
          <w:bCs/>
          <w:color w:val="auto"/>
          <w:szCs w:val="21"/>
          <w:highlight w:val="none"/>
          <w:lang w:eastAsia="zh-CN"/>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lang w:eastAsia="zh-CN"/>
        </w:rPr>
        <w:t>）本项目划分</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lang w:eastAsia="zh-CN"/>
        </w:rPr>
        <w:t>个分标，供应商可同时参与一个或</w:t>
      </w:r>
      <w:r>
        <w:rPr>
          <w:rFonts w:hint="eastAsia" w:ascii="宋体" w:hAnsi="宋体" w:cs="宋体"/>
          <w:b/>
          <w:bCs/>
          <w:color w:val="auto"/>
          <w:szCs w:val="21"/>
          <w:highlight w:val="none"/>
          <w:lang w:val="en-US" w:eastAsia="zh-CN"/>
        </w:rPr>
        <w:t>两</w:t>
      </w:r>
      <w:r>
        <w:rPr>
          <w:rFonts w:hint="eastAsia" w:ascii="宋体" w:hAnsi="宋体" w:cs="宋体"/>
          <w:b/>
          <w:bCs/>
          <w:color w:val="auto"/>
          <w:szCs w:val="21"/>
          <w:highlight w:val="none"/>
          <w:lang w:eastAsia="zh-CN"/>
        </w:rPr>
        <w:t>个分标，实行兼投不兼中原则，同一供应商最多只能成交其中一个分标。</w:t>
      </w:r>
    </w:p>
    <w:p w14:paraId="24FB2C62">
      <w:pPr>
        <w:pStyle w:val="10"/>
        <w:spacing w:line="360" w:lineRule="auto"/>
        <w:ind w:firstLine="421"/>
        <w:rPr>
          <w:rFonts w:hint="eastAsia" w:ascii="宋体" w:hAnsi="宋体" w:cs="宋体"/>
          <w:b/>
          <w:bCs/>
          <w:color w:val="auto"/>
          <w:szCs w:val="21"/>
          <w:highlight w:val="none"/>
          <w:lang w:eastAsia="zh-CN"/>
        </w:rPr>
      </w:pPr>
      <w:r>
        <w:rPr>
          <w:rFonts w:hint="eastAsia" w:ascii="宋体" w:hAnsi="宋体" w:cs="宋体"/>
          <w:b/>
          <w:bCs/>
          <w:color w:val="auto"/>
          <w:szCs w:val="21"/>
          <w:highlight w:val="none"/>
          <w:lang w:eastAsia="zh-CN"/>
        </w:rPr>
        <w:t>评审委员会按照</w:t>
      </w:r>
      <w:r>
        <w:rPr>
          <w:rFonts w:hint="eastAsia" w:ascii="宋体" w:hAnsi="宋体" w:cs="宋体"/>
          <w:b/>
          <w:bCs/>
          <w:color w:val="auto"/>
          <w:szCs w:val="21"/>
          <w:highlight w:val="none"/>
          <w:lang w:val="en-US" w:eastAsia="zh-CN"/>
        </w:rPr>
        <w:t>A</w:t>
      </w:r>
      <w:r>
        <w:rPr>
          <w:rFonts w:hint="eastAsia" w:ascii="宋体" w:hAnsi="宋体" w:cs="宋体"/>
          <w:b/>
          <w:bCs/>
          <w:color w:val="auto"/>
          <w:szCs w:val="21"/>
          <w:highlight w:val="none"/>
          <w:lang w:eastAsia="zh-CN"/>
        </w:rPr>
        <w:t>分标→</w:t>
      </w:r>
      <w:r>
        <w:rPr>
          <w:rFonts w:hint="eastAsia" w:ascii="宋体" w:hAnsi="宋体" w:cs="宋体"/>
          <w:b/>
          <w:bCs/>
          <w:color w:val="auto"/>
          <w:szCs w:val="21"/>
          <w:highlight w:val="none"/>
          <w:lang w:val="en-US" w:eastAsia="zh-CN"/>
        </w:rPr>
        <w:t>B</w:t>
      </w:r>
      <w:r>
        <w:rPr>
          <w:rFonts w:hint="eastAsia" w:ascii="宋体" w:hAnsi="宋体" w:cs="宋体"/>
          <w:b/>
          <w:bCs/>
          <w:color w:val="auto"/>
          <w:szCs w:val="21"/>
          <w:highlight w:val="none"/>
          <w:lang w:eastAsia="zh-CN"/>
        </w:rPr>
        <w:t>分标的顺序依次评审；若某供应商在前序分标被确定为第一成交候选人，则已成交分标的供应商，仍可参与其余分标，但不再参与后续分标的成交候选人推荐，后续分标从其余有效供应商中评审。</w:t>
      </w:r>
    </w:p>
    <w:p w14:paraId="0A83F9F6">
      <w:pPr>
        <w:pStyle w:val="10"/>
        <w:spacing w:line="360" w:lineRule="auto"/>
        <w:ind w:firstLine="421"/>
        <w:rPr>
          <w:rFonts w:hint="eastAsia" w:ascii="宋体" w:hAnsi="宋体" w:eastAsia="宋体" w:cs="宋体"/>
          <w:b/>
          <w:bCs/>
          <w:color w:val="auto"/>
          <w:szCs w:val="21"/>
          <w:highlight w:val="none"/>
          <w:lang w:eastAsia="zh-CN"/>
        </w:rPr>
        <w:sectPr>
          <w:headerReference r:id="rId4" w:type="default"/>
          <w:footerReference r:id="rId5" w:type="default"/>
          <w:pgSz w:w="11906" w:h="16838"/>
          <w:pgMar w:top="1134" w:right="1134" w:bottom="1134" w:left="1134" w:header="851" w:footer="992" w:gutter="0"/>
          <w:pgNumType w:fmt="decimal"/>
          <w:cols w:space="720" w:num="1"/>
          <w:docGrid w:type="lines" w:linePitch="312" w:charSpace="0"/>
        </w:sectPr>
      </w:pPr>
    </w:p>
    <w:p w14:paraId="2DA52058">
      <w:pPr>
        <w:spacing w:line="280" w:lineRule="exact"/>
        <w:rPr>
          <w:rFonts w:ascii="宋体" w:hAnsi="宋体" w:cs="宋体"/>
          <w:b/>
          <w:bCs/>
          <w:color w:val="auto"/>
          <w:sz w:val="24"/>
          <w:highlight w:val="none"/>
        </w:rPr>
      </w:pPr>
      <w:r>
        <w:rPr>
          <w:rFonts w:hint="eastAsia" w:ascii="宋体" w:hAnsi="宋体" w:cs="宋体"/>
          <w:b/>
          <w:bCs/>
          <w:color w:val="auto"/>
          <w:sz w:val="24"/>
          <w:highlight w:val="none"/>
        </w:rPr>
        <w:t>附表</w:t>
      </w:r>
    </w:p>
    <w:p w14:paraId="0EC8884D">
      <w:pPr>
        <w:widowControl/>
        <w:spacing w:beforeLines="50" w:afterLines="50" w:line="280" w:lineRule="exact"/>
        <w:jc w:val="center"/>
        <w:rPr>
          <w:rFonts w:ascii="宋体" w:hAnsi="宋体" w:cs="宋体"/>
          <w:b/>
          <w:bCs/>
          <w:color w:val="auto"/>
          <w:kern w:val="0"/>
          <w:sz w:val="30"/>
          <w:szCs w:val="30"/>
          <w:highlight w:val="none"/>
        </w:rPr>
      </w:pPr>
      <w:bookmarkStart w:id="147" w:name="_Toc28361_WPSOffice_Level2"/>
      <w:r>
        <w:rPr>
          <w:rFonts w:hint="eastAsia" w:ascii="宋体" w:hAnsi="宋体" w:cs="宋体"/>
          <w:b/>
          <w:bCs/>
          <w:color w:val="auto"/>
          <w:kern w:val="0"/>
          <w:sz w:val="30"/>
          <w:szCs w:val="30"/>
          <w:highlight w:val="none"/>
        </w:rPr>
        <w:t>统计上大中小微型企业划分标准</w:t>
      </w:r>
      <w:bookmarkEnd w:id="147"/>
    </w:p>
    <w:tbl>
      <w:tblPr>
        <w:tblStyle w:val="24"/>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35B0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FFFFFF"/>
            <w:vAlign w:val="center"/>
          </w:tcPr>
          <w:p w14:paraId="240DD17C">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shd w:val="clear" w:color="auto" w:fill="FFFFFF"/>
            <w:vAlign w:val="center"/>
          </w:tcPr>
          <w:p w14:paraId="607F34DB">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shd w:val="clear" w:color="auto" w:fill="FFFFFF"/>
            <w:vAlign w:val="center"/>
          </w:tcPr>
          <w:p w14:paraId="106CFE02">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计量</w:t>
            </w:r>
            <w:r>
              <w:rPr>
                <w:rFonts w:hint="eastAsia" w:ascii="宋体" w:hAnsi="宋体" w:cs="宋体"/>
                <w:b/>
                <w:bCs/>
                <w:color w:val="auto"/>
                <w:kern w:val="0"/>
                <w:sz w:val="18"/>
                <w:szCs w:val="18"/>
                <w:highlight w:val="none"/>
              </w:rPr>
              <w:br w:type="textWrapping"/>
            </w:r>
            <w:r>
              <w:rPr>
                <w:rFonts w:hint="eastAsia" w:ascii="宋体" w:hAnsi="宋体" w:cs="宋体"/>
                <w:b/>
                <w:bCs/>
                <w:color w:val="auto"/>
                <w:kern w:val="0"/>
                <w:sz w:val="18"/>
                <w:szCs w:val="18"/>
                <w:highlight w:val="none"/>
              </w:rPr>
              <w:t>单位</w:t>
            </w:r>
          </w:p>
        </w:tc>
        <w:tc>
          <w:tcPr>
            <w:tcW w:w="1125" w:type="dxa"/>
            <w:shd w:val="clear" w:color="auto" w:fill="FFFFFF"/>
            <w:vAlign w:val="center"/>
          </w:tcPr>
          <w:p w14:paraId="5B534AC9">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shd w:val="clear" w:color="auto" w:fill="FFFFFF"/>
            <w:vAlign w:val="center"/>
          </w:tcPr>
          <w:p w14:paraId="0A6AF0CC">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shd w:val="clear" w:color="auto" w:fill="FFFFFF"/>
            <w:vAlign w:val="center"/>
          </w:tcPr>
          <w:p w14:paraId="0E6B7348">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shd w:val="clear" w:color="auto" w:fill="FFFFFF"/>
            <w:vAlign w:val="center"/>
          </w:tcPr>
          <w:p w14:paraId="4F14116D">
            <w:pPr>
              <w:keepNext w:val="0"/>
              <w:keepLines w:val="0"/>
              <w:widowControl/>
              <w:suppressLineNumbers w:val="0"/>
              <w:spacing w:before="0" w:beforeAutospacing="0" w:after="0" w:afterAutospacing="0" w:line="280" w:lineRule="exact"/>
              <w:ind w:left="0" w:right="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3A0C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54646A4A">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vAlign w:val="center"/>
          </w:tcPr>
          <w:p w14:paraId="6F6EE11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49A8DBE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46B308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vAlign w:val="center"/>
          </w:tcPr>
          <w:p w14:paraId="7093D73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vAlign w:val="center"/>
          </w:tcPr>
          <w:p w14:paraId="0188117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992" w:type="dxa"/>
            <w:vAlign w:val="center"/>
          </w:tcPr>
          <w:p w14:paraId="119E18F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0561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7333A54E">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vAlign w:val="center"/>
          </w:tcPr>
          <w:p w14:paraId="49C0096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603496A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42FEF1D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4806980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2654CD8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044B7C9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F30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EDB4E42">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159AFB4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69F6809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1644FB6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vAlign w:val="center"/>
          </w:tcPr>
          <w:p w14:paraId="3B39B27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vAlign w:val="center"/>
          </w:tcPr>
          <w:p w14:paraId="7655FC1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992" w:type="dxa"/>
            <w:vAlign w:val="center"/>
          </w:tcPr>
          <w:p w14:paraId="5B9F2A9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6C22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5C378B9">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vAlign w:val="center"/>
          </w:tcPr>
          <w:p w14:paraId="2F2CD43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449F1BF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410660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vAlign w:val="center"/>
          </w:tcPr>
          <w:p w14:paraId="101E296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vAlign w:val="center"/>
          </w:tcPr>
          <w:p w14:paraId="703DC20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992" w:type="dxa"/>
            <w:vAlign w:val="center"/>
          </w:tcPr>
          <w:p w14:paraId="1CC0DFF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3614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3F58369">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194A7E1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52A5E88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074C214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vAlign w:val="center"/>
          </w:tcPr>
          <w:p w14:paraId="54044A3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vAlign w:val="center"/>
          </w:tcPr>
          <w:p w14:paraId="3FE7F92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992" w:type="dxa"/>
            <w:vAlign w:val="center"/>
          </w:tcPr>
          <w:p w14:paraId="24E1E61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45B0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2C76A35">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vAlign w:val="center"/>
          </w:tcPr>
          <w:p w14:paraId="6552104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0E5FB25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66C0603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vAlign w:val="center"/>
          </w:tcPr>
          <w:p w14:paraId="5B7296A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vAlign w:val="center"/>
          </w:tcPr>
          <w:p w14:paraId="7567F9F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992" w:type="dxa"/>
            <w:vAlign w:val="center"/>
          </w:tcPr>
          <w:p w14:paraId="131C342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6F95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1BC2CF31">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3DB15B7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2088B15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F10233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vAlign w:val="center"/>
          </w:tcPr>
          <w:p w14:paraId="783949A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vAlign w:val="center"/>
          </w:tcPr>
          <w:p w14:paraId="493D41A2">
            <w:pPr>
              <w:keepNext w:val="0"/>
              <w:keepLines w:val="0"/>
              <w:widowControl/>
              <w:suppressLineNumbers w:val="0"/>
              <w:spacing w:before="0" w:beforeAutospacing="0" w:after="0" w:afterAutospacing="0" w:line="280" w:lineRule="exact"/>
              <w:ind w:left="-1" w:leftChars="-1" w:right="0"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vAlign w:val="center"/>
          </w:tcPr>
          <w:p w14:paraId="2335373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6DDB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75EDDE84">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vAlign w:val="center"/>
          </w:tcPr>
          <w:p w14:paraId="6D1F68F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69F9CBB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11AF92A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61402A5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vAlign w:val="center"/>
          </w:tcPr>
          <w:p w14:paraId="437DD574">
            <w:pPr>
              <w:keepNext w:val="0"/>
              <w:keepLines w:val="0"/>
              <w:widowControl/>
              <w:suppressLineNumbers w:val="0"/>
              <w:spacing w:before="0" w:beforeAutospacing="0" w:after="0" w:afterAutospacing="0" w:line="280" w:lineRule="exact"/>
              <w:ind w:left="-1" w:leftChars="-1" w:right="0"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vAlign w:val="center"/>
          </w:tcPr>
          <w:p w14:paraId="3A017E7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A8C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F3885E8">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38138BE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1F271A1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2E9C552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vAlign w:val="center"/>
          </w:tcPr>
          <w:p w14:paraId="2330A55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vAlign w:val="center"/>
          </w:tcPr>
          <w:p w14:paraId="12C0E034">
            <w:pPr>
              <w:keepNext w:val="0"/>
              <w:keepLines w:val="0"/>
              <w:widowControl/>
              <w:suppressLineNumbers w:val="0"/>
              <w:spacing w:before="0" w:beforeAutospacing="0" w:after="0" w:afterAutospacing="0" w:line="280" w:lineRule="exact"/>
              <w:ind w:left="-1" w:leftChars="-1" w:right="0"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992" w:type="dxa"/>
            <w:vAlign w:val="center"/>
          </w:tcPr>
          <w:p w14:paraId="218A80F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5F8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CF16349">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vAlign w:val="center"/>
          </w:tcPr>
          <w:p w14:paraId="57C6BBB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3E45B18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7EDEE77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30E6C13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7E84210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11FA2E4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94A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38B9046">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1CA95A7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5503381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7861F53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204C290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vAlign w:val="center"/>
          </w:tcPr>
          <w:p w14:paraId="6A1C513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992" w:type="dxa"/>
            <w:vAlign w:val="center"/>
          </w:tcPr>
          <w:p w14:paraId="0B14F70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19D9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F3D2EFE">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vAlign w:val="center"/>
          </w:tcPr>
          <w:p w14:paraId="6F15628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7C04B4A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4F4CF28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vAlign w:val="center"/>
          </w:tcPr>
          <w:p w14:paraId="1654CDDD">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vAlign w:val="center"/>
          </w:tcPr>
          <w:p w14:paraId="024280D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992" w:type="dxa"/>
            <w:vAlign w:val="center"/>
          </w:tcPr>
          <w:p w14:paraId="44525F4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1B0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B304A11">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151A6C2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58CF3C0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3693647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5B64E64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vAlign w:val="center"/>
          </w:tcPr>
          <w:p w14:paraId="5904133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78F7423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E07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20145AE">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vAlign w:val="center"/>
          </w:tcPr>
          <w:p w14:paraId="2361667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6D5C791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02CBC30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716CC13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0B9EC55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2ED0DA8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F77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AFB9304">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3A24B01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252DE33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22716E0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372234F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vAlign w:val="center"/>
          </w:tcPr>
          <w:p w14:paraId="761B435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039E942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D0E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DAF0590">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vAlign w:val="center"/>
          </w:tcPr>
          <w:p w14:paraId="2348C75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AF4229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468FA37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6DA8B809">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60D5A06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287597B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7B0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C04763E">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26ADE4C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5BC6D37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FDC2EB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52A1662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vAlign w:val="center"/>
          </w:tcPr>
          <w:p w14:paraId="0201E0C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1D18069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001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A5CC2E1">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vAlign w:val="center"/>
          </w:tcPr>
          <w:p w14:paraId="4D2E961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886009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2B24D47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340E5CFA">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vAlign w:val="center"/>
          </w:tcPr>
          <w:p w14:paraId="5CFD4EF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14D948A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C92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F7549A7">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677F347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4DE68F8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7301585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1F1AC78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vAlign w:val="center"/>
          </w:tcPr>
          <w:p w14:paraId="670EEF2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12F7F48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C39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01F9EDD">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vAlign w:val="center"/>
          </w:tcPr>
          <w:p w14:paraId="0A20939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7485B8F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745AC17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vAlign w:val="center"/>
          </w:tcPr>
          <w:p w14:paraId="49D84AC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vAlign w:val="center"/>
          </w:tcPr>
          <w:p w14:paraId="2A25E74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79A1843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2D6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A263BF3">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41FF8D0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A9E503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218715E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vAlign w:val="center"/>
          </w:tcPr>
          <w:p w14:paraId="25F847C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26" w:type="dxa"/>
            <w:vAlign w:val="center"/>
          </w:tcPr>
          <w:p w14:paraId="36EE204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501F664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FBF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257D19F">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vAlign w:val="center"/>
          </w:tcPr>
          <w:p w14:paraId="47A1BDB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0C3D0AD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40EECF4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48C6781C">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vAlign w:val="center"/>
          </w:tcPr>
          <w:p w14:paraId="2B741EC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146430B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166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2A3DFC1D">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spacing w:val="-12"/>
                <w:kern w:val="0"/>
                <w:sz w:val="18"/>
                <w:szCs w:val="18"/>
                <w:highlight w:val="none"/>
              </w:rPr>
            </w:pPr>
          </w:p>
        </w:tc>
        <w:tc>
          <w:tcPr>
            <w:tcW w:w="1369" w:type="dxa"/>
            <w:vAlign w:val="center"/>
          </w:tcPr>
          <w:p w14:paraId="1551E13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796436A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65072A5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4009826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vAlign w:val="center"/>
          </w:tcPr>
          <w:p w14:paraId="4E65BD1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992" w:type="dxa"/>
            <w:vAlign w:val="center"/>
          </w:tcPr>
          <w:p w14:paraId="32D90FE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5C9F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50141435">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vAlign w:val="center"/>
          </w:tcPr>
          <w:p w14:paraId="5082B5E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FA0A3E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347C175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vAlign w:val="center"/>
          </w:tcPr>
          <w:p w14:paraId="11860A96">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26" w:type="dxa"/>
            <w:vAlign w:val="center"/>
          </w:tcPr>
          <w:p w14:paraId="7B3C896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0B38478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1CE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0ADE2EB3">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230254B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17226318">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5BAAD7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vAlign w:val="center"/>
          </w:tcPr>
          <w:p w14:paraId="418C619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vAlign w:val="center"/>
          </w:tcPr>
          <w:p w14:paraId="7A700CD5">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2000≤Z＜5000</w:t>
            </w:r>
          </w:p>
        </w:tc>
        <w:tc>
          <w:tcPr>
            <w:tcW w:w="992" w:type="dxa"/>
            <w:vAlign w:val="center"/>
          </w:tcPr>
          <w:p w14:paraId="52A6277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635E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3C694526">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vAlign w:val="center"/>
          </w:tcPr>
          <w:p w14:paraId="22C47A6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3FC3E4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258B278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06D0ED61">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7F9ACF4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92" w:type="dxa"/>
            <w:vAlign w:val="center"/>
          </w:tcPr>
          <w:p w14:paraId="63C0802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3D74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63688A32">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72100A2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2513A46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B45E6E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vAlign w:val="center"/>
          </w:tcPr>
          <w:p w14:paraId="1B837E74">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26" w:type="dxa"/>
            <w:vAlign w:val="center"/>
          </w:tcPr>
          <w:p w14:paraId="556B14F7">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992" w:type="dxa"/>
            <w:vAlign w:val="center"/>
          </w:tcPr>
          <w:p w14:paraId="25032A6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2D2E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607B319">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vAlign w:val="center"/>
          </w:tcPr>
          <w:p w14:paraId="2F7D8B6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68CC277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2212F5D3">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5A39AB6D">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7565DF80">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5AB5436F">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C92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278065BE">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p>
        </w:tc>
        <w:tc>
          <w:tcPr>
            <w:tcW w:w="1369" w:type="dxa"/>
            <w:vAlign w:val="center"/>
          </w:tcPr>
          <w:p w14:paraId="6A2A9DB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56675FB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2C993DAE">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vAlign w:val="center"/>
          </w:tcPr>
          <w:p w14:paraId="16B5C982">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26" w:type="dxa"/>
            <w:vAlign w:val="center"/>
          </w:tcPr>
          <w:p w14:paraId="3F96ED79">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992" w:type="dxa"/>
            <w:vAlign w:val="center"/>
          </w:tcPr>
          <w:p w14:paraId="71A44E5B">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6452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70180A0C">
            <w:pPr>
              <w:keepNext w:val="0"/>
              <w:keepLines w:val="0"/>
              <w:widowControl/>
              <w:suppressLineNumbers w:val="0"/>
              <w:spacing w:before="0" w:beforeAutospacing="0" w:after="0" w:afterAutospacing="0" w:line="280" w:lineRule="exact"/>
              <w:ind w:left="0" w:right="0"/>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vAlign w:val="center"/>
          </w:tcPr>
          <w:p w14:paraId="0D08224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575A1BBD">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6E182CE4">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4D79ECDF">
            <w:pPr>
              <w:keepNext w:val="0"/>
              <w:keepLines w:val="0"/>
              <w:widowControl/>
              <w:suppressLineNumbers w:val="0"/>
              <w:spacing w:before="0" w:beforeAutospacing="0" w:after="0" w:afterAutospacing="0" w:line="280" w:lineRule="exact"/>
              <w:ind w:left="1" w:leftChars="-51" w:right="0"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5E5F35EA">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2013C75C">
            <w:pPr>
              <w:keepNext w:val="0"/>
              <w:keepLines w:val="0"/>
              <w:widowControl/>
              <w:suppressLineNumbers w:val="0"/>
              <w:spacing w:before="0" w:beforeAutospacing="0" w:after="0" w:afterAutospacing="0" w:line="280" w:lineRule="exact"/>
              <w:ind w:left="0" w:right="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10A6ECD2">
      <w:pPr>
        <w:widowControl/>
        <w:spacing w:line="280" w:lineRule="exact"/>
        <w:rPr>
          <w:rFonts w:ascii="宋体" w:hAnsi="宋体" w:cs="宋体"/>
          <w:color w:val="auto"/>
          <w:spacing w:val="8"/>
          <w:kern w:val="0"/>
          <w:sz w:val="21"/>
          <w:szCs w:val="21"/>
          <w:highlight w:val="none"/>
        </w:rPr>
      </w:pPr>
    </w:p>
    <w:p w14:paraId="40C354D5">
      <w:pPr>
        <w:widowControl/>
        <w:spacing w:line="280" w:lineRule="exact"/>
        <w:rPr>
          <w:rFonts w:ascii="宋体" w:hAnsi="宋体" w:cs="宋体"/>
          <w:color w:val="auto"/>
          <w:spacing w:val="8"/>
          <w:kern w:val="0"/>
          <w:sz w:val="21"/>
          <w:szCs w:val="21"/>
          <w:highlight w:val="none"/>
        </w:rPr>
      </w:pPr>
      <w:r>
        <w:rPr>
          <w:rFonts w:hint="eastAsia" w:ascii="宋体" w:hAnsi="宋体" w:cs="宋体"/>
          <w:color w:val="auto"/>
          <w:spacing w:val="8"/>
          <w:kern w:val="0"/>
          <w:sz w:val="21"/>
          <w:szCs w:val="21"/>
          <w:highlight w:val="none"/>
        </w:rPr>
        <w:t>说明：</w:t>
      </w:r>
    </w:p>
    <w:p w14:paraId="10FC00D4">
      <w:pPr>
        <w:pStyle w:val="15"/>
        <w:adjustRightInd w:val="0"/>
        <w:spacing w:line="280" w:lineRule="exact"/>
        <w:ind w:firstLine="452" w:firstLineChars="200"/>
        <w:contextualSpacing/>
        <w:rPr>
          <w:rFonts w:hAnsi="宋体" w:cs="宋体"/>
          <w:color w:val="auto"/>
          <w:spacing w:val="8"/>
          <w:kern w:val="0"/>
          <w:sz w:val="21"/>
          <w:szCs w:val="21"/>
          <w:highlight w:val="none"/>
        </w:rPr>
      </w:pPr>
      <w:r>
        <w:rPr>
          <w:rFonts w:hint="eastAsia" w:hAnsi="宋体" w:cs="宋体"/>
          <w:color w:val="auto"/>
          <w:spacing w:val="8"/>
          <w:kern w:val="0"/>
          <w:sz w:val="21"/>
          <w:szCs w:val="21"/>
          <w:highlight w:val="none"/>
        </w:rPr>
        <w:t>1.大型、中型和小型企业须同时满足所列指标的下限，否则下划一档；微型企业只须满足所列指标中的一项即可。</w:t>
      </w:r>
    </w:p>
    <w:p w14:paraId="26D3E494">
      <w:pPr>
        <w:pStyle w:val="15"/>
        <w:adjustRightInd w:val="0"/>
        <w:spacing w:line="280" w:lineRule="exact"/>
        <w:ind w:firstLine="452" w:firstLineChars="200"/>
        <w:contextualSpacing/>
        <w:rPr>
          <w:rFonts w:hAnsi="宋体" w:cs="宋体"/>
          <w:color w:val="auto"/>
          <w:spacing w:val="8"/>
          <w:kern w:val="0"/>
          <w:sz w:val="21"/>
          <w:szCs w:val="21"/>
          <w:highlight w:val="none"/>
        </w:rPr>
      </w:pPr>
      <w:r>
        <w:rPr>
          <w:rFonts w:hint="eastAsia" w:hAnsi="宋体" w:cs="宋体"/>
          <w:color w:val="auto"/>
          <w:spacing w:val="8"/>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59CB7042">
      <w:pPr>
        <w:pStyle w:val="15"/>
        <w:spacing w:line="280" w:lineRule="exact"/>
        <w:ind w:firstLine="452" w:firstLineChars="200"/>
        <w:rPr>
          <w:rFonts w:hAnsi="宋体" w:cs="宋体"/>
          <w:color w:val="auto"/>
          <w:spacing w:val="8"/>
          <w:kern w:val="0"/>
          <w:sz w:val="21"/>
          <w:szCs w:val="21"/>
          <w:highlight w:val="none"/>
        </w:rPr>
        <w:sectPr>
          <w:pgSz w:w="11906" w:h="16838"/>
          <w:pgMar w:top="1500" w:right="1134" w:bottom="1258" w:left="1134" w:header="850" w:footer="992" w:gutter="0"/>
          <w:pgNumType w:fmt="decimal"/>
          <w:cols w:space="720" w:num="1"/>
          <w:docGrid w:type="linesAndChars" w:linePitch="331" w:charSpace="0"/>
        </w:sectPr>
      </w:pPr>
      <w:r>
        <w:rPr>
          <w:rFonts w:hint="eastAsia" w:hAnsi="宋体" w:cs="宋体"/>
          <w:color w:val="auto"/>
          <w:spacing w:val="8"/>
          <w:kern w:val="0"/>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148" w:name="_Toc8466"/>
      <w:bookmarkStart w:id="149" w:name="_Toc4774"/>
    </w:p>
    <w:p w14:paraId="1B607B32">
      <w:pPr>
        <w:pStyle w:val="2"/>
        <w:rPr>
          <w:color w:val="auto"/>
          <w:highlight w:val="none"/>
        </w:rPr>
      </w:pPr>
      <w:bookmarkStart w:id="150" w:name="_Toc25360"/>
      <w:bookmarkStart w:id="151" w:name="_Toc5351"/>
      <w:r>
        <w:rPr>
          <w:rFonts w:hint="eastAsia"/>
          <w:color w:val="auto"/>
          <w:highlight w:val="none"/>
        </w:rPr>
        <w:t>第五章 采购合同（合同主要条款及格式）</w:t>
      </w:r>
      <w:bookmarkEnd w:id="148"/>
      <w:bookmarkEnd w:id="149"/>
      <w:bookmarkEnd w:id="150"/>
      <w:bookmarkEnd w:id="151"/>
    </w:p>
    <w:p w14:paraId="359F7F32">
      <w:pPr>
        <w:spacing w:line="420" w:lineRule="exact"/>
        <w:rPr>
          <w:rFonts w:ascii="宋体" w:hAnsi="宋体" w:cs="宋体"/>
          <w:color w:val="auto"/>
          <w:szCs w:val="21"/>
          <w:highlight w:val="none"/>
        </w:rPr>
      </w:pPr>
      <w:bookmarkStart w:id="152" w:name="_Toc10014"/>
      <w:bookmarkStart w:id="153" w:name="_Toc24269"/>
      <w:bookmarkStart w:id="154" w:name="_Toc5077"/>
      <w:r>
        <w:rPr>
          <w:rFonts w:hint="eastAsia" w:ascii="宋体" w:hAnsi="宋体" w:cs="宋体"/>
          <w:color w:val="auto"/>
          <w:szCs w:val="21"/>
          <w:highlight w:val="none"/>
        </w:rPr>
        <w:t>合同编号：</w:t>
      </w:r>
    </w:p>
    <w:p w14:paraId="69482CBA">
      <w:pPr>
        <w:spacing w:line="420" w:lineRule="exact"/>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广西花坪国家级自然保护区特种救护、宣传（资料）视频制作、标本养护及古树名木资源普查项目</w:t>
      </w:r>
      <w:r>
        <w:rPr>
          <w:rFonts w:hint="eastAsia" w:ascii="宋体" w:hAnsi="宋体" w:cs="宋体"/>
          <w:color w:val="auto"/>
          <w:szCs w:val="21"/>
          <w:highlight w:val="none"/>
        </w:rPr>
        <w:t xml:space="preserve">  </w:t>
      </w:r>
    </w:p>
    <w:p w14:paraId="319BA59A">
      <w:pPr>
        <w:spacing w:line="420" w:lineRule="exact"/>
        <w:rPr>
          <w:rFonts w:ascii="宋体" w:hAnsi="宋体" w:cs="宋体"/>
          <w:color w:val="auto"/>
          <w:szCs w:val="21"/>
          <w:highlight w:val="none"/>
        </w:rPr>
      </w:pPr>
      <w:r>
        <w:rPr>
          <w:rFonts w:hint="eastAsia" w:ascii="宋体" w:hAnsi="宋体" w:cs="宋体"/>
          <w:color w:val="auto"/>
          <w:szCs w:val="21"/>
          <w:highlight w:val="none"/>
        </w:rPr>
        <w:t>项目编号：GLZC2026-C3-990393-GXTG</w:t>
      </w:r>
    </w:p>
    <w:p w14:paraId="05239315">
      <w:pPr>
        <w:spacing w:line="360" w:lineRule="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分标号：A分标/B分标</w:t>
      </w:r>
    </w:p>
    <w:p w14:paraId="7D5BF065">
      <w:pPr>
        <w:spacing w:line="360" w:lineRule="auto"/>
        <w:rPr>
          <w:rFonts w:hint="eastAsia" w:ascii="宋体" w:hAnsi="宋体" w:eastAsia="宋体" w:cs="宋体"/>
          <w:color w:val="auto"/>
          <w:highlight w:val="none"/>
          <w:lang w:eastAsia="zh-CN"/>
        </w:rPr>
      </w:pPr>
      <w:r>
        <w:rPr>
          <w:rFonts w:hint="eastAsia" w:ascii="宋体" w:hAnsi="宋体" w:cs="宋体"/>
          <w:color w:val="auto"/>
          <w:szCs w:val="21"/>
          <w:highlight w:val="none"/>
        </w:rPr>
        <w:t>服务名称</w:t>
      </w:r>
      <w:r>
        <w:rPr>
          <w:rFonts w:hint="eastAsia" w:ascii="宋体" w:hAnsi="宋体" w:cs="宋体"/>
          <w:color w:val="auto"/>
          <w:szCs w:val="21"/>
          <w:highlight w:val="none"/>
          <w:lang w:eastAsia="zh-CN"/>
        </w:rPr>
        <w:t>：特种救护、宣传（资料）视频制作、标本养护</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古树名木资源普查项目</w:t>
      </w:r>
    </w:p>
    <w:p w14:paraId="67D62757">
      <w:pPr>
        <w:spacing w:line="360" w:lineRule="auto"/>
        <w:rPr>
          <w:rFonts w:ascii="宋体" w:hAnsi="宋体" w:cs="宋体"/>
          <w:color w:val="auto"/>
          <w:highlight w:val="none"/>
        </w:rPr>
      </w:pPr>
      <w:r>
        <w:rPr>
          <w:rFonts w:hint="eastAsia" w:ascii="宋体" w:hAnsi="宋体" w:cs="宋体"/>
          <w:color w:val="auto"/>
          <w:highlight w:val="none"/>
        </w:rPr>
        <w:t>甲方：</w:t>
      </w:r>
      <w:r>
        <w:rPr>
          <w:rFonts w:hint="eastAsia" w:ascii="宋体" w:hAnsi="宋体" w:cs="宋体"/>
          <w:color w:val="auto"/>
          <w:highlight w:val="none"/>
          <w:u w:val="single"/>
        </w:rPr>
        <w:t xml:space="preserve">    广西桂林花坪国家级自然保护区管理处    </w:t>
      </w:r>
      <w:r>
        <w:rPr>
          <w:rFonts w:hint="eastAsia" w:ascii="宋体" w:hAnsi="宋体" w:cs="宋体"/>
          <w:color w:val="auto"/>
          <w:highlight w:val="none"/>
        </w:rPr>
        <w:t>（采购人）</w:t>
      </w:r>
    </w:p>
    <w:p w14:paraId="104834EE">
      <w:pPr>
        <w:spacing w:line="360" w:lineRule="auto"/>
        <w:rPr>
          <w:rFonts w:ascii="宋体" w:hAnsi="宋体" w:cs="宋体"/>
          <w:color w:val="auto"/>
          <w:highlight w:val="none"/>
        </w:rPr>
      </w:pPr>
      <w:r>
        <w:rPr>
          <w:rFonts w:hint="eastAsia" w:ascii="宋体" w:hAnsi="宋体" w:cs="宋体"/>
          <w:color w:val="auto"/>
          <w:highlight w:val="none"/>
        </w:rPr>
        <w:t>乙方：</w:t>
      </w:r>
      <w:r>
        <w:rPr>
          <w:rFonts w:hint="eastAsia" w:ascii="宋体" w:hAnsi="宋体" w:cs="宋体"/>
          <w:color w:val="auto"/>
          <w:highlight w:val="none"/>
          <w:u w:val="single"/>
        </w:rPr>
        <w:t xml:space="preserve">                             </w:t>
      </w:r>
      <w:r>
        <w:rPr>
          <w:rFonts w:hint="eastAsia" w:ascii="宋体" w:hAnsi="宋体" w:cs="宋体"/>
          <w:color w:val="auto"/>
          <w:highlight w:val="none"/>
        </w:rPr>
        <w:t>（成交供应商）</w:t>
      </w:r>
    </w:p>
    <w:p w14:paraId="0E030ED3">
      <w:pPr>
        <w:widowControl/>
        <w:ind w:firstLine="420" w:firstLineChars="200"/>
        <w:jc w:val="left"/>
        <w:rPr>
          <w:rFonts w:ascii="宋体" w:hAnsi="宋体" w:cs="宋体"/>
          <w:color w:val="auto"/>
          <w:highlight w:val="none"/>
        </w:rPr>
      </w:pPr>
      <w:r>
        <w:rPr>
          <w:rFonts w:hint="eastAsia" w:ascii="宋体" w:hAnsi="宋体" w:cs="宋体"/>
          <w:color w:val="auto"/>
          <w:highlight w:val="none"/>
        </w:rPr>
        <w:t>根据《中华人民共和国政府采购法》《中华人民共和国政府采购法实施条例》《中华人民共和国民法典》等法律、法规规定，按照竞争性磋商文件（以下简称磋商文件）、竞争性磋商响应文件（以下简称响应文件）规定条款和成交供应商的承诺、甲乙双方签订本合同。</w:t>
      </w:r>
    </w:p>
    <w:p w14:paraId="477DC655">
      <w:pPr>
        <w:pStyle w:val="3"/>
        <w:ind w:left="567" w:leftChars="200" w:hanging="147" w:hangingChars="70"/>
        <w:rPr>
          <w:rFonts w:ascii="宋体" w:hAnsi="宋体" w:cs="宋体"/>
          <w:b/>
          <w:bCs w:val="0"/>
          <w:color w:val="auto"/>
          <w:sz w:val="21"/>
          <w:szCs w:val="21"/>
          <w:highlight w:val="none"/>
        </w:rPr>
      </w:pPr>
      <w:bookmarkStart w:id="155" w:name="_Toc845"/>
      <w:bookmarkStart w:id="156" w:name="_Toc30275"/>
      <w:bookmarkStart w:id="157" w:name="_Toc20217"/>
      <w:r>
        <w:rPr>
          <w:rFonts w:hint="eastAsia" w:ascii="宋体" w:hAnsi="宋体" w:cs="宋体"/>
          <w:b/>
          <w:bCs w:val="0"/>
          <w:color w:val="auto"/>
          <w:sz w:val="21"/>
          <w:szCs w:val="21"/>
          <w:highlight w:val="none"/>
        </w:rPr>
        <w:t>第一条 合同文件</w:t>
      </w:r>
      <w:bookmarkEnd w:id="155"/>
      <w:bookmarkEnd w:id="156"/>
      <w:bookmarkEnd w:id="157"/>
    </w:p>
    <w:p w14:paraId="6D5853D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1、本合同所附下列文件是构成本合同不可分割的部分：</w:t>
      </w:r>
    </w:p>
    <w:p w14:paraId="20FA63DA">
      <w:pPr>
        <w:spacing w:line="360" w:lineRule="auto"/>
        <w:ind w:firstLine="315" w:firstLineChars="150"/>
        <w:rPr>
          <w:rFonts w:ascii="宋体" w:hAnsi="宋体" w:cs="宋体"/>
          <w:color w:val="auto"/>
          <w:highlight w:val="none"/>
        </w:rPr>
      </w:pPr>
      <w:r>
        <w:rPr>
          <w:rFonts w:hint="eastAsia" w:ascii="宋体" w:hAnsi="宋体" w:cs="宋体"/>
          <w:color w:val="auto"/>
          <w:highlight w:val="none"/>
        </w:rPr>
        <w:t>（1）成交供应商提交的</w:t>
      </w:r>
      <w:r>
        <w:rPr>
          <w:rFonts w:hint="eastAsia" w:ascii="宋体" w:hAnsi="宋体" w:cs="宋体"/>
          <w:color w:val="auto"/>
          <w:szCs w:val="21"/>
          <w:highlight w:val="none"/>
        </w:rPr>
        <w:t>磋商</w:t>
      </w:r>
      <w:r>
        <w:rPr>
          <w:rFonts w:hint="eastAsia" w:ascii="宋体" w:hAnsi="宋体" w:cs="宋体"/>
          <w:color w:val="auto"/>
          <w:highlight w:val="none"/>
        </w:rPr>
        <w:t>报价表、</w:t>
      </w:r>
      <w:r>
        <w:rPr>
          <w:rFonts w:hint="eastAsia" w:ascii="宋体" w:hAnsi="宋体" w:cs="宋体"/>
          <w:color w:val="auto"/>
          <w:szCs w:val="21"/>
          <w:highlight w:val="none"/>
        </w:rPr>
        <w:t>针对本项目的服务承诺书</w:t>
      </w:r>
      <w:r>
        <w:rPr>
          <w:rFonts w:hint="eastAsia" w:ascii="宋体" w:hAnsi="宋体" w:cs="宋体"/>
          <w:color w:val="auto"/>
          <w:highlight w:val="none"/>
        </w:rPr>
        <w:t>；</w:t>
      </w:r>
    </w:p>
    <w:p w14:paraId="54DBD14B">
      <w:pPr>
        <w:spacing w:line="360" w:lineRule="auto"/>
        <w:ind w:firstLine="315" w:firstLineChars="150"/>
        <w:rPr>
          <w:rFonts w:ascii="宋体" w:hAnsi="宋体" w:cs="宋体"/>
          <w:color w:val="auto"/>
          <w:highlight w:val="none"/>
        </w:rPr>
      </w:pPr>
      <w:r>
        <w:rPr>
          <w:rFonts w:hint="eastAsia" w:ascii="宋体" w:hAnsi="宋体" w:cs="宋体"/>
          <w:color w:val="auto"/>
          <w:highlight w:val="none"/>
        </w:rPr>
        <w:t>（2）成交通知书；</w:t>
      </w:r>
    </w:p>
    <w:p w14:paraId="73E9973A">
      <w:pPr>
        <w:spacing w:line="360" w:lineRule="auto"/>
        <w:ind w:firstLine="315" w:firstLineChars="150"/>
        <w:rPr>
          <w:rFonts w:ascii="宋体" w:hAnsi="宋体" w:cs="宋体"/>
          <w:color w:val="auto"/>
          <w:highlight w:val="none"/>
        </w:rPr>
      </w:pPr>
      <w:r>
        <w:rPr>
          <w:rFonts w:hint="eastAsia" w:ascii="宋体" w:hAnsi="宋体" w:cs="宋体"/>
          <w:color w:val="auto"/>
          <w:highlight w:val="none"/>
        </w:rPr>
        <w:t>（3）本合同协议书及有关补充资料；</w:t>
      </w:r>
    </w:p>
    <w:p w14:paraId="408949CC">
      <w:pPr>
        <w:spacing w:line="360" w:lineRule="auto"/>
        <w:ind w:firstLine="315" w:firstLineChars="150"/>
        <w:rPr>
          <w:rFonts w:ascii="宋体" w:hAnsi="宋体" w:cs="宋体"/>
          <w:color w:val="auto"/>
          <w:highlight w:val="none"/>
        </w:rPr>
      </w:pPr>
      <w:r>
        <w:rPr>
          <w:rFonts w:hint="eastAsia" w:ascii="宋体" w:hAnsi="宋体" w:cs="宋体"/>
          <w:color w:val="auto"/>
          <w:highlight w:val="none"/>
        </w:rPr>
        <w:t>（4）磋商文件的条款要求。</w:t>
      </w:r>
    </w:p>
    <w:p w14:paraId="12CE2C8D">
      <w:pPr>
        <w:tabs>
          <w:tab w:val="left" w:pos="130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2、合同价金额包括：服务过程中相关的一切费用。</w:t>
      </w:r>
    </w:p>
    <w:p w14:paraId="4F64E1EC">
      <w:pPr>
        <w:pStyle w:val="3"/>
        <w:ind w:left="567" w:leftChars="200" w:hanging="147" w:hangingChars="70"/>
        <w:rPr>
          <w:color w:val="auto"/>
          <w:highlight w:val="none"/>
        </w:rPr>
      </w:pPr>
      <w:bookmarkStart w:id="158" w:name="_Toc25572"/>
      <w:bookmarkStart w:id="159" w:name="_Toc28710"/>
      <w:bookmarkStart w:id="160" w:name="_Toc6972"/>
      <w:r>
        <w:rPr>
          <w:rFonts w:hint="eastAsia" w:ascii="宋体" w:hAnsi="宋体" w:cs="宋体"/>
          <w:b/>
          <w:bCs w:val="0"/>
          <w:color w:val="auto"/>
          <w:sz w:val="21"/>
          <w:szCs w:val="21"/>
          <w:highlight w:val="none"/>
        </w:rPr>
        <w:t>第二条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合同金额</w:t>
      </w:r>
      <w:bookmarkEnd w:id="158"/>
      <w:bookmarkEnd w:id="159"/>
      <w:bookmarkEnd w:id="160"/>
    </w:p>
    <w:p w14:paraId="3B2C4C26">
      <w:pPr>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根据《成交通知书》的成交内容，合同的总金额为：（大写）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14:paraId="3BD76856">
      <w:pPr>
        <w:pStyle w:val="3"/>
        <w:ind w:left="567" w:leftChars="200" w:hanging="147" w:hangingChars="70"/>
        <w:rPr>
          <w:rFonts w:ascii="宋体" w:hAnsi="宋体" w:cs="宋体"/>
          <w:b/>
          <w:bCs w:val="0"/>
          <w:color w:val="auto"/>
          <w:sz w:val="21"/>
          <w:szCs w:val="21"/>
          <w:highlight w:val="none"/>
        </w:rPr>
      </w:pPr>
      <w:bookmarkStart w:id="161" w:name="_Toc16138"/>
      <w:bookmarkStart w:id="162" w:name="_Toc5557"/>
      <w:bookmarkStart w:id="163" w:name="_Toc9581"/>
      <w:r>
        <w:rPr>
          <w:rFonts w:hint="eastAsia" w:ascii="宋体" w:hAnsi="宋体" w:cs="宋体"/>
          <w:b/>
          <w:bCs w:val="0"/>
          <w:color w:val="auto"/>
          <w:sz w:val="21"/>
          <w:szCs w:val="21"/>
          <w:highlight w:val="none"/>
        </w:rPr>
        <w:t>第三条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服务保证</w:t>
      </w:r>
      <w:bookmarkEnd w:id="161"/>
      <w:bookmarkEnd w:id="162"/>
      <w:bookmarkEnd w:id="163"/>
    </w:p>
    <w:p w14:paraId="1F50091A">
      <w:pPr>
        <w:snapToGri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成交供应商应按磋商文件、响应文件、承诺规定和竞争性磋商文件第三章采购需求服务内容向采购人提供相应服务。</w:t>
      </w:r>
    </w:p>
    <w:p w14:paraId="51F3E319">
      <w:pPr>
        <w:pStyle w:val="3"/>
        <w:ind w:left="567" w:leftChars="200" w:hanging="147" w:hangingChars="70"/>
        <w:rPr>
          <w:rFonts w:ascii="宋体" w:hAnsi="宋体" w:cs="宋体"/>
          <w:b/>
          <w:bCs w:val="0"/>
          <w:color w:val="auto"/>
          <w:sz w:val="21"/>
          <w:szCs w:val="21"/>
          <w:highlight w:val="none"/>
        </w:rPr>
      </w:pPr>
      <w:bookmarkStart w:id="164" w:name="_Toc8669"/>
      <w:bookmarkStart w:id="165" w:name="_Toc25056"/>
      <w:bookmarkStart w:id="166" w:name="_Toc16565"/>
      <w:r>
        <w:rPr>
          <w:rFonts w:hint="eastAsia" w:ascii="宋体" w:hAnsi="宋体" w:cs="宋体"/>
          <w:b/>
          <w:bCs w:val="0"/>
          <w:color w:val="auto"/>
          <w:sz w:val="21"/>
          <w:szCs w:val="21"/>
          <w:highlight w:val="none"/>
        </w:rPr>
        <w:t>第四条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服务期限</w:t>
      </w:r>
      <w:bookmarkEnd w:id="164"/>
      <w:bookmarkEnd w:id="165"/>
      <w:bookmarkEnd w:id="166"/>
    </w:p>
    <w:p w14:paraId="519CEF3C">
      <w:pPr>
        <w:spacing w:line="360" w:lineRule="auto"/>
        <w:ind w:firstLine="411" w:firstLineChars="196"/>
        <w:rPr>
          <w:rFonts w:ascii="宋体" w:hAnsi="宋体" w:cs="宋体"/>
          <w:color w:val="auto"/>
          <w:szCs w:val="21"/>
          <w:highlight w:val="none"/>
          <w:u w:val="single"/>
        </w:rPr>
      </w:pPr>
      <w:r>
        <w:rPr>
          <w:rFonts w:hint="eastAsia" w:ascii="宋体" w:hAnsi="宋体" w:cs="宋体"/>
          <w:color w:val="auto"/>
          <w:szCs w:val="21"/>
          <w:highlight w:val="none"/>
        </w:rPr>
        <w:t xml:space="preserve">服务期限: </w:t>
      </w:r>
      <w:r>
        <w:rPr>
          <w:rFonts w:hint="eastAsia" w:ascii="宋体" w:hAnsi="宋体" w:cs="宋体"/>
          <w:color w:val="auto"/>
          <w:szCs w:val="21"/>
          <w:highlight w:val="none"/>
          <w:u w:val="single"/>
        </w:rPr>
        <w:t>自合同签订之日起至2026年12月31日完成全部工作，提交成果并通过采购人内部验收</w:t>
      </w:r>
      <w:r>
        <w:rPr>
          <w:rFonts w:hint="eastAsia" w:ascii="宋体" w:hAnsi="宋体" w:cs="宋体"/>
          <w:color w:val="auto"/>
          <w:szCs w:val="21"/>
          <w:highlight w:val="none"/>
        </w:rPr>
        <w:t>。</w:t>
      </w:r>
    </w:p>
    <w:p w14:paraId="1D847C8D">
      <w:pPr>
        <w:pStyle w:val="3"/>
        <w:ind w:left="567" w:leftChars="200" w:hanging="147" w:hangingChars="70"/>
        <w:rPr>
          <w:rFonts w:ascii="宋体" w:hAnsi="宋体" w:cs="宋体"/>
          <w:b/>
          <w:bCs w:val="0"/>
          <w:color w:val="auto"/>
          <w:sz w:val="21"/>
          <w:szCs w:val="21"/>
          <w:highlight w:val="none"/>
        </w:rPr>
      </w:pPr>
      <w:bookmarkStart w:id="167" w:name="_Toc25521"/>
      <w:bookmarkStart w:id="168" w:name="_Toc3282"/>
      <w:bookmarkStart w:id="169" w:name="_Toc15179"/>
      <w:r>
        <w:rPr>
          <w:rFonts w:hint="eastAsia" w:ascii="宋体" w:hAnsi="宋体" w:cs="宋体"/>
          <w:b/>
          <w:bCs w:val="0"/>
          <w:color w:val="auto"/>
          <w:sz w:val="21"/>
          <w:szCs w:val="21"/>
          <w:highlight w:val="none"/>
        </w:rPr>
        <w:t>第五条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交付</w:t>
      </w:r>
      <w:bookmarkEnd w:id="167"/>
      <w:bookmarkEnd w:id="168"/>
      <w:bookmarkEnd w:id="169"/>
    </w:p>
    <w:p w14:paraId="5B5E1832">
      <w:pPr>
        <w:widowControl/>
        <w:snapToGrid w:val="0"/>
        <w:spacing w:line="400" w:lineRule="exact"/>
        <w:ind w:firstLine="420" w:firstLineChars="0"/>
        <w:jc w:val="left"/>
        <w:rPr>
          <w:rFonts w:ascii="宋体" w:hAnsi="宋体" w:cs="宋体"/>
          <w:color w:val="auto"/>
          <w:szCs w:val="21"/>
          <w:highlight w:val="none"/>
        </w:rPr>
      </w:pPr>
      <w:r>
        <w:rPr>
          <w:rFonts w:hint="eastAsia" w:ascii="宋体" w:hAnsi="宋体" w:cs="宋体"/>
          <w:color w:val="auto"/>
          <w:szCs w:val="21"/>
          <w:highlight w:val="none"/>
        </w:rPr>
        <w:t>1、服务时间</w:t>
      </w:r>
      <w:r>
        <w:rPr>
          <w:rFonts w:hint="eastAsia" w:ascii="宋体" w:hAnsi="宋体" w:cs="宋体"/>
          <w:color w:val="auto"/>
          <w:szCs w:val="21"/>
          <w:highlight w:val="none"/>
          <w:lang w:eastAsia="zh-CN"/>
        </w:rPr>
        <w:t>：</w:t>
      </w:r>
      <w:r>
        <w:rPr>
          <w:rFonts w:hint="eastAsia" w:ascii="宋体" w:hAnsi="宋体" w:cs="宋体"/>
          <w:color w:val="auto"/>
          <w:szCs w:val="21"/>
          <w:highlight w:val="none"/>
        </w:rPr>
        <w:t>自合同签订之日起至2026年12月31日完成全部工作，提交成果并通过采购人内部验收。地点：</w:t>
      </w:r>
      <w:r>
        <w:rPr>
          <w:rFonts w:hint="eastAsia" w:ascii="宋体" w:hAnsi="宋体" w:cs="宋体"/>
          <w:color w:val="auto"/>
          <w:szCs w:val="21"/>
          <w:highlight w:val="none"/>
          <w:u w:val="single"/>
        </w:rPr>
        <w:t xml:space="preserve"> 采购人指定地点  </w:t>
      </w:r>
      <w:r>
        <w:rPr>
          <w:rFonts w:hint="eastAsia" w:ascii="宋体" w:hAnsi="宋体" w:cs="宋体"/>
          <w:color w:val="auto"/>
          <w:szCs w:val="21"/>
          <w:highlight w:val="none"/>
        </w:rPr>
        <w:t>。</w:t>
      </w:r>
    </w:p>
    <w:p w14:paraId="7C71D3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2、成交供应商提供不符合磋商文件、响应文件和本合同规定的服务，采购人有权拒绝接受。</w:t>
      </w:r>
    </w:p>
    <w:p w14:paraId="0E313BDB">
      <w:pPr>
        <w:keepNext w:val="0"/>
        <w:keepLines w:val="0"/>
        <w:pageBreakBefore w:val="0"/>
        <w:widowControl w:val="0"/>
        <w:kinsoku/>
        <w:wordWrap/>
        <w:overflowPunct/>
        <w:topLinePunct w:val="0"/>
        <w:autoSpaceDE/>
        <w:autoSpaceDN/>
        <w:bidi w:val="0"/>
        <w:adjustRightInd/>
        <w:snapToGrid/>
        <w:spacing w:line="500" w:lineRule="exact"/>
        <w:ind w:firstLine="371" w:firstLineChars="177"/>
        <w:textAlignment w:val="auto"/>
        <w:rPr>
          <w:b/>
          <w:bCs/>
          <w:color w:val="auto"/>
          <w:sz w:val="32"/>
          <w:szCs w:val="32"/>
          <w:highlight w:val="none"/>
        </w:rPr>
      </w:pPr>
      <w:bookmarkStart w:id="170" w:name="_Toc22519"/>
      <w:bookmarkStart w:id="171" w:name="_Toc21969"/>
      <w:bookmarkStart w:id="172" w:name="_Toc8253"/>
      <w:r>
        <w:rPr>
          <w:rFonts w:hint="eastAsia"/>
          <w:b/>
          <w:bCs/>
          <w:color w:val="auto"/>
          <w:sz w:val="21"/>
          <w:szCs w:val="21"/>
          <w:highlight w:val="none"/>
          <w:lang w:val="en-US" w:eastAsia="zh-CN"/>
        </w:rPr>
        <w:t>第六条 源代码交付</w:t>
      </w:r>
    </w:p>
    <w:p w14:paraId="5B01B8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highlight w:val="none"/>
          <w:lang w:val="en-US"/>
        </w:rPr>
      </w:pPr>
      <w:r>
        <w:rPr>
          <w:rFonts w:hint="eastAsia" w:ascii="宋体" w:hAnsi="宋体" w:eastAsia="宋体" w:cs="宋体"/>
          <w:color w:val="auto"/>
          <w:kern w:val="2"/>
          <w:sz w:val="21"/>
          <w:szCs w:val="22"/>
          <w:highlight w:val="none"/>
          <w:lang w:val="en-US" w:eastAsia="zh-CN" w:bidi="ar"/>
        </w:rPr>
        <w:t>一、源代码交付内容：</w:t>
      </w:r>
    </w:p>
    <w:p w14:paraId="755763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1、乙方应在软件交付验收合格后10个工作日内向甲方提供该软件不涉及第三方知识产权组件的源代码、开发文档和数据库等，包括但不限于所有程序文件、脚本、配置文件等，以ZIP压缩包、光盘存储等形式提交给甲方。存储介质应确保无损坏，且能够方便地被甲方读取和使用。以便甲方后续进行维护和二次开发。</w:t>
      </w:r>
    </w:p>
    <w:p w14:paraId="78027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2、甲方在对系统进行升级、修复、完善、迭代功能的情况下有权对源代码进行修改、编译，乙方不得对此提出任何异议或主张额外的费用。</w:t>
      </w:r>
    </w:p>
    <w:p w14:paraId="117852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3、如甲方需要申请系统的相关软件著作权，乙方承诺协助完成相关软件著作权的申请。</w:t>
      </w:r>
    </w:p>
    <w:p w14:paraId="1452A3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4、甲方被授权在内部按合同约定使用该源码，仅限于自用、修改、维护及备份目的，不得将源代码用于任何形式的商业用途（包括但不限于再销售、分发等）或转让给任何第三方。</w:t>
      </w:r>
    </w:p>
    <w:p w14:paraId="3EACE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5、甲方应在保证源码完整性的前提下按约使用源码。如原有源代码的完整性被破坏（包括但不限于二次开发，故意避开或者破坏为保护其软件著作权而采取的技术措施、故意删除或者改变软件权利管理电子信息等），乙方将不再承担任何维护责任。</w:t>
      </w:r>
    </w:p>
    <w:p w14:paraId="772885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二、保密与安全要求</w:t>
      </w:r>
    </w:p>
    <w:p w14:paraId="79D4CC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1、乙方应严格遵守保密义务，对完整源代码、开发文档、数据库的内容进行保密，不得向任何无关人员透露具体内容和技术细节。</w:t>
      </w:r>
    </w:p>
    <w:p w14:paraId="0D6805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2、双方承认，源代码及其相关文档资料包含本项目软件的商业秘密和技术秘密，甲、乙双方应采取合理措施保护这些信息不被泄露给任何第三方。</w:t>
      </w:r>
    </w:p>
    <w:p w14:paraId="6A23C5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3、乙方应保证甲方及其授权使用者在使用该项目系统时免受第三方在知识产权方面的起诉。如第三方提出侵权指控，乙方须承担由此而引起的一切法律责任和费用，甲方保留进一步追究责任的权利。</w:t>
      </w:r>
    </w:p>
    <w:p w14:paraId="620565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4、违约责任：</w:t>
      </w:r>
    </w:p>
    <w:p w14:paraId="48395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若乙方违反保密义务或未能提供该软件不涉及第三方知识产权组件的源代码和必要的开发文档、数据库，应承担相应的法律责任。</w:t>
      </w:r>
    </w:p>
    <w:p w14:paraId="4A809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三、验收标准：</w:t>
      </w:r>
    </w:p>
    <w:p w14:paraId="00FD42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甲方应对该软件不涉及第三方知识产权组件的源代码和必要的开发文档进行验收，验收标准包括代码的完整性、可读性、规范性和可编译性。</w:t>
      </w:r>
    </w:p>
    <w:p w14:paraId="5DE417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jc w:val="both"/>
        <w:textAlignment w:val="auto"/>
        <w:rPr>
          <w:rFonts w:hint="eastAsia" w:ascii="宋体" w:hAnsi="宋体" w:eastAsia="宋体" w:cs="宋体"/>
          <w:color w:val="auto"/>
          <w:kern w:val="2"/>
          <w:sz w:val="21"/>
          <w:szCs w:val="22"/>
          <w:highlight w:val="none"/>
          <w:lang w:val="en-US" w:eastAsia="zh-CN" w:bidi="ar"/>
        </w:rPr>
      </w:pPr>
      <w:r>
        <w:rPr>
          <w:rFonts w:hint="eastAsia" w:ascii="宋体" w:hAnsi="宋体" w:eastAsia="宋体" w:cs="宋体"/>
          <w:color w:val="auto"/>
          <w:kern w:val="2"/>
          <w:sz w:val="21"/>
          <w:szCs w:val="22"/>
          <w:highlight w:val="none"/>
          <w:lang w:val="en-US" w:eastAsia="zh-CN" w:bidi="ar"/>
        </w:rPr>
        <w:t>1、甲方应在项目启动前提供源代码验收标准。</w:t>
      </w:r>
    </w:p>
    <w:p w14:paraId="7673DF2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bCs w:val="0"/>
          <w:color w:val="auto"/>
          <w:sz w:val="21"/>
          <w:szCs w:val="21"/>
          <w:highlight w:val="none"/>
        </w:rPr>
      </w:pPr>
      <w:r>
        <w:rPr>
          <w:rFonts w:hint="eastAsia" w:ascii="宋体" w:hAnsi="宋体" w:eastAsia="宋体" w:cs="宋体"/>
          <w:color w:val="auto"/>
          <w:kern w:val="2"/>
          <w:sz w:val="21"/>
          <w:szCs w:val="22"/>
          <w:highlight w:val="none"/>
          <w:lang w:val="en-US" w:eastAsia="zh-CN" w:bidi="ar"/>
        </w:rPr>
        <w:t>2、甲方在收到交付内容后应在5个工作日内提供书面验收意见，如未能按时提供验收意见则视验收通过。3、若不符合验收标准，乙方应按照验收意见书在5个工作日内进行整改，重新提交验收。</w:t>
      </w:r>
    </w:p>
    <w:p w14:paraId="32A9A756">
      <w:pPr>
        <w:pStyle w:val="3"/>
        <w:ind w:left="567" w:leftChars="200" w:hanging="147" w:hangingChars="70"/>
        <w:rPr>
          <w:rFonts w:ascii="宋体" w:hAnsi="宋体" w:cs="宋体"/>
          <w:b/>
          <w:bCs w:val="0"/>
          <w:color w:val="auto"/>
          <w:sz w:val="21"/>
          <w:szCs w:val="21"/>
          <w:highlight w:val="none"/>
        </w:rPr>
      </w:pPr>
      <w:r>
        <w:rPr>
          <w:rFonts w:hint="eastAsia" w:ascii="宋体" w:hAnsi="宋体" w:cs="宋体"/>
          <w:b/>
          <w:bCs w:val="0"/>
          <w:color w:val="auto"/>
          <w:sz w:val="21"/>
          <w:szCs w:val="21"/>
          <w:highlight w:val="none"/>
        </w:rPr>
        <w:t>第</w:t>
      </w:r>
      <w:r>
        <w:rPr>
          <w:rFonts w:hint="eastAsia" w:ascii="宋体" w:hAnsi="宋体" w:cs="宋体"/>
          <w:b/>
          <w:bCs w:val="0"/>
          <w:color w:val="auto"/>
          <w:sz w:val="21"/>
          <w:szCs w:val="21"/>
          <w:highlight w:val="none"/>
          <w:lang w:val="en-US" w:eastAsia="zh-CN"/>
        </w:rPr>
        <w:t>七</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税费</w:t>
      </w:r>
      <w:bookmarkEnd w:id="170"/>
      <w:bookmarkEnd w:id="171"/>
      <w:bookmarkEnd w:id="172"/>
    </w:p>
    <w:p w14:paraId="22E7D622">
      <w:pPr>
        <w:spacing w:line="360" w:lineRule="auto"/>
        <w:ind w:firstLine="411" w:firstLineChars="196"/>
        <w:rPr>
          <w:rFonts w:ascii="宋体" w:hAnsi="宋体" w:cs="宋体"/>
          <w:color w:val="auto"/>
          <w:szCs w:val="21"/>
          <w:highlight w:val="none"/>
        </w:rPr>
      </w:pPr>
      <w:r>
        <w:rPr>
          <w:rFonts w:hint="eastAsia" w:ascii="宋体" w:hAnsi="宋体" w:cs="宋体"/>
          <w:color w:val="auto"/>
          <w:szCs w:val="21"/>
          <w:highlight w:val="none"/>
        </w:rPr>
        <w:t>本合同执行中相关的一切税费均由成交供应商负担。</w:t>
      </w:r>
    </w:p>
    <w:p w14:paraId="0CF87C40">
      <w:pPr>
        <w:pStyle w:val="3"/>
        <w:numPr>
          <w:ilvl w:val="0"/>
          <w:numId w:val="0"/>
        </w:numPr>
        <w:ind w:leftChars="130"/>
        <w:rPr>
          <w:rFonts w:hint="eastAsia"/>
          <w:color w:val="auto"/>
          <w:highlight w:val="none"/>
        </w:rPr>
      </w:pPr>
      <w:bookmarkStart w:id="173" w:name="_Toc31516"/>
      <w:bookmarkStart w:id="174" w:name="_Toc29885"/>
      <w:bookmarkStart w:id="175" w:name="_Toc11829"/>
      <w:r>
        <w:rPr>
          <w:rFonts w:hint="eastAsia" w:ascii="宋体" w:hAnsi="宋体" w:cs="宋体"/>
          <w:b/>
          <w:bCs w:val="0"/>
          <w:color w:val="auto"/>
          <w:sz w:val="21"/>
          <w:szCs w:val="21"/>
          <w:highlight w:val="none"/>
          <w:lang w:val="en-US" w:eastAsia="zh-CN"/>
        </w:rPr>
        <w:t xml:space="preserve">第八条 </w:t>
      </w:r>
      <w:r>
        <w:rPr>
          <w:rFonts w:hint="eastAsia" w:ascii="宋体" w:hAnsi="宋体" w:cs="宋体"/>
          <w:b/>
          <w:bCs w:val="0"/>
          <w:color w:val="auto"/>
          <w:sz w:val="21"/>
          <w:szCs w:val="21"/>
          <w:highlight w:val="none"/>
        </w:rPr>
        <w:t>付款方式</w:t>
      </w:r>
      <w:bookmarkEnd w:id="173"/>
      <w:bookmarkEnd w:id="174"/>
      <w:bookmarkEnd w:id="175"/>
    </w:p>
    <w:p w14:paraId="56152ECD">
      <w:pPr>
        <w:pStyle w:val="4"/>
        <w:numPr>
          <w:ilvl w:val="0"/>
          <w:numId w:val="0"/>
        </w:numPr>
        <w:ind w:firstLine="420" w:firstLineChars="200"/>
        <w:rPr>
          <w:rFonts w:hint="default"/>
          <w:color w:val="auto"/>
          <w:highlight w:val="none"/>
          <w:lang w:val="en-US"/>
        </w:rPr>
      </w:pPr>
      <w:r>
        <w:rPr>
          <w:rFonts w:hint="eastAsia"/>
          <w:color w:val="auto"/>
          <w:highlight w:val="none"/>
          <w:lang w:val="en-US" w:eastAsia="zh-CN"/>
        </w:rPr>
        <w:t>1、乙方完成本次古树名木资源普查工作内容提交全部成果材料后10个工作日内支付合同价款的</w:t>
      </w:r>
      <w:r>
        <w:rPr>
          <w:rFonts w:hint="default"/>
          <w:color w:val="auto"/>
          <w:highlight w:val="none"/>
          <w:lang w:val="en-US" w:eastAsia="zh-CN"/>
        </w:rPr>
        <w:t>80</w:t>
      </w:r>
      <w:r>
        <w:rPr>
          <w:rFonts w:hint="eastAsia"/>
          <w:color w:val="auto"/>
          <w:highlight w:val="none"/>
          <w:lang w:val="en-US" w:eastAsia="zh-CN"/>
        </w:rPr>
        <w:t>%；</w:t>
      </w:r>
    </w:p>
    <w:p w14:paraId="3BFAFCBF">
      <w:pPr>
        <w:pStyle w:val="4"/>
        <w:numPr>
          <w:ilvl w:val="0"/>
          <w:numId w:val="0"/>
        </w:numPr>
        <w:ind w:firstLine="420" w:firstLineChars="200"/>
        <w:rPr>
          <w:rFonts w:hint="eastAsia"/>
          <w:color w:val="auto"/>
          <w:highlight w:val="none"/>
        </w:rPr>
      </w:pPr>
      <w:r>
        <w:rPr>
          <w:rFonts w:hint="eastAsia"/>
          <w:color w:val="auto"/>
          <w:highlight w:val="none"/>
          <w:lang w:val="en-US" w:eastAsia="zh-CN"/>
        </w:rPr>
        <w:t>2、提交的全部成果文件通过采购人验收合格后10个工作日内，采购人一次性结清结余款，即合同总价的20%。</w:t>
      </w:r>
    </w:p>
    <w:p w14:paraId="6FD81890">
      <w:pPr>
        <w:spacing w:line="40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3、乙方在采购人支付每笔款项前5个工作日内开具等额有效发票给采购人。</w:t>
      </w:r>
    </w:p>
    <w:p w14:paraId="35CB8136">
      <w:pPr>
        <w:spacing w:line="400" w:lineRule="exact"/>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注：以上支付事宜，如遇国库支付程序原因，支付日期顺延（无息），采购人不承担延期付款责任。</w:t>
      </w:r>
    </w:p>
    <w:p w14:paraId="376AB0A9">
      <w:pPr>
        <w:widowControl/>
        <w:spacing w:line="400" w:lineRule="exact"/>
        <w:ind w:firstLine="422" w:firstLineChars="201"/>
        <w:jc w:val="left"/>
        <w:rPr>
          <w:rFonts w:ascii="宋体" w:hAnsi="宋体" w:cs="宋体"/>
          <w:color w:val="auto"/>
          <w:kern w:val="0"/>
          <w:szCs w:val="21"/>
          <w:highlight w:val="none"/>
        </w:rPr>
      </w:pPr>
      <w:bookmarkStart w:id="176" w:name="_Toc2652"/>
      <w:bookmarkStart w:id="177" w:name="_Toc7272"/>
      <w:bookmarkStart w:id="178" w:name="_Toc25711"/>
      <w:r>
        <w:rPr>
          <w:rFonts w:hint="eastAsia" w:ascii="宋体" w:hAnsi="宋体" w:cs="宋体"/>
          <w:b/>
          <w:color w:val="auto"/>
          <w:szCs w:val="21"/>
          <w:highlight w:val="none"/>
        </w:rPr>
        <w:t>第</w:t>
      </w:r>
      <w:r>
        <w:rPr>
          <w:rFonts w:hint="eastAsia" w:ascii="宋体" w:hAnsi="宋体" w:cs="宋体"/>
          <w:b/>
          <w:color w:val="auto"/>
          <w:szCs w:val="21"/>
          <w:highlight w:val="none"/>
          <w:lang w:val="en-US" w:eastAsia="zh-CN"/>
        </w:rPr>
        <w:t>九</w:t>
      </w:r>
      <w:r>
        <w:rPr>
          <w:rFonts w:hint="eastAsia" w:ascii="宋体" w:hAnsi="宋体" w:cs="宋体"/>
          <w:b/>
          <w:color w:val="auto"/>
          <w:szCs w:val="21"/>
          <w:highlight w:val="none"/>
        </w:rPr>
        <w:t>条</w:t>
      </w:r>
      <w:r>
        <w:rPr>
          <w:rFonts w:hint="eastAsia" w:ascii="宋体" w:hAnsi="宋体" w:cs="宋体"/>
          <w:b/>
          <w:color w:val="auto"/>
          <w:szCs w:val="21"/>
          <w:highlight w:val="none"/>
          <w:lang w:val="en-US" w:eastAsia="zh-CN"/>
        </w:rPr>
        <w:t xml:space="preserve"> </w:t>
      </w:r>
      <w:r>
        <w:rPr>
          <w:rFonts w:hint="eastAsia" w:ascii="宋体" w:hAnsi="宋体" w:cs="宋体"/>
          <w:b/>
          <w:bCs w:val="0"/>
          <w:color w:val="auto"/>
          <w:sz w:val="21"/>
          <w:szCs w:val="21"/>
          <w:highlight w:val="none"/>
          <w:lang w:val="en-US" w:eastAsia="zh-CN"/>
        </w:rPr>
        <w:t>安全生产</w:t>
      </w:r>
    </w:p>
    <w:p w14:paraId="77AA98E7">
      <w:pPr>
        <w:pStyle w:val="3"/>
        <w:ind w:left="567" w:leftChars="200" w:hanging="147" w:hangingChars="70"/>
        <w:rPr>
          <w:rFonts w:hint="eastAsia" w:ascii="宋体" w:hAnsi="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承诺在（施工）作业期间，严格按花坪保护区的要求，依照相关施工法律法规要求，明确安全责任，</w:t>
      </w:r>
    </w:p>
    <w:p w14:paraId="36ED1458">
      <w:pPr>
        <w:pStyle w:val="3"/>
        <w:ind w:left="0" w:leftChars="0" w:firstLine="0" w:firstLineChars="0"/>
        <w:rPr>
          <w:rFonts w:hint="default" w:ascii="宋体" w:hAnsi="宋体" w:eastAsia="宋体" w:cs="宋体"/>
          <w:color w:val="auto"/>
          <w:sz w:val="21"/>
          <w:szCs w:val="21"/>
          <w:highlight w:val="none"/>
          <w:lang w:val="en-US" w:eastAsia="zh-CN"/>
        </w:rPr>
      </w:pPr>
      <w:r>
        <w:rPr>
          <w:rFonts w:hint="eastAsia" w:ascii="宋体" w:hAnsi="宋体" w:cs="宋体"/>
          <w:b w:val="0"/>
          <w:bCs/>
          <w:color w:val="auto"/>
          <w:sz w:val="21"/>
          <w:szCs w:val="21"/>
          <w:highlight w:val="none"/>
          <w:lang w:val="en-US" w:eastAsia="zh-CN"/>
        </w:rPr>
        <w:t>做好施工组织设计和施工安全技术交底，服从保护区相关部门的日常管理和检查。</w:t>
      </w:r>
    </w:p>
    <w:p w14:paraId="66E014DC">
      <w:pPr>
        <w:pStyle w:val="3"/>
        <w:ind w:left="567" w:leftChars="200" w:hanging="147" w:hangingChars="70"/>
        <w:rPr>
          <w:rFonts w:ascii="宋体" w:hAnsi="宋体" w:cs="宋体"/>
          <w:b/>
          <w:bCs w:val="0"/>
          <w:color w:val="auto"/>
          <w:sz w:val="21"/>
          <w:szCs w:val="21"/>
          <w:highlight w:val="none"/>
        </w:rPr>
      </w:pPr>
      <w:r>
        <w:rPr>
          <w:rFonts w:hint="eastAsia" w:ascii="宋体" w:hAnsi="宋体" w:cs="宋体"/>
          <w:b/>
          <w:bCs w:val="0"/>
          <w:color w:val="auto"/>
          <w:sz w:val="21"/>
          <w:szCs w:val="21"/>
          <w:highlight w:val="none"/>
        </w:rPr>
        <w:t>第</w:t>
      </w:r>
      <w:r>
        <w:rPr>
          <w:rFonts w:hint="eastAsia" w:ascii="宋体" w:hAnsi="宋体" w:cs="宋体"/>
          <w:b/>
          <w:bCs w:val="0"/>
          <w:color w:val="auto"/>
          <w:sz w:val="21"/>
          <w:szCs w:val="21"/>
          <w:highlight w:val="none"/>
          <w:lang w:val="en-US" w:eastAsia="zh-CN"/>
        </w:rPr>
        <w:t>十</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违约责任</w:t>
      </w:r>
      <w:bookmarkEnd w:id="176"/>
      <w:bookmarkEnd w:id="177"/>
      <w:bookmarkEnd w:id="178"/>
    </w:p>
    <w:p w14:paraId="5878C3CE">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1、乙方所提供的服务质量不合格的，应及时调整，调整不及时的按逾期处罚，乙方应向甲方支付合同金额</w:t>
      </w:r>
      <w:r>
        <w:rPr>
          <w:rFonts w:hint="eastAsia" w:ascii="宋体" w:hAnsi="宋体" w:cs="宋体"/>
          <w:color w:val="auto"/>
          <w:szCs w:val="21"/>
          <w:highlight w:val="none"/>
          <w:u w:val="single"/>
        </w:rPr>
        <w:t xml:space="preserve"> 5 %</w:t>
      </w:r>
      <w:r>
        <w:rPr>
          <w:rFonts w:hint="eastAsia" w:ascii="宋体" w:hAnsi="宋体" w:cs="宋体"/>
          <w:color w:val="auto"/>
          <w:szCs w:val="21"/>
          <w:highlight w:val="none"/>
        </w:rPr>
        <w:t>违约金并赔偿甲方经济损失。</w:t>
      </w:r>
    </w:p>
    <w:p w14:paraId="0CC85D74">
      <w:pPr>
        <w:spacing w:line="380" w:lineRule="exact"/>
        <w:ind w:firstLine="411" w:firstLineChars="196"/>
        <w:rPr>
          <w:rFonts w:ascii="宋体" w:hAnsi="宋体" w:cs="宋体"/>
          <w:color w:val="auto"/>
          <w:szCs w:val="21"/>
          <w:highlight w:val="none"/>
        </w:rPr>
      </w:pPr>
      <w:r>
        <w:rPr>
          <w:rFonts w:hint="eastAsia" w:ascii="宋体" w:hAnsi="宋体" w:cs="宋体"/>
          <w:color w:val="auto"/>
          <w:szCs w:val="21"/>
          <w:highlight w:val="none"/>
        </w:rPr>
        <w:t>2、乙方提供的服务如果侵犯了第三方合法权益而引发的任何纠纷或诉讼，均由乙方负责交涉并承担全部责任。</w:t>
      </w:r>
    </w:p>
    <w:p w14:paraId="7D9DBAB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3、乙方无故延期服务交付的，每天向甲方偿付违约合同金额</w:t>
      </w:r>
      <w:r>
        <w:rPr>
          <w:rFonts w:hint="eastAsia" w:ascii="宋体" w:hAnsi="宋体" w:cs="宋体"/>
          <w:color w:val="auto"/>
          <w:szCs w:val="21"/>
          <w:highlight w:val="none"/>
          <w:u w:val="single"/>
        </w:rPr>
        <w:t>2‰</w:t>
      </w:r>
      <w:r>
        <w:rPr>
          <w:rFonts w:hint="eastAsia" w:ascii="宋体" w:hAnsi="宋体" w:cs="宋体"/>
          <w:color w:val="auto"/>
          <w:szCs w:val="21"/>
          <w:highlight w:val="none"/>
        </w:rPr>
        <w:t>违约金，但违约金累计不得超过合同金额</w:t>
      </w:r>
      <w:r>
        <w:rPr>
          <w:rFonts w:hint="eastAsia" w:ascii="宋体" w:hAnsi="宋体" w:cs="宋体"/>
          <w:color w:val="auto"/>
          <w:szCs w:val="21"/>
          <w:highlight w:val="none"/>
          <w:u w:val="single"/>
        </w:rPr>
        <w:t>5%</w:t>
      </w:r>
      <w:r>
        <w:rPr>
          <w:rFonts w:hint="eastAsia" w:ascii="宋体" w:hAnsi="宋体" w:cs="宋体"/>
          <w:color w:val="auto"/>
          <w:szCs w:val="21"/>
          <w:highlight w:val="none"/>
        </w:rPr>
        <w:t>，超过</w:t>
      </w:r>
      <w:r>
        <w:rPr>
          <w:rFonts w:hint="eastAsia" w:ascii="宋体" w:hAnsi="宋体" w:cs="宋体"/>
          <w:color w:val="auto"/>
          <w:szCs w:val="21"/>
          <w:highlight w:val="none"/>
          <w:u w:val="single"/>
        </w:rPr>
        <w:t>20</w:t>
      </w:r>
      <w:r>
        <w:rPr>
          <w:rFonts w:hint="eastAsia" w:ascii="宋体" w:hAnsi="宋体" w:cs="宋体"/>
          <w:color w:val="auto"/>
          <w:szCs w:val="21"/>
          <w:highlight w:val="none"/>
        </w:rPr>
        <w:t>天甲方有权解除合同，违约方承担因此给对方造成经济损失；甲方不能按期付款的，每天向乙方偿付延合同金额</w:t>
      </w:r>
      <w:r>
        <w:rPr>
          <w:rFonts w:hint="eastAsia" w:ascii="宋体" w:hAnsi="宋体" w:cs="宋体"/>
          <w:color w:val="auto"/>
          <w:szCs w:val="21"/>
          <w:highlight w:val="none"/>
          <w:u w:val="single"/>
        </w:rPr>
        <w:t>3‰</w:t>
      </w:r>
      <w:r>
        <w:rPr>
          <w:rFonts w:hint="eastAsia" w:ascii="宋体" w:hAnsi="宋体" w:cs="宋体"/>
          <w:color w:val="auto"/>
          <w:szCs w:val="21"/>
          <w:highlight w:val="none"/>
        </w:rPr>
        <w:t>滞纳金，但滞纳金累计不得超过合同金额</w:t>
      </w:r>
      <w:r>
        <w:rPr>
          <w:rFonts w:hint="eastAsia" w:ascii="宋体" w:hAnsi="宋体" w:cs="宋体"/>
          <w:color w:val="auto"/>
          <w:szCs w:val="21"/>
          <w:highlight w:val="none"/>
          <w:u w:val="single"/>
        </w:rPr>
        <w:t>5%</w:t>
      </w:r>
      <w:r>
        <w:rPr>
          <w:rFonts w:hint="eastAsia" w:ascii="宋体" w:hAnsi="宋体" w:cs="宋体"/>
          <w:color w:val="auto"/>
          <w:szCs w:val="21"/>
          <w:highlight w:val="none"/>
        </w:rPr>
        <w:t>。</w:t>
      </w:r>
    </w:p>
    <w:p w14:paraId="2FF5721C">
      <w:pPr>
        <w:spacing w:line="380" w:lineRule="exact"/>
        <w:ind w:firstLine="411" w:firstLineChars="196"/>
        <w:rPr>
          <w:rFonts w:ascii="宋体" w:hAnsi="宋体" w:cs="宋体"/>
          <w:color w:val="auto"/>
          <w:szCs w:val="21"/>
          <w:highlight w:val="none"/>
        </w:rPr>
      </w:pPr>
      <w:r>
        <w:rPr>
          <w:rFonts w:hint="eastAsia" w:ascii="宋体" w:hAnsi="宋体" w:cs="宋体"/>
          <w:color w:val="auto"/>
          <w:szCs w:val="21"/>
          <w:highlight w:val="none"/>
        </w:rPr>
        <w:t>4、乙方未按本合同和响应文件中规定的服务承诺提供服务的，乙方应按本合同合同金额</w:t>
      </w:r>
      <w:r>
        <w:rPr>
          <w:rFonts w:hint="eastAsia" w:ascii="宋体" w:hAnsi="宋体" w:cs="宋体"/>
          <w:color w:val="auto"/>
          <w:szCs w:val="21"/>
          <w:highlight w:val="none"/>
          <w:u w:val="single"/>
        </w:rPr>
        <w:t xml:space="preserve"> 5 %</w:t>
      </w:r>
      <w:r>
        <w:rPr>
          <w:rFonts w:hint="eastAsia" w:ascii="宋体" w:hAnsi="宋体" w:cs="宋体"/>
          <w:color w:val="auto"/>
          <w:szCs w:val="21"/>
          <w:highlight w:val="none"/>
        </w:rPr>
        <w:t>向甲方支付违约金。</w:t>
      </w:r>
    </w:p>
    <w:p w14:paraId="03DC095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5、其他违约行为按照合同金额额</w:t>
      </w:r>
      <w:r>
        <w:rPr>
          <w:rFonts w:hint="eastAsia" w:ascii="宋体" w:hAnsi="宋体" w:cs="宋体"/>
          <w:color w:val="auto"/>
          <w:szCs w:val="21"/>
          <w:highlight w:val="none"/>
          <w:u w:val="single"/>
        </w:rPr>
        <w:t xml:space="preserve"> 5 %</w:t>
      </w:r>
      <w:r>
        <w:rPr>
          <w:rFonts w:hint="eastAsia" w:ascii="宋体" w:hAnsi="宋体" w:cs="宋体"/>
          <w:color w:val="auto"/>
          <w:szCs w:val="21"/>
          <w:highlight w:val="none"/>
        </w:rPr>
        <w:t>收取违约金并赔偿经济损失。</w:t>
      </w:r>
    </w:p>
    <w:p w14:paraId="731470CF">
      <w:pPr>
        <w:pStyle w:val="3"/>
        <w:ind w:left="567" w:leftChars="200" w:hanging="147" w:hangingChars="70"/>
        <w:rPr>
          <w:color w:val="auto"/>
          <w:highlight w:val="none"/>
        </w:rPr>
      </w:pPr>
      <w:bookmarkStart w:id="179" w:name="_Toc16745"/>
      <w:bookmarkStart w:id="180" w:name="_Toc1538"/>
      <w:bookmarkStart w:id="181" w:name="_Toc8363"/>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一</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不可抗力事件处理</w:t>
      </w:r>
      <w:bookmarkEnd w:id="179"/>
      <w:bookmarkEnd w:id="180"/>
      <w:bookmarkEnd w:id="181"/>
    </w:p>
    <w:p w14:paraId="48076A2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1、在合同有效期内，成交供应商因不可抗力事件导致不能履行合同，则合同履行期可延长，其延长期与不可抗力影响期相同。</w:t>
      </w:r>
    </w:p>
    <w:p w14:paraId="21207AA0">
      <w:pPr>
        <w:numPr>
          <w:ilvl w:val="0"/>
          <w:numId w:val="8"/>
        </w:numPr>
        <w:spacing w:line="360" w:lineRule="auto"/>
        <w:rPr>
          <w:rFonts w:ascii="宋体" w:hAnsi="宋体" w:cs="宋体"/>
          <w:color w:val="auto"/>
          <w:szCs w:val="21"/>
          <w:highlight w:val="none"/>
        </w:rPr>
      </w:pPr>
      <w:r>
        <w:rPr>
          <w:rFonts w:hint="eastAsia" w:ascii="宋体" w:hAnsi="宋体" w:cs="宋体"/>
          <w:color w:val="auto"/>
          <w:szCs w:val="21"/>
          <w:highlight w:val="none"/>
        </w:rPr>
        <w:t>不可抗力事件发生后，应立即通知对方，并寄送有关权威机构出具的证明。</w:t>
      </w:r>
    </w:p>
    <w:p w14:paraId="350A4C51">
      <w:pPr>
        <w:numPr>
          <w:ilvl w:val="0"/>
          <w:numId w:val="8"/>
        </w:numPr>
        <w:spacing w:line="360" w:lineRule="auto"/>
        <w:rPr>
          <w:rFonts w:ascii="宋体" w:hAnsi="宋体" w:cs="宋体"/>
          <w:color w:val="auto"/>
          <w:szCs w:val="21"/>
          <w:highlight w:val="none"/>
        </w:rPr>
      </w:pPr>
      <w:r>
        <w:rPr>
          <w:rFonts w:hint="eastAsia" w:ascii="宋体" w:hAnsi="宋体" w:cs="宋体"/>
          <w:color w:val="auto"/>
          <w:szCs w:val="21"/>
          <w:highlight w:val="none"/>
        </w:rPr>
        <w:t>不可抗力事件延续一百二十天以上，双方应通过友好协商，确定是否继续履行合同。</w:t>
      </w:r>
    </w:p>
    <w:p w14:paraId="77795B2E">
      <w:pPr>
        <w:pStyle w:val="3"/>
        <w:ind w:left="567" w:leftChars="200" w:hanging="147" w:hangingChars="70"/>
        <w:rPr>
          <w:rFonts w:ascii="宋体" w:hAnsi="宋体" w:cs="宋体"/>
          <w:b/>
          <w:bCs w:val="0"/>
          <w:color w:val="auto"/>
          <w:sz w:val="21"/>
          <w:szCs w:val="21"/>
          <w:highlight w:val="none"/>
        </w:rPr>
      </w:pPr>
      <w:bookmarkStart w:id="182" w:name="_Toc7311"/>
      <w:bookmarkStart w:id="183" w:name="_Toc12796"/>
      <w:bookmarkStart w:id="184" w:name="_Toc8638"/>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二</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合同争议解决</w:t>
      </w:r>
      <w:bookmarkEnd w:id="182"/>
      <w:bookmarkEnd w:id="183"/>
      <w:bookmarkEnd w:id="184"/>
    </w:p>
    <w:p w14:paraId="296BAEE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1、因服务问题发生争议的，应邀请国家认可的相关机构进行鉴定。服务符合要求的，鉴定费由采购人承担；服务不符合要求的，鉴定费由成交供应商承担。</w:t>
      </w:r>
    </w:p>
    <w:p w14:paraId="1674E20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2、因履行本合同引起的或与本合同有关的争议，甲乙双方应首先通过友好协商解决，如果协商不能解决，可向</w:t>
      </w:r>
      <w:r>
        <w:rPr>
          <w:rStyle w:val="48"/>
          <w:rFonts w:hint="eastAsia" w:ascii="宋体" w:hAnsi="宋体" w:cs="宋体"/>
          <w:color w:val="auto"/>
          <w:szCs w:val="21"/>
          <w:highlight w:val="none"/>
        </w:rPr>
        <w:t>项目所在地人</w:t>
      </w:r>
      <w:r>
        <w:rPr>
          <w:rFonts w:hint="eastAsia" w:ascii="宋体" w:hAnsi="宋体" w:cs="宋体"/>
          <w:color w:val="auto"/>
          <w:szCs w:val="21"/>
          <w:highlight w:val="none"/>
        </w:rPr>
        <w:t>民法院提起诉讼。</w:t>
      </w:r>
    </w:p>
    <w:p w14:paraId="6AE61003">
      <w:pPr>
        <w:spacing w:line="360" w:lineRule="auto"/>
        <w:ind w:left="435"/>
        <w:rPr>
          <w:rFonts w:ascii="宋体" w:hAnsi="宋体" w:cs="宋体"/>
          <w:color w:val="auto"/>
          <w:szCs w:val="21"/>
          <w:highlight w:val="none"/>
        </w:rPr>
      </w:pPr>
      <w:r>
        <w:rPr>
          <w:rFonts w:hint="eastAsia" w:ascii="宋体" w:hAnsi="宋体" w:cs="宋体"/>
          <w:color w:val="auto"/>
          <w:szCs w:val="21"/>
          <w:highlight w:val="none"/>
        </w:rPr>
        <w:t>3、诉讼期间，本合同继续履行。</w:t>
      </w:r>
    </w:p>
    <w:p w14:paraId="4B083597">
      <w:pPr>
        <w:pStyle w:val="3"/>
        <w:ind w:left="567" w:leftChars="200" w:hanging="147" w:hangingChars="70"/>
        <w:rPr>
          <w:rFonts w:ascii="宋体" w:hAnsi="宋体" w:cs="宋体"/>
          <w:b/>
          <w:bCs w:val="0"/>
          <w:color w:val="auto"/>
          <w:sz w:val="21"/>
          <w:szCs w:val="21"/>
          <w:highlight w:val="none"/>
        </w:rPr>
      </w:pPr>
      <w:bookmarkStart w:id="185" w:name="_Toc17823"/>
      <w:bookmarkStart w:id="186" w:name="_Toc26285"/>
      <w:bookmarkStart w:id="187" w:name="_Toc27483"/>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三</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合同生效及其它</w:t>
      </w:r>
      <w:bookmarkEnd w:id="185"/>
      <w:bookmarkEnd w:id="186"/>
      <w:bookmarkEnd w:id="187"/>
    </w:p>
    <w:p w14:paraId="51A22A8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1、合同经甲乙双方法定代表人或授权代表签字并加盖单位公章后生效。</w:t>
      </w:r>
    </w:p>
    <w:p w14:paraId="1B49382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2、合同执行中涉及采购资金和采购内容修改或补充的，需本级财政部门审批，并签订书面补充协议报</w:t>
      </w:r>
      <w:r>
        <w:rPr>
          <w:rFonts w:hint="eastAsia" w:ascii="宋体" w:hAnsi="宋体" w:cs="宋体"/>
          <w:color w:val="auto"/>
          <w:highlight w:val="none"/>
        </w:rPr>
        <w:t>本级财政部门</w:t>
      </w:r>
      <w:r>
        <w:rPr>
          <w:rFonts w:hint="eastAsia" w:ascii="宋体" w:hAnsi="宋体" w:cs="宋体"/>
          <w:color w:val="auto"/>
          <w:szCs w:val="21"/>
          <w:highlight w:val="none"/>
        </w:rPr>
        <w:t>备案，方可作为主合同不可分割的一部分。</w:t>
      </w:r>
    </w:p>
    <w:p w14:paraId="7CC67B8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3、本合同未尽事宜，遵照《中华人民共和国民法典》有关条文执行。</w:t>
      </w:r>
    </w:p>
    <w:p w14:paraId="7C69F520">
      <w:pPr>
        <w:pStyle w:val="3"/>
        <w:ind w:left="567" w:leftChars="200" w:hanging="147" w:hangingChars="70"/>
        <w:rPr>
          <w:rFonts w:ascii="宋体" w:hAnsi="宋体" w:cs="宋体"/>
          <w:b/>
          <w:bCs w:val="0"/>
          <w:color w:val="auto"/>
          <w:sz w:val="21"/>
          <w:szCs w:val="21"/>
          <w:highlight w:val="none"/>
        </w:rPr>
      </w:pPr>
      <w:bookmarkStart w:id="188" w:name="_Toc7824"/>
      <w:bookmarkStart w:id="189" w:name="_Toc31438"/>
      <w:bookmarkStart w:id="190" w:name="_Toc12956"/>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四</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合同的变更、终止与转让</w:t>
      </w:r>
      <w:bookmarkEnd w:id="188"/>
      <w:bookmarkEnd w:id="189"/>
      <w:bookmarkEnd w:id="190"/>
    </w:p>
    <w:p w14:paraId="53579E2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1、除《中华人民共和国政府采购法》第五十条规定的情形外，本合同一经签订，甲乙双方不得擅自变更，中止或终止。</w:t>
      </w:r>
    </w:p>
    <w:p w14:paraId="322F922A">
      <w:pPr>
        <w:numPr>
          <w:ilvl w:val="0"/>
          <w:numId w:val="9"/>
        </w:numPr>
        <w:spacing w:line="360" w:lineRule="auto"/>
        <w:rPr>
          <w:rFonts w:ascii="宋体" w:hAnsi="宋体" w:cs="宋体"/>
          <w:color w:val="auto"/>
          <w:szCs w:val="21"/>
          <w:highlight w:val="none"/>
        </w:rPr>
      </w:pPr>
      <w:r>
        <w:rPr>
          <w:rFonts w:hint="eastAsia" w:ascii="宋体" w:hAnsi="宋体" w:cs="宋体"/>
          <w:color w:val="auto"/>
          <w:szCs w:val="21"/>
          <w:highlight w:val="none"/>
        </w:rPr>
        <w:t>成交供应商不得擅自转让其应履行的合同义务。</w:t>
      </w:r>
    </w:p>
    <w:p w14:paraId="3CDDB343">
      <w:pPr>
        <w:pStyle w:val="3"/>
        <w:ind w:left="567" w:leftChars="200" w:hanging="147" w:hangingChars="70"/>
        <w:rPr>
          <w:rFonts w:ascii="宋体" w:hAnsi="宋体" w:cs="宋体"/>
          <w:b/>
          <w:bCs w:val="0"/>
          <w:color w:val="auto"/>
          <w:sz w:val="21"/>
          <w:szCs w:val="21"/>
          <w:highlight w:val="none"/>
        </w:rPr>
      </w:pPr>
      <w:bookmarkStart w:id="191" w:name="_Toc31091"/>
      <w:bookmarkStart w:id="192" w:name="_Toc14327"/>
      <w:bookmarkStart w:id="193" w:name="_Toc32608"/>
      <w:r>
        <w:rPr>
          <w:rFonts w:hint="eastAsia" w:ascii="宋体" w:hAnsi="宋体" w:cs="宋体"/>
          <w:b/>
          <w:bCs w:val="0"/>
          <w:color w:val="auto"/>
          <w:sz w:val="21"/>
          <w:szCs w:val="21"/>
          <w:highlight w:val="none"/>
        </w:rPr>
        <w:t>第十</w:t>
      </w:r>
      <w:r>
        <w:rPr>
          <w:rFonts w:hint="eastAsia" w:ascii="宋体" w:hAnsi="宋体" w:cs="宋体"/>
          <w:b/>
          <w:bCs w:val="0"/>
          <w:color w:val="auto"/>
          <w:sz w:val="21"/>
          <w:szCs w:val="21"/>
          <w:highlight w:val="none"/>
          <w:lang w:val="en-US" w:eastAsia="zh-CN"/>
        </w:rPr>
        <w:t>五</w:t>
      </w:r>
      <w:r>
        <w:rPr>
          <w:rFonts w:hint="eastAsia" w:ascii="宋体" w:hAnsi="宋体" w:cs="宋体"/>
          <w:b/>
          <w:bCs w:val="0"/>
          <w:color w:val="auto"/>
          <w:sz w:val="21"/>
          <w:szCs w:val="21"/>
          <w:highlight w:val="none"/>
        </w:rPr>
        <w:t>条</w:t>
      </w:r>
      <w:r>
        <w:rPr>
          <w:rFonts w:hint="eastAsia" w:ascii="宋体" w:hAnsi="宋体" w:cs="宋体"/>
          <w:b/>
          <w:bCs w:val="0"/>
          <w:color w:val="auto"/>
          <w:sz w:val="21"/>
          <w:szCs w:val="21"/>
          <w:highlight w:val="none"/>
          <w:lang w:val="en-US" w:eastAsia="zh-CN"/>
        </w:rPr>
        <w:t xml:space="preserve"> </w:t>
      </w:r>
      <w:r>
        <w:rPr>
          <w:rFonts w:hint="eastAsia" w:ascii="宋体" w:hAnsi="宋体" w:cs="宋体"/>
          <w:b/>
          <w:bCs w:val="0"/>
          <w:color w:val="auto"/>
          <w:sz w:val="21"/>
          <w:szCs w:val="21"/>
          <w:highlight w:val="none"/>
        </w:rPr>
        <w:t>签订本合同依据</w:t>
      </w:r>
      <w:bookmarkEnd w:id="191"/>
      <w:bookmarkEnd w:id="192"/>
      <w:bookmarkEnd w:id="193"/>
    </w:p>
    <w:p w14:paraId="161FE1B0">
      <w:pPr>
        <w:spacing w:line="360" w:lineRule="auto"/>
        <w:ind w:left="420"/>
        <w:rPr>
          <w:rFonts w:ascii="宋体" w:hAnsi="宋体" w:cs="宋体"/>
          <w:color w:val="auto"/>
          <w:szCs w:val="21"/>
          <w:highlight w:val="none"/>
        </w:rPr>
      </w:pPr>
      <w:r>
        <w:rPr>
          <w:rFonts w:hint="eastAsia" w:ascii="宋体" w:hAnsi="宋体" w:cs="宋体"/>
          <w:color w:val="auto"/>
          <w:szCs w:val="21"/>
          <w:highlight w:val="none"/>
        </w:rPr>
        <w:t>1、竞争性磋商文件；</w:t>
      </w:r>
    </w:p>
    <w:p w14:paraId="6B83EC73">
      <w:pPr>
        <w:spacing w:line="360" w:lineRule="auto"/>
        <w:ind w:left="224" w:leftChars="107" w:firstLine="210" w:firstLineChars="100"/>
        <w:rPr>
          <w:rFonts w:ascii="宋体" w:hAnsi="宋体" w:cs="宋体"/>
          <w:color w:val="auto"/>
          <w:szCs w:val="21"/>
          <w:highlight w:val="none"/>
        </w:rPr>
      </w:pPr>
      <w:r>
        <w:rPr>
          <w:rFonts w:hint="eastAsia" w:ascii="宋体" w:hAnsi="宋体" w:cs="宋体"/>
          <w:color w:val="auto"/>
          <w:szCs w:val="21"/>
          <w:highlight w:val="none"/>
        </w:rPr>
        <w:t>2、成交供应商的响应（或应答）文件；</w:t>
      </w:r>
    </w:p>
    <w:p w14:paraId="3B2BDC17">
      <w:pPr>
        <w:spacing w:line="360" w:lineRule="auto"/>
        <w:ind w:left="224" w:leftChars="107" w:firstLine="210" w:firstLineChars="100"/>
        <w:rPr>
          <w:rFonts w:ascii="宋体" w:hAnsi="宋体" w:cs="宋体"/>
          <w:color w:val="auto"/>
          <w:szCs w:val="21"/>
          <w:highlight w:val="none"/>
        </w:rPr>
      </w:pPr>
      <w:r>
        <w:rPr>
          <w:rFonts w:hint="eastAsia" w:ascii="宋体" w:hAnsi="宋体" w:cs="宋体"/>
          <w:color w:val="auto"/>
          <w:szCs w:val="21"/>
          <w:highlight w:val="none"/>
        </w:rPr>
        <w:t>3、服务承诺书；</w:t>
      </w:r>
    </w:p>
    <w:p w14:paraId="4F55F4BE">
      <w:pPr>
        <w:spacing w:line="360" w:lineRule="auto"/>
        <w:ind w:left="224" w:leftChars="107" w:firstLine="210" w:firstLineChars="100"/>
        <w:rPr>
          <w:rFonts w:ascii="宋体" w:hAnsi="宋体" w:cs="宋体"/>
          <w:color w:val="auto"/>
          <w:szCs w:val="21"/>
          <w:highlight w:val="none"/>
        </w:rPr>
      </w:pPr>
      <w:r>
        <w:rPr>
          <w:rFonts w:hint="eastAsia" w:ascii="宋体" w:hAnsi="宋体" w:cs="宋体"/>
          <w:color w:val="auto"/>
          <w:szCs w:val="21"/>
          <w:highlight w:val="none"/>
        </w:rPr>
        <w:t>4、磋商中的磋商记录；</w:t>
      </w:r>
    </w:p>
    <w:p w14:paraId="59DE6AAF">
      <w:pPr>
        <w:spacing w:line="360" w:lineRule="auto"/>
        <w:ind w:left="224" w:leftChars="107" w:firstLine="210" w:firstLineChars="100"/>
        <w:rPr>
          <w:rFonts w:ascii="宋体" w:hAnsi="宋体" w:cs="宋体"/>
          <w:color w:val="auto"/>
          <w:szCs w:val="21"/>
          <w:highlight w:val="none"/>
        </w:rPr>
      </w:pPr>
      <w:r>
        <w:rPr>
          <w:rFonts w:hint="eastAsia" w:ascii="宋体" w:hAnsi="宋体" w:cs="宋体"/>
          <w:color w:val="auto"/>
          <w:szCs w:val="21"/>
          <w:highlight w:val="none"/>
        </w:rPr>
        <w:t>5、成交通知书。</w:t>
      </w:r>
    </w:p>
    <w:p w14:paraId="237A3EB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本合同甲乙双方签字盖章后生效，一式六份，具有同等法律效力，甲乙双方各持二份。双方自签订之日起一个工作日内，乙方将合同原件一份交采购代理机构。采购人于合同签订之日起七个工作日内将一份合同原件送本级财政部门备案。</w:t>
      </w:r>
    </w:p>
    <w:p w14:paraId="02117AEA">
      <w:pPr>
        <w:spacing w:line="360" w:lineRule="auto"/>
        <w:rPr>
          <w:rFonts w:ascii="宋体" w:hAnsi="宋体" w:cs="宋体"/>
          <w:color w:val="auto"/>
          <w:szCs w:val="21"/>
          <w:highlight w:val="none"/>
        </w:rPr>
      </w:pPr>
    </w:p>
    <w:p w14:paraId="466BD82A">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采购人名称（公章）：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成交供应商名称（公章）：</w:t>
      </w:r>
      <w:r>
        <w:rPr>
          <w:rFonts w:hint="eastAsia" w:ascii="宋体" w:hAnsi="宋体" w:cs="宋体"/>
          <w:color w:val="auto"/>
          <w:szCs w:val="21"/>
          <w:highlight w:val="none"/>
          <w:u w:val="single"/>
        </w:rPr>
        <w:t xml:space="preserve">                                                    </w:t>
      </w:r>
    </w:p>
    <w:p w14:paraId="373C1679">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p>
    <w:p w14:paraId="5F776192">
      <w:pPr>
        <w:tabs>
          <w:tab w:val="left" w:pos="4680"/>
        </w:tabs>
        <w:spacing w:line="360" w:lineRule="auto"/>
        <w:rPr>
          <w:rFonts w:ascii="宋体" w:hAns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4357C994">
      <w:pPr>
        <w:tabs>
          <w:tab w:val="left" w:pos="5040"/>
        </w:tabs>
        <w:spacing w:line="360" w:lineRule="auto"/>
        <w:rPr>
          <w:rFonts w:ascii="宋体" w:hAnsi="宋体" w:cs="宋体"/>
          <w:color w:val="auto"/>
          <w:szCs w:val="21"/>
          <w:highlight w:val="none"/>
          <w:u w:val="singl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 </w:t>
      </w:r>
      <w:r>
        <w:rPr>
          <w:rFonts w:hint="eastAsia" w:ascii="宋体" w:hAnsi="宋体" w:cs="宋体"/>
          <w:color w:val="auto"/>
          <w:szCs w:val="21"/>
          <w:highlight w:val="none"/>
          <w:u w:val="single"/>
        </w:rPr>
        <w:t xml:space="preserve">                                  </w:t>
      </w:r>
    </w:p>
    <w:p w14:paraId="235168FD">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开户名称：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97C259A">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CAB64A7">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银行账号：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银行账号：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F2689E7">
      <w:pPr>
        <w:tabs>
          <w:tab w:val="left" w:pos="5040"/>
        </w:tabs>
        <w:spacing w:line="360" w:lineRule="auto"/>
        <w:rPr>
          <w:rFonts w:ascii="宋体" w:hAnsi="宋体" w:cs="宋体"/>
          <w:b/>
          <w:bCs/>
          <w:color w:val="auto"/>
          <w:kern w:val="44"/>
          <w:sz w:val="32"/>
          <w:szCs w:val="32"/>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C732B47">
      <w:pPr>
        <w:pStyle w:val="23"/>
        <w:rPr>
          <w:color w:val="auto"/>
          <w:highlight w:val="none"/>
        </w:rPr>
      </w:pPr>
      <w:bookmarkStart w:id="194" w:name="_Toc16171"/>
    </w:p>
    <w:p w14:paraId="16E74FEE">
      <w:pPr>
        <w:outlineLvl w:val="9"/>
        <w:rPr>
          <w:rFonts w:hint="eastAsia"/>
          <w:color w:val="auto"/>
          <w:highlight w:val="none"/>
        </w:rPr>
      </w:pPr>
    </w:p>
    <w:p w14:paraId="15423C3E">
      <w:pPr>
        <w:rPr>
          <w:rFonts w:hint="eastAsia"/>
          <w:color w:val="auto"/>
          <w:highlight w:val="none"/>
        </w:rPr>
      </w:pPr>
      <w:r>
        <w:rPr>
          <w:rFonts w:hint="eastAsia"/>
          <w:color w:val="auto"/>
          <w:highlight w:val="none"/>
        </w:rPr>
        <w:br w:type="page"/>
      </w:r>
    </w:p>
    <w:p w14:paraId="24632F5E">
      <w:pPr>
        <w:pStyle w:val="2"/>
        <w:rPr>
          <w:color w:val="auto"/>
          <w:highlight w:val="none"/>
        </w:rPr>
      </w:pPr>
      <w:r>
        <w:rPr>
          <w:rFonts w:hint="eastAsia"/>
          <w:color w:val="auto"/>
          <w:highlight w:val="none"/>
        </w:rPr>
        <w:t xml:space="preserve">第六章  </w:t>
      </w:r>
      <w:bookmarkEnd w:id="152"/>
      <w:bookmarkEnd w:id="153"/>
      <w:bookmarkStart w:id="195" w:name="_Toc13185"/>
      <w:r>
        <w:rPr>
          <w:rFonts w:hint="eastAsia"/>
          <w:color w:val="auto"/>
          <w:highlight w:val="none"/>
        </w:rPr>
        <w:t>响应文件（格式）</w:t>
      </w:r>
      <w:bookmarkEnd w:id="154"/>
      <w:bookmarkEnd w:id="194"/>
      <w:bookmarkEnd w:id="195"/>
    </w:p>
    <w:p w14:paraId="47AB5E48">
      <w:pPr>
        <w:rPr>
          <w:rFonts w:ascii="宋体" w:hAnsi="宋体" w:cs="宋体"/>
          <w:color w:val="auto"/>
          <w:highlight w:val="none"/>
        </w:rPr>
      </w:pPr>
    </w:p>
    <w:p w14:paraId="65EE9A26">
      <w:pPr>
        <w:pStyle w:val="15"/>
        <w:outlineLvl w:val="1"/>
        <w:rPr>
          <w:rFonts w:hAnsi="宋体" w:cs="宋体"/>
          <w:b/>
          <w:color w:val="auto"/>
          <w:sz w:val="32"/>
          <w:highlight w:val="none"/>
        </w:rPr>
      </w:pPr>
      <w:bookmarkStart w:id="196" w:name="_Toc18351"/>
      <w:bookmarkStart w:id="197" w:name="_Toc21496"/>
      <w:bookmarkStart w:id="198" w:name="_Toc497927069"/>
      <w:r>
        <w:rPr>
          <w:rFonts w:hint="eastAsia" w:hAnsi="宋体" w:cs="宋体"/>
          <w:b/>
          <w:color w:val="auto"/>
          <w:sz w:val="32"/>
          <w:highlight w:val="none"/>
        </w:rPr>
        <w:t>一、响应文件袋（盒、箱）标记</w:t>
      </w:r>
      <w:bookmarkEnd w:id="196"/>
      <w:bookmarkEnd w:id="197"/>
      <w:bookmarkEnd w:id="198"/>
    </w:p>
    <w:p w14:paraId="450ED51B">
      <w:pPr>
        <w:adjustRightInd w:val="0"/>
        <w:snapToGrid w:val="0"/>
        <w:rPr>
          <w:rFonts w:ascii="宋体" w:hAnsi="宋体" w:cs="宋体"/>
          <w:b/>
          <w:color w:val="auto"/>
          <w:sz w:val="44"/>
          <w:szCs w:val="44"/>
          <w:highlight w:val="none"/>
        </w:rPr>
      </w:pPr>
    </w:p>
    <w:p w14:paraId="5BB93540">
      <w:pPr>
        <w:pStyle w:val="40"/>
        <w:rPr>
          <w:rFonts w:ascii="宋体" w:hAnsi="宋体" w:cs="宋体"/>
          <w:color w:val="auto"/>
          <w:highlight w:val="none"/>
        </w:rPr>
      </w:pPr>
    </w:p>
    <w:p w14:paraId="4EFAC64B">
      <w:pPr>
        <w:snapToGrid w:val="0"/>
        <w:spacing w:beforeLines="50" w:after="50"/>
        <w:jc w:val="center"/>
        <w:rPr>
          <w:rFonts w:ascii="宋体" w:hAnsi="宋体" w:cs="宋体"/>
          <w:b/>
          <w:color w:val="auto"/>
          <w:sz w:val="36"/>
          <w:szCs w:val="36"/>
          <w:highlight w:val="none"/>
        </w:rPr>
      </w:pPr>
      <w:r>
        <w:rPr>
          <w:rFonts w:hint="eastAsia" w:ascii="宋体" w:hAnsi="宋体" w:cs="宋体"/>
          <w:b/>
          <w:color w:val="auto"/>
          <w:sz w:val="36"/>
          <w:szCs w:val="36"/>
          <w:highlight w:val="none"/>
        </w:rPr>
        <w:t>响 应 文 件</w:t>
      </w:r>
    </w:p>
    <w:p w14:paraId="656C1224">
      <w:pPr>
        <w:snapToGrid w:val="0"/>
        <w:spacing w:beforeLines="50" w:after="50"/>
        <w:ind w:firstLine="480" w:firstLineChars="150"/>
        <w:rPr>
          <w:rFonts w:ascii="宋体" w:hAnsi="宋体" w:cs="宋体"/>
          <w:b/>
          <w:color w:val="auto"/>
          <w:sz w:val="28"/>
          <w:szCs w:val="28"/>
          <w:highlight w:val="none"/>
        </w:rPr>
      </w:pPr>
      <w:r>
        <w:rPr>
          <w:rFonts w:hint="eastAsia" w:ascii="宋体" w:hAnsi="宋体" w:cs="宋体"/>
          <w:color w:val="auto"/>
          <w:sz w:val="32"/>
          <w:szCs w:val="32"/>
          <w:highlight w:val="none"/>
        </w:rPr>
        <w:t xml:space="preserve">                       </w:t>
      </w:r>
    </w:p>
    <w:p w14:paraId="7A5D6A9E">
      <w:pPr>
        <w:snapToGrid w:val="0"/>
        <w:spacing w:beforeLines="50" w:after="50"/>
        <w:ind w:firstLine="420" w:firstLineChars="150"/>
        <w:rPr>
          <w:rFonts w:ascii="宋体" w:hAnsi="宋体" w:cs="宋体"/>
          <w:b/>
          <w:color w:val="auto"/>
          <w:sz w:val="28"/>
          <w:szCs w:val="28"/>
          <w:highlight w:val="none"/>
        </w:rPr>
      </w:pPr>
    </w:p>
    <w:p w14:paraId="477FFFDE">
      <w:pPr>
        <w:snapToGrid w:val="0"/>
        <w:spacing w:beforeLines="50" w:after="50"/>
        <w:ind w:firstLine="420" w:firstLineChars="150"/>
        <w:rPr>
          <w:rFonts w:ascii="宋体" w:hAnsi="宋体" w:cs="宋体"/>
          <w:b/>
          <w:color w:val="auto"/>
          <w:sz w:val="28"/>
          <w:szCs w:val="28"/>
          <w:highlight w:val="none"/>
        </w:rPr>
      </w:pPr>
    </w:p>
    <w:p w14:paraId="62376973">
      <w:pPr>
        <w:snapToGrid w:val="0"/>
        <w:spacing w:beforeLines="50" w:after="50"/>
        <w:jc w:val="center"/>
        <w:rPr>
          <w:rFonts w:hint="eastAsia" w:ascii="宋体" w:hAnsi="宋体" w:eastAsia="宋体" w:cs="宋体"/>
          <w:b/>
          <w:color w:val="auto"/>
          <w:sz w:val="28"/>
          <w:szCs w:val="28"/>
          <w:highlight w:val="none"/>
          <w:u w:val="single"/>
          <w:lang w:eastAsia="zh-CN"/>
        </w:rPr>
      </w:pPr>
      <w:r>
        <w:rPr>
          <w:rFonts w:hint="eastAsia" w:ascii="宋体" w:hAnsi="宋体" w:cs="宋体"/>
          <w:b/>
          <w:color w:val="auto"/>
          <w:sz w:val="28"/>
          <w:szCs w:val="28"/>
          <w:highlight w:val="none"/>
        </w:rPr>
        <w:t>项目名称：</w:t>
      </w:r>
      <w:r>
        <w:rPr>
          <w:rFonts w:hint="eastAsia" w:ascii="宋体" w:hAnsi="宋体" w:cs="宋体"/>
          <w:b/>
          <w:bCs/>
          <w:color w:val="auto"/>
          <w:sz w:val="28"/>
          <w:szCs w:val="28"/>
          <w:highlight w:val="none"/>
          <w:u w:val="single"/>
          <w:lang w:eastAsia="zh-CN"/>
        </w:rPr>
        <w:t>广西花坪国家级自然保护区特种救护、宣传（资料）视频制作、标本养护及古树名木资源普查项目</w:t>
      </w:r>
    </w:p>
    <w:p w14:paraId="7DE2CE0B">
      <w:pPr>
        <w:snapToGrid w:val="0"/>
        <w:spacing w:beforeLines="50" w:after="50"/>
        <w:ind w:firstLine="2693" w:firstLineChars="962"/>
        <w:rPr>
          <w:rFonts w:ascii="宋体" w:hAnsi="宋体" w:cs="宋体"/>
          <w:b/>
          <w:color w:val="auto"/>
          <w:sz w:val="28"/>
          <w:szCs w:val="28"/>
          <w:highlight w:val="none"/>
        </w:rPr>
      </w:pPr>
    </w:p>
    <w:p w14:paraId="290E9333">
      <w:pPr>
        <w:snapToGrid w:val="0"/>
        <w:spacing w:beforeLines="50" w:after="50"/>
        <w:rPr>
          <w:rFonts w:ascii="宋体" w:hAnsi="宋体" w:cs="宋体"/>
          <w:b/>
          <w:color w:val="auto"/>
          <w:sz w:val="28"/>
          <w:szCs w:val="28"/>
          <w:highlight w:val="none"/>
        </w:rPr>
      </w:pPr>
      <w:r>
        <w:rPr>
          <w:rFonts w:hint="eastAsia" w:ascii="宋体" w:hAnsi="宋体" w:cs="宋体"/>
          <w:b/>
          <w:color w:val="auto"/>
          <w:sz w:val="28"/>
          <w:szCs w:val="28"/>
          <w:highlight w:val="none"/>
        </w:rPr>
        <w:t>项目编号：GLZC2026-C3-990393-GXTG</w:t>
      </w:r>
    </w:p>
    <w:p w14:paraId="5EC8C772">
      <w:pPr>
        <w:rPr>
          <w:rFonts w:ascii="宋体" w:hAnsi="宋体" w:cs="宋体"/>
          <w:b/>
          <w:color w:val="auto"/>
          <w:highlight w:val="none"/>
        </w:rPr>
      </w:pPr>
      <w:r>
        <w:rPr>
          <w:rFonts w:hint="eastAsia" w:ascii="宋体" w:hAnsi="宋体" w:cs="宋体"/>
          <w:b/>
          <w:color w:val="auto"/>
          <w:sz w:val="28"/>
          <w:szCs w:val="28"/>
          <w:highlight w:val="none"/>
          <w:lang w:val="en-US" w:eastAsia="zh-CN"/>
        </w:rPr>
        <w:t>分标号：</w:t>
      </w:r>
    </w:p>
    <w:p w14:paraId="54E824EC">
      <w:pPr>
        <w:pStyle w:val="40"/>
        <w:rPr>
          <w:rFonts w:ascii="宋体" w:hAnsi="宋体" w:cs="宋体"/>
          <w:b/>
          <w:color w:val="auto"/>
          <w:sz w:val="28"/>
          <w:szCs w:val="28"/>
          <w:highlight w:val="none"/>
        </w:rPr>
      </w:pPr>
    </w:p>
    <w:p w14:paraId="15C20CB0">
      <w:pPr>
        <w:pStyle w:val="40"/>
        <w:rPr>
          <w:rFonts w:ascii="宋体" w:hAnsi="宋体" w:cs="宋体"/>
          <w:b/>
          <w:color w:val="auto"/>
          <w:sz w:val="28"/>
          <w:szCs w:val="28"/>
          <w:highlight w:val="none"/>
        </w:rPr>
      </w:pPr>
    </w:p>
    <w:p w14:paraId="4F2A339A">
      <w:pPr>
        <w:snapToGrid w:val="0"/>
        <w:spacing w:beforeLines="50" w:after="50"/>
        <w:rPr>
          <w:rFonts w:ascii="宋体" w:hAnsi="宋体" w:cs="宋体"/>
          <w:b/>
          <w:color w:val="auto"/>
          <w:sz w:val="28"/>
          <w:szCs w:val="28"/>
          <w:highlight w:val="none"/>
          <w:u w:val="single"/>
        </w:rPr>
      </w:pPr>
      <w:r>
        <w:rPr>
          <w:rFonts w:hint="eastAsia" w:ascii="宋体" w:hAnsi="宋体" w:cs="宋体"/>
          <w:b/>
          <w:color w:val="auto"/>
          <w:sz w:val="28"/>
          <w:szCs w:val="28"/>
          <w:highlight w:val="none"/>
        </w:rPr>
        <w:t xml:space="preserve">  </w:t>
      </w:r>
      <w:r>
        <w:rPr>
          <w:rFonts w:hint="eastAsia" w:ascii="宋体" w:hAnsi="宋体" w:cs="宋体"/>
          <w:bCs/>
          <w:color w:val="auto"/>
          <w:sz w:val="28"/>
          <w:szCs w:val="28"/>
          <w:highlight w:val="none"/>
        </w:rPr>
        <w:t xml:space="preserve"> 采购代理机构：</w:t>
      </w:r>
      <w:r>
        <w:rPr>
          <w:rFonts w:hint="eastAsia" w:ascii="宋体" w:hAnsi="宋体" w:cs="宋体"/>
          <w:bCs/>
          <w:color w:val="auto"/>
          <w:sz w:val="28"/>
          <w:szCs w:val="28"/>
          <w:highlight w:val="none"/>
          <w:u w:val="single"/>
        </w:rPr>
        <w:t xml:space="preserve"> 广西天罡工程项目管理有限公司   </w:t>
      </w:r>
    </w:p>
    <w:p w14:paraId="1FC185EA">
      <w:pPr>
        <w:pStyle w:val="11"/>
        <w:ind w:left="980" w:hanging="560" w:hangingChars="200"/>
        <w:rPr>
          <w:rFonts w:ascii="宋体" w:hAnsi="宋体" w:cs="宋体"/>
          <w:bCs/>
          <w:color w:val="auto"/>
          <w:sz w:val="28"/>
          <w:szCs w:val="28"/>
          <w:highlight w:val="none"/>
        </w:rPr>
      </w:pPr>
      <w:bookmarkStart w:id="199" w:name="_Toc20319_WPSOffice_Level2"/>
      <w:bookmarkStart w:id="200" w:name="_Toc4932_WPSOffice_Level2"/>
      <w:r>
        <w:rPr>
          <w:rFonts w:hint="eastAsia" w:ascii="宋体" w:hAnsi="宋体" w:cs="宋体"/>
          <w:bCs/>
          <w:color w:val="auto"/>
          <w:sz w:val="28"/>
          <w:szCs w:val="28"/>
          <w:highlight w:val="none"/>
        </w:rPr>
        <w:t>磋商供应商[(CA证书签章)、自然人除外]：</w:t>
      </w:r>
      <w:r>
        <w:rPr>
          <w:rFonts w:hint="eastAsia" w:ascii="宋体" w:hAnsi="宋体" w:cs="宋体"/>
          <w:bCs/>
          <w:color w:val="auto"/>
          <w:sz w:val="28"/>
          <w:szCs w:val="28"/>
          <w:highlight w:val="none"/>
          <w:u w:val="single"/>
        </w:rPr>
        <w:t xml:space="preserve">                       </w:t>
      </w:r>
      <w:bookmarkEnd w:id="199"/>
      <w:bookmarkEnd w:id="200"/>
      <w:r>
        <w:rPr>
          <w:rFonts w:hint="eastAsia" w:ascii="宋体" w:hAnsi="宋体" w:cs="宋体"/>
          <w:bCs/>
          <w:color w:val="auto"/>
          <w:sz w:val="28"/>
          <w:szCs w:val="28"/>
          <w:highlight w:val="none"/>
          <w:u w:val="single"/>
        </w:rPr>
        <w:t xml:space="preserve">       </w:t>
      </w:r>
    </w:p>
    <w:p w14:paraId="19DA5E7D">
      <w:pPr>
        <w:pStyle w:val="15"/>
        <w:spacing w:line="320" w:lineRule="exact"/>
        <w:ind w:firstLine="420"/>
        <w:rPr>
          <w:rFonts w:hAnsi="宋体" w:cs="宋体"/>
          <w:color w:val="auto"/>
          <w:sz w:val="28"/>
          <w:szCs w:val="28"/>
          <w:highlight w:val="none"/>
        </w:rPr>
      </w:pPr>
      <w:bookmarkStart w:id="201" w:name="_Toc9622_WPSOffice_Level2"/>
      <w:bookmarkStart w:id="202" w:name="_Toc32056_WPSOffice_Level2"/>
      <w:r>
        <w:rPr>
          <w:rFonts w:hint="eastAsia" w:hAnsi="宋体" w:cs="宋体"/>
          <w:color w:val="auto"/>
          <w:sz w:val="28"/>
          <w:szCs w:val="28"/>
          <w:highlight w:val="none"/>
        </w:rPr>
        <w:t>法定代表人、负责人、自然人或相应的委托代理人签字[或盖章(CA证书签章)]</w:t>
      </w:r>
    </w:p>
    <w:p w14:paraId="1D77340F">
      <w:pPr>
        <w:pStyle w:val="11"/>
        <w:ind w:left="980" w:hanging="560" w:hangingChars="200"/>
        <w:rPr>
          <w:rFonts w:ascii="宋体" w:hAnsi="宋体" w:cs="宋体"/>
          <w:color w:val="auto"/>
          <w:sz w:val="28"/>
          <w:szCs w:val="28"/>
          <w:highlight w:val="none"/>
          <w:u w:val="single"/>
        </w:rPr>
      </w:pPr>
      <w:r>
        <w:rPr>
          <w:rFonts w:hint="eastAsia" w:ascii="宋体" w:hAnsi="宋体" w:cs="宋体"/>
          <w:color w:val="auto"/>
          <w:sz w:val="28"/>
          <w:szCs w:val="28"/>
          <w:highlight w:val="none"/>
        </w:rPr>
        <w:t>（属自然人的应在签名处加盖大拇指指印或个人CA证书签章）：</w:t>
      </w:r>
      <w:r>
        <w:rPr>
          <w:rFonts w:hint="eastAsia" w:ascii="宋体" w:hAnsi="宋体" w:cs="宋体"/>
          <w:color w:val="auto"/>
          <w:sz w:val="28"/>
          <w:szCs w:val="28"/>
          <w:highlight w:val="none"/>
          <w:u w:val="single"/>
        </w:rPr>
        <w:t xml:space="preserve">              </w:t>
      </w:r>
    </w:p>
    <w:p w14:paraId="31736706">
      <w:pPr>
        <w:pStyle w:val="11"/>
        <w:ind w:left="980" w:hanging="560" w:hangingChars="200"/>
        <w:rPr>
          <w:rFonts w:ascii="宋体" w:hAnsi="宋体" w:cs="宋体"/>
          <w:bCs/>
          <w:color w:val="auto"/>
          <w:sz w:val="28"/>
          <w:szCs w:val="28"/>
          <w:highlight w:val="none"/>
          <w:u w:val="single"/>
        </w:rPr>
      </w:pPr>
      <w:r>
        <w:rPr>
          <w:rFonts w:hint="eastAsia" w:ascii="宋体" w:hAnsi="宋体" w:cs="宋体"/>
          <w:bCs/>
          <w:color w:val="auto"/>
          <w:sz w:val="28"/>
          <w:szCs w:val="28"/>
          <w:highlight w:val="none"/>
        </w:rPr>
        <w:t>联系电话：</w:t>
      </w:r>
      <w:bookmarkEnd w:id="201"/>
      <w:bookmarkEnd w:id="202"/>
      <w:r>
        <w:rPr>
          <w:rFonts w:hint="eastAsia" w:ascii="宋体" w:hAnsi="宋体" w:cs="宋体"/>
          <w:bCs/>
          <w:color w:val="auto"/>
          <w:sz w:val="28"/>
          <w:szCs w:val="28"/>
          <w:highlight w:val="none"/>
          <w:u w:val="single"/>
        </w:rPr>
        <w:t xml:space="preserve">                                                </w:t>
      </w:r>
    </w:p>
    <w:p w14:paraId="3F823CF4">
      <w:pPr>
        <w:pStyle w:val="11"/>
        <w:ind w:left="980" w:hanging="560" w:hangingChars="200"/>
        <w:rPr>
          <w:rFonts w:ascii="宋体" w:hAnsi="宋体" w:cs="宋体"/>
          <w:bCs/>
          <w:color w:val="auto"/>
          <w:sz w:val="28"/>
          <w:szCs w:val="28"/>
          <w:highlight w:val="none"/>
        </w:rPr>
        <w:sectPr>
          <w:pgSz w:w="11906" w:h="16838"/>
          <w:pgMar w:top="1500" w:right="1134" w:bottom="1258" w:left="1134" w:header="850" w:footer="992" w:gutter="0"/>
          <w:pgNumType w:fmt="decimal"/>
          <w:cols w:space="720" w:num="1"/>
          <w:docGrid w:type="linesAndChars" w:linePitch="331" w:charSpace="0"/>
        </w:sectPr>
      </w:pPr>
      <w:bookmarkStart w:id="203" w:name="_Toc26465_WPSOffice_Level2"/>
      <w:bookmarkStart w:id="204" w:name="_Toc15933_WPSOffice_Level2"/>
      <w:r>
        <w:rPr>
          <w:rFonts w:hint="eastAsia" w:ascii="宋体" w:hAnsi="宋体" w:cs="宋体"/>
          <w:bCs/>
          <w:color w:val="auto"/>
          <w:sz w:val="28"/>
          <w:szCs w:val="28"/>
          <w:highlight w:val="none"/>
        </w:rPr>
        <w:t>日期：</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年</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月</w:t>
      </w:r>
      <w:r>
        <w:rPr>
          <w:rFonts w:hint="eastAsia" w:ascii="宋体" w:hAnsi="宋体" w:cs="宋体"/>
          <w:bCs/>
          <w:color w:val="auto"/>
          <w:sz w:val="28"/>
          <w:szCs w:val="28"/>
          <w:highlight w:val="none"/>
          <w:u w:val="single"/>
        </w:rPr>
        <w:t xml:space="preserve">           </w:t>
      </w:r>
      <w:r>
        <w:rPr>
          <w:rFonts w:hint="eastAsia" w:ascii="宋体" w:hAnsi="宋体" w:cs="宋体"/>
          <w:bCs/>
          <w:color w:val="auto"/>
          <w:sz w:val="28"/>
          <w:szCs w:val="28"/>
          <w:highlight w:val="none"/>
        </w:rPr>
        <w:t>日</w:t>
      </w:r>
      <w:bookmarkEnd w:id="203"/>
      <w:bookmarkEnd w:id="204"/>
    </w:p>
    <w:p w14:paraId="7700FE6C">
      <w:pPr>
        <w:outlineLvl w:val="1"/>
        <w:rPr>
          <w:rFonts w:ascii="宋体" w:hAnsi="宋体" w:cs="宋体"/>
          <w:b/>
          <w:bCs/>
          <w:color w:val="auto"/>
          <w:sz w:val="32"/>
          <w:szCs w:val="32"/>
          <w:highlight w:val="none"/>
        </w:rPr>
      </w:pPr>
      <w:bookmarkStart w:id="205" w:name="_Toc21615"/>
      <w:bookmarkStart w:id="206" w:name="_Toc19430"/>
      <w:bookmarkStart w:id="207" w:name="_Toc497927070"/>
      <w:r>
        <w:rPr>
          <w:rFonts w:hint="eastAsia" w:ascii="宋体" w:hAnsi="宋体" w:cs="宋体"/>
          <w:b/>
          <w:bCs/>
          <w:color w:val="auto"/>
          <w:sz w:val="32"/>
          <w:szCs w:val="32"/>
          <w:highlight w:val="none"/>
        </w:rPr>
        <w:t>二、响应文件组成</w:t>
      </w:r>
      <w:bookmarkEnd w:id="205"/>
      <w:bookmarkEnd w:id="206"/>
      <w:bookmarkEnd w:id="207"/>
    </w:p>
    <w:p w14:paraId="5F2ABE69">
      <w:pPr>
        <w:pStyle w:val="10"/>
        <w:rPr>
          <w:rFonts w:ascii="宋体" w:hAnsi="宋体" w:cs="宋体"/>
          <w:color w:val="auto"/>
          <w:highlight w:val="none"/>
        </w:rPr>
      </w:pPr>
    </w:p>
    <w:p w14:paraId="44AD4D8A">
      <w:pPr>
        <w:pStyle w:val="10"/>
        <w:rPr>
          <w:rFonts w:ascii="宋体" w:hAnsi="宋体" w:cs="宋体"/>
          <w:color w:val="auto"/>
          <w:highlight w:val="none"/>
        </w:rPr>
      </w:pPr>
    </w:p>
    <w:p w14:paraId="5FA1C642">
      <w:pPr>
        <w:spacing w:line="400" w:lineRule="exact"/>
        <w:rPr>
          <w:rFonts w:ascii="宋体" w:hAnsi="宋体" w:cs="宋体"/>
          <w:b/>
          <w:bCs/>
          <w:color w:val="auto"/>
          <w:sz w:val="28"/>
          <w:szCs w:val="28"/>
          <w:highlight w:val="none"/>
        </w:rPr>
      </w:pPr>
    </w:p>
    <w:p w14:paraId="16D9D75A">
      <w:pPr>
        <w:pStyle w:val="10"/>
        <w:rPr>
          <w:rFonts w:ascii="宋体" w:hAnsi="宋体" w:cs="宋体"/>
          <w:b/>
          <w:bCs/>
          <w:color w:val="auto"/>
          <w:sz w:val="28"/>
          <w:szCs w:val="28"/>
          <w:highlight w:val="none"/>
        </w:rPr>
      </w:pPr>
    </w:p>
    <w:p w14:paraId="476D55E5">
      <w:pPr>
        <w:numPr>
          <w:ilvl w:val="0"/>
          <w:numId w:val="10"/>
        </w:numPr>
        <w:spacing w:line="400" w:lineRule="exact"/>
        <w:ind w:firstLine="565" w:firstLineChars="202"/>
        <w:rPr>
          <w:rFonts w:ascii="宋体" w:hAnsi="宋体" w:cs="宋体"/>
          <w:b/>
          <w:bCs/>
          <w:color w:val="auto"/>
          <w:sz w:val="28"/>
          <w:szCs w:val="28"/>
          <w:highlight w:val="none"/>
        </w:rPr>
      </w:pPr>
      <w:r>
        <w:rPr>
          <w:rFonts w:hint="eastAsia" w:ascii="宋体" w:hAnsi="宋体" w:cs="宋体"/>
          <w:b/>
          <w:bCs/>
          <w:color w:val="auto"/>
          <w:sz w:val="28"/>
          <w:szCs w:val="28"/>
          <w:highlight w:val="none"/>
        </w:rPr>
        <w:t>资格性响应证明材料</w:t>
      </w:r>
    </w:p>
    <w:p w14:paraId="5FBBFA20">
      <w:pPr>
        <w:pStyle w:val="10"/>
        <w:rPr>
          <w:rFonts w:ascii="宋体" w:hAnsi="宋体" w:cs="宋体"/>
          <w:b/>
          <w:bCs/>
          <w:color w:val="auto"/>
          <w:sz w:val="28"/>
          <w:szCs w:val="28"/>
          <w:highlight w:val="none"/>
        </w:rPr>
      </w:pPr>
    </w:p>
    <w:p w14:paraId="3E4D7596">
      <w:pPr>
        <w:pStyle w:val="10"/>
        <w:rPr>
          <w:rFonts w:ascii="宋体" w:hAnsi="宋体" w:cs="宋体"/>
          <w:b/>
          <w:bCs/>
          <w:color w:val="auto"/>
          <w:sz w:val="28"/>
          <w:szCs w:val="28"/>
          <w:highlight w:val="none"/>
        </w:rPr>
      </w:pPr>
    </w:p>
    <w:p w14:paraId="2E5160F5">
      <w:pPr>
        <w:numPr>
          <w:ilvl w:val="0"/>
          <w:numId w:val="10"/>
        </w:numPr>
        <w:spacing w:line="400" w:lineRule="exact"/>
        <w:ind w:firstLine="565" w:firstLineChars="202"/>
        <w:rPr>
          <w:rFonts w:ascii="宋体" w:hAnsi="宋体" w:cs="宋体"/>
          <w:b/>
          <w:bCs/>
          <w:color w:val="auto"/>
          <w:sz w:val="28"/>
          <w:szCs w:val="28"/>
          <w:highlight w:val="none"/>
        </w:rPr>
      </w:pPr>
      <w:r>
        <w:rPr>
          <w:rFonts w:hint="eastAsia" w:ascii="宋体" w:hAnsi="宋体" w:cs="宋体"/>
          <w:b/>
          <w:bCs/>
          <w:color w:val="auto"/>
          <w:sz w:val="28"/>
          <w:szCs w:val="28"/>
          <w:highlight w:val="none"/>
        </w:rPr>
        <w:t>符合性响应证明材料</w:t>
      </w:r>
    </w:p>
    <w:p w14:paraId="23F03CE2">
      <w:pPr>
        <w:pStyle w:val="10"/>
        <w:rPr>
          <w:rFonts w:ascii="宋体" w:hAnsi="宋体" w:cs="宋体"/>
          <w:b/>
          <w:bCs/>
          <w:color w:val="auto"/>
          <w:sz w:val="28"/>
          <w:szCs w:val="28"/>
          <w:highlight w:val="none"/>
        </w:rPr>
      </w:pPr>
    </w:p>
    <w:p w14:paraId="1B8313FF">
      <w:pPr>
        <w:pStyle w:val="10"/>
        <w:rPr>
          <w:rFonts w:ascii="宋体" w:hAnsi="宋体" w:cs="宋体"/>
          <w:b/>
          <w:bCs/>
          <w:color w:val="auto"/>
          <w:sz w:val="28"/>
          <w:szCs w:val="28"/>
          <w:highlight w:val="none"/>
        </w:rPr>
      </w:pPr>
    </w:p>
    <w:p w14:paraId="17E6D3DC">
      <w:pPr>
        <w:numPr>
          <w:ilvl w:val="0"/>
          <w:numId w:val="10"/>
        </w:numPr>
        <w:spacing w:line="400" w:lineRule="exact"/>
        <w:ind w:firstLine="565" w:firstLineChars="202"/>
        <w:rPr>
          <w:rFonts w:ascii="宋体" w:hAnsi="宋体" w:cs="宋体"/>
          <w:b/>
          <w:bCs/>
          <w:color w:val="auto"/>
          <w:sz w:val="28"/>
          <w:szCs w:val="28"/>
          <w:highlight w:val="none"/>
        </w:rPr>
      </w:pPr>
      <w:r>
        <w:rPr>
          <w:rFonts w:hint="eastAsia" w:ascii="宋体" w:hAnsi="宋体" w:cs="宋体"/>
          <w:b/>
          <w:bCs/>
          <w:color w:val="auto"/>
          <w:sz w:val="28"/>
          <w:szCs w:val="28"/>
          <w:highlight w:val="none"/>
        </w:rPr>
        <w:t>其他有效证明材料</w:t>
      </w:r>
    </w:p>
    <w:p w14:paraId="297D3FBB">
      <w:pPr>
        <w:pStyle w:val="40"/>
        <w:rPr>
          <w:rFonts w:ascii="宋体" w:hAnsi="宋体" w:cs="宋体"/>
          <w:color w:val="auto"/>
          <w:highlight w:val="none"/>
        </w:rPr>
      </w:pPr>
    </w:p>
    <w:p w14:paraId="704FFD94">
      <w:pPr>
        <w:tabs>
          <w:tab w:val="left" w:pos="5040"/>
        </w:tabs>
        <w:spacing w:line="400" w:lineRule="exact"/>
        <w:rPr>
          <w:rFonts w:ascii="宋体" w:hAnsi="宋体" w:cs="宋体"/>
          <w:color w:val="auto"/>
          <w:szCs w:val="21"/>
          <w:highlight w:val="none"/>
        </w:rPr>
      </w:pPr>
    </w:p>
    <w:p w14:paraId="4E0A92EA">
      <w:pPr>
        <w:pStyle w:val="10"/>
        <w:rPr>
          <w:rFonts w:ascii="宋体" w:hAnsi="宋体" w:cs="宋体"/>
          <w:color w:val="auto"/>
          <w:szCs w:val="21"/>
          <w:highlight w:val="none"/>
        </w:rPr>
      </w:pPr>
    </w:p>
    <w:p w14:paraId="60572EAB">
      <w:pPr>
        <w:pStyle w:val="10"/>
        <w:rPr>
          <w:rFonts w:ascii="宋体" w:hAnsi="宋体" w:cs="宋体"/>
          <w:color w:val="auto"/>
          <w:szCs w:val="21"/>
          <w:highlight w:val="none"/>
        </w:rPr>
      </w:pPr>
    </w:p>
    <w:p w14:paraId="4D620527">
      <w:pPr>
        <w:pStyle w:val="10"/>
        <w:rPr>
          <w:rFonts w:ascii="宋体" w:hAnsi="宋体" w:cs="宋体"/>
          <w:color w:val="auto"/>
          <w:szCs w:val="21"/>
          <w:highlight w:val="none"/>
        </w:rPr>
      </w:pPr>
    </w:p>
    <w:p w14:paraId="3B1793BC">
      <w:pPr>
        <w:pStyle w:val="10"/>
        <w:rPr>
          <w:rFonts w:ascii="宋体" w:hAnsi="宋体" w:cs="宋体"/>
          <w:color w:val="auto"/>
          <w:szCs w:val="21"/>
          <w:highlight w:val="none"/>
        </w:rPr>
      </w:pPr>
    </w:p>
    <w:p w14:paraId="7812AC9F">
      <w:pPr>
        <w:rPr>
          <w:rFonts w:ascii="宋体" w:hAnsi="宋体" w:cs="宋体"/>
          <w:color w:val="auto"/>
          <w:szCs w:val="21"/>
          <w:highlight w:val="none"/>
        </w:rPr>
      </w:pPr>
    </w:p>
    <w:p w14:paraId="66535B28">
      <w:pPr>
        <w:pStyle w:val="40"/>
        <w:rPr>
          <w:rFonts w:ascii="宋体" w:hAnsi="宋体" w:cs="宋体"/>
          <w:color w:val="auto"/>
          <w:szCs w:val="21"/>
          <w:highlight w:val="none"/>
        </w:rPr>
      </w:pPr>
    </w:p>
    <w:p w14:paraId="7CA885EC">
      <w:pPr>
        <w:pStyle w:val="40"/>
        <w:rPr>
          <w:rFonts w:ascii="宋体" w:hAnsi="宋体" w:cs="宋体"/>
          <w:color w:val="auto"/>
          <w:szCs w:val="21"/>
          <w:highlight w:val="none"/>
        </w:rPr>
      </w:pPr>
    </w:p>
    <w:p w14:paraId="4A1E26C5">
      <w:pPr>
        <w:pStyle w:val="40"/>
        <w:rPr>
          <w:rFonts w:ascii="宋体" w:hAnsi="宋体" w:cs="宋体"/>
          <w:color w:val="auto"/>
          <w:szCs w:val="21"/>
          <w:highlight w:val="none"/>
        </w:rPr>
      </w:pPr>
    </w:p>
    <w:p w14:paraId="3FA0640F">
      <w:pPr>
        <w:pStyle w:val="40"/>
        <w:rPr>
          <w:rFonts w:ascii="宋体" w:hAnsi="宋体" w:cs="宋体"/>
          <w:color w:val="auto"/>
          <w:szCs w:val="21"/>
          <w:highlight w:val="none"/>
        </w:rPr>
      </w:pPr>
    </w:p>
    <w:p w14:paraId="0310D369">
      <w:pPr>
        <w:pStyle w:val="40"/>
        <w:rPr>
          <w:rFonts w:ascii="宋体" w:hAnsi="宋体" w:cs="宋体"/>
          <w:color w:val="auto"/>
          <w:szCs w:val="21"/>
          <w:highlight w:val="none"/>
        </w:rPr>
      </w:pPr>
    </w:p>
    <w:p w14:paraId="03F735B8">
      <w:pPr>
        <w:pStyle w:val="40"/>
        <w:rPr>
          <w:rFonts w:ascii="宋体" w:hAnsi="宋体" w:cs="宋体"/>
          <w:color w:val="auto"/>
          <w:szCs w:val="21"/>
          <w:highlight w:val="none"/>
        </w:rPr>
      </w:pPr>
    </w:p>
    <w:p w14:paraId="05A94BEC">
      <w:pPr>
        <w:pStyle w:val="40"/>
        <w:rPr>
          <w:rFonts w:ascii="宋体" w:hAnsi="宋体" w:cs="宋体"/>
          <w:color w:val="auto"/>
          <w:szCs w:val="21"/>
          <w:highlight w:val="none"/>
        </w:rPr>
      </w:pPr>
    </w:p>
    <w:p w14:paraId="5FCF8F57">
      <w:pPr>
        <w:pStyle w:val="40"/>
        <w:rPr>
          <w:rFonts w:ascii="宋体" w:hAnsi="宋体" w:cs="宋体"/>
          <w:color w:val="auto"/>
          <w:szCs w:val="21"/>
          <w:highlight w:val="none"/>
        </w:rPr>
      </w:pPr>
    </w:p>
    <w:p w14:paraId="69DFD3DA">
      <w:pPr>
        <w:pStyle w:val="40"/>
        <w:rPr>
          <w:rFonts w:ascii="宋体" w:hAnsi="宋体" w:cs="宋体"/>
          <w:color w:val="auto"/>
          <w:szCs w:val="21"/>
          <w:highlight w:val="none"/>
        </w:rPr>
      </w:pPr>
    </w:p>
    <w:p w14:paraId="6D95F8BE">
      <w:pPr>
        <w:pStyle w:val="40"/>
        <w:rPr>
          <w:rFonts w:ascii="宋体" w:hAnsi="宋体" w:cs="宋体"/>
          <w:color w:val="auto"/>
          <w:szCs w:val="21"/>
          <w:highlight w:val="none"/>
        </w:rPr>
      </w:pPr>
    </w:p>
    <w:p w14:paraId="2F5745EA">
      <w:pPr>
        <w:pStyle w:val="40"/>
        <w:rPr>
          <w:rFonts w:ascii="宋体" w:hAnsi="宋体" w:cs="宋体"/>
          <w:color w:val="auto"/>
          <w:szCs w:val="21"/>
          <w:highlight w:val="none"/>
        </w:rPr>
      </w:pPr>
    </w:p>
    <w:p w14:paraId="33048C89">
      <w:pPr>
        <w:pStyle w:val="40"/>
        <w:rPr>
          <w:rFonts w:ascii="宋体" w:hAnsi="宋体" w:cs="宋体"/>
          <w:color w:val="auto"/>
          <w:szCs w:val="21"/>
          <w:highlight w:val="none"/>
        </w:rPr>
      </w:pPr>
    </w:p>
    <w:p w14:paraId="239C80E3">
      <w:pPr>
        <w:pStyle w:val="40"/>
        <w:rPr>
          <w:rFonts w:ascii="宋体" w:hAnsi="宋体" w:cs="宋体"/>
          <w:color w:val="auto"/>
          <w:szCs w:val="21"/>
          <w:highlight w:val="none"/>
        </w:rPr>
      </w:pPr>
    </w:p>
    <w:p w14:paraId="5DFC42D9">
      <w:pPr>
        <w:pStyle w:val="40"/>
        <w:rPr>
          <w:rFonts w:ascii="宋体" w:hAnsi="宋体" w:cs="宋体"/>
          <w:color w:val="auto"/>
          <w:szCs w:val="21"/>
          <w:highlight w:val="none"/>
        </w:rPr>
      </w:pPr>
    </w:p>
    <w:p w14:paraId="6FC1D85F">
      <w:pPr>
        <w:pStyle w:val="40"/>
        <w:rPr>
          <w:rFonts w:ascii="宋体" w:hAnsi="宋体" w:cs="宋体"/>
          <w:color w:val="auto"/>
          <w:szCs w:val="21"/>
          <w:highlight w:val="none"/>
        </w:rPr>
      </w:pPr>
    </w:p>
    <w:p w14:paraId="1F085224">
      <w:pPr>
        <w:rPr>
          <w:rFonts w:ascii="宋体" w:hAnsi="宋体" w:cs="宋体"/>
          <w:color w:val="auto"/>
          <w:highlight w:val="none"/>
        </w:rPr>
      </w:pPr>
      <w:bookmarkStart w:id="208" w:name="_Toc11067"/>
      <w:bookmarkStart w:id="209" w:name="_Toc497927071"/>
      <w:bookmarkStart w:id="210" w:name="_Toc7185"/>
    </w:p>
    <w:p w14:paraId="6AA5F410">
      <w:pPr>
        <w:jc w:val="center"/>
        <w:outlineLvl w:val="2"/>
        <w:rPr>
          <w:rFonts w:ascii="宋体" w:hAnsi="宋体" w:cs="宋体"/>
          <w:color w:val="auto"/>
          <w:sz w:val="32"/>
          <w:szCs w:val="32"/>
          <w:highlight w:val="none"/>
        </w:rPr>
      </w:pPr>
      <w:r>
        <w:rPr>
          <w:rFonts w:hint="eastAsia" w:ascii="宋体" w:hAnsi="宋体" w:cs="宋体"/>
          <w:b/>
          <w:bCs/>
          <w:color w:val="auto"/>
          <w:sz w:val="32"/>
          <w:szCs w:val="32"/>
          <w:highlight w:val="none"/>
        </w:rPr>
        <w:t>（一）资格性响应证明材料目录</w:t>
      </w:r>
      <w:bookmarkEnd w:id="208"/>
      <w:bookmarkEnd w:id="209"/>
      <w:bookmarkEnd w:id="210"/>
    </w:p>
    <w:p w14:paraId="56425B70">
      <w:pPr>
        <w:rPr>
          <w:rFonts w:ascii="宋体" w:hAnsi="宋体" w:cs="宋体"/>
          <w:color w:val="auto"/>
          <w:highlight w:val="none"/>
        </w:rPr>
      </w:pPr>
    </w:p>
    <w:p w14:paraId="0C0473E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1.供应商相应的法定代表人、负责人、自然人身份证正反两面复印件</w:t>
      </w:r>
      <w:r>
        <w:rPr>
          <w:rFonts w:hint="eastAsia" w:ascii="宋体" w:hAnsi="宋体" w:cs="宋体"/>
          <w:b/>
          <w:bCs/>
          <w:color w:val="auto"/>
          <w:sz w:val="24"/>
          <w:highlight w:val="none"/>
        </w:rPr>
        <w:t>（必须提供）</w:t>
      </w:r>
      <w:r>
        <w:rPr>
          <w:rFonts w:hint="eastAsia" w:ascii="宋体" w:hAnsi="宋体" w:cs="宋体"/>
          <w:color w:val="auto"/>
          <w:sz w:val="24"/>
          <w:highlight w:val="none"/>
        </w:rPr>
        <w:t>；</w:t>
      </w:r>
    </w:p>
    <w:p w14:paraId="33A2E97A">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rPr>
        <w:t>2.供应商的授权委托书原件、委托代理人身份证正反面复印件</w:t>
      </w:r>
      <w:r>
        <w:rPr>
          <w:rFonts w:hint="eastAsia" w:ascii="宋体" w:hAnsi="宋体" w:cs="宋体"/>
          <w:b/>
          <w:bCs/>
          <w:color w:val="auto"/>
          <w:sz w:val="24"/>
          <w:highlight w:val="none"/>
        </w:rPr>
        <w:t>（委托代理时必须提供；如为联合体的，授权委托书原件须由牵头人出具）；</w:t>
      </w:r>
    </w:p>
    <w:p w14:paraId="655DBD4C">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rPr>
        <w:t>3.供应商参加政府采购活动前3年内在经营活动中没有重大违法记录及有关信用信息的书面声明</w:t>
      </w:r>
      <w:r>
        <w:rPr>
          <w:rFonts w:hint="eastAsia" w:ascii="宋体" w:hAnsi="宋体" w:cs="宋体"/>
          <w:b/>
          <w:bCs/>
          <w:color w:val="auto"/>
          <w:sz w:val="24"/>
          <w:highlight w:val="none"/>
        </w:rPr>
        <w:t>（必须提供）；</w:t>
      </w:r>
    </w:p>
    <w:p w14:paraId="77B5833C">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rPr>
        <w:t>4.供应商的法人或者其他组织营业执照等证明文件复印件</w:t>
      </w:r>
      <w:r>
        <w:rPr>
          <w:rFonts w:hint="eastAsia" w:ascii="宋体" w:hAnsi="宋体" w:cs="宋体"/>
          <w:b/>
          <w:bCs/>
          <w:color w:val="auto"/>
          <w:sz w:val="24"/>
          <w:highlight w:val="none"/>
        </w:rPr>
        <w:t>（必须提供，自然人除外）；</w:t>
      </w:r>
    </w:p>
    <w:p w14:paraId="0BC83D13">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.具备有效的林业调查规划设计丙级（含）以上资质</w:t>
      </w:r>
      <w:r>
        <w:rPr>
          <w:rFonts w:hint="eastAsia" w:ascii="宋体" w:hAnsi="宋体" w:cs="宋体"/>
          <w:b/>
          <w:bCs/>
          <w:color w:val="auto"/>
          <w:sz w:val="24"/>
          <w:highlight w:val="none"/>
        </w:rPr>
        <w:t>（</w:t>
      </w:r>
      <w:r>
        <w:rPr>
          <w:rFonts w:hint="eastAsia" w:ascii="宋体" w:hAnsi="宋体" w:cs="宋体"/>
          <w:b/>
          <w:bCs/>
          <w:color w:val="auto"/>
          <w:sz w:val="24"/>
          <w:highlight w:val="none"/>
          <w:lang w:val="en-US" w:eastAsia="zh-CN"/>
        </w:rPr>
        <w:t>B分标</w:t>
      </w:r>
      <w:r>
        <w:rPr>
          <w:rFonts w:hint="eastAsia" w:ascii="宋体" w:hAnsi="宋体" w:cs="宋体"/>
          <w:b/>
          <w:bCs/>
          <w:color w:val="auto"/>
          <w:sz w:val="24"/>
          <w:highlight w:val="none"/>
        </w:rPr>
        <w:t>必须提供）；</w:t>
      </w:r>
    </w:p>
    <w:p w14:paraId="3EFA253B">
      <w:pPr>
        <w:spacing w:line="360" w:lineRule="auto"/>
        <w:ind w:firstLine="480" w:firstLineChars="200"/>
        <w:rPr>
          <w:rFonts w:ascii="宋体" w:hAnsi="宋体" w:cs="宋体"/>
          <w:b/>
          <w:bCs/>
          <w:color w:val="auto"/>
          <w:sz w:val="24"/>
          <w:highlight w:val="none"/>
        </w:rPr>
      </w:pPr>
      <w:r>
        <w:rPr>
          <w:rFonts w:hint="eastAsia" w:ascii="宋体" w:hAnsi="宋体" w:cs="宋体"/>
          <w:color w:val="auto"/>
          <w:sz w:val="24"/>
          <w:highlight w:val="none"/>
          <w:lang w:val="en-US" w:eastAsia="zh-CN"/>
        </w:rPr>
        <w:t>6.联合体协议书</w:t>
      </w:r>
      <w:r>
        <w:rPr>
          <w:rFonts w:hint="eastAsia" w:ascii="宋体" w:hAnsi="宋体" w:cs="宋体"/>
          <w:b/>
          <w:bCs/>
          <w:color w:val="auto"/>
          <w:sz w:val="24"/>
          <w:highlight w:val="none"/>
          <w:lang w:val="en-US" w:eastAsia="zh-CN"/>
        </w:rPr>
        <w:t>（A分标以联合体形式参与竞争的必须提供）</w:t>
      </w:r>
      <w:r>
        <w:rPr>
          <w:rFonts w:hint="eastAsia" w:ascii="宋体" w:hAnsi="宋体" w:cs="宋体"/>
          <w:b/>
          <w:bCs/>
          <w:color w:val="auto"/>
          <w:sz w:val="24"/>
          <w:highlight w:val="none"/>
        </w:rPr>
        <w:t>；</w:t>
      </w:r>
    </w:p>
    <w:p w14:paraId="137A014A">
      <w:pPr>
        <w:spacing w:line="360" w:lineRule="auto"/>
        <w:ind w:firstLine="480" w:firstLineChars="200"/>
        <w:rPr>
          <w:rFonts w:ascii="宋体" w:hAnsi="宋体" w:cs="宋体"/>
          <w:b/>
          <w:bCs/>
          <w:color w:val="auto"/>
          <w:sz w:val="24"/>
          <w:highlight w:val="none"/>
        </w:rPr>
      </w:pPr>
    </w:p>
    <w:p w14:paraId="66185B2B">
      <w:pPr>
        <w:spacing w:line="360" w:lineRule="auto"/>
        <w:ind w:firstLine="480" w:firstLineChars="200"/>
        <w:rPr>
          <w:rFonts w:ascii="宋体" w:hAnsi="宋体" w:cs="宋体"/>
          <w:color w:val="auto"/>
          <w:sz w:val="24"/>
          <w:highlight w:val="none"/>
        </w:rPr>
      </w:pPr>
    </w:p>
    <w:p w14:paraId="09F41D0B">
      <w:pPr>
        <w:pStyle w:val="10"/>
        <w:rPr>
          <w:rFonts w:ascii="宋体" w:hAnsi="宋体" w:cs="宋体"/>
          <w:color w:val="auto"/>
          <w:sz w:val="24"/>
          <w:highlight w:val="none"/>
        </w:rPr>
      </w:pPr>
    </w:p>
    <w:p w14:paraId="0160844D">
      <w:pPr>
        <w:pStyle w:val="23"/>
        <w:ind w:firstLine="480"/>
        <w:rPr>
          <w:rFonts w:ascii="宋体" w:hAnsi="宋体" w:cs="宋体"/>
          <w:color w:val="auto"/>
          <w:sz w:val="24"/>
          <w:highlight w:val="none"/>
        </w:rPr>
      </w:pPr>
    </w:p>
    <w:p w14:paraId="253D5CFA">
      <w:pPr>
        <w:pStyle w:val="23"/>
        <w:ind w:firstLine="480"/>
        <w:rPr>
          <w:rFonts w:ascii="宋体" w:hAnsi="宋体" w:cs="宋体"/>
          <w:color w:val="auto"/>
          <w:sz w:val="24"/>
          <w:highlight w:val="none"/>
        </w:rPr>
      </w:pPr>
    </w:p>
    <w:p w14:paraId="029AD0B5">
      <w:pPr>
        <w:pStyle w:val="23"/>
        <w:ind w:firstLine="480"/>
        <w:rPr>
          <w:rFonts w:ascii="宋体" w:hAnsi="宋体" w:cs="宋体"/>
          <w:color w:val="auto"/>
          <w:sz w:val="24"/>
          <w:highlight w:val="none"/>
        </w:rPr>
      </w:pPr>
    </w:p>
    <w:p w14:paraId="1D764C0B">
      <w:pPr>
        <w:pStyle w:val="22"/>
        <w:ind w:firstLine="240"/>
        <w:rPr>
          <w:rFonts w:ascii="宋体" w:hAnsi="宋体" w:cs="宋体"/>
          <w:color w:val="auto"/>
          <w:sz w:val="24"/>
          <w:highlight w:val="none"/>
        </w:rPr>
      </w:pPr>
    </w:p>
    <w:p w14:paraId="64C119D9">
      <w:pPr>
        <w:pStyle w:val="22"/>
        <w:ind w:firstLine="240"/>
        <w:rPr>
          <w:rFonts w:ascii="宋体" w:hAnsi="宋体" w:cs="宋体"/>
          <w:color w:val="auto"/>
          <w:sz w:val="24"/>
          <w:highlight w:val="none"/>
        </w:rPr>
      </w:pPr>
    </w:p>
    <w:p w14:paraId="250AF116">
      <w:pPr>
        <w:pStyle w:val="8"/>
        <w:rPr>
          <w:color w:val="auto"/>
          <w:highlight w:val="none"/>
        </w:rPr>
      </w:pPr>
    </w:p>
    <w:p w14:paraId="2C199C09">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2F581E7E">
      <w:pPr>
        <w:spacing w:line="360" w:lineRule="auto"/>
        <w:outlineLvl w:val="3"/>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1.供应商相应的法定代表人、负责人、自然人身份证正反两面复印件（必须提供）；</w:t>
      </w:r>
    </w:p>
    <w:p w14:paraId="5DAE7820">
      <w:pPr>
        <w:spacing w:line="360" w:lineRule="auto"/>
        <w:outlineLvl w:val="9"/>
        <w:rPr>
          <w:rFonts w:hint="eastAsia" w:ascii="宋体" w:hAnsi="宋体" w:cs="宋体"/>
          <w:b/>
          <w:bCs/>
          <w:color w:val="auto"/>
          <w:sz w:val="28"/>
          <w:szCs w:val="28"/>
          <w:highlight w:val="none"/>
        </w:rPr>
      </w:pPr>
    </w:p>
    <w:p w14:paraId="23A946D2">
      <w:pPr>
        <w:spacing w:line="360" w:lineRule="auto"/>
        <w:rPr>
          <w:rFonts w:ascii="宋体" w:hAnsi="宋体" w:cs="宋体"/>
          <w:b/>
          <w:bCs/>
          <w:color w:val="auto"/>
          <w:sz w:val="28"/>
          <w:szCs w:val="28"/>
          <w:highlight w:val="none"/>
        </w:rPr>
      </w:pPr>
    </w:p>
    <w:p w14:paraId="19AB669A">
      <w:pPr>
        <w:pStyle w:val="10"/>
        <w:rPr>
          <w:rFonts w:ascii="宋体" w:hAnsi="宋体" w:cs="宋体"/>
          <w:b/>
          <w:bCs/>
          <w:color w:val="auto"/>
          <w:sz w:val="28"/>
          <w:szCs w:val="28"/>
          <w:highlight w:val="none"/>
        </w:rPr>
      </w:pPr>
    </w:p>
    <w:p w14:paraId="4C15E6F6">
      <w:pPr>
        <w:pStyle w:val="23"/>
        <w:rPr>
          <w:color w:val="auto"/>
          <w:highlight w:val="none"/>
        </w:rPr>
      </w:pPr>
    </w:p>
    <w:p w14:paraId="4AAF4550">
      <w:pPr>
        <w:spacing w:line="360" w:lineRule="auto"/>
        <w:rPr>
          <w:rFonts w:ascii="宋体" w:hAnsi="宋体" w:cs="宋体"/>
          <w:b/>
          <w:bCs/>
          <w:color w:val="auto"/>
          <w:sz w:val="28"/>
          <w:szCs w:val="28"/>
          <w:highlight w:val="none"/>
        </w:rPr>
      </w:pPr>
    </w:p>
    <w:p w14:paraId="7C26E324">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062E2CC7">
      <w:pPr>
        <w:spacing w:line="360" w:lineRule="auto"/>
        <w:outlineLvl w:val="3"/>
        <w:rPr>
          <w:rFonts w:ascii="宋体" w:hAnsi="宋体" w:cs="宋体"/>
          <w:b/>
          <w:bCs/>
          <w:color w:val="auto"/>
          <w:sz w:val="24"/>
          <w:highlight w:val="none"/>
        </w:rPr>
      </w:pPr>
      <w:r>
        <w:rPr>
          <w:rFonts w:hint="eastAsia" w:ascii="宋体" w:hAnsi="宋体" w:cs="宋体"/>
          <w:b/>
          <w:bCs/>
          <w:color w:val="auto"/>
          <w:sz w:val="28"/>
          <w:szCs w:val="28"/>
          <w:highlight w:val="none"/>
        </w:rPr>
        <w:t>2.供应商的授权委托书原件、委托代理人身份证正反面复印件（委托代理时必须提供；如为联合体的，授权委托书原件须由牵头人出具）</w:t>
      </w:r>
      <w:r>
        <w:rPr>
          <w:rFonts w:hint="eastAsia" w:ascii="宋体" w:hAnsi="宋体" w:cs="宋体"/>
          <w:b/>
          <w:bCs/>
          <w:color w:val="auto"/>
          <w:sz w:val="24"/>
          <w:highlight w:val="none"/>
        </w:rPr>
        <w:t>；</w:t>
      </w:r>
    </w:p>
    <w:p w14:paraId="1DC3817D">
      <w:pPr>
        <w:pStyle w:val="15"/>
        <w:rPr>
          <w:rFonts w:hAnsi="宋体" w:cs="宋体"/>
          <w:b/>
          <w:color w:val="auto"/>
          <w:sz w:val="32"/>
          <w:highlight w:val="none"/>
        </w:rPr>
      </w:pPr>
      <w:r>
        <w:rPr>
          <w:rFonts w:hint="eastAsia" w:hAnsi="宋体" w:cs="宋体"/>
          <w:b/>
          <w:color w:val="auto"/>
          <w:sz w:val="32"/>
          <w:highlight w:val="none"/>
        </w:rPr>
        <w:t xml:space="preserve">附件：            </w:t>
      </w:r>
    </w:p>
    <w:p w14:paraId="518FC70F">
      <w:pPr>
        <w:pStyle w:val="15"/>
        <w:ind w:firstLine="627" w:firstLineChars="196"/>
        <w:jc w:val="center"/>
        <w:rPr>
          <w:rFonts w:hAnsi="宋体" w:cs="宋体"/>
          <w:b/>
          <w:color w:val="auto"/>
          <w:sz w:val="32"/>
          <w:highlight w:val="none"/>
        </w:rPr>
      </w:pPr>
      <w:bookmarkStart w:id="211" w:name="_Toc5420_WPSOffice_Level1"/>
      <w:bookmarkStart w:id="212" w:name="_Toc964_WPSOffice_Level1"/>
      <w:r>
        <w:rPr>
          <w:rFonts w:hint="eastAsia" w:hAnsi="宋体" w:cs="宋体"/>
          <w:b/>
          <w:color w:val="auto"/>
          <w:sz w:val="32"/>
          <w:highlight w:val="none"/>
        </w:rPr>
        <w:t>授权委托书（格式一）</w:t>
      </w:r>
      <w:bookmarkEnd w:id="211"/>
      <w:bookmarkEnd w:id="212"/>
    </w:p>
    <w:p w14:paraId="3FB69FA7">
      <w:pPr>
        <w:pStyle w:val="15"/>
        <w:rPr>
          <w:rFonts w:hAnsi="宋体" w:cs="宋体"/>
          <w:color w:val="auto"/>
          <w:highlight w:val="none"/>
        </w:rPr>
      </w:pPr>
    </w:p>
    <w:p w14:paraId="26D51E11">
      <w:pPr>
        <w:spacing w:line="400" w:lineRule="exact"/>
        <w:rPr>
          <w:rFonts w:ascii="宋体" w:hAnsi="宋体" w:cs="宋体"/>
          <w:color w:val="auto"/>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广西天罡工程项目管理有限公司 </w:t>
      </w:r>
    </w:p>
    <w:p w14:paraId="037E6DC8">
      <w:pPr>
        <w:spacing w:line="400" w:lineRule="exact"/>
        <w:rPr>
          <w:rFonts w:ascii="宋体" w:hAnsi="宋体" w:cs="宋体"/>
          <w:color w:val="auto"/>
          <w:szCs w:val="21"/>
          <w:highlight w:val="none"/>
        </w:rPr>
      </w:pPr>
    </w:p>
    <w:p w14:paraId="17C2E4D0">
      <w:pPr>
        <w:pStyle w:val="15"/>
        <w:spacing w:line="400" w:lineRule="exact"/>
        <w:ind w:firstLine="420" w:firstLineChars="200"/>
        <w:rPr>
          <w:rFonts w:hAnsi="宋体" w:cs="宋体"/>
          <w:color w:val="auto"/>
          <w:highlight w:val="none"/>
        </w:rPr>
      </w:pPr>
      <w:r>
        <w:rPr>
          <w:rFonts w:hint="eastAsia" w:hAnsi="宋体" w:cs="宋体"/>
          <w:color w:val="auto"/>
          <w:kern w:val="0"/>
          <w:highlight w:val="none"/>
        </w:rPr>
        <w:t>我</w:t>
      </w:r>
      <w:r>
        <w:rPr>
          <w:rFonts w:hint="eastAsia" w:hAnsi="宋体" w:cs="宋体"/>
          <w:color w:val="auto"/>
          <w:kern w:val="0"/>
          <w:highlight w:val="none"/>
          <w:u w:val="single"/>
        </w:rPr>
        <w:t xml:space="preserve">              </w:t>
      </w:r>
      <w:r>
        <w:rPr>
          <w:rFonts w:hint="eastAsia" w:hAnsi="宋体" w:cs="宋体"/>
          <w:color w:val="auto"/>
          <w:kern w:val="0"/>
          <w:highlight w:val="none"/>
        </w:rPr>
        <w:t>（姓名）系</w:t>
      </w:r>
      <w:r>
        <w:rPr>
          <w:rFonts w:hint="eastAsia" w:hAnsi="宋体" w:cs="宋体"/>
          <w:color w:val="auto"/>
          <w:kern w:val="0"/>
          <w:highlight w:val="none"/>
          <w:u w:val="single"/>
        </w:rPr>
        <w:t xml:space="preserve">                              </w:t>
      </w:r>
      <w:r>
        <w:rPr>
          <w:rFonts w:hint="eastAsia" w:hAnsi="宋体" w:cs="宋体"/>
          <w:color w:val="auto"/>
          <w:kern w:val="0"/>
          <w:highlight w:val="none"/>
        </w:rPr>
        <w:t>（供应商名称）的法定代表人（负责人），现授权委托本单位在职职工</w:t>
      </w:r>
      <w:r>
        <w:rPr>
          <w:rFonts w:hint="eastAsia" w:hAnsi="宋体" w:cs="宋体"/>
          <w:color w:val="auto"/>
          <w:kern w:val="0"/>
          <w:highlight w:val="none"/>
          <w:u w:val="single"/>
        </w:rPr>
        <w:t xml:space="preserve">            </w:t>
      </w:r>
      <w:r>
        <w:rPr>
          <w:rFonts w:hint="eastAsia" w:hAnsi="宋体" w:cs="宋体"/>
          <w:color w:val="auto"/>
          <w:kern w:val="0"/>
          <w:highlight w:val="none"/>
        </w:rPr>
        <w:t>（姓 名）以我公司名义参加</w:t>
      </w:r>
      <w:r>
        <w:rPr>
          <w:rFonts w:hint="eastAsia" w:hAnsi="宋体" w:cs="宋体"/>
          <w:color w:val="auto"/>
          <w:kern w:val="0"/>
          <w:highlight w:val="none"/>
          <w:u w:val="single"/>
        </w:rPr>
        <w:t xml:space="preserve">      </w:t>
      </w:r>
      <w:r>
        <w:rPr>
          <w:rFonts w:hint="eastAsia" w:hAnsi="宋体" w:cs="宋体"/>
          <w:color w:val="auto"/>
          <w:highlight w:val="none"/>
          <w:u w:val="single"/>
        </w:rPr>
        <w:t xml:space="preserve">（项目名称及项目编号）        </w:t>
      </w:r>
      <w:r>
        <w:rPr>
          <w:rFonts w:hint="eastAsia" w:hAnsi="宋体" w:cs="宋体"/>
          <w:color w:val="auto"/>
          <w:highlight w:val="none"/>
        </w:rPr>
        <w:t>项目的磋商活动，并代表我方全权办理针对上述项目的磋商、签约等具体事务和签署相关文件。</w:t>
      </w:r>
    </w:p>
    <w:p w14:paraId="4A899742">
      <w:pPr>
        <w:pStyle w:val="15"/>
        <w:spacing w:line="400" w:lineRule="exact"/>
        <w:ind w:firstLine="420" w:firstLineChars="200"/>
        <w:rPr>
          <w:rFonts w:hAnsi="宋体" w:cs="宋体"/>
          <w:color w:val="auto"/>
          <w:highlight w:val="none"/>
        </w:rPr>
      </w:pPr>
      <w:r>
        <w:rPr>
          <w:rFonts w:hint="eastAsia" w:hAnsi="宋体" w:cs="宋体"/>
          <w:color w:val="auto"/>
          <w:highlight w:val="none"/>
        </w:rPr>
        <w:t>我方对被授权人的签字事项负全部责任。</w:t>
      </w:r>
    </w:p>
    <w:p w14:paraId="5C37A72A">
      <w:pPr>
        <w:pStyle w:val="15"/>
        <w:spacing w:line="400" w:lineRule="exact"/>
        <w:ind w:firstLine="420" w:firstLineChars="200"/>
        <w:rPr>
          <w:rFonts w:hAnsi="宋体" w:cs="宋体"/>
          <w:color w:val="auto"/>
          <w:highlight w:val="none"/>
          <w:u w:val="single"/>
        </w:rPr>
      </w:pPr>
      <w:r>
        <w:rPr>
          <w:rFonts w:hint="eastAsia" w:hAnsi="宋体" w:cs="宋体"/>
          <w:color w:val="auto"/>
          <w:highlight w:val="none"/>
        </w:rPr>
        <w:t>授权委托代理期限：从</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 xml:space="preserve"> 日起至</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日止。</w:t>
      </w:r>
    </w:p>
    <w:p w14:paraId="15799A44">
      <w:pPr>
        <w:pStyle w:val="15"/>
        <w:spacing w:line="400" w:lineRule="exact"/>
        <w:rPr>
          <w:rFonts w:hAnsi="宋体" w:cs="宋体"/>
          <w:color w:val="auto"/>
          <w:highlight w:val="none"/>
          <w:u w:val="single"/>
        </w:rPr>
      </w:pPr>
      <w:r>
        <w:rPr>
          <w:rFonts w:hint="eastAsia" w:hAnsi="宋体" w:cs="宋体"/>
          <w:color w:val="auto"/>
          <w:highlight w:val="none"/>
        </w:rPr>
        <w:t xml:space="preserve">                                                                                             </w:t>
      </w:r>
    </w:p>
    <w:p w14:paraId="769738F2">
      <w:pPr>
        <w:spacing w:line="400" w:lineRule="exact"/>
        <w:ind w:firstLine="420" w:firstLineChars="200"/>
        <w:rPr>
          <w:rFonts w:ascii="宋体" w:hAnsi="宋体" w:cs="宋体"/>
          <w:color w:val="auto"/>
          <w:kern w:val="0"/>
          <w:highlight w:val="none"/>
        </w:rPr>
      </w:pPr>
      <w:r>
        <w:rPr>
          <w:rFonts w:hint="eastAsia" w:ascii="宋体" w:hAnsi="宋体" w:cs="宋体"/>
          <w:color w:val="auto"/>
          <w:kern w:val="0"/>
          <w:highlight w:val="none"/>
        </w:rPr>
        <w:t xml:space="preserve">代理人无转委托权,特此委托。 </w:t>
      </w:r>
    </w:p>
    <w:p w14:paraId="3581ED9B">
      <w:pPr>
        <w:spacing w:line="400" w:lineRule="exact"/>
        <w:ind w:firstLine="420" w:firstLineChars="200"/>
        <w:rPr>
          <w:rFonts w:ascii="宋体" w:hAnsi="宋体" w:cs="宋体"/>
          <w:color w:val="auto"/>
          <w:kern w:val="0"/>
          <w:highlight w:val="none"/>
        </w:rPr>
      </w:pPr>
    </w:p>
    <w:p w14:paraId="3D08B28C">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我已在下面签字，以资证明。</w:t>
      </w:r>
    </w:p>
    <w:p w14:paraId="00E08DB5">
      <w:pPr>
        <w:spacing w:line="400" w:lineRule="exact"/>
        <w:ind w:firstLine="420" w:firstLineChars="200"/>
        <w:rPr>
          <w:rFonts w:ascii="宋体" w:hAnsi="宋体" w:cs="宋体"/>
          <w:color w:val="auto"/>
          <w:szCs w:val="21"/>
          <w:highlight w:val="none"/>
        </w:rPr>
      </w:pPr>
    </w:p>
    <w:p w14:paraId="54A953B8">
      <w:pPr>
        <w:spacing w:line="400" w:lineRule="exact"/>
        <w:ind w:firstLine="420" w:firstLineChars="200"/>
        <w:rPr>
          <w:rFonts w:ascii="宋体" w:hAnsi="宋体" w:cs="宋体"/>
          <w:color w:val="auto"/>
          <w:szCs w:val="21"/>
          <w:highlight w:val="none"/>
        </w:rPr>
      </w:pPr>
    </w:p>
    <w:p w14:paraId="774DCAB2">
      <w:pPr>
        <w:snapToGrid w:val="0"/>
        <w:spacing w:line="400" w:lineRule="exact"/>
        <w:ind w:firstLine="420"/>
        <w:rPr>
          <w:rFonts w:ascii="宋体" w:hAnsi="宋体" w:cs="宋体"/>
          <w:color w:val="auto"/>
          <w:szCs w:val="21"/>
          <w:highlight w:val="none"/>
          <w:u w:val="single"/>
        </w:rPr>
      </w:pPr>
      <w:r>
        <w:rPr>
          <w:rFonts w:hint="eastAsia" w:ascii="宋体" w:hAnsi="宋体" w:cs="宋体"/>
          <w:color w:val="auto"/>
          <w:szCs w:val="21"/>
          <w:highlight w:val="none"/>
        </w:rPr>
        <w:t>磋商供应商[（CA证书签章）]：</w:t>
      </w:r>
      <w:r>
        <w:rPr>
          <w:rFonts w:hint="eastAsia" w:ascii="宋体" w:hAnsi="宋体" w:cs="宋体"/>
          <w:color w:val="auto"/>
          <w:szCs w:val="21"/>
          <w:highlight w:val="none"/>
          <w:u w:val="single"/>
        </w:rPr>
        <w:t xml:space="preserve">                                   </w:t>
      </w:r>
    </w:p>
    <w:p w14:paraId="20B55306">
      <w:pPr>
        <w:snapToGrid w:val="0"/>
        <w:spacing w:line="400" w:lineRule="exact"/>
        <w:ind w:firstLine="420"/>
        <w:rPr>
          <w:rFonts w:ascii="宋体" w:hAnsi="宋体" w:cs="宋体"/>
          <w:color w:val="auto"/>
          <w:szCs w:val="21"/>
          <w:highlight w:val="none"/>
        </w:rPr>
      </w:pPr>
    </w:p>
    <w:p w14:paraId="3927FA72">
      <w:pPr>
        <w:snapToGrid w:val="0"/>
        <w:spacing w:line="400" w:lineRule="exact"/>
        <w:ind w:firstLine="420"/>
        <w:rPr>
          <w:rFonts w:ascii="宋体" w:hAnsi="宋体" w:cs="宋体"/>
          <w:color w:val="auto"/>
          <w:szCs w:val="21"/>
          <w:highlight w:val="none"/>
        </w:rPr>
      </w:pPr>
      <w:r>
        <w:rPr>
          <w:rFonts w:hint="eastAsia" w:ascii="宋体" w:hAnsi="宋体" w:cs="宋体"/>
          <w:color w:val="auto"/>
          <w:szCs w:val="21"/>
          <w:highlight w:val="none"/>
        </w:rPr>
        <w:t>法定代表人（负责人）签字（或个人CA证书签章）：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C74F7D3">
      <w:pPr>
        <w:snapToGrid w:val="0"/>
        <w:spacing w:line="400" w:lineRule="exact"/>
        <w:ind w:firstLine="420"/>
        <w:rPr>
          <w:rFonts w:ascii="宋体" w:hAnsi="宋体" w:cs="宋体"/>
          <w:color w:val="auto"/>
          <w:szCs w:val="21"/>
          <w:highlight w:val="none"/>
        </w:rPr>
      </w:pPr>
    </w:p>
    <w:p w14:paraId="059834C9">
      <w:pPr>
        <w:pStyle w:val="10"/>
        <w:rPr>
          <w:rFonts w:ascii="宋体" w:hAnsi="宋体" w:cs="宋体"/>
          <w:color w:val="auto"/>
          <w:highlight w:val="none"/>
        </w:rPr>
      </w:pPr>
    </w:p>
    <w:p w14:paraId="0BBDC031">
      <w:pPr>
        <w:pStyle w:val="15"/>
        <w:spacing w:line="340" w:lineRule="exact"/>
        <w:ind w:firstLine="480" w:firstLineChars="200"/>
        <w:rPr>
          <w:rFonts w:hAnsi="宋体" w:cs="宋体"/>
          <w:b/>
          <w:color w:val="auto"/>
          <w:sz w:val="24"/>
          <w:highlight w:val="none"/>
        </w:rPr>
        <w:sectPr>
          <w:pgSz w:w="11906" w:h="16838"/>
          <w:pgMar w:top="1500" w:right="1134" w:bottom="1258" w:left="1134" w:header="850" w:footer="992" w:gutter="0"/>
          <w:pgNumType w:fmt="decimal"/>
          <w:cols w:space="720" w:num="1"/>
          <w:docGrid w:type="linesAndChars" w:linePitch="331" w:charSpace="0"/>
        </w:sectPr>
      </w:pPr>
      <w:r>
        <w:rPr>
          <w:rFonts w:hint="eastAsia" w:hAnsi="宋体" w:cs="宋体"/>
          <w:b/>
          <w:color w:val="auto"/>
          <w:sz w:val="24"/>
          <w:highlight w:val="none"/>
        </w:rPr>
        <w:t>注：供应商的授权委托书原件、委托代理人身份证正反面复印件</w:t>
      </w:r>
      <w:r>
        <w:rPr>
          <w:rFonts w:hint="eastAsia" w:hAnsi="宋体" w:cs="宋体"/>
          <w:b/>
          <w:color w:val="auto"/>
          <w:sz w:val="24"/>
          <w:highlight w:val="none"/>
          <w:lang w:val="en-US" w:eastAsia="zh-CN"/>
        </w:rPr>
        <w:t>(</w:t>
      </w:r>
      <w:r>
        <w:rPr>
          <w:rFonts w:hint="eastAsia" w:hAnsi="宋体" w:cs="宋体"/>
          <w:b/>
          <w:color w:val="auto"/>
          <w:sz w:val="24"/>
          <w:highlight w:val="none"/>
        </w:rPr>
        <w:t>委托代理时必须提供</w:t>
      </w:r>
      <w:r>
        <w:rPr>
          <w:rFonts w:hint="eastAsia" w:hAnsi="宋体" w:cs="宋体"/>
          <w:b/>
          <w:color w:val="auto"/>
          <w:sz w:val="24"/>
          <w:highlight w:val="none"/>
          <w:lang w:val="en-US" w:eastAsia="zh-CN"/>
        </w:rPr>
        <w:t>)</w:t>
      </w:r>
      <w:r>
        <w:rPr>
          <w:rFonts w:hint="eastAsia" w:hAnsi="宋体" w:cs="宋体"/>
          <w:b/>
          <w:color w:val="auto"/>
          <w:sz w:val="24"/>
          <w:highlight w:val="none"/>
        </w:rPr>
        <w:t>。</w:t>
      </w:r>
    </w:p>
    <w:p w14:paraId="37CD699F">
      <w:pPr>
        <w:pStyle w:val="15"/>
        <w:jc w:val="center"/>
        <w:rPr>
          <w:rFonts w:hAnsi="宋体" w:cs="宋体"/>
          <w:b/>
          <w:color w:val="auto"/>
          <w:sz w:val="32"/>
          <w:highlight w:val="none"/>
        </w:rPr>
      </w:pPr>
      <w:bookmarkStart w:id="213" w:name="_Toc21370_WPSOffice_Level1"/>
      <w:bookmarkStart w:id="214" w:name="_Toc6975_WPSOffice_Level1"/>
      <w:r>
        <w:rPr>
          <w:rFonts w:hint="eastAsia" w:hAnsi="宋体" w:cs="宋体"/>
          <w:b/>
          <w:color w:val="auto"/>
          <w:sz w:val="32"/>
          <w:highlight w:val="none"/>
        </w:rPr>
        <w:t>授权委托书（格式二）</w:t>
      </w:r>
      <w:bookmarkEnd w:id="213"/>
      <w:bookmarkEnd w:id="214"/>
    </w:p>
    <w:p w14:paraId="631D5A8B">
      <w:pPr>
        <w:pStyle w:val="15"/>
        <w:rPr>
          <w:rFonts w:hAnsi="宋体" w:cs="宋体"/>
          <w:b/>
          <w:color w:val="auto"/>
          <w:sz w:val="32"/>
          <w:highlight w:val="none"/>
        </w:rPr>
      </w:pPr>
    </w:p>
    <w:p w14:paraId="1035F0BD">
      <w:pPr>
        <w:pStyle w:val="15"/>
        <w:rPr>
          <w:rFonts w:hAnsi="宋体" w:cs="宋体"/>
          <w:color w:val="auto"/>
          <w:szCs w:val="21"/>
          <w:highlight w:val="none"/>
          <w:u w:val="single"/>
        </w:rPr>
      </w:pPr>
      <w:r>
        <w:rPr>
          <w:rFonts w:hint="eastAsia" w:hAnsi="宋体" w:cs="宋体"/>
          <w:b/>
          <w:color w:val="auto"/>
          <w:szCs w:val="21"/>
          <w:highlight w:val="none"/>
        </w:rPr>
        <w:t>致</w:t>
      </w:r>
      <w:r>
        <w:rPr>
          <w:rFonts w:hint="eastAsia" w:hAnsi="宋体" w:cs="宋体"/>
          <w:color w:val="auto"/>
          <w:szCs w:val="21"/>
          <w:highlight w:val="none"/>
        </w:rPr>
        <w:t>：</w:t>
      </w:r>
      <w:r>
        <w:rPr>
          <w:rFonts w:hint="eastAsia" w:hAnsi="宋体" w:cs="宋体"/>
          <w:color w:val="auto"/>
          <w:szCs w:val="21"/>
          <w:highlight w:val="none"/>
          <w:u w:val="single"/>
        </w:rPr>
        <w:t xml:space="preserve"> 广西天罡工程项目管理有限公司 </w:t>
      </w:r>
    </w:p>
    <w:p w14:paraId="622AE1F1">
      <w:pPr>
        <w:rPr>
          <w:rFonts w:ascii="宋体" w:hAnsi="宋体" w:cs="宋体"/>
          <w:color w:val="auto"/>
          <w:highlight w:val="none"/>
        </w:rPr>
      </w:pPr>
    </w:p>
    <w:p w14:paraId="303E0585">
      <w:pPr>
        <w:pStyle w:val="15"/>
        <w:spacing w:line="340" w:lineRule="exact"/>
        <w:ind w:firstLine="420" w:firstLineChars="200"/>
        <w:rPr>
          <w:rFonts w:hAnsi="宋体" w:cs="宋体"/>
          <w:color w:val="auto"/>
          <w:highlight w:val="none"/>
        </w:rPr>
      </w:pPr>
      <w:r>
        <w:rPr>
          <w:rFonts w:hint="eastAsia" w:hAnsi="宋体" w:cs="宋体"/>
          <w:color w:val="auto"/>
          <w:kern w:val="0"/>
          <w:highlight w:val="none"/>
        </w:rPr>
        <w:t>我</w:t>
      </w:r>
      <w:r>
        <w:rPr>
          <w:rFonts w:hint="eastAsia" w:hAnsi="宋体" w:cs="宋体"/>
          <w:color w:val="auto"/>
          <w:kern w:val="0"/>
          <w:highlight w:val="none"/>
          <w:u w:val="single"/>
        </w:rPr>
        <w:t xml:space="preserve">              </w:t>
      </w:r>
      <w:r>
        <w:rPr>
          <w:rFonts w:hint="eastAsia" w:hAnsi="宋体" w:cs="宋体"/>
          <w:color w:val="auto"/>
          <w:kern w:val="0"/>
          <w:highlight w:val="none"/>
        </w:rPr>
        <w:t>（姓名）系自然人，现授权委托</w:t>
      </w:r>
      <w:r>
        <w:rPr>
          <w:rFonts w:hint="eastAsia" w:hAnsi="宋体" w:cs="宋体"/>
          <w:color w:val="auto"/>
          <w:kern w:val="0"/>
          <w:highlight w:val="none"/>
          <w:u w:val="single"/>
        </w:rPr>
        <w:t xml:space="preserve">            </w:t>
      </w:r>
      <w:r>
        <w:rPr>
          <w:rFonts w:hint="eastAsia" w:hAnsi="宋体" w:cs="宋体"/>
          <w:color w:val="auto"/>
          <w:kern w:val="0"/>
          <w:highlight w:val="none"/>
        </w:rPr>
        <w:t>（姓 名）以本人名义参加</w:t>
      </w:r>
      <w:r>
        <w:rPr>
          <w:rFonts w:hint="eastAsia" w:hAnsi="宋体" w:cs="宋体"/>
          <w:color w:val="auto"/>
          <w:kern w:val="0"/>
          <w:highlight w:val="none"/>
          <w:u w:val="single"/>
        </w:rPr>
        <w:t xml:space="preserve">      </w:t>
      </w:r>
      <w:r>
        <w:rPr>
          <w:rFonts w:hint="eastAsia" w:hAnsi="宋体" w:cs="宋体"/>
          <w:color w:val="auto"/>
          <w:highlight w:val="none"/>
          <w:u w:val="single"/>
        </w:rPr>
        <w:t xml:space="preserve">（项目名称及项目编号）        </w:t>
      </w:r>
      <w:r>
        <w:rPr>
          <w:rFonts w:hint="eastAsia" w:hAnsi="宋体" w:cs="宋体"/>
          <w:color w:val="auto"/>
          <w:highlight w:val="none"/>
        </w:rPr>
        <w:t>项目的磋商活动，并代表本人全权办理针对上述项目的磋商、签约等具体事务和签署相关文件。</w:t>
      </w:r>
    </w:p>
    <w:p w14:paraId="2A17C98D">
      <w:pPr>
        <w:pStyle w:val="15"/>
        <w:spacing w:line="340" w:lineRule="exact"/>
        <w:ind w:firstLine="420" w:firstLineChars="200"/>
        <w:rPr>
          <w:rFonts w:hAnsi="宋体" w:cs="宋体"/>
          <w:color w:val="auto"/>
          <w:highlight w:val="none"/>
        </w:rPr>
      </w:pPr>
      <w:r>
        <w:rPr>
          <w:rFonts w:hint="eastAsia" w:hAnsi="宋体" w:cs="宋体"/>
          <w:color w:val="auto"/>
          <w:highlight w:val="none"/>
        </w:rPr>
        <w:t>本人对被授权人的签字事项负全部责任。</w:t>
      </w:r>
    </w:p>
    <w:p w14:paraId="484553C3">
      <w:pPr>
        <w:pStyle w:val="15"/>
        <w:spacing w:line="340" w:lineRule="exact"/>
        <w:ind w:firstLine="420" w:firstLineChars="200"/>
        <w:rPr>
          <w:rFonts w:hAnsi="宋体" w:cs="宋体"/>
          <w:color w:val="auto"/>
          <w:highlight w:val="none"/>
          <w:u w:val="single"/>
        </w:rPr>
      </w:pPr>
      <w:r>
        <w:rPr>
          <w:rFonts w:hint="eastAsia" w:hAnsi="宋体" w:cs="宋体"/>
          <w:color w:val="auto"/>
          <w:highlight w:val="none"/>
        </w:rPr>
        <w:t>授权委托代理期限：从</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 xml:space="preserve"> 日起至</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日止。</w:t>
      </w:r>
    </w:p>
    <w:p w14:paraId="5F8CB53A">
      <w:pPr>
        <w:pStyle w:val="15"/>
        <w:spacing w:line="340" w:lineRule="exact"/>
        <w:rPr>
          <w:rFonts w:hAnsi="宋体" w:cs="宋体"/>
          <w:color w:val="auto"/>
          <w:highlight w:val="none"/>
          <w:u w:val="single"/>
        </w:rPr>
      </w:pPr>
      <w:r>
        <w:rPr>
          <w:rFonts w:hint="eastAsia" w:hAnsi="宋体" w:cs="宋体"/>
          <w:color w:val="auto"/>
          <w:highlight w:val="none"/>
        </w:rPr>
        <w:t xml:space="preserve">                                                                                             </w:t>
      </w:r>
    </w:p>
    <w:p w14:paraId="2B0809C6">
      <w:pPr>
        <w:spacing w:line="340" w:lineRule="exact"/>
        <w:ind w:firstLine="420" w:firstLineChars="200"/>
        <w:rPr>
          <w:rFonts w:ascii="宋体" w:hAnsi="宋体" w:cs="宋体"/>
          <w:color w:val="auto"/>
          <w:kern w:val="0"/>
          <w:highlight w:val="none"/>
        </w:rPr>
      </w:pPr>
      <w:r>
        <w:rPr>
          <w:rFonts w:hint="eastAsia" w:ascii="宋体" w:hAnsi="宋体" w:cs="宋体"/>
          <w:color w:val="auto"/>
          <w:kern w:val="0"/>
          <w:highlight w:val="none"/>
        </w:rPr>
        <w:t xml:space="preserve">代理人无转委托权,特此委托。 </w:t>
      </w:r>
    </w:p>
    <w:p w14:paraId="7F8B3D4A">
      <w:pPr>
        <w:spacing w:line="340" w:lineRule="exact"/>
        <w:ind w:firstLine="420" w:firstLineChars="200"/>
        <w:rPr>
          <w:rFonts w:ascii="宋体" w:hAnsi="宋体" w:cs="宋体"/>
          <w:color w:val="auto"/>
          <w:kern w:val="0"/>
          <w:highlight w:val="none"/>
        </w:rPr>
      </w:pPr>
    </w:p>
    <w:p w14:paraId="5E20F0D9">
      <w:pPr>
        <w:spacing w:line="3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我已在下面签字，以资证明。</w:t>
      </w:r>
    </w:p>
    <w:p w14:paraId="1CB5C450">
      <w:pPr>
        <w:spacing w:line="340" w:lineRule="exact"/>
        <w:ind w:firstLine="420" w:firstLineChars="200"/>
        <w:rPr>
          <w:rFonts w:ascii="宋体" w:hAnsi="宋体" w:cs="宋体"/>
          <w:color w:val="auto"/>
          <w:szCs w:val="21"/>
          <w:highlight w:val="none"/>
        </w:rPr>
      </w:pPr>
    </w:p>
    <w:p w14:paraId="6B07944B">
      <w:pPr>
        <w:snapToGrid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自然人签字并在签名处加盖大拇指指印或个人CA证书签章：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1849B0E">
      <w:pPr>
        <w:pStyle w:val="15"/>
        <w:spacing w:line="400" w:lineRule="exact"/>
        <w:ind w:left="420" w:leftChars="200"/>
        <w:rPr>
          <w:rFonts w:hAnsi="宋体" w:cs="宋体"/>
          <w:color w:val="auto"/>
          <w:szCs w:val="21"/>
          <w:highlight w:val="none"/>
        </w:rPr>
      </w:pPr>
    </w:p>
    <w:p w14:paraId="33E845CC">
      <w:pPr>
        <w:pStyle w:val="15"/>
        <w:spacing w:line="400" w:lineRule="exact"/>
        <w:rPr>
          <w:rFonts w:hAnsi="宋体" w:cs="宋体"/>
          <w:b/>
          <w:color w:val="auto"/>
          <w:szCs w:val="21"/>
          <w:highlight w:val="none"/>
        </w:rPr>
        <w:sectPr>
          <w:footerReference r:id="rId7" w:type="first"/>
          <w:footerReference r:id="rId6" w:type="default"/>
          <w:pgSz w:w="11906" w:h="16838"/>
          <w:pgMar w:top="1500" w:right="1134" w:bottom="1258" w:left="1134" w:header="720" w:footer="720" w:gutter="0"/>
          <w:pgNumType w:fmt="decimal"/>
          <w:cols w:space="720" w:num="1"/>
          <w:docGrid w:type="linesAndChars" w:linePitch="331" w:charSpace="0"/>
        </w:sectPr>
      </w:pPr>
      <w:r>
        <w:rPr>
          <w:rFonts w:hint="eastAsia" w:hAnsi="宋体" w:cs="宋体"/>
          <w:b/>
          <w:color w:val="auto"/>
          <w:szCs w:val="21"/>
          <w:highlight w:val="none"/>
        </w:rPr>
        <w:t>附：委托代理人身份证正反面复印件</w:t>
      </w:r>
    </w:p>
    <w:p w14:paraId="0B1BD1AD">
      <w:pPr>
        <w:spacing w:line="440" w:lineRule="atLeast"/>
        <w:outlineLvl w:val="3"/>
        <w:rPr>
          <w:rFonts w:ascii="宋体" w:hAnsi="宋体" w:cs="宋体"/>
          <w:b/>
          <w:color w:val="auto"/>
          <w:sz w:val="28"/>
          <w:szCs w:val="28"/>
          <w:highlight w:val="none"/>
        </w:rPr>
      </w:pPr>
      <w:r>
        <w:rPr>
          <w:rFonts w:hint="eastAsia" w:ascii="宋体" w:hAnsi="宋体" w:cs="宋体"/>
          <w:b/>
          <w:color w:val="auto"/>
          <w:sz w:val="28"/>
          <w:szCs w:val="28"/>
          <w:highlight w:val="none"/>
        </w:rPr>
        <w:t>3.供应商参加政府采购活动前3年内在经营活动中没有重大违法记录及有关信用信息的书面声明（必须提供）；</w:t>
      </w:r>
    </w:p>
    <w:p w14:paraId="0374B33E">
      <w:pPr>
        <w:pStyle w:val="15"/>
        <w:spacing w:line="400" w:lineRule="exact"/>
        <w:ind w:left="420" w:leftChars="200" w:firstLine="156" w:firstLineChars="49"/>
        <w:rPr>
          <w:rFonts w:hAnsi="宋体" w:cs="宋体"/>
          <w:b/>
          <w:color w:val="auto"/>
          <w:sz w:val="32"/>
          <w:szCs w:val="32"/>
          <w:highlight w:val="none"/>
        </w:rPr>
      </w:pPr>
      <w:r>
        <w:rPr>
          <w:rFonts w:hint="eastAsia" w:hAnsi="宋体" w:cs="宋体"/>
          <w:b/>
          <w:color w:val="auto"/>
          <w:sz w:val="32"/>
          <w:szCs w:val="32"/>
          <w:highlight w:val="none"/>
        </w:rPr>
        <w:t xml:space="preserve">                       </w:t>
      </w:r>
    </w:p>
    <w:p w14:paraId="291860DE">
      <w:pPr>
        <w:pStyle w:val="15"/>
        <w:spacing w:line="400" w:lineRule="exact"/>
        <w:rPr>
          <w:rFonts w:hAnsi="宋体" w:cs="宋体"/>
          <w:b/>
          <w:color w:val="auto"/>
          <w:sz w:val="32"/>
          <w:szCs w:val="32"/>
          <w:highlight w:val="none"/>
        </w:rPr>
      </w:pPr>
      <w:r>
        <w:rPr>
          <w:rFonts w:hint="eastAsia" w:hAnsi="宋体" w:cs="宋体"/>
          <w:b/>
          <w:color w:val="auto"/>
          <w:sz w:val="32"/>
          <w:szCs w:val="32"/>
          <w:highlight w:val="none"/>
        </w:rPr>
        <w:t>附件：</w:t>
      </w:r>
    </w:p>
    <w:p w14:paraId="76C36DDD">
      <w:pPr>
        <w:pStyle w:val="15"/>
        <w:spacing w:line="400" w:lineRule="exact"/>
        <w:jc w:val="center"/>
        <w:rPr>
          <w:rFonts w:hAnsi="宋体" w:cs="宋体"/>
          <w:b/>
          <w:color w:val="auto"/>
          <w:sz w:val="32"/>
          <w:szCs w:val="32"/>
          <w:highlight w:val="none"/>
        </w:rPr>
      </w:pPr>
      <w:bookmarkStart w:id="215" w:name="_Toc30304_WPSOffice_Level1"/>
      <w:bookmarkStart w:id="216" w:name="_Toc30890_WPSOffice_Level1"/>
      <w:r>
        <w:rPr>
          <w:rFonts w:hint="eastAsia" w:hAnsi="宋体" w:cs="宋体"/>
          <w:b/>
          <w:color w:val="auto"/>
          <w:sz w:val="32"/>
          <w:szCs w:val="32"/>
          <w:highlight w:val="none"/>
        </w:rPr>
        <w:t>声   明</w:t>
      </w:r>
      <w:bookmarkEnd w:id="215"/>
      <w:bookmarkEnd w:id="216"/>
    </w:p>
    <w:p w14:paraId="4D39F9DA">
      <w:pPr>
        <w:pStyle w:val="15"/>
        <w:spacing w:line="400" w:lineRule="exact"/>
        <w:rPr>
          <w:rFonts w:hAnsi="宋体" w:cs="宋体"/>
          <w:b/>
          <w:color w:val="auto"/>
          <w:sz w:val="32"/>
          <w:szCs w:val="32"/>
          <w:highlight w:val="none"/>
        </w:rPr>
      </w:pPr>
    </w:p>
    <w:p w14:paraId="0FEFF208">
      <w:pPr>
        <w:pStyle w:val="15"/>
        <w:spacing w:line="400" w:lineRule="exact"/>
        <w:rPr>
          <w:rFonts w:hAnsi="宋体" w:cs="宋体"/>
          <w:color w:val="auto"/>
          <w:szCs w:val="21"/>
          <w:highlight w:val="none"/>
          <w:u w:val="single"/>
        </w:rPr>
      </w:pPr>
      <w:r>
        <w:rPr>
          <w:rFonts w:hint="eastAsia" w:hAnsi="宋体" w:cs="宋体"/>
          <w:b/>
          <w:color w:val="auto"/>
          <w:szCs w:val="21"/>
          <w:highlight w:val="none"/>
        </w:rPr>
        <w:t>致</w:t>
      </w:r>
      <w:r>
        <w:rPr>
          <w:rFonts w:hint="eastAsia" w:hAnsi="宋体" w:cs="宋体"/>
          <w:color w:val="auto"/>
          <w:szCs w:val="21"/>
          <w:highlight w:val="none"/>
        </w:rPr>
        <w:t>：</w:t>
      </w:r>
      <w:r>
        <w:rPr>
          <w:rFonts w:hint="eastAsia" w:hAnsi="宋体" w:cs="宋体"/>
          <w:color w:val="auto"/>
          <w:szCs w:val="21"/>
          <w:highlight w:val="none"/>
          <w:u w:val="single"/>
        </w:rPr>
        <w:t xml:space="preserve"> 广西天罡工程项目管理有限公司 </w:t>
      </w:r>
    </w:p>
    <w:p w14:paraId="52F36F99">
      <w:pPr>
        <w:rPr>
          <w:rFonts w:ascii="宋体" w:hAnsi="宋体" w:cs="宋体"/>
          <w:color w:val="auto"/>
          <w:szCs w:val="21"/>
          <w:highlight w:val="none"/>
          <w:u w:val="single"/>
        </w:rPr>
      </w:pPr>
    </w:p>
    <w:p w14:paraId="06CDF87A">
      <w:pPr>
        <w:pStyle w:val="10"/>
        <w:rPr>
          <w:rFonts w:ascii="宋体" w:hAnsi="宋体" w:cs="宋体"/>
          <w:color w:val="auto"/>
          <w:highlight w:val="none"/>
        </w:rPr>
      </w:pPr>
    </w:p>
    <w:p w14:paraId="452B23B6">
      <w:pPr>
        <w:pStyle w:val="15"/>
        <w:spacing w:line="400" w:lineRule="exact"/>
        <w:ind w:firstLine="420" w:firstLineChars="200"/>
        <w:rPr>
          <w:rFonts w:hAnsi="宋体" w:cs="宋体"/>
          <w:color w:val="auto"/>
          <w:highlight w:val="none"/>
        </w:rPr>
      </w:pPr>
      <w:r>
        <w:rPr>
          <w:rFonts w:hint="eastAsia" w:hAnsi="宋体" w:cs="宋体"/>
          <w:color w:val="auto"/>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AFF532C">
      <w:pPr>
        <w:rPr>
          <w:rFonts w:ascii="宋体" w:hAnsi="宋体" w:cs="宋体"/>
          <w:color w:val="auto"/>
          <w:highlight w:val="none"/>
        </w:rPr>
      </w:pPr>
    </w:p>
    <w:p w14:paraId="5B6E6E17">
      <w:pPr>
        <w:snapToGrid w:val="0"/>
        <w:spacing w:line="400" w:lineRule="exact"/>
        <w:ind w:firstLine="1890" w:firstLineChars="900"/>
        <w:rPr>
          <w:rFonts w:ascii="宋体" w:hAnsi="宋体" w:cs="宋体"/>
          <w:color w:val="auto"/>
          <w:highlight w:val="none"/>
        </w:rPr>
      </w:pPr>
      <w:r>
        <w:rPr>
          <w:rFonts w:hint="eastAsia" w:ascii="宋体" w:hAnsi="宋体" w:cs="宋体"/>
          <w:color w:val="auto"/>
          <w:szCs w:val="21"/>
          <w:highlight w:val="none"/>
        </w:rPr>
        <w:t>磋商供应商[(CA证书签章)，自然人签字或个人CA证书签章]：</w:t>
      </w:r>
      <w:r>
        <w:rPr>
          <w:rFonts w:hint="eastAsia" w:ascii="宋体" w:hAnsi="宋体" w:cs="宋体"/>
          <w:color w:val="auto"/>
          <w:szCs w:val="21"/>
          <w:highlight w:val="none"/>
          <w:u w:val="single"/>
        </w:rPr>
        <w:t xml:space="preserve">                                         </w:t>
      </w:r>
    </w:p>
    <w:p w14:paraId="4A39E215">
      <w:pPr>
        <w:pStyle w:val="15"/>
        <w:ind w:firstLine="3990" w:firstLineChars="1900"/>
        <w:rPr>
          <w:rFonts w:hAnsi="宋体" w:cs="宋体"/>
          <w:color w:val="auto"/>
          <w:highlight w:val="none"/>
          <w:u w:val="single"/>
        </w:rPr>
        <w:sectPr>
          <w:pgSz w:w="11906" w:h="16838"/>
          <w:pgMar w:top="1500" w:right="1134" w:bottom="1258" w:left="1134" w:header="850" w:footer="992" w:gutter="0"/>
          <w:pgNumType w:fmt="decimal"/>
          <w:cols w:space="720" w:num="1"/>
          <w:docGrid w:type="linesAndChars" w:linePitch="331" w:charSpace="0"/>
        </w:sectPr>
      </w:pPr>
      <w:r>
        <w:rPr>
          <w:rFonts w:hint="eastAsia" w:hAnsi="宋体" w:cs="宋体"/>
          <w:color w:val="auto"/>
          <w:highlight w:val="none"/>
        </w:rPr>
        <w:t>日          期：</w:t>
      </w:r>
      <w:r>
        <w:rPr>
          <w:rFonts w:hint="eastAsia" w:hAnsi="宋体" w:cs="宋体"/>
          <w:color w:val="auto"/>
          <w:highlight w:val="none"/>
          <w:u w:val="single"/>
        </w:rPr>
        <w:t xml:space="preserve">                  </w:t>
      </w:r>
    </w:p>
    <w:p w14:paraId="0269DA19">
      <w:pPr>
        <w:pStyle w:val="15"/>
        <w:outlineLvl w:val="3"/>
        <w:rPr>
          <w:rFonts w:hAnsi="宋体" w:cs="宋体"/>
          <w:b/>
          <w:color w:val="auto"/>
          <w:sz w:val="28"/>
          <w:szCs w:val="28"/>
          <w:highlight w:val="none"/>
        </w:rPr>
      </w:pPr>
      <w:r>
        <w:rPr>
          <w:rFonts w:hint="eastAsia" w:hAnsi="宋体" w:cs="宋体"/>
          <w:b/>
          <w:color w:val="auto"/>
          <w:sz w:val="28"/>
          <w:szCs w:val="28"/>
          <w:highlight w:val="none"/>
        </w:rPr>
        <w:t>4.供应商的法人或者其他组织营业执照等证明文件复印件（必须提供，自然人除外）；</w:t>
      </w:r>
    </w:p>
    <w:p w14:paraId="52F84973">
      <w:pPr>
        <w:tabs>
          <w:tab w:val="left" w:pos="1305"/>
        </w:tabs>
        <w:spacing w:line="340" w:lineRule="exact"/>
        <w:rPr>
          <w:rFonts w:ascii="宋体" w:hAnsi="宋体" w:cs="宋体"/>
          <w:b/>
          <w:color w:val="auto"/>
          <w:szCs w:val="21"/>
          <w:highlight w:val="none"/>
        </w:rPr>
      </w:pPr>
    </w:p>
    <w:p w14:paraId="60E1ACF9">
      <w:pPr>
        <w:tabs>
          <w:tab w:val="left" w:pos="1305"/>
        </w:tabs>
        <w:spacing w:line="400" w:lineRule="exact"/>
        <w:rPr>
          <w:rFonts w:ascii="宋体" w:hAnsi="宋体" w:cs="宋体"/>
          <w:b/>
          <w:color w:val="auto"/>
          <w:szCs w:val="21"/>
          <w:highlight w:val="none"/>
        </w:rPr>
      </w:pPr>
      <w:r>
        <w:rPr>
          <w:rFonts w:hint="eastAsia" w:ascii="宋体" w:hAnsi="宋体" w:cs="宋体"/>
          <w:b/>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145D89FD">
      <w:pPr>
        <w:rPr>
          <w:rFonts w:ascii="宋体" w:hAnsi="宋体" w:cs="宋体"/>
          <w:b/>
          <w:bCs/>
          <w:color w:val="auto"/>
          <w:sz w:val="28"/>
          <w:szCs w:val="28"/>
          <w:highlight w:val="none"/>
        </w:rPr>
      </w:pPr>
    </w:p>
    <w:p w14:paraId="076E1BE5">
      <w:pPr>
        <w:rPr>
          <w:rFonts w:hint="eastAsia" w:hAnsi="宋体" w:cs="宋体"/>
          <w:b/>
          <w:color w:val="auto"/>
          <w:sz w:val="28"/>
          <w:szCs w:val="28"/>
          <w:highlight w:val="none"/>
          <w:lang w:val="en-US" w:eastAsia="zh-CN"/>
        </w:rPr>
      </w:pPr>
    </w:p>
    <w:p w14:paraId="42B6B36D">
      <w:pPr>
        <w:tabs>
          <w:tab w:val="left" w:pos="4860"/>
        </w:tabs>
        <w:spacing w:line="588" w:lineRule="exact"/>
        <w:ind w:right="1560" w:firstLine="624" w:firstLineChars="200"/>
        <w:jc w:val="center"/>
        <w:rPr>
          <w:rFonts w:asciiTheme="minorEastAsia" w:hAnsiTheme="minorEastAsia" w:eastAsiaTheme="minorEastAsia"/>
          <w:color w:val="auto"/>
          <w:spacing w:val="6"/>
          <w:sz w:val="30"/>
          <w:szCs w:val="30"/>
          <w:highlight w:val="none"/>
        </w:rPr>
      </w:pPr>
    </w:p>
    <w:p w14:paraId="17FE7BF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8"/>
          <w:szCs w:val="28"/>
          <w:highlight w:val="none"/>
          <w:lang w:val="en-US" w:eastAsia="zh-CN"/>
        </w:rPr>
      </w:pPr>
    </w:p>
    <w:p w14:paraId="526D58ED">
      <w:pPr>
        <w:pStyle w:val="39"/>
        <w:ind w:firstLine="562"/>
        <w:rPr>
          <w:rFonts w:cs="宋体"/>
          <w:b/>
          <w:bCs/>
          <w:color w:val="auto"/>
          <w:sz w:val="28"/>
          <w:szCs w:val="28"/>
          <w:highlight w:val="none"/>
        </w:rPr>
      </w:pPr>
    </w:p>
    <w:p w14:paraId="5696DEF4">
      <w:pPr>
        <w:pStyle w:val="15"/>
        <w:outlineLvl w:val="3"/>
        <w:rPr>
          <w:rFonts w:hint="eastAsia" w:hAnsi="宋体" w:cs="宋体"/>
          <w:b/>
          <w:color w:val="auto"/>
          <w:sz w:val="28"/>
          <w:szCs w:val="28"/>
          <w:highlight w:val="none"/>
        </w:rPr>
      </w:pPr>
      <w:r>
        <w:rPr>
          <w:rFonts w:hint="eastAsia" w:hAnsi="宋体" w:cs="宋体"/>
          <w:b/>
          <w:color w:val="auto"/>
          <w:sz w:val="28"/>
          <w:szCs w:val="28"/>
          <w:highlight w:val="none"/>
          <w:lang w:val="en-US" w:eastAsia="zh-CN"/>
        </w:rPr>
        <w:t>5</w:t>
      </w:r>
      <w:r>
        <w:rPr>
          <w:rFonts w:hint="eastAsia" w:hAnsi="宋体" w:cs="宋体"/>
          <w:b/>
          <w:color w:val="auto"/>
          <w:sz w:val="28"/>
          <w:szCs w:val="28"/>
          <w:highlight w:val="none"/>
        </w:rPr>
        <w:t>.具备有效的林业调查规划设计丙级（含）以上资质（</w:t>
      </w:r>
      <w:r>
        <w:rPr>
          <w:rFonts w:hint="eastAsia" w:hAnsi="宋体" w:cs="宋体"/>
          <w:b/>
          <w:color w:val="auto"/>
          <w:sz w:val="28"/>
          <w:szCs w:val="28"/>
          <w:highlight w:val="none"/>
          <w:lang w:val="en-US" w:eastAsia="zh-CN"/>
        </w:rPr>
        <w:t>B分标</w:t>
      </w:r>
      <w:r>
        <w:rPr>
          <w:rFonts w:hint="eastAsia" w:hAnsi="宋体" w:cs="宋体"/>
          <w:b/>
          <w:color w:val="auto"/>
          <w:sz w:val="28"/>
          <w:szCs w:val="28"/>
          <w:highlight w:val="none"/>
        </w:rPr>
        <w:t>必须提供）；</w:t>
      </w:r>
    </w:p>
    <w:p w14:paraId="0E63DD1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8"/>
          <w:szCs w:val="28"/>
          <w:highlight w:val="none"/>
          <w:lang w:val="en-US" w:eastAsia="zh-CN"/>
        </w:rPr>
      </w:pPr>
    </w:p>
    <w:p w14:paraId="1D2B21F8">
      <w:pPr>
        <w:pStyle w:val="15"/>
        <w:outlineLvl w:val="3"/>
        <w:rPr>
          <w:rFonts w:hint="eastAsia" w:hAnsi="宋体" w:cs="宋体"/>
          <w:b/>
          <w:color w:val="auto"/>
          <w:sz w:val="28"/>
          <w:szCs w:val="28"/>
          <w:highlight w:val="none"/>
        </w:rPr>
      </w:pPr>
      <w:r>
        <w:rPr>
          <w:rFonts w:hint="eastAsia" w:ascii="宋体" w:hAnsi="宋体" w:cs="宋体"/>
          <w:b/>
          <w:bCs/>
          <w:color w:val="auto"/>
          <w:sz w:val="32"/>
          <w:szCs w:val="32"/>
          <w:highlight w:val="none"/>
        </w:rPr>
        <w:br w:type="page"/>
      </w:r>
      <w:r>
        <w:rPr>
          <w:rFonts w:hint="eastAsia" w:hAnsi="宋体" w:cs="宋体"/>
          <w:b/>
          <w:bCs/>
          <w:color w:val="auto"/>
          <w:sz w:val="32"/>
          <w:szCs w:val="32"/>
          <w:highlight w:val="none"/>
          <w:lang w:val="en-US" w:eastAsia="zh-CN"/>
        </w:rPr>
        <w:t>6</w:t>
      </w:r>
      <w:r>
        <w:rPr>
          <w:rFonts w:hint="eastAsia" w:hAnsi="宋体" w:cs="宋体"/>
          <w:b/>
          <w:color w:val="auto"/>
          <w:sz w:val="28"/>
          <w:szCs w:val="28"/>
          <w:highlight w:val="none"/>
        </w:rPr>
        <w:t>.</w:t>
      </w:r>
      <w:r>
        <w:rPr>
          <w:rFonts w:hint="eastAsia" w:hAnsi="宋体" w:cs="宋体"/>
          <w:b/>
          <w:color w:val="auto"/>
          <w:sz w:val="28"/>
          <w:szCs w:val="28"/>
          <w:highlight w:val="none"/>
          <w:lang w:eastAsia="zh-CN"/>
        </w:rPr>
        <w:t>联合体协议书</w:t>
      </w:r>
      <w:r>
        <w:rPr>
          <w:rFonts w:hint="eastAsia" w:hAnsi="宋体" w:cs="宋体"/>
          <w:b/>
          <w:color w:val="auto"/>
          <w:sz w:val="28"/>
          <w:szCs w:val="28"/>
          <w:highlight w:val="none"/>
        </w:rPr>
        <w:t>（</w:t>
      </w:r>
      <w:r>
        <w:rPr>
          <w:rFonts w:hint="eastAsia" w:hAnsi="宋体" w:cs="宋体"/>
          <w:b/>
          <w:color w:val="auto"/>
          <w:sz w:val="28"/>
          <w:szCs w:val="28"/>
          <w:highlight w:val="none"/>
          <w:lang w:val="en-US" w:eastAsia="zh-CN"/>
        </w:rPr>
        <w:t>A分标以联合体形式参与竞争的</w:t>
      </w:r>
      <w:r>
        <w:rPr>
          <w:rFonts w:hint="eastAsia" w:hAnsi="宋体" w:cs="宋体"/>
          <w:b/>
          <w:color w:val="auto"/>
          <w:sz w:val="28"/>
          <w:szCs w:val="28"/>
          <w:highlight w:val="none"/>
        </w:rPr>
        <w:t>必须提供）；</w:t>
      </w:r>
    </w:p>
    <w:p w14:paraId="65095407">
      <w:pPr>
        <w:pStyle w:val="15"/>
        <w:spacing w:line="600" w:lineRule="exact"/>
        <w:jc w:val="center"/>
        <w:rPr>
          <w:rFonts w:hint="eastAsia" w:ascii="Times New Roman" w:hAnsi="Times New Roman"/>
          <w:color w:val="auto"/>
          <w:highlight w:val="none"/>
        </w:rPr>
      </w:pPr>
      <w:r>
        <w:rPr>
          <w:rFonts w:hint="eastAsia" w:ascii="Times New Roman" w:hAnsi="Times New Roman"/>
          <w:b/>
          <w:bCs/>
          <w:color w:val="auto"/>
          <w:sz w:val="30"/>
          <w:szCs w:val="30"/>
          <w:highlight w:val="none"/>
        </w:rPr>
        <w:t>联合体协议书</w:t>
      </w:r>
    </w:p>
    <w:p w14:paraId="559746C5">
      <w:pPr>
        <w:autoSpaceDE w:val="0"/>
        <w:autoSpaceDN w:val="0"/>
        <w:adjustRightInd w:val="0"/>
        <w:spacing w:line="360" w:lineRule="auto"/>
        <w:jc w:val="left"/>
        <w:rPr>
          <w:rFonts w:ascii="宋体" w:cs="宋体"/>
          <w:color w:val="auto"/>
          <w:kern w:val="0"/>
          <w:szCs w:val="21"/>
          <w:highlight w:val="none"/>
          <w:u w:val="single"/>
        </w:rPr>
      </w:pPr>
    </w:p>
    <w:p w14:paraId="0E2211C9">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（所有成员单位名称）自愿组成联合体，共同参加</w:t>
      </w:r>
      <w:r>
        <w:rPr>
          <w:rFonts w:hint="eastAsia" w:ascii="宋体" w:cs="宋体"/>
          <w:color w:val="auto"/>
          <w:kern w:val="0"/>
          <w:szCs w:val="21"/>
          <w:highlight w:val="none"/>
          <w:u w:val="single"/>
        </w:rPr>
        <w:t xml:space="preserve">     （采购代理机构名称）  </w:t>
      </w:r>
      <w:r>
        <w:rPr>
          <w:rFonts w:hint="eastAsia" w:ascii="宋体" w:cs="宋体"/>
          <w:color w:val="auto"/>
          <w:kern w:val="0"/>
          <w:szCs w:val="21"/>
          <w:highlight w:val="none"/>
        </w:rPr>
        <w:t>组织的</w:t>
      </w:r>
      <w:r>
        <w:rPr>
          <w:rFonts w:hint="eastAsia" w:ascii="宋体" w:cs="宋体"/>
          <w:color w:val="auto"/>
          <w:kern w:val="0"/>
          <w:szCs w:val="21"/>
          <w:highlight w:val="none"/>
          <w:u w:val="single"/>
        </w:rPr>
        <w:t xml:space="preserve">         （项目名称）      </w:t>
      </w:r>
      <w:r>
        <w:rPr>
          <w:rFonts w:hint="eastAsia" w:ascii="宋体" w:cs="宋体"/>
          <w:color w:val="auto"/>
          <w:kern w:val="0"/>
          <w:szCs w:val="21"/>
          <w:highlight w:val="none"/>
        </w:rPr>
        <w:t>（项目编号：</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u w:val="single"/>
          <w:lang w:val="en-US" w:eastAsia="zh-CN"/>
        </w:rPr>
        <w:t xml:space="preserve">          </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）投标。现就联合体投标事宜订立如下协议：</w:t>
      </w:r>
    </w:p>
    <w:p w14:paraId="3C89211F">
      <w:pPr>
        <w:numPr>
          <w:ilvl w:val="0"/>
          <w:numId w:val="11"/>
        </w:num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（某成员单位名称）为联合体名称牵头人。</w:t>
      </w:r>
    </w:p>
    <w:p w14:paraId="7384CAB7">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TimesNewRomanPSMT"/>
          <w:color w:val="auto"/>
          <w:kern w:val="0"/>
          <w:szCs w:val="21"/>
          <w:highlight w:val="none"/>
        </w:rPr>
        <w:t>2</w:t>
      </w:r>
      <w:r>
        <w:rPr>
          <w:rFonts w:hint="eastAsia" w:ascii="宋体" w:hAnsi="宋体" w:cs="宋体"/>
          <w:color w:val="auto"/>
          <w:kern w:val="0"/>
          <w:szCs w:val="21"/>
          <w:highlight w:val="none"/>
        </w:rPr>
        <w:t>、联合体牵头人合法代表联合体各成员负责本</w:t>
      </w:r>
      <w:r>
        <w:rPr>
          <w:rFonts w:hint="eastAsia" w:ascii="宋体" w:hAnsi="宋体" w:cs="宋体"/>
          <w:color w:val="auto"/>
          <w:kern w:val="0"/>
          <w:szCs w:val="21"/>
          <w:highlight w:val="none"/>
          <w:lang w:eastAsia="zh-CN"/>
        </w:rPr>
        <w:t>采购</w:t>
      </w:r>
      <w:r>
        <w:rPr>
          <w:rFonts w:hint="eastAsia" w:ascii="宋体" w:hAnsi="宋体" w:cs="宋体"/>
          <w:color w:val="auto"/>
          <w:kern w:val="0"/>
          <w:szCs w:val="21"/>
          <w:highlight w:val="none"/>
        </w:rPr>
        <w:t>项目</w:t>
      </w:r>
      <w:r>
        <w:rPr>
          <w:rFonts w:hint="eastAsia" w:ascii="宋体" w:hAnsi="宋体" w:cs="宋体"/>
          <w:color w:val="auto"/>
          <w:kern w:val="0"/>
          <w:szCs w:val="21"/>
          <w:highlight w:val="none"/>
          <w:lang w:eastAsia="zh-CN"/>
        </w:rPr>
        <w:t>响应</w:t>
      </w:r>
      <w:r>
        <w:rPr>
          <w:rFonts w:hint="eastAsia" w:ascii="宋体" w:hAnsi="宋体" w:cs="宋体"/>
          <w:color w:val="auto"/>
          <w:kern w:val="0"/>
          <w:szCs w:val="21"/>
          <w:highlight w:val="none"/>
        </w:rPr>
        <w:t>文件编制和合同谈判活动，并代表联合体提交和接收相关的资料、信息及指示，并处理与之有关的一切事务，负责合同实施阶段的主办、组织和协调工作。</w:t>
      </w:r>
    </w:p>
    <w:p w14:paraId="5282756D">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3、联合体牵头人在本项目中签署和盖章的一切文件和处理的一切事宜，联合体各成员均予以承认。联合体各成员将严格按照</w:t>
      </w:r>
      <w:r>
        <w:rPr>
          <w:rFonts w:hint="eastAsia" w:ascii="宋体" w:hAnsi="宋体" w:cs="宋体"/>
          <w:color w:val="auto"/>
          <w:kern w:val="0"/>
          <w:szCs w:val="21"/>
          <w:highlight w:val="none"/>
          <w:lang w:eastAsia="zh-CN"/>
        </w:rPr>
        <w:t>采购</w:t>
      </w:r>
      <w:r>
        <w:rPr>
          <w:rFonts w:hint="eastAsia" w:ascii="宋体" w:hAnsi="宋体" w:cs="宋体"/>
          <w:color w:val="auto"/>
          <w:kern w:val="0"/>
          <w:szCs w:val="21"/>
          <w:highlight w:val="none"/>
        </w:rPr>
        <w:t>文件、</w:t>
      </w:r>
      <w:r>
        <w:rPr>
          <w:rFonts w:hint="eastAsia" w:ascii="宋体" w:hAnsi="宋体" w:cs="宋体"/>
          <w:color w:val="auto"/>
          <w:kern w:val="0"/>
          <w:szCs w:val="21"/>
          <w:highlight w:val="none"/>
          <w:lang w:eastAsia="zh-CN"/>
        </w:rPr>
        <w:t>响应</w:t>
      </w:r>
      <w:r>
        <w:rPr>
          <w:rFonts w:hint="eastAsia" w:ascii="宋体" w:hAnsi="宋体" w:cs="宋体"/>
          <w:color w:val="auto"/>
          <w:kern w:val="0"/>
          <w:szCs w:val="21"/>
          <w:highlight w:val="none"/>
        </w:rPr>
        <w:t>文件和合同的要求全面履行义务，并向</w:t>
      </w:r>
      <w:r>
        <w:rPr>
          <w:rFonts w:hint="eastAsia" w:ascii="宋体" w:hAnsi="宋体" w:cs="宋体"/>
          <w:color w:val="auto"/>
          <w:kern w:val="0"/>
          <w:szCs w:val="21"/>
          <w:highlight w:val="none"/>
          <w:lang w:eastAsia="zh-CN"/>
        </w:rPr>
        <w:t>采购</w:t>
      </w:r>
      <w:r>
        <w:rPr>
          <w:rFonts w:hint="eastAsia" w:ascii="宋体" w:hAnsi="宋体" w:cs="宋体"/>
          <w:color w:val="auto"/>
          <w:kern w:val="0"/>
          <w:szCs w:val="21"/>
          <w:highlight w:val="none"/>
        </w:rPr>
        <w:t>人承担连带责任。</w:t>
      </w:r>
    </w:p>
    <w:p w14:paraId="66DB5EB6">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TimesNewRomanPSMT"/>
          <w:color w:val="auto"/>
          <w:kern w:val="0"/>
          <w:szCs w:val="21"/>
          <w:highlight w:val="none"/>
        </w:rPr>
        <w:t>4</w:t>
      </w:r>
      <w:r>
        <w:rPr>
          <w:rFonts w:hint="eastAsia" w:ascii="宋体" w:hAnsi="宋体" w:cs="宋体"/>
          <w:color w:val="auto"/>
          <w:kern w:val="0"/>
          <w:szCs w:val="21"/>
          <w:highlight w:val="none"/>
        </w:rPr>
        <w:t>、联合体各成员单位内部的职责分工如下</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w:t>
      </w:r>
    </w:p>
    <w:p w14:paraId="2B81569C">
      <w:pPr>
        <w:pStyle w:val="15"/>
        <w:spacing w:line="360" w:lineRule="auto"/>
        <w:ind w:firstLine="420" w:firstLineChars="200"/>
        <w:rPr>
          <w:rFonts w:hint="eastAsia" w:ascii="Times New Roman" w:hAnsi="Times New Roman"/>
          <w:color w:val="auto"/>
          <w:szCs w:val="21"/>
          <w:highlight w:val="none"/>
        </w:rPr>
      </w:pPr>
      <w:r>
        <w:rPr>
          <w:rFonts w:hint="eastAsia" w:hAnsi="宋体" w:cs="宋体"/>
          <w:color w:val="auto"/>
          <w:kern w:val="0"/>
          <w:highlight w:val="none"/>
        </w:rPr>
        <w:t>5、本联合体中</w:t>
      </w:r>
      <w:r>
        <w:rPr>
          <w:rFonts w:hint="eastAsia" w:hAnsi="宋体" w:cs="宋体"/>
          <w:color w:val="auto"/>
          <w:kern w:val="0"/>
          <w:highlight w:val="none"/>
          <w:u w:val="single"/>
        </w:rPr>
        <w:t>，</w:t>
      </w:r>
      <w:r>
        <w:rPr>
          <w:rFonts w:hint="eastAsia" w:hAnsi="宋体" w:cs="宋体"/>
          <w:color w:val="auto"/>
          <w:kern w:val="0"/>
          <w:highlight w:val="none"/>
          <w:u w:val="single"/>
          <w:lang w:val="en-US" w:eastAsia="zh-CN"/>
        </w:rPr>
        <w:t xml:space="preserve">                  </w:t>
      </w:r>
      <w:r>
        <w:rPr>
          <w:rFonts w:hint="eastAsia" w:hAnsi="宋体" w:cs="宋体"/>
          <w:color w:val="auto"/>
          <w:kern w:val="0"/>
          <w:highlight w:val="none"/>
          <w:u w:val="single"/>
        </w:rPr>
        <w:t>（某成员单位名称）为</w:t>
      </w:r>
      <w:r>
        <w:rPr>
          <w:rFonts w:hint="eastAsia" w:hAnsi="宋体" w:cs="宋体"/>
          <w:color w:val="auto"/>
          <w:kern w:val="0"/>
          <w:highlight w:val="none"/>
          <w:u w:val="single"/>
          <w:lang w:val="en-US" w:eastAsia="zh-CN"/>
        </w:rPr>
        <w:t xml:space="preserve">              </w:t>
      </w:r>
      <w:r>
        <w:rPr>
          <w:rFonts w:hint="eastAsia"/>
          <w:color w:val="auto"/>
          <w:highlight w:val="none"/>
        </w:rPr>
        <w:t>（请填写：中型、小型、微型）企业，其协议合同金额占联合体协议合同总金额的</w:t>
      </w:r>
      <w:r>
        <w:rPr>
          <w:rFonts w:hint="eastAsia"/>
          <w:color w:val="auto"/>
          <w:highlight w:val="none"/>
          <w:u w:val="single"/>
          <w:lang w:val="en-US" w:eastAsia="zh-CN"/>
        </w:rPr>
        <w:t xml:space="preserve">        </w:t>
      </w:r>
      <w:r>
        <w:rPr>
          <w:rFonts w:hint="eastAsia"/>
          <w:color w:val="auto"/>
          <w:highlight w:val="none"/>
        </w:rPr>
        <w:t>%。【如联合体成员中有小型、微型企业的，请填写此条，否则无需填写；如联合体成员中有多个小型、微型企业的，请逐一列出。】</w:t>
      </w:r>
    </w:p>
    <w:p w14:paraId="442A66C6">
      <w:pPr>
        <w:autoSpaceDE w:val="0"/>
        <w:autoSpaceDN w:val="0"/>
        <w:adjustRightIn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、本协议书自签署之日起生效，合同履行完毕后自动失效。</w:t>
      </w:r>
    </w:p>
    <w:p w14:paraId="5AFB9C25">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TimesNewRomanPSMT"/>
          <w:color w:val="auto"/>
          <w:kern w:val="0"/>
          <w:szCs w:val="21"/>
          <w:highlight w:val="none"/>
          <w:lang w:val="en-US" w:eastAsia="zh-CN"/>
        </w:rPr>
        <w:t>7</w:t>
      </w:r>
      <w:r>
        <w:rPr>
          <w:rFonts w:hint="eastAsia" w:ascii="宋体" w:hAnsi="宋体" w:cs="宋体"/>
          <w:color w:val="auto"/>
          <w:kern w:val="0"/>
          <w:szCs w:val="21"/>
          <w:highlight w:val="none"/>
        </w:rPr>
        <w:t>、本协议书一式</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份，联合体成员和采购代理机构各执一份。</w:t>
      </w:r>
    </w:p>
    <w:p w14:paraId="05C68A40">
      <w:pPr>
        <w:autoSpaceDE w:val="0"/>
        <w:autoSpaceDN w:val="0"/>
        <w:adjustRightInd w:val="0"/>
        <w:spacing w:line="360" w:lineRule="auto"/>
        <w:ind w:firstLine="420"/>
        <w:jc w:val="left"/>
        <w:rPr>
          <w:rFonts w:hint="eastAsia" w:ascii="宋体" w:cs="宋体"/>
          <w:color w:val="auto"/>
          <w:kern w:val="0"/>
          <w:szCs w:val="21"/>
          <w:highlight w:val="none"/>
        </w:rPr>
      </w:pPr>
      <w:r>
        <w:rPr>
          <w:rFonts w:hint="eastAsia" w:ascii="宋体" w:cs="宋体"/>
          <w:color w:val="auto"/>
          <w:kern w:val="0"/>
          <w:szCs w:val="21"/>
          <w:highlight w:val="none"/>
        </w:rPr>
        <w:t>注：本协议书由法定代表人签字的，应附法定代表人身份证明；本协议书由委托代理人签字的，应附法定代表人授权委托书。</w:t>
      </w:r>
    </w:p>
    <w:p w14:paraId="76AD4F89">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牵头人名称：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4F1740D8">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（手写签名/电子签名）</w:t>
      </w:r>
    </w:p>
    <w:p w14:paraId="3E8DC638">
      <w:pPr>
        <w:autoSpaceDE w:val="0"/>
        <w:autoSpaceDN w:val="0"/>
        <w:adjustRightInd w:val="0"/>
        <w:spacing w:line="360" w:lineRule="auto"/>
        <w:jc w:val="left"/>
        <w:rPr>
          <w:rFonts w:hint="eastAsia" w:ascii="宋体" w:cs="宋体"/>
          <w:color w:val="auto"/>
          <w:kern w:val="0"/>
          <w:szCs w:val="21"/>
          <w:highlight w:val="none"/>
        </w:rPr>
      </w:pPr>
    </w:p>
    <w:p w14:paraId="3537F7DA">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成员一名称：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1C87C7E9">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（手写签名/电子签名）</w:t>
      </w:r>
    </w:p>
    <w:p w14:paraId="6D701CB3">
      <w:pPr>
        <w:autoSpaceDE w:val="0"/>
        <w:autoSpaceDN w:val="0"/>
        <w:adjustRightInd w:val="0"/>
        <w:spacing w:line="360" w:lineRule="auto"/>
        <w:jc w:val="left"/>
        <w:rPr>
          <w:rFonts w:hint="eastAsia" w:ascii="宋体" w:cs="宋体"/>
          <w:color w:val="auto"/>
          <w:kern w:val="0"/>
          <w:szCs w:val="21"/>
          <w:highlight w:val="none"/>
        </w:rPr>
      </w:pPr>
    </w:p>
    <w:p w14:paraId="3F8CD217">
      <w:pPr>
        <w:autoSpaceDE w:val="0"/>
        <w:autoSpaceDN w:val="0"/>
        <w:adjustRightInd w:val="0"/>
        <w:spacing w:line="360" w:lineRule="auto"/>
        <w:jc w:val="left"/>
        <w:rPr>
          <w:rFonts w:hint="eastAsia" w:ascii="宋体" w:cs="宋体"/>
          <w:color w:val="auto"/>
          <w:kern w:val="0"/>
          <w:szCs w:val="21"/>
          <w:highlight w:val="none"/>
        </w:rPr>
      </w:pPr>
      <w:r>
        <w:rPr>
          <w:rFonts w:hint="eastAsia" w:ascii="宋体" w:cs="宋体"/>
          <w:color w:val="auto"/>
          <w:kern w:val="0"/>
          <w:szCs w:val="21"/>
          <w:highlight w:val="none"/>
        </w:rPr>
        <w:t>成员二名称：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66FEBFF8">
      <w:pPr>
        <w:pStyle w:val="15"/>
        <w:spacing w:line="600" w:lineRule="exact"/>
        <w:jc w:val="both"/>
        <w:rPr>
          <w:color w:val="auto"/>
          <w:highlight w:val="none"/>
        </w:rPr>
      </w:pPr>
      <w:r>
        <w:rPr>
          <w:rFonts w:hint="eastAsia" w:cs="宋体"/>
          <w:color w:val="auto"/>
          <w:kern w:val="0"/>
          <w:szCs w:val="21"/>
          <w:highlight w:val="none"/>
        </w:rPr>
        <w:t>法定代表人或其委托代理人：</w:t>
      </w:r>
      <w:r>
        <w:rPr>
          <w:rFonts w:hint="eastAsia" w:cs="宋体"/>
          <w:color w:val="auto"/>
          <w:kern w:val="0"/>
          <w:szCs w:val="21"/>
          <w:highlight w:val="none"/>
          <w:u w:val="single"/>
        </w:rPr>
        <w:t xml:space="preserve">                         </w:t>
      </w:r>
      <w:r>
        <w:rPr>
          <w:rFonts w:hint="eastAsia" w:cs="宋体"/>
          <w:color w:val="auto"/>
          <w:kern w:val="0"/>
          <w:szCs w:val="21"/>
          <w:highlight w:val="none"/>
        </w:rPr>
        <w:t>（</w:t>
      </w:r>
      <w:r>
        <w:rPr>
          <w:rFonts w:hint="eastAsia" w:hAnsi="Times New Roman" w:cs="宋体"/>
          <w:color w:val="auto"/>
          <w:kern w:val="0"/>
          <w:szCs w:val="21"/>
          <w:highlight w:val="none"/>
        </w:rPr>
        <w:t>手写签名</w:t>
      </w:r>
      <w:r>
        <w:rPr>
          <w:rFonts w:hint="eastAsia" w:cs="宋体"/>
          <w:color w:val="auto"/>
          <w:kern w:val="0"/>
          <w:szCs w:val="21"/>
          <w:highlight w:val="none"/>
        </w:rPr>
        <w:t>/</w:t>
      </w:r>
      <w:r>
        <w:rPr>
          <w:rFonts w:hint="eastAsia" w:hAnsi="Times New Roman" w:cs="宋体"/>
          <w:color w:val="auto"/>
          <w:kern w:val="0"/>
          <w:szCs w:val="21"/>
          <w:highlight w:val="none"/>
        </w:rPr>
        <w:t>电子签名</w:t>
      </w:r>
      <w:r>
        <w:rPr>
          <w:rFonts w:hint="eastAsia" w:cs="宋体"/>
          <w:color w:val="auto"/>
          <w:kern w:val="0"/>
          <w:szCs w:val="21"/>
          <w:highlight w:val="none"/>
        </w:rPr>
        <w:t>）</w:t>
      </w:r>
    </w:p>
    <w:p w14:paraId="30EF131C">
      <w:pPr>
        <w:rPr>
          <w:rFonts w:hint="eastAsia" w:ascii="宋体" w:hAnsi="宋体" w:cs="宋体"/>
          <w:b/>
          <w:bCs/>
          <w:color w:val="auto"/>
          <w:sz w:val="21"/>
          <w:szCs w:val="21"/>
          <w:highlight w:val="none"/>
        </w:rPr>
      </w:pPr>
      <w:r>
        <w:rPr>
          <w:rFonts w:hint="eastAsia" w:ascii="宋体" w:hAnsi="宋体" w:cs="宋体"/>
          <w:b w:val="0"/>
          <w:bCs w:val="0"/>
          <w:color w:val="auto"/>
          <w:sz w:val="21"/>
          <w:szCs w:val="21"/>
          <w:highlight w:val="none"/>
          <w:lang w:eastAsia="zh-CN"/>
        </w:rPr>
        <w:t>…………</w:t>
      </w:r>
      <w:r>
        <w:rPr>
          <w:rFonts w:hint="eastAsia" w:ascii="宋体" w:hAnsi="宋体" w:cs="宋体"/>
          <w:b/>
          <w:bCs/>
          <w:color w:val="auto"/>
          <w:sz w:val="21"/>
          <w:szCs w:val="21"/>
          <w:highlight w:val="none"/>
        </w:rPr>
        <w:br w:type="page"/>
      </w:r>
    </w:p>
    <w:p w14:paraId="60B8CE5B">
      <w:pPr>
        <w:ind w:left="420"/>
        <w:jc w:val="center"/>
        <w:outlineLvl w:val="2"/>
        <w:rPr>
          <w:rFonts w:ascii="宋体" w:hAnsi="宋体" w:cs="宋体"/>
          <w:b/>
          <w:bCs/>
          <w:color w:val="auto"/>
          <w:sz w:val="32"/>
          <w:szCs w:val="32"/>
          <w:highlight w:val="none"/>
        </w:rPr>
      </w:pPr>
      <w:r>
        <w:rPr>
          <w:rFonts w:hint="eastAsia" w:ascii="宋体" w:hAnsi="宋体" w:cs="宋体"/>
          <w:b/>
          <w:bCs/>
          <w:color w:val="auto"/>
          <w:sz w:val="32"/>
          <w:szCs w:val="32"/>
          <w:highlight w:val="none"/>
        </w:rPr>
        <w:t>（二）符合性响应证明材料目录</w:t>
      </w:r>
    </w:p>
    <w:p w14:paraId="5935B5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color w:val="auto"/>
          <w:sz w:val="24"/>
          <w:szCs w:val="24"/>
          <w:highlight w:val="none"/>
        </w:rPr>
      </w:pPr>
      <w:r>
        <w:rPr>
          <w:rFonts w:hint="default" w:ascii="宋体" w:hAnsi="宋体" w:eastAsia="宋体" w:cs="宋体"/>
          <w:b w:val="0"/>
          <w:bCs w:val="0"/>
          <w:color w:val="auto"/>
          <w:kern w:val="2"/>
          <w:sz w:val="24"/>
          <w:szCs w:val="24"/>
          <w:highlight w:val="none"/>
          <w:lang w:val="en-US" w:eastAsia="zh-CN" w:bidi="ar-SA"/>
        </w:rPr>
        <w:t>1．</w:t>
      </w:r>
      <w:r>
        <w:rPr>
          <w:rFonts w:hint="eastAsia" w:ascii="宋体" w:hAnsi="宋体" w:cs="宋体"/>
          <w:color w:val="auto"/>
          <w:sz w:val="24"/>
          <w:szCs w:val="24"/>
          <w:highlight w:val="none"/>
        </w:rPr>
        <w:t>响应函</w:t>
      </w:r>
      <w:r>
        <w:rPr>
          <w:rFonts w:hint="eastAsia" w:ascii="宋体" w:hAnsi="宋体" w:cs="宋体"/>
          <w:b/>
          <w:bCs/>
          <w:color w:val="auto"/>
          <w:sz w:val="24"/>
          <w:szCs w:val="24"/>
          <w:highlight w:val="none"/>
        </w:rPr>
        <w:t>（格式见附件）（必须提供</w:t>
      </w:r>
      <w:r>
        <w:rPr>
          <w:color w:val="auto"/>
          <w:sz w:val="24"/>
          <w:szCs w:val="24"/>
          <w:highlight w:val="none"/>
        </w:rPr>
        <w:t>）</w:t>
      </w:r>
      <w:r>
        <w:rPr>
          <w:rFonts w:hint="eastAsia" w:ascii="宋体" w:hAnsi="宋体" w:cs="宋体"/>
          <w:b/>
          <w:bCs/>
          <w:color w:val="auto"/>
          <w:sz w:val="24"/>
          <w:szCs w:val="24"/>
          <w:highlight w:val="none"/>
        </w:rPr>
        <w:t>；</w:t>
      </w:r>
    </w:p>
    <w:p w14:paraId="317E735F">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ascii="宋体" w:hAnsi="宋体" w:cs="宋体"/>
          <w:color w:val="auto"/>
          <w:sz w:val="24"/>
          <w:szCs w:val="24"/>
          <w:highlight w:val="none"/>
        </w:rPr>
      </w:pPr>
    </w:p>
    <w:p w14:paraId="20B213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b/>
          <w:bCs/>
          <w:color w:val="auto"/>
          <w:sz w:val="24"/>
          <w:szCs w:val="24"/>
          <w:highlight w:val="none"/>
        </w:rPr>
      </w:pPr>
      <w:r>
        <w:rPr>
          <w:rFonts w:hint="default" w:ascii="宋体" w:hAnsi="宋体" w:eastAsia="宋体" w:cs="宋体"/>
          <w:b w:val="0"/>
          <w:bCs w:val="0"/>
          <w:color w:val="auto"/>
          <w:kern w:val="2"/>
          <w:sz w:val="24"/>
          <w:szCs w:val="24"/>
          <w:highlight w:val="none"/>
          <w:lang w:val="en-US" w:eastAsia="zh-CN" w:bidi="ar-SA"/>
        </w:rPr>
        <w:t>2．</w:t>
      </w:r>
      <w:r>
        <w:rPr>
          <w:rFonts w:hint="eastAsia" w:ascii="宋体" w:hAnsi="宋体" w:cs="宋体"/>
          <w:color w:val="auto"/>
          <w:sz w:val="24"/>
          <w:szCs w:val="24"/>
          <w:highlight w:val="none"/>
        </w:rPr>
        <w:t>磋商报价表</w:t>
      </w:r>
      <w:r>
        <w:rPr>
          <w:rFonts w:hint="eastAsia" w:ascii="宋体" w:hAnsi="宋体" w:cs="宋体"/>
          <w:b/>
          <w:bCs/>
          <w:color w:val="auto"/>
          <w:sz w:val="24"/>
          <w:szCs w:val="24"/>
          <w:highlight w:val="none"/>
        </w:rPr>
        <w:t>（格式见附件）（必须提供）；</w:t>
      </w:r>
    </w:p>
    <w:p w14:paraId="5435F54D">
      <w:pPr>
        <w:pStyle w:val="10"/>
        <w:keepNext w:val="0"/>
        <w:keepLines w:val="0"/>
        <w:pageBreakBefore w:val="0"/>
        <w:widowControl w:val="0"/>
        <w:kinsoku/>
        <w:wordWrap/>
        <w:overflowPunct/>
        <w:topLinePunct w:val="0"/>
        <w:autoSpaceDE/>
        <w:autoSpaceDN/>
        <w:bidi w:val="0"/>
        <w:adjustRightInd/>
        <w:snapToGrid/>
        <w:spacing w:line="360" w:lineRule="auto"/>
        <w:ind w:left="0"/>
        <w:textAlignment w:val="auto"/>
        <w:rPr>
          <w:rFonts w:ascii="宋体" w:hAnsi="宋体" w:cs="宋体"/>
          <w:color w:val="auto"/>
          <w:sz w:val="24"/>
          <w:szCs w:val="24"/>
          <w:highlight w:val="none"/>
        </w:rPr>
      </w:pPr>
    </w:p>
    <w:p w14:paraId="5C42BF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color w:val="auto"/>
          <w:sz w:val="24"/>
          <w:szCs w:val="24"/>
          <w:highlight w:val="none"/>
        </w:rPr>
      </w:pPr>
      <w:r>
        <w:rPr>
          <w:rFonts w:hint="default" w:ascii="宋体" w:hAnsi="宋体" w:eastAsia="宋体" w:cs="宋体"/>
          <w:b w:val="0"/>
          <w:bCs w:val="0"/>
          <w:color w:val="auto"/>
          <w:kern w:val="2"/>
          <w:sz w:val="24"/>
          <w:szCs w:val="24"/>
          <w:highlight w:val="none"/>
          <w:lang w:val="en-US" w:eastAsia="zh-CN" w:bidi="ar-SA"/>
        </w:rPr>
        <w:t>3．</w:t>
      </w:r>
      <w:r>
        <w:rPr>
          <w:rFonts w:hint="eastAsia" w:ascii="宋体" w:hAnsi="宋体" w:cs="宋体"/>
          <w:color w:val="auto"/>
          <w:sz w:val="24"/>
          <w:szCs w:val="24"/>
          <w:highlight w:val="none"/>
        </w:rPr>
        <w:t>采购需求响应说明表</w:t>
      </w:r>
      <w:r>
        <w:rPr>
          <w:rFonts w:hint="eastAsia" w:ascii="宋体" w:hAnsi="宋体" w:cs="宋体"/>
          <w:b/>
          <w:bCs/>
          <w:color w:val="auto"/>
          <w:sz w:val="24"/>
          <w:szCs w:val="24"/>
          <w:highlight w:val="none"/>
        </w:rPr>
        <w:t>（格式见附件）（必须提供）；</w:t>
      </w:r>
    </w:p>
    <w:p w14:paraId="04A5D038">
      <w:pPr>
        <w:pStyle w:val="10"/>
        <w:keepNext w:val="0"/>
        <w:keepLines w:val="0"/>
        <w:pageBreakBefore w:val="0"/>
        <w:widowControl w:val="0"/>
        <w:kinsoku/>
        <w:wordWrap/>
        <w:overflowPunct/>
        <w:topLinePunct w:val="0"/>
        <w:autoSpaceDE/>
        <w:autoSpaceDN/>
        <w:bidi w:val="0"/>
        <w:adjustRightInd/>
        <w:snapToGrid/>
        <w:spacing w:line="360" w:lineRule="auto"/>
        <w:ind w:left="0"/>
        <w:textAlignment w:val="auto"/>
        <w:rPr>
          <w:rFonts w:ascii="宋体" w:hAnsi="宋体" w:cs="宋体"/>
          <w:color w:val="auto"/>
          <w:sz w:val="24"/>
          <w:szCs w:val="24"/>
          <w:highlight w:val="none"/>
        </w:rPr>
      </w:pPr>
    </w:p>
    <w:p w14:paraId="650F61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b/>
          <w:bCs/>
          <w:color w:val="auto"/>
          <w:sz w:val="24"/>
          <w:szCs w:val="24"/>
          <w:highlight w:val="none"/>
        </w:rPr>
      </w:pPr>
      <w:r>
        <w:rPr>
          <w:rFonts w:hint="default" w:ascii="宋体" w:hAnsi="宋体" w:eastAsia="宋体" w:cs="宋体"/>
          <w:b w:val="0"/>
          <w:bCs w:val="0"/>
          <w:color w:val="auto"/>
          <w:kern w:val="2"/>
          <w:sz w:val="24"/>
          <w:szCs w:val="24"/>
          <w:highlight w:val="none"/>
          <w:lang w:val="en-US" w:eastAsia="zh-CN" w:bidi="ar-SA"/>
        </w:rPr>
        <w:t>4．</w:t>
      </w:r>
      <w:r>
        <w:rPr>
          <w:rFonts w:hint="eastAsia" w:ascii="宋体" w:hAnsi="宋体" w:cs="宋体"/>
          <w:color w:val="auto"/>
          <w:sz w:val="24"/>
          <w:szCs w:val="24"/>
          <w:highlight w:val="none"/>
        </w:rPr>
        <w:t>售后服务承诺书</w:t>
      </w:r>
      <w:r>
        <w:rPr>
          <w:rFonts w:hint="eastAsia" w:ascii="宋体" w:hAnsi="宋体" w:cs="宋体"/>
          <w:b/>
          <w:bCs/>
          <w:color w:val="auto"/>
          <w:sz w:val="24"/>
          <w:szCs w:val="24"/>
          <w:highlight w:val="none"/>
        </w:rPr>
        <w:t>（格式见附件）（必须提供）。</w:t>
      </w:r>
    </w:p>
    <w:p w14:paraId="304FF2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b/>
          <w:bCs/>
          <w:color w:val="auto"/>
          <w:sz w:val="24"/>
          <w:szCs w:val="24"/>
          <w:highlight w:val="none"/>
        </w:rPr>
      </w:pPr>
    </w:p>
    <w:p w14:paraId="3606E8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0"/>
        <w:textAlignment w:val="auto"/>
        <w:rPr>
          <w:rFonts w:ascii="宋体" w:hAnsi="宋体" w:cs="宋体"/>
          <w:b/>
          <w:bCs/>
          <w:color w:val="auto"/>
          <w:sz w:val="24"/>
          <w:szCs w:val="24"/>
          <w:highlight w:val="none"/>
        </w:rPr>
      </w:pPr>
      <w:r>
        <w:rPr>
          <w:rFonts w:hint="eastAsia" w:ascii="宋体" w:hAnsi="宋体" w:cs="宋体"/>
          <w:b w:val="0"/>
          <w:bCs w:val="0"/>
          <w:color w:val="auto"/>
          <w:kern w:val="2"/>
          <w:sz w:val="24"/>
          <w:szCs w:val="24"/>
          <w:highlight w:val="none"/>
          <w:lang w:val="en-US" w:eastAsia="zh-CN" w:bidi="ar-SA"/>
        </w:rPr>
        <w:t>5</w:t>
      </w:r>
      <w:r>
        <w:rPr>
          <w:rFonts w:hint="default" w:ascii="宋体" w:hAnsi="宋体" w:eastAsia="宋体" w:cs="宋体"/>
          <w:b w:val="0"/>
          <w:bCs w:val="0"/>
          <w:color w:val="auto"/>
          <w:kern w:val="2"/>
          <w:sz w:val="24"/>
          <w:szCs w:val="24"/>
          <w:highlight w:val="none"/>
          <w:lang w:val="en-US" w:eastAsia="zh-CN" w:bidi="ar-SA"/>
        </w:rPr>
        <w:t>．</w:t>
      </w:r>
      <w:r>
        <w:rPr>
          <w:rFonts w:hint="eastAsia" w:ascii="宋体" w:hAnsi="宋体" w:cs="宋体"/>
          <w:b w:val="0"/>
          <w:bCs w:val="0"/>
          <w:color w:val="auto"/>
          <w:sz w:val="24"/>
          <w:szCs w:val="24"/>
          <w:highlight w:val="none"/>
        </w:rPr>
        <w:t>花坪保护区内（施工）作业（单位）人员安全生产承诺书</w:t>
      </w:r>
      <w:r>
        <w:rPr>
          <w:rFonts w:hint="eastAsia" w:ascii="宋体" w:hAnsi="宋体" w:cs="宋体"/>
          <w:b/>
          <w:bCs/>
          <w:color w:val="auto"/>
          <w:sz w:val="24"/>
          <w:szCs w:val="24"/>
          <w:highlight w:val="none"/>
        </w:rPr>
        <w:t>（格式见附件）（必须提供）；</w:t>
      </w:r>
    </w:p>
    <w:p w14:paraId="0D8698CD">
      <w:pPr>
        <w:pStyle w:val="40"/>
        <w:rPr>
          <w:rFonts w:ascii="宋体" w:hAnsi="宋体" w:cs="宋体"/>
          <w:color w:val="auto"/>
          <w:highlight w:val="none"/>
        </w:rPr>
      </w:pPr>
    </w:p>
    <w:p w14:paraId="5009B7E4">
      <w:pPr>
        <w:pStyle w:val="40"/>
        <w:rPr>
          <w:rFonts w:ascii="宋体" w:hAnsi="宋体" w:cs="宋体"/>
          <w:color w:val="auto"/>
          <w:highlight w:val="none"/>
        </w:rPr>
      </w:pPr>
    </w:p>
    <w:p w14:paraId="21DF2BFB">
      <w:pPr>
        <w:pStyle w:val="40"/>
        <w:rPr>
          <w:rFonts w:ascii="宋体" w:hAnsi="宋体" w:cs="宋体"/>
          <w:color w:val="auto"/>
          <w:highlight w:val="none"/>
        </w:rPr>
      </w:pPr>
    </w:p>
    <w:p w14:paraId="22B51377">
      <w:pPr>
        <w:pStyle w:val="40"/>
        <w:rPr>
          <w:rFonts w:ascii="宋体" w:hAnsi="宋体" w:cs="宋体"/>
          <w:color w:val="auto"/>
          <w:highlight w:val="none"/>
        </w:rPr>
      </w:pPr>
    </w:p>
    <w:p w14:paraId="4C462B36">
      <w:pPr>
        <w:pStyle w:val="40"/>
        <w:rPr>
          <w:rFonts w:ascii="宋体" w:hAnsi="宋体" w:cs="宋体"/>
          <w:color w:val="auto"/>
          <w:highlight w:val="none"/>
        </w:rPr>
      </w:pPr>
    </w:p>
    <w:p w14:paraId="19470C2C">
      <w:pPr>
        <w:pStyle w:val="40"/>
        <w:rPr>
          <w:rFonts w:ascii="宋体" w:hAnsi="宋体" w:cs="宋体"/>
          <w:color w:val="auto"/>
          <w:highlight w:val="none"/>
        </w:rPr>
      </w:pPr>
    </w:p>
    <w:p w14:paraId="3B536CC2">
      <w:pPr>
        <w:pStyle w:val="40"/>
        <w:rPr>
          <w:rFonts w:ascii="宋体" w:hAnsi="宋体" w:cs="宋体"/>
          <w:color w:val="auto"/>
          <w:highlight w:val="none"/>
        </w:rPr>
      </w:pPr>
    </w:p>
    <w:p w14:paraId="70DA3887">
      <w:pPr>
        <w:pStyle w:val="40"/>
        <w:rPr>
          <w:rFonts w:ascii="宋体" w:hAnsi="宋体" w:cs="宋体"/>
          <w:color w:val="auto"/>
          <w:highlight w:val="none"/>
        </w:rPr>
      </w:pPr>
    </w:p>
    <w:p w14:paraId="4DAC5F78">
      <w:pPr>
        <w:pStyle w:val="40"/>
        <w:rPr>
          <w:rFonts w:ascii="宋体" w:hAnsi="宋体" w:cs="宋体"/>
          <w:color w:val="auto"/>
          <w:highlight w:val="none"/>
        </w:rPr>
      </w:pPr>
    </w:p>
    <w:p w14:paraId="11B74627">
      <w:pPr>
        <w:pStyle w:val="10"/>
        <w:rPr>
          <w:rFonts w:ascii="宋体" w:hAnsi="宋体" w:cs="宋体"/>
          <w:color w:val="auto"/>
          <w:highlight w:val="none"/>
        </w:rPr>
      </w:pPr>
    </w:p>
    <w:p w14:paraId="10B871FE">
      <w:pPr>
        <w:pStyle w:val="15"/>
        <w:spacing w:line="340" w:lineRule="exact"/>
        <w:rPr>
          <w:rFonts w:hAnsi="宋体" w:cs="宋体"/>
          <w:b/>
          <w:color w:val="auto"/>
          <w:sz w:val="28"/>
          <w:szCs w:val="28"/>
          <w:highlight w:val="none"/>
        </w:rPr>
      </w:pPr>
    </w:p>
    <w:p w14:paraId="6DC36882">
      <w:pPr>
        <w:pStyle w:val="15"/>
        <w:spacing w:line="340" w:lineRule="exact"/>
        <w:rPr>
          <w:rFonts w:hAnsi="宋体" w:cs="宋体"/>
          <w:b/>
          <w:color w:val="auto"/>
          <w:sz w:val="28"/>
          <w:szCs w:val="28"/>
          <w:highlight w:val="none"/>
        </w:rPr>
      </w:pPr>
    </w:p>
    <w:p w14:paraId="44E35877">
      <w:pPr>
        <w:rPr>
          <w:rFonts w:ascii="宋体" w:hAnsi="宋体" w:cs="宋体"/>
          <w:b/>
          <w:color w:val="auto"/>
          <w:sz w:val="28"/>
          <w:szCs w:val="28"/>
          <w:highlight w:val="none"/>
        </w:rPr>
      </w:pPr>
    </w:p>
    <w:p w14:paraId="673A298C">
      <w:pPr>
        <w:pStyle w:val="10"/>
        <w:rPr>
          <w:rFonts w:ascii="宋体" w:hAnsi="宋体" w:cs="宋体"/>
          <w:b/>
          <w:color w:val="auto"/>
          <w:sz w:val="28"/>
          <w:szCs w:val="28"/>
          <w:highlight w:val="none"/>
        </w:rPr>
      </w:pPr>
    </w:p>
    <w:p w14:paraId="6E948F12">
      <w:pPr>
        <w:rPr>
          <w:rFonts w:ascii="宋体" w:hAnsi="宋体" w:cs="宋体"/>
          <w:b/>
          <w:color w:val="auto"/>
          <w:sz w:val="28"/>
          <w:szCs w:val="28"/>
          <w:highlight w:val="none"/>
        </w:rPr>
      </w:pPr>
    </w:p>
    <w:p w14:paraId="56BE98DC">
      <w:pPr>
        <w:pStyle w:val="10"/>
        <w:rPr>
          <w:rFonts w:ascii="宋体" w:hAnsi="宋体" w:cs="宋体"/>
          <w:b/>
          <w:color w:val="auto"/>
          <w:sz w:val="28"/>
          <w:szCs w:val="28"/>
          <w:highlight w:val="none"/>
        </w:rPr>
      </w:pPr>
    </w:p>
    <w:p w14:paraId="186D1248">
      <w:pPr>
        <w:rPr>
          <w:rFonts w:ascii="宋体" w:hAnsi="宋体" w:cs="宋体"/>
          <w:b/>
          <w:color w:val="auto"/>
          <w:sz w:val="28"/>
          <w:szCs w:val="28"/>
          <w:highlight w:val="none"/>
        </w:rPr>
      </w:pPr>
    </w:p>
    <w:p w14:paraId="2152CD8D">
      <w:pPr>
        <w:pStyle w:val="10"/>
        <w:rPr>
          <w:rFonts w:ascii="宋体" w:hAnsi="宋体" w:cs="宋体"/>
          <w:b/>
          <w:color w:val="auto"/>
          <w:sz w:val="28"/>
          <w:szCs w:val="28"/>
          <w:highlight w:val="none"/>
        </w:rPr>
      </w:pPr>
    </w:p>
    <w:p w14:paraId="73ABE98F">
      <w:pPr>
        <w:rPr>
          <w:rFonts w:ascii="宋体" w:hAnsi="宋体" w:cs="宋体"/>
          <w:b/>
          <w:color w:val="auto"/>
          <w:sz w:val="28"/>
          <w:szCs w:val="28"/>
          <w:highlight w:val="none"/>
        </w:rPr>
      </w:pPr>
    </w:p>
    <w:p w14:paraId="0BD52C1C">
      <w:pPr>
        <w:pStyle w:val="10"/>
        <w:rPr>
          <w:rFonts w:ascii="宋体" w:hAnsi="宋体" w:cs="宋体"/>
          <w:b/>
          <w:color w:val="auto"/>
          <w:sz w:val="28"/>
          <w:szCs w:val="28"/>
          <w:highlight w:val="none"/>
        </w:rPr>
      </w:pPr>
    </w:p>
    <w:p w14:paraId="19594997">
      <w:pPr>
        <w:rPr>
          <w:rFonts w:ascii="宋体" w:hAnsi="宋体" w:cs="宋体"/>
          <w:b/>
          <w:color w:val="auto"/>
          <w:sz w:val="28"/>
          <w:szCs w:val="28"/>
          <w:highlight w:val="none"/>
        </w:rPr>
      </w:pPr>
    </w:p>
    <w:p w14:paraId="2153FF9A">
      <w:pPr>
        <w:tabs>
          <w:tab w:val="left" w:pos="567"/>
        </w:tabs>
        <w:outlineLvl w:val="9"/>
        <w:rPr>
          <w:color w:val="auto"/>
          <w:highlight w:val="none"/>
          <w:lang w:val="en-US"/>
        </w:rPr>
      </w:pPr>
    </w:p>
    <w:p w14:paraId="3C377ADC">
      <w:pPr>
        <w:pStyle w:val="10"/>
        <w:rPr>
          <w:color w:val="auto"/>
          <w:highlight w:val="none"/>
        </w:rPr>
      </w:pPr>
    </w:p>
    <w:p w14:paraId="2B8B7402">
      <w:pPr>
        <w:spacing w:line="400" w:lineRule="exact"/>
        <w:outlineLvl w:val="3"/>
        <w:rPr>
          <w:rFonts w:ascii="宋体" w:hAnsi="宋体" w:cs="宋体"/>
          <w:b/>
          <w:bCs/>
          <w:color w:val="auto"/>
          <w:sz w:val="28"/>
          <w:szCs w:val="28"/>
          <w:highlight w:val="none"/>
        </w:rPr>
      </w:pPr>
      <w:bookmarkStart w:id="217" w:name="_Toc17617"/>
      <w:bookmarkStart w:id="218" w:name="_Toc497927072"/>
      <w:bookmarkStart w:id="219" w:name="_Toc12920"/>
      <w:r>
        <w:rPr>
          <w:rFonts w:hint="eastAsia" w:ascii="宋体" w:hAnsi="宋体" w:cs="宋体"/>
          <w:b/>
          <w:bCs/>
          <w:color w:val="auto"/>
          <w:sz w:val="28"/>
          <w:szCs w:val="28"/>
          <w:highlight w:val="none"/>
        </w:rPr>
        <w:t>1.响应函（格式见附件）（必须提供）</w:t>
      </w:r>
      <w:bookmarkEnd w:id="217"/>
      <w:bookmarkEnd w:id="218"/>
      <w:bookmarkEnd w:id="219"/>
    </w:p>
    <w:p w14:paraId="46DA72B1">
      <w:pPr>
        <w:pStyle w:val="40"/>
        <w:rPr>
          <w:rFonts w:ascii="宋体" w:hAnsi="宋体" w:cs="宋体"/>
          <w:color w:val="auto"/>
          <w:highlight w:val="none"/>
        </w:rPr>
      </w:pPr>
    </w:p>
    <w:p w14:paraId="1219B96F">
      <w:pPr>
        <w:pStyle w:val="15"/>
        <w:rPr>
          <w:rFonts w:hAnsi="宋体" w:cs="宋体"/>
          <w:b/>
          <w:color w:val="auto"/>
          <w:sz w:val="32"/>
          <w:highlight w:val="none"/>
        </w:rPr>
      </w:pPr>
      <w:r>
        <w:rPr>
          <w:rFonts w:hint="eastAsia" w:hAnsi="宋体" w:cs="宋体"/>
          <w:b/>
          <w:color w:val="auto"/>
          <w:sz w:val="32"/>
          <w:highlight w:val="none"/>
        </w:rPr>
        <w:t>附件：</w:t>
      </w:r>
    </w:p>
    <w:p w14:paraId="741ED3D1">
      <w:pPr>
        <w:pStyle w:val="15"/>
        <w:ind w:firstLine="800" w:firstLineChars="250"/>
        <w:jc w:val="center"/>
        <w:rPr>
          <w:rFonts w:hAnsi="宋体" w:cs="宋体"/>
          <w:b/>
          <w:color w:val="auto"/>
          <w:sz w:val="32"/>
          <w:highlight w:val="none"/>
        </w:rPr>
      </w:pPr>
      <w:bookmarkStart w:id="220" w:name="_Toc17832_WPSOffice_Level1"/>
      <w:bookmarkStart w:id="221" w:name="_Toc7273_WPSOffice_Level1"/>
      <w:r>
        <w:rPr>
          <w:rFonts w:hint="eastAsia" w:hAnsi="宋体" w:cs="宋体"/>
          <w:b/>
          <w:color w:val="auto"/>
          <w:sz w:val="32"/>
          <w:highlight w:val="none"/>
        </w:rPr>
        <w:t>响 应 函 （格 式）</w:t>
      </w:r>
      <w:bookmarkEnd w:id="220"/>
      <w:bookmarkEnd w:id="221"/>
    </w:p>
    <w:p w14:paraId="20D931F6">
      <w:pPr>
        <w:spacing w:line="240" w:lineRule="exact"/>
        <w:jc w:val="center"/>
        <w:rPr>
          <w:rFonts w:ascii="宋体" w:hAnsi="宋体" w:cs="宋体"/>
          <w:color w:val="auto"/>
          <w:sz w:val="32"/>
          <w:highlight w:val="none"/>
        </w:rPr>
      </w:pPr>
    </w:p>
    <w:p w14:paraId="6C01ECA8">
      <w:pPr>
        <w:spacing w:line="400" w:lineRule="exact"/>
        <w:rPr>
          <w:rFonts w:ascii="宋体" w:hAnsi="宋体" w:cs="宋体"/>
          <w:color w:val="auto"/>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：广西天罡工程项目管理有限公司</w:t>
      </w:r>
    </w:p>
    <w:p w14:paraId="0C186E0F">
      <w:pPr>
        <w:spacing w:line="400" w:lineRule="exact"/>
        <w:rPr>
          <w:rFonts w:ascii="宋体" w:hAnsi="宋体" w:cs="宋体"/>
          <w:color w:val="auto"/>
          <w:szCs w:val="21"/>
          <w:highlight w:val="none"/>
        </w:rPr>
      </w:pPr>
    </w:p>
    <w:p w14:paraId="02C4B77E">
      <w:pPr>
        <w:pStyle w:val="15"/>
        <w:spacing w:line="360" w:lineRule="exact"/>
        <w:ind w:firstLine="420"/>
        <w:rPr>
          <w:rFonts w:hAnsi="宋体" w:cs="宋体"/>
          <w:color w:val="auto"/>
          <w:highlight w:val="none"/>
        </w:rPr>
      </w:pPr>
      <w:r>
        <w:rPr>
          <w:rFonts w:hint="eastAsia" w:hAnsi="宋体" w:cs="宋体"/>
          <w:color w:val="auto"/>
          <w:highlight w:val="none"/>
        </w:rPr>
        <w:t>根据贵方</w:t>
      </w:r>
      <w:r>
        <w:rPr>
          <w:rFonts w:hint="eastAsia" w:hAnsi="宋体" w:cs="宋体"/>
          <w:color w:val="auto"/>
          <w:highlight w:val="none"/>
          <w:u w:val="single"/>
        </w:rPr>
        <w:t xml:space="preserve">       </w:t>
      </w:r>
      <w:r>
        <w:rPr>
          <w:rFonts w:hint="eastAsia" w:hAnsi="宋体" w:cs="宋体"/>
          <w:color w:val="auto"/>
          <w:highlight w:val="none"/>
        </w:rPr>
        <w:t>项目竞争性磋商文件，项目编号：</w:t>
      </w:r>
      <w:r>
        <w:rPr>
          <w:rFonts w:hint="eastAsia" w:hAnsi="宋体" w:cs="宋体"/>
          <w:color w:val="auto"/>
          <w:szCs w:val="21"/>
          <w:highlight w:val="none"/>
          <w:u w:val="single"/>
        </w:rPr>
        <w:t xml:space="preserve">            </w:t>
      </w:r>
      <w:r>
        <w:rPr>
          <w:rFonts w:hint="eastAsia" w:hAnsi="宋体" w:cs="宋体"/>
          <w:color w:val="auto"/>
          <w:szCs w:val="21"/>
          <w:highlight w:val="none"/>
        </w:rPr>
        <w:t>，签字代表</w:t>
      </w:r>
      <w:r>
        <w:rPr>
          <w:rFonts w:hint="eastAsia" w:hAnsi="宋体" w:cs="宋体"/>
          <w:color w:val="auto"/>
          <w:highlight w:val="none"/>
          <w:u w:val="single"/>
        </w:rPr>
        <w:t xml:space="preserve">         </w:t>
      </w:r>
      <w:r>
        <w:rPr>
          <w:rFonts w:hint="eastAsia" w:hAnsi="宋体" w:cs="宋体"/>
          <w:color w:val="auto"/>
          <w:highlight w:val="none"/>
        </w:rPr>
        <w:t xml:space="preserve">（姓名）经正式授权并代表供应商 </w:t>
      </w:r>
      <w:r>
        <w:rPr>
          <w:rFonts w:hint="eastAsia" w:hAnsi="宋体" w:cs="宋体"/>
          <w:color w:val="auto"/>
          <w:highlight w:val="none"/>
          <w:u w:val="single"/>
        </w:rPr>
        <w:t xml:space="preserve">                                   （</w:t>
      </w:r>
      <w:r>
        <w:rPr>
          <w:rFonts w:hint="eastAsia" w:hAnsi="宋体" w:cs="宋体"/>
          <w:color w:val="auto"/>
          <w:highlight w:val="none"/>
        </w:rPr>
        <w:t>供应商单位名称），提交电子响应文件。</w:t>
      </w:r>
    </w:p>
    <w:p w14:paraId="74340B65">
      <w:pPr>
        <w:pStyle w:val="15"/>
        <w:spacing w:line="360" w:lineRule="exact"/>
        <w:ind w:firstLine="420"/>
        <w:rPr>
          <w:rFonts w:hAnsi="宋体" w:cs="宋体"/>
          <w:color w:val="auto"/>
          <w:highlight w:val="none"/>
        </w:rPr>
      </w:pPr>
      <w:r>
        <w:rPr>
          <w:rFonts w:hint="eastAsia" w:hAnsi="宋体" w:cs="宋体"/>
          <w:color w:val="auto"/>
          <w:highlight w:val="none"/>
        </w:rPr>
        <w:t>据此函，签字代表宣布同意如下：</w:t>
      </w:r>
    </w:p>
    <w:p w14:paraId="6BB90E04">
      <w:pPr>
        <w:pStyle w:val="15"/>
        <w:spacing w:line="360" w:lineRule="exact"/>
        <w:ind w:firstLine="420"/>
        <w:rPr>
          <w:rFonts w:hAnsi="宋体" w:cs="宋体"/>
          <w:color w:val="auto"/>
          <w:highlight w:val="none"/>
        </w:rPr>
      </w:pPr>
      <w:r>
        <w:rPr>
          <w:rFonts w:hint="eastAsia" w:hAnsi="宋体" w:cs="宋体"/>
          <w:color w:val="auto"/>
          <w:highlight w:val="none"/>
        </w:rPr>
        <w:t>1.按磋商文件采购需求和磋商报价表：</w:t>
      </w:r>
    </w:p>
    <w:p w14:paraId="48B29D0B">
      <w:pPr>
        <w:pStyle w:val="15"/>
        <w:spacing w:line="360" w:lineRule="exact"/>
        <w:ind w:firstLine="420"/>
        <w:rPr>
          <w:rFonts w:hAnsi="宋体" w:cs="宋体"/>
          <w:color w:val="auto"/>
          <w:highlight w:val="none"/>
        </w:rPr>
      </w:pPr>
      <w:r>
        <w:rPr>
          <w:rFonts w:hint="eastAsia" w:hAnsi="宋体" w:cs="宋体"/>
          <w:color w:val="auto"/>
          <w:highlight w:val="none"/>
        </w:rPr>
        <w:t>磋商总报价：大写</w:t>
      </w:r>
      <w:r>
        <w:rPr>
          <w:rFonts w:hint="eastAsia" w:hAnsi="宋体" w:cs="宋体"/>
          <w:color w:val="auto"/>
          <w:highlight w:val="none"/>
          <w:u w:val="single"/>
        </w:rPr>
        <w:t xml:space="preserve">               </w:t>
      </w:r>
      <w:r>
        <w:rPr>
          <w:rFonts w:hint="eastAsia" w:hAnsi="宋体" w:cs="宋体"/>
          <w:color w:val="auto"/>
          <w:highlight w:val="none"/>
        </w:rPr>
        <w:t xml:space="preserve"> （</w:t>
      </w:r>
      <w:r>
        <w:rPr>
          <w:rFonts w:hint="eastAsia" w:hAnsi="宋体" w:cs="宋体"/>
          <w:color w:val="auto"/>
          <w:szCs w:val="21"/>
          <w:highlight w:val="none"/>
        </w:rPr>
        <w:t>小写</w:t>
      </w:r>
      <w:r>
        <w:rPr>
          <w:rFonts w:hint="eastAsia" w:hAnsi="宋体" w:cs="宋体"/>
          <w:color w:val="auto"/>
          <w:highlight w:val="none"/>
          <w:u w:val="single"/>
        </w:rPr>
        <w:t xml:space="preserve">         </w:t>
      </w:r>
      <w:r>
        <w:rPr>
          <w:rFonts w:hint="eastAsia" w:hAnsi="宋体" w:cs="宋体"/>
          <w:color w:val="auto"/>
          <w:highlight w:val="none"/>
        </w:rPr>
        <w:t>）。</w:t>
      </w:r>
    </w:p>
    <w:p w14:paraId="203B9B19">
      <w:pPr>
        <w:pStyle w:val="15"/>
        <w:spacing w:line="360" w:lineRule="exact"/>
        <w:ind w:firstLine="420"/>
        <w:rPr>
          <w:rFonts w:hAnsi="宋体" w:cs="宋体"/>
          <w:color w:val="auto"/>
          <w:highlight w:val="none"/>
        </w:rPr>
      </w:pPr>
      <w:r>
        <w:rPr>
          <w:rFonts w:hint="eastAsia" w:hAnsi="宋体" w:cs="宋体"/>
          <w:color w:val="auto"/>
          <w:highlight w:val="none"/>
        </w:rPr>
        <w:t>2.我方承诺已具备磋商文件规定的供应商资格条件。</w:t>
      </w:r>
    </w:p>
    <w:p w14:paraId="6FFF9D8E">
      <w:pPr>
        <w:pStyle w:val="15"/>
        <w:spacing w:line="360" w:lineRule="exact"/>
        <w:ind w:firstLine="420"/>
        <w:rPr>
          <w:rFonts w:hAnsi="宋体" w:cs="宋体"/>
          <w:color w:val="auto"/>
          <w:highlight w:val="none"/>
        </w:rPr>
      </w:pPr>
      <w:r>
        <w:rPr>
          <w:rFonts w:hint="eastAsia" w:hAnsi="宋体" w:cs="宋体"/>
          <w:color w:val="auto"/>
          <w:highlight w:val="none"/>
        </w:rPr>
        <w:t>3.我方已详细审核磋商文件，包括修改文件（如有的话）和有关附件，将自行承担因对全部磋商文件理解不正确或误解而产生的相应后果。</w:t>
      </w:r>
    </w:p>
    <w:p w14:paraId="52DDD91A">
      <w:pPr>
        <w:pStyle w:val="15"/>
        <w:spacing w:line="360" w:lineRule="exact"/>
        <w:ind w:firstLine="420"/>
        <w:rPr>
          <w:rFonts w:hAnsi="宋体" w:cs="宋体"/>
          <w:color w:val="auto"/>
          <w:highlight w:val="none"/>
        </w:rPr>
      </w:pPr>
      <w:r>
        <w:rPr>
          <w:rFonts w:hint="eastAsia" w:hAnsi="宋体" w:cs="宋体"/>
          <w:color w:val="auto"/>
          <w:highlight w:val="none"/>
        </w:rPr>
        <w:t>4.响应文件有效期为</w:t>
      </w:r>
      <w:r>
        <w:rPr>
          <w:rFonts w:hint="eastAsia" w:hAnsi="宋体" w:cs="宋体"/>
          <w:color w:val="auto"/>
          <w:szCs w:val="21"/>
          <w:highlight w:val="none"/>
        </w:rPr>
        <w:t>响应文件递交截止时间之日起90天。</w:t>
      </w:r>
    </w:p>
    <w:p w14:paraId="47A52BF9">
      <w:pPr>
        <w:pStyle w:val="15"/>
        <w:spacing w:line="360" w:lineRule="exact"/>
        <w:ind w:firstLine="420"/>
        <w:rPr>
          <w:rFonts w:hAnsi="宋体" w:cs="宋体"/>
          <w:color w:val="auto"/>
          <w:highlight w:val="none"/>
        </w:rPr>
      </w:pPr>
      <w:r>
        <w:rPr>
          <w:rFonts w:hint="eastAsia" w:hAnsi="宋体" w:cs="宋体"/>
          <w:color w:val="auto"/>
          <w:highlight w:val="none"/>
        </w:rPr>
        <w:t>5.如我方成交：</w:t>
      </w:r>
    </w:p>
    <w:p w14:paraId="04F63C4F">
      <w:pPr>
        <w:pStyle w:val="15"/>
        <w:spacing w:line="360" w:lineRule="exact"/>
        <w:ind w:firstLine="420"/>
        <w:rPr>
          <w:rFonts w:hAnsi="宋体" w:cs="宋体"/>
          <w:color w:val="auto"/>
          <w:highlight w:val="none"/>
        </w:rPr>
      </w:pPr>
      <w:r>
        <w:rPr>
          <w:rFonts w:hint="eastAsia" w:hAnsi="宋体" w:cs="宋体"/>
          <w:color w:val="auto"/>
          <w:highlight w:val="none"/>
        </w:rPr>
        <w:t>（1）我方承诺在收到成交通知书后，在成交通知书规定的期限内与采购人签订合同。</w:t>
      </w:r>
    </w:p>
    <w:p w14:paraId="158BA79C">
      <w:pPr>
        <w:pStyle w:val="15"/>
        <w:spacing w:line="360" w:lineRule="exact"/>
        <w:ind w:firstLine="420"/>
        <w:rPr>
          <w:rFonts w:hAnsi="宋体" w:cs="宋体"/>
          <w:color w:val="auto"/>
          <w:szCs w:val="21"/>
          <w:highlight w:val="none"/>
        </w:rPr>
      </w:pPr>
      <w:r>
        <w:rPr>
          <w:rFonts w:hint="eastAsia" w:hAnsi="宋体" w:cs="宋体"/>
          <w:color w:val="auto"/>
          <w:szCs w:val="21"/>
          <w:highlight w:val="none"/>
        </w:rPr>
        <w:t>（2）我方承诺按照磋商文件规定递交履约担保。</w:t>
      </w:r>
    </w:p>
    <w:p w14:paraId="022CDBC3">
      <w:pPr>
        <w:pStyle w:val="15"/>
        <w:spacing w:line="360" w:lineRule="exact"/>
        <w:ind w:firstLine="420"/>
        <w:rPr>
          <w:rFonts w:hAnsi="宋体" w:cs="宋体"/>
          <w:color w:val="auto"/>
          <w:szCs w:val="21"/>
          <w:highlight w:val="none"/>
        </w:rPr>
      </w:pPr>
      <w:r>
        <w:rPr>
          <w:rFonts w:hint="eastAsia" w:hAnsi="宋体" w:cs="宋体"/>
          <w:color w:val="auto"/>
          <w:szCs w:val="21"/>
          <w:highlight w:val="none"/>
        </w:rPr>
        <w:t>（3）我方承诺本响应文件至本项目合同履行完毕止均保持有效，按磋商文件及政府采购法律、法规的规定履行合同责任和义务。</w:t>
      </w:r>
    </w:p>
    <w:p w14:paraId="561DE8D6">
      <w:pPr>
        <w:pStyle w:val="15"/>
        <w:spacing w:line="360" w:lineRule="exact"/>
        <w:ind w:firstLine="420"/>
        <w:rPr>
          <w:rFonts w:hAnsi="宋体" w:cs="宋体"/>
          <w:color w:val="auto"/>
          <w:szCs w:val="21"/>
          <w:highlight w:val="none"/>
        </w:rPr>
      </w:pPr>
      <w:r>
        <w:rPr>
          <w:rFonts w:hint="eastAsia" w:hAnsi="宋体" w:cs="宋体"/>
          <w:color w:val="auto"/>
          <w:szCs w:val="21"/>
          <w:highlight w:val="none"/>
        </w:rPr>
        <w:t>与本项目有关的正式通讯地址为：</w:t>
      </w:r>
    </w:p>
    <w:p w14:paraId="4E001ED9">
      <w:pPr>
        <w:rPr>
          <w:rFonts w:ascii="宋体" w:hAnsi="宋体" w:cs="宋体"/>
          <w:color w:val="auto"/>
          <w:szCs w:val="21"/>
          <w:highlight w:val="none"/>
        </w:rPr>
      </w:pPr>
    </w:p>
    <w:p w14:paraId="15186E9B">
      <w:pPr>
        <w:pStyle w:val="15"/>
        <w:spacing w:line="320" w:lineRule="exact"/>
        <w:ind w:firstLine="420"/>
        <w:rPr>
          <w:rFonts w:hAnsi="宋体" w:cs="宋体"/>
          <w:color w:val="auto"/>
          <w:szCs w:val="21"/>
          <w:highlight w:val="none"/>
          <w:u w:val="single"/>
        </w:rPr>
      </w:pPr>
      <w:r>
        <w:rPr>
          <w:rFonts w:hint="eastAsia" w:hAnsi="宋体" w:cs="宋体"/>
          <w:color w:val="auto"/>
          <w:szCs w:val="21"/>
          <w:highlight w:val="none"/>
        </w:rPr>
        <w:t>地址：</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邮编：</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电话、传真：</w:t>
      </w:r>
      <w:r>
        <w:rPr>
          <w:rFonts w:hint="eastAsia" w:hAnsi="宋体" w:cs="宋体"/>
          <w:color w:val="auto"/>
          <w:szCs w:val="21"/>
          <w:highlight w:val="none"/>
          <w:u w:val="single"/>
        </w:rPr>
        <w:t xml:space="preserve">            </w:t>
      </w:r>
    </w:p>
    <w:p w14:paraId="06B76250">
      <w:pPr>
        <w:pStyle w:val="15"/>
        <w:spacing w:line="320" w:lineRule="exact"/>
        <w:ind w:firstLine="420"/>
        <w:rPr>
          <w:rFonts w:hAnsi="宋体" w:cs="宋体"/>
          <w:color w:val="auto"/>
          <w:szCs w:val="21"/>
          <w:highlight w:val="none"/>
        </w:rPr>
      </w:pPr>
      <w:r>
        <w:rPr>
          <w:rFonts w:hint="eastAsia" w:hAnsi="宋体" w:cs="宋体"/>
          <w:color w:val="auto"/>
          <w:szCs w:val="21"/>
          <w:highlight w:val="none"/>
        </w:rPr>
        <w:t>开户名称：</w:t>
      </w:r>
      <w:r>
        <w:rPr>
          <w:rFonts w:hint="eastAsia" w:hAnsi="宋体" w:cs="宋体"/>
          <w:color w:val="auto"/>
          <w:szCs w:val="21"/>
          <w:highlight w:val="none"/>
          <w:u w:val="single"/>
        </w:rPr>
        <w:t xml:space="preserve">                                        </w:t>
      </w:r>
    </w:p>
    <w:p w14:paraId="39850328">
      <w:pPr>
        <w:pStyle w:val="15"/>
        <w:spacing w:line="320" w:lineRule="exact"/>
        <w:ind w:firstLine="420"/>
        <w:rPr>
          <w:rFonts w:hAnsi="宋体" w:cs="宋体"/>
          <w:color w:val="auto"/>
          <w:szCs w:val="21"/>
          <w:highlight w:val="none"/>
        </w:rPr>
      </w:pPr>
      <w:r>
        <w:rPr>
          <w:rFonts w:hint="eastAsia" w:hAnsi="宋体" w:cs="宋体"/>
          <w:color w:val="auto"/>
          <w:szCs w:val="21"/>
          <w:highlight w:val="none"/>
        </w:rPr>
        <w:t>开户银行：</w:t>
      </w:r>
      <w:r>
        <w:rPr>
          <w:rFonts w:hint="eastAsia" w:hAnsi="宋体" w:cs="宋体"/>
          <w:color w:val="auto"/>
          <w:szCs w:val="21"/>
          <w:highlight w:val="none"/>
          <w:u w:val="single"/>
        </w:rPr>
        <w:t xml:space="preserve">                               　       </w:t>
      </w:r>
    </w:p>
    <w:p w14:paraId="7DA55BD4">
      <w:pPr>
        <w:pStyle w:val="15"/>
        <w:spacing w:line="320" w:lineRule="exact"/>
        <w:ind w:firstLine="420"/>
        <w:rPr>
          <w:rFonts w:hAnsi="宋体" w:cs="宋体"/>
          <w:color w:val="auto"/>
          <w:szCs w:val="21"/>
          <w:highlight w:val="none"/>
        </w:rPr>
      </w:pPr>
      <w:r>
        <w:rPr>
          <w:rFonts w:hint="eastAsia" w:hAnsi="宋体" w:cs="宋体"/>
          <w:color w:val="auto"/>
          <w:szCs w:val="21"/>
          <w:highlight w:val="none"/>
        </w:rPr>
        <w:t>账号：</w:t>
      </w:r>
      <w:r>
        <w:rPr>
          <w:rFonts w:hint="eastAsia" w:hAnsi="宋体" w:cs="宋体"/>
          <w:color w:val="auto"/>
          <w:szCs w:val="21"/>
          <w:highlight w:val="none"/>
          <w:u w:val="single"/>
        </w:rPr>
        <w:t xml:space="preserve">                                   　　　   </w:t>
      </w:r>
    </w:p>
    <w:p w14:paraId="1F778177">
      <w:pPr>
        <w:pStyle w:val="15"/>
        <w:spacing w:line="320" w:lineRule="exact"/>
        <w:ind w:firstLine="420"/>
        <w:rPr>
          <w:rFonts w:hAnsi="宋体" w:cs="宋体"/>
          <w:bCs/>
          <w:color w:val="auto"/>
          <w:szCs w:val="21"/>
          <w:highlight w:val="none"/>
          <w:u w:val="single"/>
        </w:rPr>
      </w:pPr>
      <w:r>
        <w:rPr>
          <w:rFonts w:hint="eastAsia" w:hAnsi="宋体" w:cs="宋体"/>
          <w:bCs/>
          <w:color w:val="auto"/>
          <w:szCs w:val="21"/>
          <w:highlight w:val="none"/>
        </w:rPr>
        <w:t>供应商[(CA证书签章)、自然人除外]：</w:t>
      </w:r>
      <w:r>
        <w:rPr>
          <w:rFonts w:hint="eastAsia" w:hAnsi="宋体" w:cs="宋体"/>
          <w:bCs/>
          <w:color w:val="auto"/>
          <w:szCs w:val="21"/>
          <w:highlight w:val="none"/>
          <w:u w:val="single"/>
        </w:rPr>
        <w:t xml:space="preserve">                              </w:t>
      </w:r>
    </w:p>
    <w:p w14:paraId="0BF2D888">
      <w:pPr>
        <w:pStyle w:val="15"/>
        <w:spacing w:line="320" w:lineRule="exact"/>
        <w:ind w:firstLine="420"/>
        <w:rPr>
          <w:rFonts w:hAnsi="宋体" w:cs="宋体"/>
          <w:color w:val="auto"/>
          <w:szCs w:val="21"/>
          <w:highlight w:val="none"/>
          <w:u w:val="single"/>
        </w:rPr>
      </w:pPr>
      <w:r>
        <w:rPr>
          <w:rFonts w:hint="eastAsia" w:hAnsi="宋体" w:cs="宋体"/>
          <w:color w:val="auto"/>
          <w:szCs w:val="21"/>
          <w:highlight w:val="none"/>
        </w:rPr>
        <w:t>法定代表人、负责人、自然人或相应的委托代理人签字[或盖章(CA证书签章)]（属自然人的应在签名处加盖大拇指指印或个人CA证书签章）：</w:t>
      </w:r>
      <w:r>
        <w:rPr>
          <w:rFonts w:hint="eastAsia" w:hAnsi="宋体" w:cs="宋体"/>
          <w:color w:val="auto"/>
          <w:szCs w:val="21"/>
          <w:highlight w:val="none"/>
          <w:u w:val="single"/>
        </w:rPr>
        <w:t xml:space="preserve">              </w:t>
      </w:r>
    </w:p>
    <w:p w14:paraId="0C44492F">
      <w:pPr>
        <w:pStyle w:val="15"/>
        <w:spacing w:line="320" w:lineRule="exact"/>
        <w:ind w:firstLine="420"/>
        <w:rPr>
          <w:rFonts w:hAnsi="宋体" w:cs="宋体"/>
          <w:color w:val="auto"/>
          <w:szCs w:val="21"/>
          <w:highlight w:val="none"/>
        </w:rPr>
        <w:sectPr>
          <w:pgSz w:w="11906" w:h="16838"/>
          <w:pgMar w:top="1440" w:right="935" w:bottom="1440" w:left="777" w:header="851" w:footer="992" w:gutter="0"/>
          <w:pgNumType w:fmt="decimal"/>
          <w:cols w:space="720" w:num="1"/>
          <w:docGrid w:type="linesAndChars" w:linePitch="312" w:charSpace="0"/>
        </w:sectPr>
      </w:pPr>
      <w:r>
        <w:rPr>
          <w:rFonts w:hint="eastAsia" w:hAnsi="宋体" w:cs="宋体"/>
          <w:bCs/>
          <w:color w:val="auto"/>
          <w:szCs w:val="21"/>
          <w:highlight w:val="none"/>
        </w:rPr>
        <w:t>响应</w:t>
      </w:r>
      <w:r>
        <w:rPr>
          <w:rFonts w:hint="eastAsia" w:hAnsi="宋体" w:cs="宋体"/>
          <w:color w:val="auto"/>
          <w:szCs w:val="21"/>
          <w:highlight w:val="none"/>
        </w:rPr>
        <w:t>日期：</w:t>
      </w:r>
    </w:p>
    <w:p w14:paraId="07DEF014">
      <w:pPr>
        <w:pStyle w:val="15"/>
        <w:spacing w:line="340" w:lineRule="exact"/>
        <w:outlineLvl w:val="3"/>
        <w:rPr>
          <w:rFonts w:hAnsi="宋体" w:cs="宋体"/>
          <w:color w:val="auto"/>
          <w:highlight w:val="none"/>
        </w:rPr>
      </w:pPr>
      <w:r>
        <w:rPr>
          <w:rFonts w:hint="eastAsia" w:hAnsi="宋体" w:cs="宋体"/>
          <w:b/>
          <w:color w:val="auto"/>
          <w:sz w:val="28"/>
          <w:szCs w:val="28"/>
          <w:highlight w:val="none"/>
        </w:rPr>
        <w:t>2.磋商报价表（必须提供）；</w:t>
      </w:r>
    </w:p>
    <w:p w14:paraId="024E2342">
      <w:pPr>
        <w:pStyle w:val="15"/>
        <w:spacing w:line="320" w:lineRule="exact"/>
        <w:jc w:val="left"/>
        <w:rPr>
          <w:rFonts w:hAnsi="宋体" w:cs="宋体"/>
          <w:b/>
          <w:color w:val="auto"/>
          <w:sz w:val="28"/>
          <w:szCs w:val="28"/>
          <w:highlight w:val="none"/>
        </w:rPr>
      </w:pPr>
    </w:p>
    <w:p w14:paraId="71018574">
      <w:pPr>
        <w:pStyle w:val="8"/>
        <w:ind w:left="0"/>
        <w:rPr>
          <w:rFonts w:ascii="宋体" w:hAnsi="宋体" w:cs="宋体"/>
          <w:color w:val="auto"/>
          <w:highlight w:val="none"/>
        </w:rPr>
      </w:pPr>
      <w:r>
        <w:rPr>
          <w:rFonts w:hint="eastAsia" w:ascii="宋体" w:hAnsi="宋体" w:cs="宋体"/>
          <w:b/>
          <w:bCs/>
          <w:color w:val="auto"/>
          <w:sz w:val="30"/>
          <w:szCs w:val="30"/>
          <w:highlight w:val="none"/>
        </w:rPr>
        <w:t>附件：</w:t>
      </w:r>
    </w:p>
    <w:p w14:paraId="4BEEFCE1">
      <w:pPr>
        <w:pStyle w:val="15"/>
        <w:spacing w:line="480" w:lineRule="exact"/>
        <w:ind w:left="420"/>
        <w:jc w:val="center"/>
        <w:rPr>
          <w:rFonts w:hAnsi="宋体" w:cs="宋体"/>
          <w:b/>
          <w:color w:val="auto"/>
          <w:sz w:val="28"/>
          <w:szCs w:val="28"/>
          <w:highlight w:val="none"/>
        </w:rPr>
      </w:pPr>
      <w:r>
        <w:rPr>
          <w:rFonts w:hint="eastAsia" w:hAnsi="宋体" w:cs="宋体"/>
          <w:b/>
          <w:color w:val="auto"/>
          <w:sz w:val="28"/>
          <w:szCs w:val="28"/>
          <w:highlight w:val="none"/>
        </w:rPr>
        <w:t>磋商报价表（格式）</w:t>
      </w:r>
    </w:p>
    <w:tbl>
      <w:tblPr>
        <w:tblStyle w:val="2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7"/>
        <w:gridCol w:w="5035"/>
        <w:gridCol w:w="712"/>
        <w:gridCol w:w="816"/>
        <w:gridCol w:w="607"/>
        <w:gridCol w:w="608"/>
        <w:gridCol w:w="1417"/>
        <w:gridCol w:w="608"/>
      </w:tblGrid>
      <w:tr w14:paraId="01D32F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0" w:type="auto"/>
            <w:tcBorders>
              <w:top w:val="single" w:color="auto" w:sz="4" w:space="0"/>
              <w:bottom w:val="single" w:color="auto" w:sz="4" w:space="0"/>
              <w:right w:val="single" w:color="auto" w:sz="4" w:space="0"/>
            </w:tcBorders>
            <w:vAlign w:val="center"/>
          </w:tcPr>
          <w:p w14:paraId="3728BBE1">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0" w:type="auto"/>
            <w:tcBorders>
              <w:top w:val="single" w:color="auto" w:sz="4" w:space="0"/>
              <w:left w:val="single" w:color="auto" w:sz="4" w:space="0"/>
              <w:bottom w:val="single" w:color="auto" w:sz="4" w:space="0"/>
              <w:right w:val="single" w:color="auto" w:sz="4" w:space="0"/>
            </w:tcBorders>
            <w:vAlign w:val="center"/>
          </w:tcPr>
          <w:p w14:paraId="511F7C89">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采购项目名称</w:t>
            </w:r>
          </w:p>
        </w:tc>
        <w:tc>
          <w:tcPr>
            <w:tcW w:w="0" w:type="auto"/>
            <w:tcBorders>
              <w:top w:val="single" w:color="auto" w:sz="4" w:space="0"/>
              <w:left w:val="single" w:color="auto" w:sz="4" w:space="0"/>
              <w:bottom w:val="single" w:color="auto" w:sz="4" w:space="0"/>
              <w:right w:val="single" w:color="auto" w:sz="4" w:space="0"/>
            </w:tcBorders>
            <w:vAlign w:val="center"/>
          </w:tcPr>
          <w:p w14:paraId="430B3418">
            <w:pPr>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分标号</w:t>
            </w:r>
          </w:p>
        </w:tc>
        <w:tc>
          <w:tcPr>
            <w:tcW w:w="0" w:type="auto"/>
            <w:tcBorders>
              <w:top w:val="single" w:color="auto" w:sz="4" w:space="0"/>
              <w:left w:val="single" w:color="auto" w:sz="4" w:space="0"/>
              <w:bottom w:val="single" w:color="auto" w:sz="4" w:space="0"/>
              <w:right w:val="single" w:color="auto" w:sz="4" w:space="0"/>
            </w:tcBorders>
            <w:vAlign w:val="center"/>
          </w:tcPr>
          <w:p w14:paraId="37746104">
            <w:pPr>
              <w:keepNext w:val="0"/>
              <w:keepLines w:val="0"/>
              <w:suppressLineNumbers w:val="0"/>
              <w:spacing w:before="0" w:beforeAutospacing="0" w:after="0" w:afterAutospacing="0" w:line="300" w:lineRule="exact"/>
              <w:ind w:left="0" w:right="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服务名称</w:t>
            </w:r>
          </w:p>
        </w:tc>
        <w:tc>
          <w:tcPr>
            <w:tcW w:w="0" w:type="auto"/>
            <w:tcBorders>
              <w:top w:val="single" w:color="auto" w:sz="4" w:space="0"/>
              <w:left w:val="single" w:color="auto" w:sz="4" w:space="0"/>
              <w:bottom w:val="single" w:color="auto" w:sz="4" w:space="0"/>
              <w:right w:val="single" w:color="auto" w:sz="4" w:space="0"/>
            </w:tcBorders>
            <w:vAlign w:val="center"/>
          </w:tcPr>
          <w:p w14:paraId="669BAAB1">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0" w:type="auto"/>
            <w:tcBorders>
              <w:top w:val="single" w:color="auto" w:sz="4" w:space="0"/>
              <w:left w:val="single" w:color="auto" w:sz="4" w:space="0"/>
              <w:bottom w:val="single" w:color="auto" w:sz="4" w:space="0"/>
              <w:right w:val="single" w:color="auto" w:sz="4" w:space="0"/>
            </w:tcBorders>
            <w:vAlign w:val="center"/>
          </w:tcPr>
          <w:p w14:paraId="1A06BB25">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0" w:type="auto"/>
            <w:tcBorders>
              <w:top w:val="single" w:color="auto" w:sz="4" w:space="0"/>
              <w:left w:val="single" w:color="auto" w:sz="4" w:space="0"/>
              <w:bottom w:val="single" w:color="auto" w:sz="4" w:space="0"/>
              <w:right w:val="single" w:color="auto" w:sz="4" w:space="0"/>
            </w:tcBorders>
            <w:vAlign w:val="center"/>
          </w:tcPr>
          <w:p w14:paraId="0DC0AAD1">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szCs w:val="21"/>
                <w:highlight w:val="none"/>
              </w:rPr>
              <w:t>磋商报价（元）</w:t>
            </w:r>
          </w:p>
        </w:tc>
        <w:tc>
          <w:tcPr>
            <w:tcW w:w="0" w:type="auto"/>
            <w:tcBorders>
              <w:top w:val="single" w:color="auto" w:sz="4" w:space="0"/>
              <w:bottom w:val="single" w:color="auto" w:sz="4" w:space="0"/>
            </w:tcBorders>
            <w:vAlign w:val="center"/>
          </w:tcPr>
          <w:p w14:paraId="7362489E">
            <w:pPr>
              <w:keepNext w:val="0"/>
              <w:keepLines w:val="0"/>
              <w:suppressLineNumbers w:val="0"/>
              <w:spacing w:before="0" w:beforeAutospacing="0" w:after="0" w:afterAutospacing="0" w:line="3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1D151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86" w:hRule="exact"/>
        </w:trPr>
        <w:tc>
          <w:tcPr>
            <w:tcW w:w="0" w:type="auto"/>
            <w:tcBorders>
              <w:top w:val="single" w:color="auto" w:sz="4" w:space="0"/>
              <w:bottom w:val="single" w:color="auto" w:sz="4" w:space="0"/>
              <w:right w:val="single" w:color="auto" w:sz="4" w:space="0"/>
            </w:tcBorders>
            <w:vAlign w:val="center"/>
          </w:tcPr>
          <w:p w14:paraId="287BC483">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14:paraId="0DC00F02">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广西花坪国家级自然保护区特种救护、宣传（资料）视频制作、标本养护及古树名木资源普查项目</w:t>
            </w:r>
          </w:p>
        </w:tc>
        <w:tc>
          <w:tcPr>
            <w:tcW w:w="0" w:type="auto"/>
            <w:tcBorders>
              <w:top w:val="single" w:color="auto" w:sz="4" w:space="0"/>
              <w:left w:val="single" w:color="auto" w:sz="4" w:space="0"/>
              <w:bottom w:val="single" w:color="auto" w:sz="4" w:space="0"/>
              <w:right w:val="single" w:color="auto" w:sz="4" w:space="0"/>
            </w:tcBorders>
            <w:vAlign w:val="center"/>
          </w:tcPr>
          <w:p w14:paraId="1C7690C5">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1ACC4D3">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BE11192">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14:paraId="7944BCBC">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项</w:t>
            </w:r>
          </w:p>
        </w:tc>
        <w:tc>
          <w:tcPr>
            <w:tcW w:w="0" w:type="auto"/>
            <w:tcBorders>
              <w:top w:val="single" w:color="auto" w:sz="4" w:space="0"/>
              <w:left w:val="single" w:color="auto" w:sz="4" w:space="0"/>
              <w:bottom w:val="single" w:color="auto" w:sz="4" w:space="0"/>
              <w:right w:val="single" w:color="auto" w:sz="4" w:space="0"/>
            </w:tcBorders>
            <w:vAlign w:val="center"/>
          </w:tcPr>
          <w:p w14:paraId="22AB05B1">
            <w:pPr>
              <w:keepNext w:val="0"/>
              <w:keepLines w:val="0"/>
              <w:suppressLineNumbers w:val="0"/>
              <w:spacing w:before="0" w:beforeAutospacing="0" w:after="0" w:afterAutospacing="0" w:line="300" w:lineRule="exact"/>
              <w:ind w:left="0" w:right="0"/>
              <w:jc w:val="center"/>
              <w:rPr>
                <w:rFonts w:hint="eastAsia" w:ascii="宋体" w:hAnsi="宋体" w:cs="宋体"/>
                <w:b/>
                <w:bCs/>
                <w:color w:val="auto"/>
                <w:szCs w:val="21"/>
                <w:highlight w:val="none"/>
              </w:rPr>
            </w:pPr>
          </w:p>
        </w:tc>
        <w:tc>
          <w:tcPr>
            <w:tcW w:w="0" w:type="auto"/>
            <w:tcBorders>
              <w:top w:val="single" w:color="auto" w:sz="4" w:space="0"/>
              <w:bottom w:val="single" w:color="auto" w:sz="4" w:space="0"/>
            </w:tcBorders>
            <w:vAlign w:val="center"/>
          </w:tcPr>
          <w:p w14:paraId="58817B8D">
            <w:pPr>
              <w:keepNext w:val="0"/>
              <w:keepLines w:val="0"/>
              <w:suppressLineNumbers w:val="0"/>
              <w:spacing w:before="0" w:beforeAutospacing="0" w:after="0" w:afterAutospacing="0" w:line="300" w:lineRule="exact"/>
              <w:ind w:left="0" w:right="0"/>
              <w:jc w:val="center"/>
              <w:rPr>
                <w:rFonts w:hint="eastAsia" w:ascii="宋体" w:hAnsi="宋体" w:cs="宋体"/>
                <w:b/>
                <w:bCs/>
                <w:color w:val="auto"/>
                <w:szCs w:val="21"/>
                <w:highlight w:val="none"/>
              </w:rPr>
            </w:pPr>
          </w:p>
        </w:tc>
      </w:tr>
      <w:tr w14:paraId="2A688B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1" w:hRule="atLeast"/>
        </w:trPr>
        <w:tc>
          <w:tcPr>
            <w:tcW w:w="0" w:type="auto"/>
            <w:gridSpan w:val="8"/>
            <w:tcBorders>
              <w:top w:val="single" w:color="auto" w:sz="4" w:space="0"/>
              <w:bottom w:val="single" w:color="auto" w:sz="4" w:space="0"/>
            </w:tcBorders>
            <w:vAlign w:val="center"/>
          </w:tcPr>
          <w:p w14:paraId="13F0EE9F">
            <w:pPr>
              <w:keepNext w:val="0"/>
              <w:keepLines w:val="0"/>
              <w:suppressLineNumbers w:val="0"/>
              <w:spacing w:before="0" w:beforeAutospacing="0" w:after="0" w:afterAutospacing="0" w:line="34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说明：</w:t>
            </w:r>
            <w:r>
              <w:rPr>
                <w:rFonts w:hint="eastAsia" w:ascii="宋体" w:hAnsi="宋体" w:cs="宋体"/>
                <w:color w:val="auto"/>
                <w:szCs w:val="21"/>
                <w:highlight w:val="none"/>
                <w:lang w:val="en-US" w:eastAsia="zh-CN"/>
              </w:rPr>
              <w:t>1.</w:t>
            </w:r>
            <w:r>
              <w:rPr>
                <w:rFonts w:hint="eastAsia" w:ascii="宋体" w:hAnsi="宋体" w:cs="宋体"/>
                <w:color w:val="auto"/>
                <w:spacing w:val="-6"/>
                <w:szCs w:val="21"/>
                <w:highlight w:val="none"/>
              </w:rPr>
              <w:t>磋商</w:t>
            </w:r>
            <w:r>
              <w:rPr>
                <w:rFonts w:hint="eastAsia" w:ascii="宋体" w:hAnsi="宋体" w:cs="宋体"/>
                <w:color w:val="auto"/>
                <w:szCs w:val="21"/>
                <w:highlight w:val="none"/>
              </w:rPr>
              <w:t>报价指本次招标采购范围内服务价款、保险、税金及其他所有成本费用的总和；供应商综合考虑在报价中。</w:t>
            </w:r>
          </w:p>
          <w:p w14:paraId="5D9D0BDE">
            <w:pPr>
              <w:pStyle w:val="10"/>
              <w:keepNext w:val="0"/>
              <w:keepLines w:val="0"/>
              <w:suppressLineNumbers w:val="0"/>
              <w:spacing w:before="0" w:beforeAutospacing="0" w:after="0" w:afterAutospacing="0"/>
              <w:ind w:left="0" w:right="0"/>
              <w:rPr>
                <w:rFonts w:hint="eastAsia" w:eastAsia="宋体"/>
                <w:color w:val="auto"/>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本项目报价为</w:t>
            </w:r>
            <w:r>
              <w:rPr>
                <w:rStyle w:val="27"/>
                <w:rFonts w:hint="eastAsia" w:ascii="宋体" w:hAnsi="宋体" w:eastAsia="宋体" w:cs="宋体"/>
                <w:b/>
                <w:bCs/>
                <w:color w:val="auto"/>
                <w:sz w:val="21"/>
                <w:szCs w:val="21"/>
                <w:highlight w:val="none"/>
              </w:rPr>
              <w:t>全包固定总价报价</w:t>
            </w:r>
            <w:r>
              <w:rPr>
                <w:rFonts w:hint="eastAsia" w:ascii="宋体" w:hAnsi="宋体" w:eastAsia="宋体" w:cs="宋体"/>
                <w:color w:val="auto"/>
                <w:sz w:val="21"/>
                <w:szCs w:val="21"/>
                <w:highlight w:val="none"/>
              </w:rPr>
              <w:t>，包含本项目开展所需的人工费、差旅费、外业调查费、设备使用费、软件制图费、数据处理费、资料整编费、专家评审费、</w:t>
            </w:r>
            <w:r>
              <w:rPr>
                <w:rFonts w:hint="eastAsia" w:ascii="宋体" w:hAnsi="宋体" w:eastAsia="宋体" w:cs="宋体"/>
                <w:color w:val="auto"/>
                <w:sz w:val="21"/>
                <w:szCs w:val="21"/>
                <w:highlight w:val="none"/>
                <w:lang w:val="en-US" w:eastAsia="zh-CN"/>
              </w:rPr>
              <w:t>保险费、</w:t>
            </w:r>
            <w:r>
              <w:rPr>
                <w:rFonts w:hint="eastAsia" w:ascii="宋体" w:hAnsi="宋体" w:eastAsia="宋体" w:cs="宋体"/>
                <w:color w:val="auto"/>
                <w:sz w:val="21"/>
                <w:szCs w:val="21"/>
                <w:highlight w:val="none"/>
              </w:rPr>
              <w:t>管理费、税费及完成本项目全部工作内容所产生的一切费用，采购人不另行支付任何费用</w:t>
            </w:r>
            <w:r>
              <w:rPr>
                <w:rFonts w:hint="eastAsia" w:ascii="宋体" w:hAnsi="宋体" w:cs="宋体"/>
                <w:color w:val="auto"/>
                <w:sz w:val="21"/>
                <w:szCs w:val="21"/>
                <w:highlight w:val="none"/>
                <w:lang w:eastAsia="zh-CN"/>
              </w:rPr>
              <w:t>。</w:t>
            </w:r>
          </w:p>
        </w:tc>
      </w:tr>
    </w:tbl>
    <w:p w14:paraId="6BB9692D">
      <w:pPr>
        <w:spacing w:line="340" w:lineRule="exact"/>
        <w:rPr>
          <w:rFonts w:ascii="宋体" w:hAnsi="宋体" w:cs="宋体"/>
          <w:color w:val="auto"/>
          <w:szCs w:val="21"/>
          <w:highlight w:val="none"/>
        </w:rPr>
      </w:pPr>
    </w:p>
    <w:p w14:paraId="5622D38F">
      <w:pPr>
        <w:spacing w:line="340" w:lineRule="exact"/>
        <w:rPr>
          <w:rFonts w:ascii="宋体" w:hAnsi="宋体" w:cs="宋体"/>
          <w:color w:val="auto"/>
          <w:szCs w:val="21"/>
          <w:highlight w:val="none"/>
          <w:u w:val="single"/>
        </w:rPr>
      </w:pPr>
      <w:r>
        <w:rPr>
          <w:rFonts w:hint="eastAsia" w:ascii="宋体" w:hAnsi="宋体" w:cs="宋体"/>
          <w:color w:val="auto"/>
          <w:szCs w:val="21"/>
          <w:highlight w:val="none"/>
        </w:rPr>
        <w:t>供应商（CA证书签章，自然人除外）：</w:t>
      </w:r>
      <w:r>
        <w:rPr>
          <w:rFonts w:hint="eastAsia" w:ascii="宋体" w:hAnsi="宋体" w:cs="宋体"/>
          <w:color w:val="auto"/>
          <w:szCs w:val="21"/>
          <w:highlight w:val="none"/>
          <w:u w:val="single"/>
        </w:rPr>
        <w:t xml:space="preserve">                                        </w:t>
      </w:r>
    </w:p>
    <w:p w14:paraId="212DF554">
      <w:pPr>
        <w:spacing w:line="340" w:lineRule="exact"/>
        <w:rPr>
          <w:rFonts w:ascii="宋体" w:hAnsi="宋体" w:cs="宋体"/>
          <w:color w:val="auto"/>
          <w:szCs w:val="21"/>
          <w:highlight w:val="none"/>
          <w:u w:val="single"/>
        </w:rPr>
      </w:pPr>
      <w:r>
        <w:rPr>
          <w:rFonts w:hint="eastAsia" w:ascii="宋体" w:hAnsi="宋体" w:cs="宋体"/>
          <w:color w:val="auto"/>
          <w:highlight w:val="none"/>
        </w:rPr>
        <w:t>法定代表人、负责人、自然人或相应的委托代理人签字或个人CA证书签章（属自然人的应在签名处加盖食指指印或个人CA证书签章）：</w:t>
      </w:r>
      <w:r>
        <w:rPr>
          <w:rFonts w:hint="eastAsia" w:ascii="宋体" w:hAnsi="宋体" w:cs="宋体"/>
          <w:color w:val="auto"/>
          <w:szCs w:val="21"/>
          <w:highlight w:val="none"/>
          <w:u w:val="single"/>
        </w:rPr>
        <w:t xml:space="preserve">                                    </w:t>
      </w:r>
    </w:p>
    <w:p w14:paraId="0841B4DE">
      <w:pPr>
        <w:tabs>
          <w:tab w:val="left" w:pos="1305"/>
        </w:tabs>
        <w:spacing w:line="340" w:lineRule="exact"/>
        <w:rPr>
          <w:rFonts w:ascii="宋体" w:hAnsi="宋体" w:cs="宋体"/>
          <w:bCs/>
          <w:color w:val="auto"/>
          <w:szCs w:val="21"/>
          <w:highlight w:val="none"/>
        </w:rPr>
      </w:pPr>
    </w:p>
    <w:p w14:paraId="5CAF470C">
      <w:pPr>
        <w:tabs>
          <w:tab w:val="left" w:pos="1305"/>
        </w:tabs>
        <w:spacing w:line="340" w:lineRule="exact"/>
        <w:rPr>
          <w:rFonts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
          <w:bCs/>
          <w:color w:val="auto"/>
          <w:szCs w:val="21"/>
          <w:highlight w:val="none"/>
        </w:rPr>
        <w:t>：</w:t>
      </w:r>
      <w:r>
        <w:rPr>
          <w:rFonts w:hint="eastAsia" w:ascii="宋体" w:hAnsi="宋体" w:cs="宋体"/>
          <w:bCs/>
          <w:color w:val="auto"/>
          <w:szCs w:val="21"/>
          <w:highlight w:val="none"/>
        </w:rPr>
        <w:t>1.各</w:t>
      </w:r>
      <w:r>
        <w:rPr>
          <w:rFonts w:hint="eastAsia" w:ascii="宋体" w:hAnsi="宋体" w:cs="宋体"/>
          <w:color w:val="auto"/>
          <w:szCs w:val="21"/>
          <w:highlight w:val="none"/>
        </w:rPr>
        <w:t>供应商必须作完整唯一报价，否则，其投标将被拒绝。响应文件只允许有一个报价。</w:t>
      </w:r>
    </w:p>
    <w:p w14:paraId="5141A2CE">
      <w:pPr>
        <w:pStyle w:val="15"/>
        <w:spacing w:line="360" w:lineRule="exact"/>
        <w:ind w:firstLine="420" w:firstLineChars="200"/>
        <w:rPr>
          <w:rFonts w:hAnsi="宋体" w:cs="宋体"/>
          <w:color w:val="auto"/>
          <w:szCs w:val="21"/>
          <w:highlight w:val="none"/>
        </w:rPr>
      </w:pPr>
      <w:r>
        <w:rPr>
          <w:rFonts w:hint="eastAsia" w:hAnsi="宋体" w:cs="宋体"/>
          <w:color w:val="auto"/>
          <w:szCs w:val="21"/>
          <w:highlight w:val="none"/>
        </w:rPr>
        <w:t>2.供应商应根据所投项目如实填写磋商报价表</w:t>
      </w:r>
      <w:r>
        <w:rPr>
          <w:rFonts w:hint="eastAsia" w:hAnsi="宋体" w:cs="宋体"/>
          <w:bCs/>
          <w:color w:val="auto"/>
          <w:szCs w:val="21"/>
          <w:highlight w:val="none"/>
        </w:rPr>
        <w:t>的各项内容。</w:t>
      </w:r>
    </w:p>
    <w:p w14:paraId="230036A0">
      <w:pPr>
        <w:ind w:firstLine="420" w:firstLineChars="200"/>
        <w:rPr>
          <w:rFonts w:ascii="宋体" w:hAnsi="宋体" w:cs="宋体"/>
          <w:b/>
          <w:bCs/>
          <w:color w:val="auto"/>
          <w:sz w:val="32"/>
          <w:szCs w:val="32"/>
          <w:highlight w:val="none"/>
        </w:rPr>
      </w:pPr>
      <w:r>
        <w:rPr>
          <w:rFonts w:hint="eastAsia" w:ascii="宋体" w:hAnsi="宋体" w:cs="宋体"/>
          <w:color w:val="auto"/>
          <w:szCs w:val="21"/>
          <w:highlight w:val="none"/>
        </w:rPr>
        <w:t>3.</w:t>
      </w:r>
      <w:r>
        <w:rPr>
          <w:rFonts w:hint="eastAsia" w:ascii="宋体" w:hAnsi="宋体" w:cs="宋体"/>
          <w:color w:val="auto"/>
          <w:highlight w:val="none"/>
        </w:rPr>
        <w:t>磋商报价表须由法定代表人负责人、自然人或相应的委托代理人签字或个人CA证书签章（属自然人的应在签名处加盖食指指印或个人CA证书签章）并加盖供应商CA证书签章（自然人除外）。</w:t>
      </w:r>
      <w:r>
        <w:rPr>
          <w:rFonts w:hint="eastAsia" w:ascii="宋体" w:hAnsi="宋体" w:cs="宋体"/>
          <w:b/>
          <w:color w:val="auto"/>
          <w:highlight w:val="none"/>
        </w:rPr>
        <w:t>当本表由多页构成时，需逐页加盖供应商CA证书签章（属自然人的须逐页签字或个人CA证书签章）</w:t>
      </w:r>
    </w:p>
    <w:p w14:paraId="58D73B17">
      <w:pPr>
        <w:rPr>
          <w:rFonts w:ascii="宋体" w:hAnsi="宋体" w:cs="宋体"/>
          <w:b/>
          <w:bCs/>
          <w:color w:val="auto"/>
          <w:sz w:val="32"/>
          <w:szCs w:val="32"/>
          <w:highlight w:val="none"/>
        </w:rPr>
      </w:pPr>
    </w:p>
    <w:p w14:paraId="5A6796BD">
      <w:pPr>
        <w:pStyle w:val="9"/>
        <w:rPr>
          <w:rFonts w:ascii="宋体" w:hAnsi="宋体" w:cs="宋体"/>
          <w:color w:val="auto"/>
          <w:highlight w:val="none"/>
        </w:rPr>
        <w:sectPr>
          <w:pgSz w:w="11906" w:h="16838"/>
          <w:pgMar w:top="1440" w:right="935" w:bottom="1440" w:left="777" w:header="851" w:footer="992" w:gutter="0"/>
          <w:pgNumType w:fmt="decimal"/>
          <w:cols w:space="720" w:num="1"/>
          <w:docGrid w:type="linesAndChars" w:linePitch="312" w:charSpace="0"/>
        </w:sectPr>
      </w:pPr>
    </w:p>
    <w:p w14:paraId="062EE069">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rPr>
        <w:t>3.采购需求响应说明表（格式见附件）(必须提供)；</w:t>
      </w:r>
    </w:p>
    <w:p w14:paraId="6D9B57A1">
      <w:pPr>
        <w:rPr>
          <w:rFonts w:ascii="宋体" w:hAnsi="宋体" w:cs="宋体"/>
          <w:color w:val="auto"/>
          <w:highlight w:val="none"/>
        </w:rPr>
      </w:pPr>
    </w:p>
    <w:p w14:paraId="6F534C4A">
      <w:pPr>
        <w:pStyle w:val="15"/>
        <w:spacing w:line="340" w:lineRule="exact"/>
        <w:rPr>
          <w:rFonts w:hAnsi="宋体" w:cs="宋体"/>
          <w:b/>
          <w:color w:val="auto"/>
          <w:sz w:val="28"/>
          <w:szCs w:val="28"/>
          <w:highlight w:val="none"/>
        </w:rPr>
      </w:pPr>
      <w:r>
        <w:rPr>
          <w:rFonts w:hint="eastAsia" w:hAnsi="宋体" w:cs="宋体"/>
          <w:b/>
          <w:color w:val="auto"/>
          <w:sz w:val="28"/>
          <w:szCs w:val="28"/>
          <w:highlight w:val="none"/>
        </w:rPr>
        <w:t>附件：</w:t>
      </w:r>
    </w:p>
    <w:p w14:paraId="7D6D9B18">
      <w:pPr>
        <w:spacing w:line="500" w:lineRule="exact"/>
        <w:rPr>
          <w:rFonts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p>
    <w:p w14:paraId="58168331">
      <w:pPr>
        <w:spacing w:line="500" w:lineRule="exact"/>
        <w:rPr>
          <w:rFonts w:ascii="宋体" w:hAnsi="宋体" w:cs="宋体"/>
          <w:color w:val="auto"/>
          <w:szCs w:val="21"/>
          <w:highlight w:val="non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ADCD8FE">
      <w:pPr>
        <w:spacing w:line="500" w:lineRule="exact"/>
        <w:rPr>
          <w:rFonts w:ascii="宋体" w:hAnsi="宋体" w:cs="宋体"/>
          <w:color w:val="auto"/>
          <w:szCs w:val="21"/>
          <w:highlight w:val="none"/>
        </w:rPr>
      </w:pPr>
      <w:r>
        <w:rPr>
          <w:rFonts w:hint="eastAsia" w:ascii="宋体" w:hAnsi="宋体" w:cs="宋体"/>
          <w:color w:val="auto"/>
          <w:szCs w:val="21"/>
          <w:highlight w:val="none"/>
          <w:lang w:eastAsia="zh-CN"/>
        </w:rPr>
        <w:t>分标</w:t>
      </w:r>
      <w:r>
        <w:rPr>
          <w:rFonts w:hint="eastAsia" w:ascii="宋体" w:hAnsi="宋体" w:cs="宋体"/>
          <w:color w:val="auto"/>
          <w:szCs w:val="21"/>
          <w:highlight w:val="none"/>
        </w:rPr>
        <w:t>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bl>
      <w:tblPr>
        <w:tblStyle w:val="24"/>
        <w:tblW w:w="10193" w:type="dxa"/>
        <w:tblInd w:w="8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0"/>
        <w:gridCol w:w="1666"/>
        <w:gridCol w:w="2154"/>
        <w:gridCol w:w="2250"/>
        <w:gridCol w:w="1805"/>
        <w:gridCol w:w="1618"/>
      </w:tblGrid>
      <w:tr w14:paraId="2B63D4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700" w:type="dxa"/>
            <w:vAlign w:val="center"/>
          </w:tcPr>
          <w:p w14:paraId="5AD1921C">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序号</w:t>
            </w:r>
          </w:p>
        </w:tc>
        <w:tc>
          <w:tcPr>
            <w:tcW w:w="1666" w:type="dxa"/>
            <w:vAlign w:val="center"/>
          </w:tcPr>
          <w:p w14:paraId="27ECA966">
            <w:pPr>
              <w:keepNext w:val="0"/>
              <w:keepLines w:val="0"/>
              <w:suppressLineNumbers w:val="0"/>
              <w:spacing w:before="0" w:beforeAutospacing="0" w:after="0" w:afterAutospacing="0"/>
              <w:ind w:left="0" w:right="0"/>
              <w:jc w:val="center"/>
              <w:rPr>
                <w:rFonts w:hint="eastAsia" w:ascii="宋体" w:hAnsi="宋体" w:cs="宋体"/>
                <w:color w:val="auto"/>
                <w:highlight w:val="none"/>
              </w:rPr>
            </w:pPr>
            <w:bookmarkStart w:id="222" w:name="_Toc173211901"/>
            <w:bookmarkStart w:id="223" w:name="_Toc173066402"/>
            <w:bookmarkStart w:id="224" w:name="_Toc254970730"/>
            <w:bookmarkStart w:id="225" w:name="_Toc254970589"/>
            <w:r>
              <w:rPr>
                <w:rFonts w:hint="eastAsia" w:ascii="宋体" w:hAnsi="宋体" w:cs="宋体"/>
                <w:color w:val="auto"/>
                <w:highlight w:val="none"/>
              </w:rPr>
              <w:t>项目名称</w:t>
            </w:r>
          </w:p>
        </w:tc>
        <w:tc>
          <w:tcPr>
            <w:tcW w:w="2154" w:type="dxa"/>
            <w:vAlign w:val="center"/>
          </w:tcPr>
          <w:p w14:paraId="1C80D843">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竞争性磋商文件第三章采购需求</w:t>
            </w:r>
            <w:bookmarkEnd w:id="222"/>
            <w:bookmarkEnd w:id="223"/>
            <w:bookmarkEnd w:id="224"/>
            <w:bookmarkEnd w:id="225"/>
          </w:p>
        </w:tc>
        <w:tc>
          <w:tcPr>
            <w:tcW w:w="2250" w:type="dxa"/>
            <w:vAlign w:val="center"/>
          </w:tcPr>
          <w:p w14:paraId="5EE613BD">
            <w:pPr>
              <w:keepNext w:val="0"/>
              <w:keepLines w:val="0"/>
              <w:suppressLineNumbers w:val="0"/>
              <w:spacing w:before="0" w:beforeAutospacing="0" w:after="0" w:afterAutospacing="0"/>
              <w:ind w:left="0" w:right="0"/>
              <w:jc w:val="center"/>
              <w:rPr>
                <w:rFonts w:hint="eastAsia" w:ascii="宋体" w:hAnsi="宋体" w:cs="宋体"/>
                <w:color w:val="auto"/>
                <w:highlight w:val="none"/>
              </w:rPr>
            </w:pPr>
            <w:bookmarkStart w:id="226" w:name="_Toc254970731"/>
            <w:bookmarkStart w:id="227" w:name="_Toc254970590"/>
            <w:bookmarkStart w:id="228" w:name="_Toc173066403"/>
            <w:bookmarkStart w:id="229" w:name="_Toc173211902"/>
            <w:r>
              <w:rPr>
                <w:rFonts w:hint="eastAsia" w:ascii="宋体" w:hAnsi="宋体" w:cs="宋体"/>
                <w:color w:val="auto"/>
                <w:highlight w:val="none"/>
              </w:rPr>
              <w:t>竞争性磋商响应文件具体响应</w:t>
            </w:r>
            <w:bookmarkEnd w:id="226"/>
            <w:bookmarkEnd w:id="227"/>
            <w:bookmarkEnd w:id="228"/>
            <w:bookmarkEnd w:id="229"/>
          </w:p>
        </w:tc>
        <w:tc>
          <w:tcPr>
            <w:tcW w:w="1805" w:type="dxa"/>
            <w:vAlign w:val="center"/>
          </w:tcPr>
          <w:p w14:paraId="52CB4EAB">
            <w:pPr>
              <w:keepNext w:val="0"/>
              <w:keepLines w:val="0"/>
              <w:suppressLineNumbers w:val="0"/>
              <w:spacing w:before="0" w:beforeAutospacing="0" w:after="0" w:afterAutospacing="0"/>
              <w:ind w:left="0" w:right="0"/>
              <w:jc w:val="center"/>
              <w:rPr>
                <w:rFonts w:hint="eastAsia" w:ascii="宋体" w:hAnsi="宋体" w:cs="宋体"/>
                <w:color w:val="auto"/>
                <w:highlight w:val="none"/>
              </w:rPr>
            </w:pPr>
            <w:bookmarkStart w:id="230" w:name="_Toc254970732"/>
            <w:bookmarkStart w:id="231" w:name="_Toc173211903"/>
            <w:bookmarkStart w:id="232" w:name="_Toc254970591"/>
            <w:bookmarkStart w:id="233" w:name="_Toc173066404"/>
            <w:r>
              <w:rPr>
                <w:rFonts w:hint="eastAsia" w:ascii="宋体" w:hAnsi="宋体" w:cs="宋体"/>
                <w:color w:val="auto"/>
                <w:highlight w:val="none"/>
              </w:rPr>
              <w:t>响应/偏离</w:t>
            </w:r>
            <w:bookmarkEnd w:id="230"/>
            <w:bookmarkEnd w:id="231"/>
            <w:bookmarkEnd w:id="232"/>
            <w:bookmarkEnd w:id="233"/>
          </w:p>
        </w:tc>
        <w:tc>
          <w:tcPr>
            <w:tcW w:w="1618" w:type="dxa"/>
            <w:vAlign w:val="center"/>
          </w:tcPr>
          <w:p w14:paraId="110FD4C3">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备注</w:t>
            </w:r>
          </w:p>
        </w:tc>
      </w:tr>
      <w:tr w14:paraId="2868F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700" w:type="dxa"/>
            <w:vAlign w:val="center"/>
          </w:tcPr>
          <w:p w14:paraId="33AF6E8F">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1</w:t>
            </w:r>
          </w:p>
        </w:tc>
        <w:tc>
          <w:tcPr>
            <w:tcW w:w="1666" w:type="dxa"/>
            <w:vAlign w:val="center"/>
          </w:tcPr>
          <w:p w14:paraId="72166070">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154" w:type="dxa"/>
            <w:vAlign w:val="center"/>
          </w:tcPr>
          <w:p w14:paraId="65EA65D5">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250" w:type="dxa"/>
            <w:vAlign w:val="center"/>
          </w:tcPr>
          <w:p w14:paraId="31875EFB">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805" w:type="dxa"/>
            <w:vAlign w:val="center"/>
          </w:tcPr>
          <w:p w14:paraId="64D79BCF">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618" w:type="dxa"/>
            <w:vAlign w:val="center"/>
          </w:tcPr>
          <w:p w14:paraId="3658E775">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r>
      <w:tr w14:paraId="74B1EC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700" w:type="dxa"/>
            <w:vAlign w:val="center"/>
          </w:tcPr>
          <w:p w14:paraId="3A00AFEA">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2</w:t>
            </w:r>
          </w:p>
        </w:tc>
        <w:tc>
          <w:tcPr>
            <w:tcW w:w="1666" w:type="dxa"/>
            <w:vAlign w:val="center"/>
          </w:tcPr>
          <w:p w14:paraId="2625595D">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154" w:type="dxa"/>
            <w:vAlign w:val="center"/>
          </w:tcPr>
          <w:p w14:paraId="26581540">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250" w:type="dxa"/>
            <w:vAlign w:val="center"/>
          </w:tcPr>
          <w:p w14:paraId="1FA38A91">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805" w:type="dxa"/>
            <w:vAlign w:val="center"/>
          </w:tcPr>
          <w:p w14:paraId="1D5688F5">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618" w:type="dxa"/>
            <w:vAlign w:val="center"/>
          </w:tcPr>
          <w:p w14:paraId="4EF602BE">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r>
      <w:tr w14:paraId="49194B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700" w:type="dxa"/>
            <w:vAlign w:val="center"/>
          </w:tcPr>
          <w:p w14:paraId="2972070A">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3</w:t>
            </w:r>
          </w:p>
        </w:tc>
        <w:tc>
          <w:tcPr>
            <w:tcW w:w="1666" w:type="dxa"/>
            <w:vAlign w:val="center"/>
          </w:tcPr>
          <w:p w14:paraId="1386AC1D">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154" w:type="dxa"/>
            <w:vAlign w:val="center"/>
          </w:tcPr>
          <w:p w14:paraId="6AEA9767">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250" w:type="dxa"/>
            <w:vAlign w:val="center"/>
          </w:tcPr>
          <w:p w14:paraId="2D64ADAB">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805" w:type="dxa"/>
            <w:vAlign w:val="center"/>
          </w:tcPr>
          <w:p w14:paraId="43E6B299">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618" w:type="dxa"/>
            <w:vAlign w:val="center"/>
          </w:tcPr>
          <w:p w14:paraId="06EBD2DE">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r>
      <w:tr w14:paraId="20DA09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trPr>
        <w:tc>
          <w:tcPr>
            <w:tcW w:w="700" w:type="dxa"/>
            <w:vAlign w:val="center"/>
          </w:tcPr>
          <w:p w14:paraId="19307608">
            <w:pPr>
              <w:keepNext w:val="0"/>
              <w:keepLines w:val="0"/>
              <w:suppressLineNumbers w:val="0"/>
              <w:spacing w:before="0" w:beforeAutospacing="0" w:after="0" w:afterAutospacing="0"/>
              <w:ind w:left="0" w:right="0"/>
              <w:jc w:val="center"/>
              <w:rPr>
                <w:rFonts w:hint="eastAsia" w:ascii="宋体" w:hAnsi="宋体" w:cs="宋体"/>
                <w:color w:val="auto"/>
                <w:highlight w:val="none"/>
              </w:rPr>
            </w:pPr>
            <w:r>
              <w:rPr>
                <w:rFonts w:hint="eastAsia" w:ascii="宋体" w:hAnsi="宋体" w:cs="宋体"/>
                <w:color w:val="auto"/>
                <w:highlight w:val="none"/>
              </w:rPr>
              <w:t>…</w:t>
            </w:r>
          </w:p>
        </w:tc>
        <w:tc>
          <w:tcPr>
            <w:tcW w:w="1666" w:type="dxa"/>
            <w:vAlign w:val="center"/>
          </w:tcPr>
          <w:p w14:paraId="6E80B0A4">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154" w:type="dxa"/>
            <w:vAlign w:val="center"/>
          </w:tcPr>
          <w:p w14:paraId="451AD262">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2250" w:type="dxa"/>
            <w:vAlign w:val="center"/>
          </w:tcPr>
          <w:p w14:paraId="5FD92456">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805" w:type="dxa"/>
            <w:tcBorders>
              <w:right w:val="single" w:color="auto" w:sz="4" w:space="0"/>
            </w:tcBorders>
            <w:vAlign w:val="center"/>
          </w:tcPr>
          <w:p w14:paraId="39782066">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c>
          <w:tcPr>
            <w:tcW w:w="1618" w:type="dxa"/>
            <w:tcBorders>
              <w:left w:val="single" w:color="auto" w:sz="4" w:space="0"/>
            </w:tcBorders>
            <w:vAlign w:val="center"/>
          </w:tcPr>
          <w:p w14:paraId="7BC3F9B9">
            <w:pPr>
              <w:keepNext w:val="0"/>
              <w:keepLines w:val="0"/>
              <w:suppressLineNumbers w:val="0"/>
              <w:adjustRightInd w:val="0"/>
              <w:snapToGrid w:val="0"/>
              <w:spacing w:before="0" w:beforeAutospacing="0" w:after="0" w:afterAutospacing="0" w:line="300" w:lineRule="auto"/>
              <w:ind w:left="0" w:right="0"/>
              <w:jc w:val="center"/>
              <w:outlineLvl w:val="0"/>
              <w:rPr>
                <w:rFonts w:hint="eastAsia" w:ascii="宋体" w:hAnsi="宋体" w:cs="宋体"/>
                <w:color w:val="auto"/>
                <w:szCs w:val="21"/>
                <w:highlight w:val="none"/>
              </w:rPr>
            </w:pPr>
          </w:p>
        </w:tc>
      </w:tr>
    </w:tbl>
    <w:p w14:paraId="69C7A289">
      <w:pPr>
        <w:spacing w:line="340" w:lineRule="exact"/>
        <w:rPr>
          <w:rFonts w:ascii="宋体" w:hAnsi="宋体" w:cs="宋体"/>
          <w:color w:val="auto"/>
          <w:szCs w:val="21"/>
          <w:highlight w:val="none"/>
        </w:rPr>
      </w:pPr>
    </w:p>
    <w:p w14:paraId="1E7CA8A2">
      <w:pPr>
        <w:snapToGrid w:val="0"/>
        <w:spacing w:line="400" w:lineRule="exact"/>
        <w:ind w:firstLine="1890" w:firstLineChars="900"/>
        <w:rPr>
          <w:rFonts w:ascii="宋体" w:hAnsi="宋体" w:cs="宋体"/>
          <w:color w:val="auto"/>
          <w:szCs w:val="21"/>
          <w:highlight w:val="none"/>
          <w:u w:val="single"/>
        </w:rPr>
      </w:pPr>
      <w:r>
        <w:rPr>
          <w:rFonts w:hint="eastAsia" w:ascii="宋体" w:hAnsi="宋体" w:cs="宋体"/>
          <w:color w:val="auto"/>
          <w:szCs w:val="21"/>
          <w:highlight w:val="none"/>
        </w:rPr>
        <w:t>磋商供应商[(CA证书签章)，自然人签字或个人CA证书签章]：</w:t>
      </w:r>
      <w:r>
        <w:rPr>
          <w:rFonts w:hint="eastAsia" w:ascii="宋体" w:hAnsi="宋体" w:cs="宋体"/>
          <w:color w:val="auto"/>
          <w:szCs w:val="21"/>
          <w:highlight w:val="none"/>
          <w:u w:val="single"/>
        </w:rPr>
        <w:t xml:space="preserve">                                </w:t>
      </w:r>
    </w:p>
    <w:p w14:paraId="3520E1CD">
      <w:pPr>
        <w:spacing w:line="340" w:lineRule="exact"/>
        <w:rPr>
          <w:rFonts w:ascii="宋体" w:hAnsi="宋体" w:cs="宋体"/>
          <w:color w:val="auto"/>
          <w:highlight w:val="none"/>
        </w:rPr>
      </w:pPr>
    </w:p>
    <w:p w14:paraId="443328A1">
      <w:pPr>
        <w:snapToGrid w:val="0"/>
        <w:spacing w:line="400" w:lineRule="exact"/>
        <w:ind w:firstLine="1680" w:firstLineChars="800"/>
        <w:rPr>
          <w:rFonts w:ascii="宋体" w:hAnsi="宋体" w:cs="宋体"/>
          <w:color w:val="auto"/>
          <w:highlight w:val="none"/>
        </w:rPr>
      </w:pPr>
    </w:p>
    <w:p w14:paraId="08A39C56">
      <w:pPr>
        <w:snapToGrid w:val="0"/>
        <w:spacing w:line="400" w:lineRule="exact"/>
        <w:ind w:firstLine="1680" w:firstLineChars="800"/>
        <w:rPr>
          <w:rFonts w:ascii="宋体" w:hAnsi="宋体" w:cs="宋体"/>
          <w:color w:val="auto"/>
          <w:highlight w:val="non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30B08EF2">
      <w:pPr>
        <w:ind w:firstLine="1890" w:firstLineChars="900"/>
        <w:rPr>
          <w:rFonts w:ascii="宋体" w:hAnsi="宋体" w:cs="宋体"/>
          <w:color w:val="auto"/>
          <w:highlight w:val="none"/>
          <w:u w:val="single"/>
        </w:rPr>
      </w:pPr>
    </w:p>
    <w:p w14:paraId="2215467D">
      <w:pPr>
        <w:ind w:firstLine="1890" w:firstLineChars="900"/>
        <w:rPr>
          <w:rFonts w:ascii="宋体" w:hAnsi="宋体" w:cs="宋体"/>
          <w:color w:val="auto"/>
          <w:highlight w:val="none"/>
          <w:u w:val="single"/>
        </w:rPr>
      </w:pPr>
    </w:p>
    <w:p w14:paraId="6BE8A956">
      <w:pPr>
        <w:spacing w:line="400" w:lineRule="exact"/>
        <w:ind w:left="982" w:leftChars="200" w:hanging="562" w:hangingChars="200"/>
        <w:rPr>
          <w:rFonts w:ascii="宋体" w:hAnsi="宋体" w:cs="宋体"/>
          <w:b/>
          <w:bCs/>
          <w:color w:val="auto"/>
          <w:sz w:val="28"/>
          <w:szCs w:val="28"/>
          <w:highlight w:val="none"/>
        </w:rPr>
      </w:pPr>
      <w:r>
        <w:rPr>
          <w:rFonts w:hint="eastAsia" w:ascii="宋体" w:hAnsi="宋体" w:cs="宋体"/>
          <w:b/>
          <w:bCs/>
          <w:color w:val="auto"/>
          <w:sz w:val="28"/>
          <w:szCs w:val="28"/>
          <w:highlight w:val="none"/>
        </w:rPr>
        <w:t>注：</w:t>
      </w:r>
      <w:r>
        <w:rPr>
          <w:rFonts w:hint="eastAsia" w:ascii="宋体" w:hAnsi="宋体" w:cs="宋体"/>
          <w:b/>
          <w:color w:val="auto"/>
          <w:sz w:val="24"/>
          <w:highlight w:val="none"/>
        </w:rPr>
        <w:t>1.“采购需求响应说明表”包含商务要求，各项内容必须如实填写。</w:t>
      </w:r>
    </w:p>
    <w:p w14:paraId="349B3762">
      <w:pPr>
        <w:spacing w:line="400" w:lineRule="exact"/>
        <w:ind w:firstLine="964" w:firstLineChars="400"/>
        <w:rPr>
          <w:rFonts w:ascii="宋体" w:hAnsi="宋体" w:cs="宋体"/>
          <w:b/>
          <w:bCs/>
          <w:color w:val="auto"/>
          <w:sz w:val="28"/>
          <w:szCs w:val="28"/>
          <w:highlight w:val="none"/>
        </w:rPr>
      </w:pPr>
      <w:r>
        <w:rPr>
          <w:rFonts w:hint="eastAsia" w:ascii="宋体" w:hAnsi="宋体" w:cs="宋体"/>
          <w:b/>
          <w:color w:val="auto"/>
          <w:sz w:val="24"/>
          <w:highlight w:val="none"/>
        </w:rPr>
        <w:t>2.当本表由多页构成时，需逐页加盖磋商供应商CA证书签章（属自然人的须逐页签字或个人CA证书签章）。</w:t>
      </w:r>
    </w:p>
    <w:p w14:paraId="7425B41F">
      <w:pPr>
        <w:pStyle w:val="10"/>
        <w:rPr>
          <w:rFonts w:ascii="宋体" w:hAnsi="宋体" w:cs="宋体"/>
          <w:color w:val="auto"/>
          <w:highlight w:val="none"/>
        </w:rPr>
      </w:pPr>
    </w:p>
    <w:p w14:paraId="3CC403C7">
      <w:pPr>
        <w:pStyle w:val="10"/>
        <w:rPr>
          <w:rFonts w:ascii="宋体" w:hAnsi="宋体" w:cs="宋体"/>
          <w:color w:val="auto"/>
          <w:highlight w:val="none"/>
        </w:rPr>
      </w:pPr>
    </w:p>
    <w:p w14:paraId="583DF270">
      <w:pPr>
        <w:pStyle w:val="10"/>
        <w:rPr>
          <w:rFonts w:ascii="宋体" w:hAnsi="宋体" w:cs="宋体"/>
          <w:color w:val="auto"/>
          <w:highlight w:val="none"/>
        </w:rPr>
      </w:pPr>
    </w:p>
    <w:p w14:paraId="42B044C4">
      <w:pPr>
        <w:pStyle w:val="10"/>
        <w:rPr>
          <w:rFonts w:ascii="宋体" w:hAnsi="宋体" w:cs="宋体"/>
          <w:color w:val="auto"/>
          <w:highlight w:val="none"/>
        </w:rPr>
      </w:pPr>
    </w:p>
    <w:p w14:paraId="0C469B17">
      <w:pPr>
        <w:pStyle w:val="10"/>
        <w:rPr>
          <w:rFonts w:ascii="宋体" w:hAnsi="宋体" w:cs="宋体"/>
          <w:color w:val="auto"/>
          <w:highlight w:val="none"/>
        </w:rPr>
      </w:pPr>
    </w:p>
    <w:p w14:paraId="015DFCD3">
      <w:pPr>
        <w:pStyle w:val="10"/>
        <w:rPr>
          <w:rFonts w:ascii="宋体" w:hAnsi="宋体" w:cs="宋体"/>
          <w:color w:val="auto"/>
          <w:highlight w:val="none"/>
        </w:rPr>
      </w:pPr>
    </w:p>
    <w:p w14:paraId="3D6F26DF">
      <w:pPr>
        <w:pStyle w:val="10"/>
        <w:rPr>
          <w:rFonts w:ascii="宋体" w:hAnsi="宋体" w:cs="宋体"/>
          <w:color w:val="auto"/>
          <w:highlight w:val="none"/>
        </w:rPr>
      </w:pPr>
    </w:p>
    <w:p w14:paraId="4AA577C1">
      <w:pPr>
        <w:rPr>
          <w:rFonts w:ascii="宋体" w:hAnsi="宋体" w:cs="宋体"/>
          <w:color w:val="auto"/>
          <w:highlight w:val="none"/>
        </w:rPr>
      </w:pPr>
    </w:p>
    <w:p w14:paraId="70D65393">
      <w:pPr>
        <w:pStyle w:val="40"/>
        <w:rPr>
          <w:rFonts w:ascii="宋体" w:hAnsi="宋体" w:cs="宋体"/>
          <w:color w:val="auto"/>
          <w:highlight w:val="none"/>
        </w:rPr>
      </w:pPr>
    </w:p>
    <w:p w14:paraId="29100F34">
      <w:pPr>
        <w:pStyle w:val="40"/>
        <w:rPr>
          <w:rFonts w:ascii="宋体" w:hAnsi="宋体" w:cs="宋体"/>
          <w:color w:val="auto"/>
          <w:highlight w:val="none"/>
        </w:rPr>
      </w:pPr>
    </w:p>
    <w:p w14:paraId="19C2EDB7">
      <w:pPr>
        <w:pStyle w:val="40"/>
        <w:rPr>
          <w:rFonts w:ascii="宋体" w:hAnsi="宋体" w:cs="宋体"/>
          <w:color w:val="auto"/>
          <w:highlight w:val="none"/>
        </w:rPr>
      </w:pPr>
    </w:p>
    <w:p w14:paraId="48DAB2A3">
      <w:pPr>
        <w:pStyle w:val="40"/>
        <w:rPr>
          <w:rFonts w:ascii="宋体" w:hAnsi="宋体" w:cs="宋体"/>
          <w:color w:val="auto"/>
          <w:highlight w:val="none"/>
        </w:rPr>
      </w:pPr>
    </w:p>
    <w:p w14:paraId="619F84AA">
      <w:pPr>
        <w:pStyle w:val="40"/>
        <w:rPr>
          <w:rFonts w:ascii="宋体" w:hAnsi="宋体" w:cs="宋体"/>
          <w:color w:val="auto"/>
          <w:highlight w:val="none"/>
        </w:rPr>
      </w:pPr>
    </w:p>
    <w:p w14:paraId="1D5A0F55">
      <w:pPr>
        <w:pStyle w:val="40"/>
        <w:rPr>
          <w:rFonts w:ascii="宋体" w:hAnsi="宋体" w:cs="宋体"/>
          <w:color w:val="auto"/>
          <w:highlight w:val="none"/>
        </w:rPr>
      </w:pPr>
    </w:p>
    <w:p w14:paraId="4B150DF7">
      <w:pPr>
        <w:pStyle w:val="40"/>
        <w:rPr>
          <w:rFonts w:ascii="宋体" w:hAnsi="宋体" w:cs="宋体"/>
          <w:color w:val="auto"/>
          <w:highlight w:val="none"/>
        </w:rPr>
      </w:pPr>
    </w:p>
    <w:p w14:paraId="0C5F2A8C">
      <w:pPr>
        <w:pStyle w:val="10"/>
        <w:rPr>
          <w:rFonts w:ascii="宋体" w:hAnsi="宋体" w:cs="宋体"/>
          <w:color w:val="auto"/>
          <w:highlight w:val="none"/>
        </w:rPr>
      </w:pPr>
    </w:p>
    <w:p w14:paraId="0B500FCE">
      <w:pPr>
        <w:pStyle w:val="10"/>
        <w:rPr>
          <w:rFonts w:ascii="宋体" w:hAnsi="宋体" w:cs="宋体"/>
          <w:color w:val="auto"/>
          <w:highlight w:val="none"/>
        </w:rPr>
      </w:pPr>
    </w:p>
    <w:p w14:paraId="68CDBD63">
      <w:pPr>
        <w:pStyle w:val="23"/>
        <w:rPr>
          <w:color w:val="auto"/>
          <w:highlight w:val="none"/>
        </w:rPr>
      </w:pPr>
    </w:p>
    <w:p w14:paraId="64453A41">
      <w:pPr>
        <w:pStyle w:val="10"/>
        <w:rPr>
          <w:rFonts w:ascii="宋体" w:hAnsi="宋体" w:cs="宋体"/>
          <w:color w:val="auto"/>
          <w:highlight w:val="none"/>
        </w:rPr>
      </w:pPr>
    </w:p>
    <w:p w14:paraId="59525381">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rPr>
        <w:t>4.售后服务承诺书（必须提供）；</w:t>
      </w:r>
    </w:p>
    <w:p w14:paraId="74828C07">
      <w:pPr>
        <w:rPr>
          <w:rFonts w:ascii="宋体" w:hAnsi="宋体" w:cs="宋体"/>
          <w:color w:val="auto"/>
          <w:highlight w:val="none"/>
        </w:rPr>
      </w:pPr>
    </w:p>
    <w:p w14:paraId="3FBE1D33">
      <w:pPr>
        <w:pStyle w:val="15"/>
        <w:spacing w:line="340" w:lineRule="exact"/>
        <w:rPr>
          <w:rFonts w:hAnsi="宋体" w:cs="宋体"/>
          <w:b/>
          <w:color w:val="auto"/>
          <w:sz w:val="28"/>
          <w:szCs w:val="28"/>
          <w:highlight w:val="none"/>
        </w:rPr>
      </w:pPr>
      <w:r>
        <w:rPr>
          <w:rFonts w:hint="eastAsia" w:hAnsi="宋体" w:cs="宋体"/>
          <w:b/>
          <w:color w:val="auto"/>
          <w:sz w:val="28"/>
          <w:szCs w:val="28"/>
          <w:highlight w:val="none"/>
        </w:rPr>
        <w:t>附件：</w:t>
      </w:r>
    </w:p>
    <w:p w14:paraId="3DE7C56D">
      <w:pPr>
        <w:rPr>
          <w:rFonts w:ascii="宋体" w:hAnsi="宋体" w:cs="宋体"/>
          <w:color w:val="auto"/>
          <w:highlight w:val="none"/>
        </w:rPr>
      </w:pPr>
    </w:p>
    <w:p w14:paraId="3E49E190">
      <w:pPr>
        <w:pStyle w:val="10"/>
        <w:rPr>
          <w:rFonts w:ascii="宋体" w:hAnsi="宋体" w:cs="宋体"/>
          <w:color w:val="auto"/>
          <w:highlight w:val="none"/>
        </w:rPr>
      </w:pPr>
    </w:p>
    <w:p w14:paraId="206111FE">
      <w:pPr>
        <w:pStyle w:val="10"/>
        <w:rPr>
          <w:rFonts w:ascii="宋体" w:hAnsi="宋体" w:cs="宋体"/>
          <w:color w:val="auto"/>
          <w:highlight w:val="none"/>
        </w:rPr>
      </w:pPr>
    </w:p>
    <w:p w14:paraId="2B2C33AD">
      <w:pPr>
        <w:pStyle w:val="10"/>
        <w:rPr>
          <w:rFonts w:ascii="宋体" w:hAnsi="宋体" w:cs="宋体"/>
          <w:color w:val="auto"/>
          <w:highlight w:val="none"/>
        </w:rPr>
      </w:pPr>
    </w:p>
    <w:p w14:paraId="45E5A9A2">
      <w:pPr>
        <w:pStyle w:val="15"/>
        <w:spacing w:line="340" w:lineRule="exact"/>
        <w:jc w:val="center"/>
        <w:rPr>
          <w:rFonts w:hAnsi="宋体" w:cs="宋体"/>
          <w:b/>
          <w:color w:val="auto"/>
          <w:sz w:val="32"/>
          <w:szCs w:val="32"/>
          <w:highlight w:val="none"/>
        </w:rPr>
      </w:pPr>
      <w:r>
        <w:rPr>
          <w:rFonts w:hint="eastAsia" w:hAnsi="宋体" w:cs="宋体"/>
          <w:b/>
          <w:color w:val="auto"/>
          <w:sz w:val="32"/>
          <w:szCs w:val="32"/>
          <w:highlight w:val="none"/>
        </w:rPr>
        <w:t>售后服务承诺书（格式）</w:t>
      </w:r>
    </w:p>
    <w:p w14:paraId="2C1D1685">
      <w:pPr>
        <w:pStyle w:val="15"/>
        <w:spacing w:line="340" w:lineRule="exact"/>
        <w:jc w:val="center"/>
        <w:rPr>
          <w:rFonts w:hAnsi="宋体" w:cs="宋体"/>
          <w:b/>
          <w:color w:val="auto"/>
          <w:sz w:val="32"/>
          <w:szCs w:val="32"/>
          <w:highlight w:val="none"/>
        </w:rPr>
      </w:pPr>
    </w:p>
    <w:p w14:paraId="1FC0CC4B">
      <w:pPr>
        <w:pStyle w:val="15"/>
        <w:spacing w:line="340" w:lineRule="exact"/>
        <w:jc w:val="center"/>
        <w:rPr>
          <w:rFonts w:hAnsi="宋体" w:cs="宋体"/>
          <w:b/>
          <w:color w:val="auto"/>
          <w:sz w:val="32"/>
          <w:szCs w:val="32"/>
          <w:highlight w:val="none"/>
        </w:rPr>
      </w:pPr>
    </w:p>
    <w:p w14:paraId="54FAB193">
      <w:pPr>
        <w:pStyle w:val="15"/>
        <w:spacing w:line="340" w:lineRule="exact"/>
        <w:jc w:val="center"/>
        <w:rPr>
          <w:rFonts w:hAnsi="宋体" w:cs="宋体"/>
          <w:b/>
          <w:color w:val="auto"/>
          <w:sz w:val="32"/>
          <w:szCs w:val="32"/>
          <w:highlight w:val="none"/>
        </w:rPr>
      </w:pPr>
    </w:p>
    <w:p w14:paraId="3B5E20DF">
      <w:pPr>
        <w:rPr>
          <w:rFonts w:ascii="宋体" w:hAnsi="宋体" w:cs="宋体"/>
          <w:b/>
          <w:color w:val="auto"/>
          <w:sz w:val="32"/>
          <w:szCs w:val="32"/>
          <w:highlight w:val="none"/>
        </w:rPr>
      </w:pPr>
    </w:p>
    <w:p w14:paraId="6EDC86DD">
      <w:pPr>
        <w:pStyle w:val="10"/>
        <w:rPr>
          <w:rFonts w:ascii="宋体" w:hAnsi="宋体" w:cs="宋体"/>
          <w:color w:val="auto"/>
          <w:highlight w:val="none"/>
        </w:rPr>
      </w:pPr>
    </w:p>
    <w:p w14:paraId="08E729C6">
      <w:pPr>
        <w:pStyle w:val="10"/>
        <w:rPr>
          <w:rFonts w:ascii="宋体" w:hAnsi="宋体" w:cs="宋体"/>
          <w:b/>
          <w:color w:val="auto"/>
          <w:sz w:val="32"/>
          <w:szCs w:val="32"/>
          <w:highlight w:val="none"/>
        </w:rPr>
      </w:pPr>
    </w:p>
    <w:p w14:paraId="3F0FCA6B">
      <w:pPr>
        <w:pStyle w:val="15"/>
        <w:spacing w:line="340" w:lineRule="exact"/>
        <w:jc w:val="center"/>
        <w:rPr>
          <w:rFonts w:hAnsi="宋体" w:cs="宋体"/>
          <w:b/>
          <w:color w:val="auto"/>
          <w:sz w:val="32"/>
          <w:szCs w:val="32"/>
          <w:highlight w:val="none"/>
        </w:rPr>
      </w:pPr>
    </w:p>
    <w:p w14:paraId="15241C11">
      <w:pPr>
        <w:snapToGrid w:val="0"/>
        <w:spacing w:line="400" w:lineRule="exact"/>
        <w:ind w:firstLine="1890" w:firstLineChars="900"/>
        <w:rPr>
          <w:rFonts w:ascii="宋体" w:hAnsi="宋体" w:cs="宋体"/>
          <w:color w:val="auto"/>
          <w:szCs w:val="21"/>
          <w:highlight w:val="none"/>
          <w:u w:val="single"/>
        </w:rPr>
      </w:pPr>
      <w:r>
        <w:rPr>
          <w:rFonts w:hint="eastAsia" w:ascii="宋体" w:hAnsi="宋体" w:cs="宋体"/>
          <w:color w:val="auto"/>
          <w:szCs w:val="21"/>
          <w:highlight w:val="none"/>
        </w:rPr>
        <w:t>磋商供应商[(CA证书签章)，自然人签字或个人CA证书签章]：</w:t>
      </w:r>
      <w:r>
        <w:rPr>
          <w:rFonts w:hint="eastAsia" w:ascii="宋体" w:hAnsi="宋体" w:cs="宋体"/>
          <w:color w:val="auto"/>
          <w:szCs w:val="21"/>
          <w:highlight w:val="none"/>
          <w:u w:val="single"/>
        </w:rPr>
        <w:t xml:space="preserve">                                     </w:t>
      </w:r>
    </w:p>
    <w:p w14:paraId="66F0847C">
      <w:pPr>
        <w:rPr>
          <w:color w:val="auto"/>
          <w:highlight w:val="none"/>
        </w:rPr>
      </w:pPr>
    </w:p>
    <w:p w14:paraId="7BC18EE3">
      <w:pPr>
        <w:snapToGrid w:val="0"/>
        <w:spacing w:line="400" w:lineRule="exact"/>
        <w:ind w:firstLine="1680" w:firstLineChars="800"/>
        <w:rPr>
          <w:rFonts w:hint="eastAsia" w:ascii="宋体" w:hAnsi="宋体" w:cs="宋体"/>
          <w:color w:val="auto"/>
          <w:highlight w:val="none"/>
          <w:u w:val="singl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4C7A765C">
      <w:pPr>
        <w:snapToGrid w:val="0"/>
        <w:spacing w:line="400" w:lineRule="exact"/>
        <w:ind w:firstLine="1680" w:firstLineChars="800"/>
        <w:rPr>
          <w:rFonts w:hint="eastAsia" w:ascii="宋体" w:hAnsi="宋体" w:cs="宋体"/>
          <w:color w:val="auto"/>
          <w:highlight w:val="none"/>
          <w:u w:val="single"/>
        </w:rPr>
      </w:pPr>
    </w:p>
    <w:p w14:paraId="3D58A2F0">
      <w:pPr>
        <w:rPr>
          <w:rFonts w:hint="eastAsia" w:ascii="宋体" w:hAnsi="宋体" w:cs="宋体"/>
          <w:color w:val="auto"/>
          <w:highlight w:val="none"/>
          <w:u w:val="single"/>
        </w:rPr>
      </w:pPr>
      <w:r>
        <w:rPr>
          <w:rFonts w:hint="eastAsia" w:ascii="宋体" w:hAnsi="宋体" w:cs="宋体"/>
          <w:color w:val="auto"/>
          <w:highlight w:val="none"/>
          <w:u w:val="single"/>
        </w:rPr>
        <w:br w:type="page"/>
      </w:r>
    </w:p>
    <w:p w14:paraId="55FA48D0">
      <w:pPr>
        <w:pStyle w:val="15"/>
        <w:spacing w:line="340" w:lineRule="exact"/>
        <w:outlineLvl w:val="3"/>
        <w:rPr>
          <w:rFonts w:hint="eastAsia" w:hAnsi="宋体" w:eastAsia="宋体" w:cs="宋体"/>
          <w:b/>
          <w:color w:val="auto"/>
          <w:sz w:val="28"/>
          <w:szCs w:val="28"/>
          <w:highlight w:val="none"/>
          <w:lang w:eastAsia="zh-CN"/>
        </w:rPr>
      </w:pPr>
      <w:r>
        <w:rPr>
          <w:rFonts w:hint="eastAsia" w:hAnsi="宋体" w:cs="宋体"/>
          <w:b/>
          <w:color w:val="auto"/>
          <w:sz w:val="28"/>
          <w:szCs w:val="28"/>
          <w:highlight w:val="none"/>
          <w:lang w:val="en-US" w:eastAsia="zh-CN"/>
        </w:rPr>
        <w:t>5.</w:t>
      </w:r>
      <w:r>
        <w:rPr>
          <w:rFonts w:hint="eastAsia" w:hAnsi="宋体" w:cs="宋体"/>
          <w:b/>
          <w:color w:val="auto"/>
          <w:sz w:val="28"/>
          <w:szCs w:val="28"/>
          <w:highlight w:val="none"/>
        </w:rPr>
        <w:t>花坪保护区内（施工）作业（单位）人员安全生产承诺书</w:t>
      </w:r>
      <w:r>
        <w:rPr>
          <w:rFonts w:hint="eastAsia" w:hAnsi="宋体" w:cs="宋体"/>
          <w:b/>
          <w:color w:val="auto"/>
          <w:sz w:val="28"/>
          <w:szCs w:val="28"/>
          <w:highlight w:val="none"/>
          <w:lang w:eastAsia="zh-CN"/>
        </w:rPr>
        <w:t>（必须提供）</w:t>
      </w:r>
    </w:p>
    <w:p w14:paraId="5C4925C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8"/>
          <w:szCs w:val="28"/>
          <w:highlight w:val="none"/>
          <w:lang w:val="en-US" w:eastAsia="zh-CN"/>
        </w:rPr>
      </w:pPr>
    </w:p>
    <w:p w14:paraId="2E63A4C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4"/>
          <w:szCs w:val="24"/>
          <w:highlight w:val="none"/>
          <w:lang w:eastAsia="zh-CN"/>
        </w:rPr>
      </w:pPr>
      <w:r>
        <w:rPr>
          <w:rFonts w:hint="eastAsia" w:ascii="宋体" w:hAnsi="宋体" w:cs="宋体"/>
          <w:b/>
          <w:bCs/>
          <w:color w:val="auto"/>
          <w:sz w:val="24"/>
          <w:szCs w:val="24"/>
          <w:highlight w:val="none"/>
          <w:lang w:val="en-US" w:eastAsia="zh-CN"/>
        </w:rPr>
        <w:t>花坪</w:t>
      </w:r>
      <w:r>
        <w:rPr>
          <w:rFonts w:hint="eastAsia" w:ascii="宋体" w:hAnsi="宋体" w:cs="宋体"/>
          <w:b/>
          <w:bCs/>
          <w:color w:val="auto"/>
          <w:sz w:val="24"/>
          <w:szCs w:val="24"/>
          <w:highlight w:val="none"/>
          <w:lang w:eastAsia="zh-CN"/>
        </w:rPr>
        <w:t>保护区内（施工）作业</w:t>
      </w:r>
      <w:r>
        <w:rPr>
          <w:rFonts w:hint="eastAsia"/>
          <w:b/>
          <w:bCs/>
          <w:color w:val="auto"/>
          <w:sz w:val="24"/>
          <w:szCs w:val="24"/>
          <w:highlight w:val="none"/>
          <w:lang w:eastAsia="zh-CN"/>
        </w:rPr>
        <w:t>（单位）</w:t>
      </w:r>
      <w:r>
        <w:rPr>
          <w:rFonts w:hint="eastAsia"/>
          <w:b/>
          <w:bCs/>
          <w:color w:val="auto"/>
          <w:sz w:val="24"/>
          <w:szCs w:val="24"/>
          <w:highlight w:val="none"/>
        </w:rPr>
        <w:t>人员</w:t>
      </w:r>
    </w:p>
    <w:p w14:paraId="6A47BC18">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宋体" w:hAnsi="宋体" w:cs="宋体"/>
          <w:b/>
          <w:bCs/>
          <w:color w:val="auto"/>
          <w:sz w:val="24"/>
          <w:szCs w:val="24"/>
          <w:highlight w:val="none"/>
          <w:lang w:eastAsia="zh-CN"/>
        </w:rPr>
      </w:pPr>
      <w:r>
        <w:rPr>
          <w:rFonts w:hint="eastAsia" w:ascii="宋体" w:hAnsi="宋体" w:cs="宋体"/>
          <w:b/>
          <w:bCs/>
          <w:color w:val="auto"/>
          <w:sz w:val="24"/>
          <w:szCs w:val="24"/>
          <w:highlight w:val="none"/>
          <w:lang w:eastAsia="zh-CN"/>
        </w:rPr>
        <w:t>安全生产承诺书</w:t>
      </w:r>
    </w:p>
    <w:p w14:paraId="5B11E9CC">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宋体" w:hAnsi="宋体" w:cs="宋体"/>
          <w:color w:val="auto"/>
          <w:sz w:val="24"/>
          <w:szCs w:val="24"/>
          <w:highlight w:val="none"/>
          <w:lang w:eastAsia="zh-CN"/>
        </w:rPr>
      </w:pPr>
    </w:p>
    <w:p w14:paraId="2644F85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lang w:eastAsia="zh-CN"/>
        </w:rPr>
        <w:t>为确保</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eastAsia="zh-CN"/>
        </w:rPr>
        <w:t>项目组织（施工）作业安全，本单位：</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eastAsia="zh-CN"/>
        </w:rPr>
        <w:t>负责人：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eastAsia="zh-CN"/>
        </w:rPr>
        <w:t>郑重承诺，将依照施工</w:t>
      </w:r>
      <w:r>
        <w:rPr>
          <w:rFonts w:hint="eastAsia" w:ascii="宋体" w:hAnsi="宋体" w:cs="宋体"/>
          <w:color w:val="auto"/>
          <w:sz w:val="24"/>
          <w:szCs w:val="24"/>
          <w:highlight w:val="none"/>
          <w:u w:val="none"/>
          <w:lang w:val="en-US" w:eastAsia="zh-CN"/>
        </w:rPr>
        <w:t>作业</w:t>
      </w:r>
      <w:r>
        <w:rPr>
          <w:rFonts w:hint="eastAsia" w:ascii="宋体" w:hAnsi="宋体" w:cs="宋体"/>
          <w:color w:val="auto"/>
          <w:sz w:val="24"/>
          <w:szCs w:val="24"/>
          <w:highlight w:val="none"/>
          <w:u w:val="none"/>
          <w:lang w:eastAsia="zh-CN"/>
        </w:rPr>
        <w:t>合同（及相关法规）对本次施工</w:t>
      </w:r>
      <w:r>
        <w:rPr>
          <w:rFonts w:hint="eastAsia" w:ascii="宋体" w:hAnsi="宋体" w:cs="宋体"/>
          <w:color w:val="auto"/>
          <w:sz w:val="24"/>
          <w:szCs w:val="24"/>
          <w:highlight w:val="none"/>
          <w:u w:val="none"/>
          <w:lang w:val="en-US" w:eastAsia="zh-CN"/>
        </w:rPr>
        <w:t>作业</w:t>
      </w:r>
      <w:r>
        <w:rPr>
          <w:rFonts w:hint="eastAsia" w:ascii="宋体" w:hAnsi="宋体" w:cs="宋体"/>
          <w:color w:val="auto"/>
          <w:sz w:val="24"/>
          <w:szCs w:val="24"/>
          <w:highlight w:val="none"/>
          <w:u w:val="none"/>
          <w:lang w:eastAsia="zh-CN"/>
        </w:rPr>
        <w:t>范围内的安全管理承担责任，承诺基本内容如下：　　</w:t>
      </w:r>
    </w:p>
    <w:p w14:paraId="2C12A105">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承诺在（施工）作业期间，严格按</w:t>
      </w:r>
      <w:r>
        <w:rPr>
          <w:rFonts w:hint="eastAsia" w:ascii="宋体" w:hAnsi="宋体" w:cs="宋体"/>
          <w:color w:val="auto"/>
          <w:sz w:val="24"/>
          <w:szCs w:val="24"/>
          <w:highlight w:val="none"/>
          <w:u w:val="none"/>
          <w:lang w:val="en-US" w:eastAsia="zh-CN"/>
        </w:rPr>
        <w:t>照花坪</w:t>
      </w:r>
      <w:r>
        <w:rPr>
          <w:rFonts w:hint="eastAsia" w:ascii="宋体" w:hAnsi="宋体" w:cs="宋体"/>
          <w:color w:val="auto"/>
          <w:sz w:val="24"/>
          <w:szCs w:val="24"/>
          <w:highlight w:val="none"/>
          <w:u w:val="none"/>
          <w:lang w:eastAsia="zh-CN"/>
        </w:rPr>
        <w:t>保护区(以下简称保护区)的要求，依照相关施工法律法规要求，明确安全责任，做好施工</w:t>
      </w:r>
      <w:r>
        <w:rPr>
          <w:rFonts w:hint="eastAsia" w:ascii="宋体" w:hAnsi="宋体" w:cs="宋体"/>
          <w:color w:val="auto"/>
          <w:sz w:val="24"/>
          <w:szCs w:val="24"/>
          <w:highlight w:val="none"/>
          <w:u w:val="none"/>
          <w:lang w:val="en-US" w:eastAsia="zh-CN"/>
        </w:rPr>
        <w:t>作业</w:t>
      </w:r>
      <w:r>
        <w:rPr>
          <w:rFonts w:hint="eastAsia" w:ascii="宋体" w:hAnsi="宋体" w:cs="宋体"/>
          <w:color w:val="auto"/>
          <w:sz w:val="24"/>
          <w:szCs w:val="24"/>
          <w:highlight w:val="none"/>
          <w:u w:val="none"/>
          <w:lang w:eastAsia="zh-CN"/>
        </w:rPr>
        <w:t>组织设计和施工</w:t>
      </w:r>
      <w:r>
        <w:rPr>
          <w:rFonts w:hint="eastAsia" w:ascii="宋体" w:hAnsi="宋体" w:cs="宋体"/>
          <w:color w:val="auto"/>
          <w:sz w:val="24"/>
          <w:szCs w:val="24"/>
          <w:highlight w:val="none"/>
          <w:u w:val="none"/>
          <w:lang w:val="en-US" w:eastAsia="zh-CN"/>
        </w:rPr>
        <w:t>作业</w:t>
      </w:r>
      <w:r>
        <w:rPr>
          <w:rFonts w:hint="eastAsia" w:ascii="宋体" w:hAnsi="宋体" w:cs="宋体"/>
          <w:color w:val="auto"/>
          <w:sz w:val="24"/>
          <w:szCs w:val="24"/>
          <w:highlight w:val="none"/>
          <w:u w:val="none"/>
          <w:lang w:eastAsia="zh-CN"/>
        </w:rPr>
        <w:t>安全技术交底，服从保护区相关部门的日常管理和检查。　　</w:t>
      </w:r>
    </w:p>
    <w:p w14:paraId="3AAFFBB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二、承诺对本单位（施工）作业人员进行安全教育，有健全的安全管理制度，保证（施工）作业人员遵守安全生产规范，服从保护区现场管理人员的管理。　　</w:t>
      </w:r>
    </w:p>
    <w:p w14:paraId="543ADA4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三、承诺文明（施工）作业，保证现场不出现消防安全事故和工伤事故，设立现场安全负责人。保护区监管人员发现有重大不安全因素时，随时有权要求（施工）作业方停工整改，（施工）作业方不得继续违章操作强行（施工）作业。如因（施工）作业发生任何意外或造成人员伤亡，（施工）作业方承诺承担完全负责，与保护区无关。需上报</w:t>
      </w:r>
      <w:r>
        <w:rPr>
          <w:rFonts w:hint="eastAsia" w:ascii="宋体" w:hAnsi="宋体" w:cs="宋体"/>
          <w:color w:val="auto"/>
          <w:sz w:val="24"/>
          <w:szCs w:val="24"/>
          <w:highlight w:val="none"/>
          <w:u w:val="none"/>
          <w:lang w:val="en-US" w:eastAsia="zh-CN"/>
        </w:rPr>
        <w:t>上级</w:t>
      </w:r>
      <w:r>
        <w:rPr>
          <w:rFonts w:hint="eastAsia" w:ascii="宋体" w:hAnsi="宋体" w:cs="宋体"/>
          <w:color w:val="auto"/>
          <w:sz w:val="24"/>
          <w:szCs w:val="24"/>
          <w:highlight w:val="none"/>
          <w:u w:val="none"/>
          <w:lang w:eastAsia="zh-CN"/>
        </w:rPr>
        <w:t>安监局及有关部门的安全事故，一切手续由（施工）作业方负责处理，无需保护区办理。　　</w:t>
      </w:r>
    </w:p>
    <w:p w14:paraId="7407446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四、承诺（施工）作业期间不影响周边人员、卫生、环境安全，不得破坏生态环境。并对本单位（施工）作业人员造成的一切不良影响负责。　　</w:t>
      </w:r>
    </w:p>
    <w:p w14:paraId="154666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五、本承诺书是保护区对外来（施工）作业安全监管的有效证明文件，是合同及进入保护区许可的附件，具有法律效力。　　</w:t>
      </w:r>
    </w:p>
    <w:p w14:paraId="634EE43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六、安全问题包括不仅限于上述情况，如有未尽详细事宜，参照国家法律法规的有关条款执行。　　</w:t>
      </w:r>
    </w:p>
    <w:p w14:paraId="544BB1E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七、本承诺书一式两份，（施工）作业方和保护区各执一份。</w:t>
      </w:r>
    </w:p>
    <w:p w14:paraId="0B8838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p>
    <w:p w14:paraId="01C2852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承诺（施工）作业单位(盖章)：　　</w:t>
      </w:r>
    </w:p>
    <w:p w14:paraId="40024C4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负责人：　　</w:t>
      </w:r>
    </w:p>
    <w:p w14:paraId="24FBEC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jc w:val="left"/>
        <w:textAlignment w:val="auto"/>
        <w:rPr>
          <w:rFonts w:hint="eastAsia" w:ascii="宋体" w:hAnsi="宋体" w:cs="宋体"/>
          <w:color w:val="auto"/>
          <w:sz w:val="24"/>
          <w:szCs w:val="24"/>
          <w:highlight w:val="none"/>
          <w:u w:val="none"/>
          <w:lang w:eastAsia="zh-CN"/>
        </w:rPr>
      </w:pPr>
      <w:r>
        <w:rPr>
          <w:rFonts w:hint="eastAsia" w:ascii="宋体" w:hAnsi="宋体" w:cs="宋体"/>
          <w:color w:val="auto"/>
          <w:sz w:val="24"/>
          <w:szCs w:val="24"/>
          <w:highlight w:val="none"/>
          <w:u w:val="none"/>
          <w:lang w:eastAsia="zh-CN"/>
        </w:rPr>
        <w:t>电 话：　　</w:t>
      </w:r>
    </w:p>
    <w:p w14:paraId="20FA489E">
      <w:pPr>
        <w:keepNext w:val="0"/>
        <w:keepLines w:val="0"/>
        <w:pageBreakBefore w:val="0"/>
        <w:widowControl w:val="0"/>
        <w:kinsoku/>
        <w:wordWrap/>
        <w:overflowPunct/>
        <w:topLinePunct w:val="0"/>
        <w:autoSpaceDE/>
        <w:autoSpaceDN/>
        <w:bidi w:val="0"/>
        <w:adjustRightInd/>
        <w:snapToGrid w:val="0"/>
        <w:spacing w:line="440" w:lineRule="exact"/>
        <w:ind w:left="638" w:leftChars="304" w:firstLine="0" w:firstLineChars="0"/>
        <w:textAlignment w:val="auto"/>
        <w:rPr>
          <w:rFonts w:hint="eastAsia" w:ascii="宋体" w:hAnsi="宋体" w:cs="宋体"/>
          <w:color w:val="auto"/>
          <w:highlight w:val="none"/>
          <w:u w:val="single"/>
        </w:rPr>
        <w:sectPr>
          <w:pgSz w:w="11906" w:h="16838"/>
          <w:pgMar w:top="1440" w:right="935" w:bottom="1440" w:left="777" w:header="851" w:footer="992" w:gutter="0"/>
          <w:pgNumType w:fmt="decimal"/>
          <w:cols w:space="720" w:num="1"/>
          <w:docGrid w:type="lines" w:linePitch="312" w:charSpace="0"/>
        </w:sectPr>
      </w:pPr>
      <w:r>
        <w:rPr>
          <w:rFonts w:hint="eastAsia" w:ascii="宋体" w:hAnsi="宋体" w:cs="宋体"/>
          <w:color w:val="auto"/>
          <w:sz w:val="24"/>
          <w:szCs w:val="24"/>
          <w:highlight w:val="none"/>
          <w:u w:val="none"/>
          <w:lang w:eastAsia="zh-CN"/>
        </w:rPr>
        <w:t>日 期：　　</w:t>
      </w:r>
      <w:r>
        <w:rPr>
          <w:rFonts w:hint="eastAsia" w:ascii="宋体" w:hAnsi="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eastAsia="zh-CN"/>
        </w:rPr>
        <w:t>年</w:t>
      </w:r>
      <w:r>
        <w:rPr>
          <w:rFonts w:hint="eastAsia" w:ascii="宋体" w:hAnsi="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eastAsia="zh-CN"/>
        </w:rPr>
        <w:t>月</w:t>
      </w:r>
      <w:r>
        <w:rPr>
          <w:rFonts w:hint="eastAsia" w:ascii="宋体" w:hAnsi="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none"/>
          <w:lang w:eastAsia="zh-CN"/>
        </w:rPr>
        <w:t>日</w:t>
      </w:r>
    </w:p>
    <w:p w14:paraId="4FD77072">
      <w:pPr>
        <w:spacing w:line="340" w:lineRule="exact"/>
        <w:ind w:left="420"/>
        <w:jc w:val="center"/>
        <w:outlineLvl w:val="2"/>
        <w:rPr>
          <w:rFonts w:ascii="宋体" w:hAnsi="宋体" w:cs="宋体"/>
          <w:color w:val="auto"/>
          <w:szCs w:val="21"/>
          <w:highlight w:val="none"/>
        </w:rPr>
      </w:pPr>
      <w:bookmarkStart w:id="234" w:name="_Toc497927084"/>
      <w:bookmarkStart w:id="235" w:name="_Toc28672"/>
      <w:bookmarkStart w:id="236" w:name="_Toc9339"/>
      <w:r>
        <w:rPr>
          <w:rFonts w:hint="eastAsia" w:ascii="宋体" w:hAnsi="宋体" w:cs="宋体"/>
          <w:b/>
          <w:bCs/>
          <w:color w:val="auto"/>
          <w:sz w:val="32"/>
          <w:szCs w:val="32"/>
          <w:highlight w:val="none"/>
        </w:rPr>
        <w:t>（三）其他有效证明材料目录</w:t>
      </w:r>
      <w:bookmarkEnd w:id="234"/>
      <w:bookmarkEnd w:id="235"/>
      <w:bookmarkEnd w:id="236"/>
    </w:p>
    <w:p w14:paraId="60F110EF">
      <w:pPr>
        <w:spacing w:line="360" w:lineRule="auto"/>
        <w:ind w:firstLine="480" w:firstLineChars="200"/>
        <w:rPr>
          <w:rFonts w:hint="eastAsia" w:ascii="宋体" w:hAnsi="宋体" w:eastAsia="宋体" w:cs="宋体"/>
          <w:b/>
          <w:bCs/>
          <w:color w:val="auto"/>
          <w:highlight w:val="none"/>
          <w:lang w:eastAsia="zh-CN"/>
        </w:rPr>
      </w:pPr>
      <w:r>
        <w:rPr>
          <w:rFonts w:hint="eastAsia" w:ascii="宋体" w:hAnsi="宋体" w:cs="宋体"/>
          <w:color w:val="auto"/>
          <w:sz w:val="24"/>
          <w:highlight w:val="none"/>
        </w:rPr>
        <w:t>1.项目实施方案</w:t>
      </w:r>
      <w:r>
        <w:rPr>
          <w:rFonts w:hint="eastAsia" w:ascii="宋体" w:hAnsi="宋体" w:cs="宋体"/>
          <w:b/>
          <w:bCs/>
          <w:color w:val="auto"/>
          <w:sz w:val="24"/>
          <w:highlight w:val="none"/>
        </w:rPr>
        <w:t>（如有，请提供）</w:t>
      </w:r>
      <w:r>
        <w:rPr>
          <w:rFonts w:hint="eastAsia" w:ascii="宋体" w:hAnsi="宋体" w:cs="宋体"/>
          <w:b/>
          <w:bCs/>
          <w:color w:val="auto"/>
          <w:sz w:val="24"/>
          <w:highlight w:val="none"/>
          <w:lang w:eastAsia="zh-CN"/>
        </w:rPr>
        <w:t>；</w:t>
      </w:r>
    </w:p>
    <w:p w14:paraId="5FCA6171">
      <w:pPr>
        <w:spacing w:line="360" w:lineRule="auto"/>
        <w:ind w:firstLine="480" w:firstLineChars="200"/>
        <w:rPr>
          <w:rFonts w:hint="eastAsia" w:ascii="宋体" w:hAnsi="宋体" w:eastAsia="宋体" w:cs="宋体"/>
          <w:b/>
          <w:bCs/>
          <w:color w:val="auto"/>
          <w:highlight w:val="none"/>
          <w:lang w:eastAsia="zh-CN"/>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.项目实施人员一览表（格式见附件）</w:t>
      </w:r>
      <w:r>
        <w:rPr>
          <w:rFonts w:hint="eastAsia" w:ascii="宋体" w:hAnsi="宋体" w:cs="宋体"/>
          <w:b/>
          <w:bCs/>
          <w:color w:val="auto"/>
          <w:sz w:val="24"/>
          <w:highlight w:val="none"/>
        </w:rPr>
        <w:t>（如有，请提供）</w:t>
      </w:r>
      <w:r>
        <w:rPr>
          <w:rFonts w:hint="eastAsia" w:ascii="宋体" w:hAnsi="宋体" w:cs="宋体"/>
          <w:b/>
          <w:bCs/>
          <w:color w:val="auto"/>
          <w:sz w:val="24"/>
          <w:highlight w:val="none"/>
          <w:lang w:eastAsia="zh-CN"/>
        </w:rPr>
        <w:t>；</w:t>
      </w:r>
    </w:p>
    <w:p w14:paraId="508047F2">
      <w:pPr>
        <w:spacing w:line="360" w:lineRule="auto"/>
        <w:ind w:firstLine="480" w:firstLineChars="200"/>
        <w:jc w:val="left"/>
        <w:rPr>
          <w:rFonts w:ascii="宋体" w:hAnsi="宋体" w:cs="宋体"/>
          <w:b/>
          <w:bCs/>
          <w:color w:val="auto"/>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.“采购需求”需提供的有效证明文件</w:t>
      </w:r>
      <w:r>
        <w:rPr>
          <w:rFonts w:hint="eastAsia" w:ascii="宋体" w:hAnsi="宋体" w:cs="宋体"/>
          <w:b/>
          <w:bCs/>
          <w:color w:val="auto"/>
          <w:sz w:val="24"/>
          <w:highlight w:val="none"/>
        </w:rPr>
        <w:t>（如有，请提供）；</w:t>
      </w:r>
    </w:p>
    <w:p w14:paraId="056F2FC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.供应商</w:t>
      </w:r>
      <w:r>
        <w:rPr>
          <w:rFonts w:hint="eastAsia" w:ascii="宋体" w:hAnsi="宋体" w:cs="宋体"/>
          <w:color w:val="auto"/>
          <w:sz w:val="24"/>
          <w:highlight w:val="none"/>
          <w:lang w:eastAsia="zh-CN"/>
        </w:rPr>
        <w:t>2023</w:t>
      </w:r>
      <w:r>
        <w:rPr>
          <w:rFonts w:hint="eastAsia" w:ascii="宋体" w:hAnsi="宋体" w:cs="宋体"/>
          <w:color w:val="auto"/>
          <w:sz w:val="24"/>
          <w:highlight w:val="none"/>
        </w:rPr>
        <w:t>年1月1日以来具有同类项目业绩相关证明材料（</w:t>
      </w:r>
      <w:r>
        <w:rPr>
          <w:rFonts w:hint="eastAsia" w:ascii="宋体" w:hAnsi="宋体" w:cs="宋体"/>
          <w:color w:val="auto"/>
          <w:sz w:val="24"/>
          <w:highlight w:val="none"/>
          <w:lang w:eastAsia="zh-CN"/>
        </w:rPr>
        <w:t>需提供项目业绩合同或中标（成交）通知书复印件并加盖供应商公章，否则不予计分</w:t>
      </w:r>
      <w:r>
        <w:rPr>
          <w:rFonts w:hint="eastAsia" w:ascii="宋体" w:hAnsi="宋体" w:cs="宋体"/>
          <w:color w:val="auto"/>
          <w:sz w:val="24"/>
          <w:highlight w:val="none"/>
        </w:rPr>
        <w:t>）</w:t>
      </w:r>
      <w:r>
        <w:rPr>
          <w:rFonts w:hint="eastAsia" w:ascii="宋体" w:hAnsi="宋体" w:cs="宋体"/>
          <w:b/>
          <w:bCs/>
          <w:color w:val="auto"/>
          <w:sz w:val="24"/>
          <w:highlight w:val="none"/>
        </w:rPr>
        <w:t>（如有，请提供）；</w:t>
      </w:r>
    </w:p>
    <w:p w14:paraId="1EE51FA4">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.中小企业声明函或监狱企业、残疾人福利性单位证明文件</w:t>
      </w:r>
      <w:r>
        <w:rPr>
          <w:rFonts w:hint="eastAsia" w:ascii="宋体" w:hAnsi="宋体" w:cs="宋体"/>
          <w:b/>
          <w:bCs/>
          <w:color w:val="auto"/>
          <w:sz w:val="24"/>
          <w:highlight w:val="none"/>
        </w:rPr>
        <w:t>（如有，请提供）；</w:t>
      </w:r>
    </w:p>
    <w:p w14:paraId="1D62727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.供应商可结合本项目的评审办法视自身情况自行提交其它相关证明材料。</w:t>
      </w:r>
    </w:p>
    <w:p w14:paraId="3CBD98D8">
      <w:pPr>
        <w:spacing w:line="360" w:lineRule="auto"/>
        <w:ind w:firstLine="480" w:firstLineChars="200"/>
        <w:rPr>
          <w:rFonts w:ascii="宋体" w:hAnsi="宋体" w:cs="宋体"/>
          <w:color w:val="auto"/>
          <w:sz w:val="24"/>
          <w:highlight w:val="none"/>
        </w:rPr>
      </w:pPr>
    </w:p>
    <w:p w14:paraId="25C1F6FB">
      <w:pPr>
        <w:pStyle w:val="40"/>
        <w:rPr>
          <w:rFonts w:ascii="宋体" w:hAnsi="宋体" w:cs="宋体"/>
          <w:b/>
          <w:bCs/>
          <w:color w:val="auto"/>
          <w:highlight w:val="none"/>
        </w:rPr>
      </w:pPr>
    </w:p>
    <w:p w14:paraId="15E54C0F">
      <w:pPr>
        <w:pStyle w:val="40"/>
        <w:rPr>
          <w:rFonts w:ascii="宋体" w:hAnsi="宋体" w:cs="宋体"/>
          <w:b/>
          <w:bCs/>
          <w:color w:val="auto"/>
          <w:highlight w:val="none"/>
        </w:rPr>
      </w:pPr>
    </w:p>
    <w:p w14:paraId="24E1D41C">
      <w:pPr>
        <w:pStyle w:val="40"/>
        <w:rPr>
          <w:rFonts w:ascii="宋体" w:hAnsi="宋体" w:cs="宋体"/>
          <w:b/>
          <w:bCs/>
          <w:color w:val="auto"/>
          <w:highlight w:val="none"/>
        </w:rPr>
      </w:pPr>
    </w:p>
    <w:p w14:paraId="4E3C0AC9">
      <w:pPr>
        <w:pStyle w:val="40"/>
        <w:rPr>
          <w:rFonts w:ascii="宋体" w:hAnsi="宋体" w:cs="宋体"/>
          <w:b/>
          <w:bCs/>
          <w:color w:val="auto"/>
          <w:highlight w:val="none"/>
        </w:rPr>
      </w:pPr>
    </w:p>
    <w:p w14:paraId="52E9F234">
      <w:pPr>
        <w:pStyle w:val="40"/>
        <w:rPr>
          <w:rFonts w:ascii="宋体" w:hAnsi="宋体" w:cs="宋体"/>
          <w:b/>
          <w:bCs/>
          <w:color w:val="auto"/>
          <w:highlight w:val="none"/>
        </w:rPr>
      </w:pPr>
    </w:p>
    <w:p w14:paraId="2B136803">
      <w:pPr>
        <w:pStyle w:val="40"/>
        <w:rPr>
          <w:rFonts w:ascii="宋体" w:hAnsi="宋体" w:cs="宋体"/>
          <w:b/>
          <w:bCs/>
          <w:color w:val="auto"/>
          <w:highlight w:val="none"/>
        </w:rPr>
      </w:pPr>
    </w:p>
    <w:p w14:paraId="66A2EFF3">
      <w:pPr>
        <w:pStyle w:val="40"/>
        <w:rPr>
          <w:rFonts w:ascii="宋体" w:hAnsi="宋体" w:cs="宋体"/>
          <w:b/>
          <w:bCs/>
          <w:color w:val="auto"/>
          <w:highlight w:val="none"/>
        </w:rPr>
      </w:pPr>
    </w:p>
    <w:p w14:paraId="34699CE2">
      <w:pPr>
        <w:pStyle w:val="40"/>
        <w:rPr>
          <w:rFonts w:ascii="宋体" w:hAnsi="宋体" w:cs="宋体"/>
          <w:b/>
          <w:bCs/>
          <w:color w:val="auto"/>
          <w:highlight w:val="none"/>
        </w:rPr>
      </w:pPr>
    </w:p>
    <w:p w14:paraId="57466C3D">
      <w:pPr>
        <w:pStyle w:val="39"/>
        <w:ind w:firstLine="0" w:firstLineChars="0"/>
        <w:rPr>
          <w:rFonts w:cs="宋体"/>
          <w:b/>
          <w:color w:val="auto"/>
          <w:kern w:val="2"/>
          <w:sz w:val="28"/>
          <w:szCs w:val="28"/>
          <w:highlight w:val="none"/>
        </w:rPr>
      </w:pPr>
    </w:p>
    <w:p w14:paraId="1F683C07">
      <w:pPr>
        <w:pStyle w:val="39"/>
        <w:ind w:firstLine="0" w:firstLineChars="0"/>
        <w:rPr>
          <w:rFonts w:cs="宋体"/>
          <w:b/>
          <w:color w:val="auto"/>
          <w:kern w:val="2"/>
          <w:sz w:val="28"/>
          <w:szCs w:val="28"/>
          <w:highlight w:val="none"/>
        </w:rPr>
      </w:pPr>
    </w:p>
    <w:p w14:paraId="5C1FE149">
      <w:pPr>
        <w:pStyle w:val="39"/>
        <w:ind w:firstLine="0" w:firstLineChars="0"/>
        <w:rPr>
          <w:rFonts w:cs="宋体"/>
          <w:b/>
          <w:color w:val="auto"/>
          <w:kern w:val="2"/>
          <w:sz w:val="28"/>
          <w:szCs w:val="28"/>
          <w:highlight w:val="none"/>
        </w:rPr>
      </w:pPr>
    </w:p>
    <w:p w14:paraId="54E1FF00">
      <w:pPr>
        <w:pStyle w:val="39"/>
        <w:ind w:firstLine="0" w:firstLineChars="0"/>
        <w:rPr>
          <w:rFonts w:cs="宋体"/>
          <w:b/>
          <w:color w:val="auto"/>
          <w:kern w:val="2"/>
          <w:sz w:val="28"/>
          <w:szCs w:val="28"/>
          <w:highlight w:val="none"/>
        </w:rPr>
      </w:pPr>
    </w:p>
    <w:p w14:paraId="45FF76FC">
      <w:pPr>
        <w:pStyle w:val="39"/>
        <w:ind w:firstLine="0" w:firstLineChars="0"/>
        <w:rPr>
          <w:rFonts w:cs="宋体"/>
          <w:b/>
          <w:color w:val="auto"/>
          <w:kern w:val="2"/>
          <w:sz w:val="28"/>
          <w:szCs w:val="28"/>
          <w:highlight w:val="none"/>
        </w:rPr>
      </w:pPr>
    </w:p>
    <w:p w14:paraId="58C0C814">
      <w:pPr>
        <w:pStyle w:val="39"/>
        <w:ind w:firstLine="0" w:firstLineChars="0"/>
        <w:rPr>
          <w:rFonts w:cs="宋体"/>
          <w:b/>
          <w:color w:val="auto"/>
          <w:kern w:val="2"/>
          <w:sz w:val="28"/>
          <w:szCs w:val="28"/>
          <w:highlight w:val="none"/>
        </w:rPr>
      </w:pPr>
    </w:p>
    <w:p w14:paraId="1B707488">
      <w:pPr>
        <w:pStyle w:val="39"/>
        <w:ind w:firstLine="0" w:firstLineChars="0"/>
        <w:rPr>
          <w:rFonts w:cs="宋体"/>
          <w:b/>
          <w:color w:val="auto"/>
          <w:kern w:val="2"/>
          <w:sz w:val="28"/>
          <w:szCs w:val="28"/>
          <w:highlight w:val="none"/>
        </w:rPr>
      </w:pPr>
    </w:p>
    <w:p w14:paraId="2491DCD0">
      <w:pPr>
        <w:pStyle w:val="39"/>
        <w:ind w:firstLine="0" w:firstLineChars="0"/>
        <w:rPr>
          <w:rFonts w:cs="宋体"/>
          <w:b/>
          <w:color w:val="auto"/>
          <w:kern w:val="2"/>
          <w:sz w:val="28"/>
          <w:szCs w:val="28"/>
          <w:highlight w:val="none"/>
        </w:rPr>
      </w:pPr>
    </w:p>
    <w:p w14:paraId="53B4FD08">
      <w:pPr>
        <w:pStyle w:val="39"/>
        <w:ind w:firstLine="0" w:firstLineChars="0"/>
        <w:rPr>
          <w:rFonts w:cs="宋体"/>
          <w:b/>
          <w:color w:val="auto"/>
          <w:kern w:val="2"/>
          <w:sz w:val="28"/>
          <w:szCs w:val="28"/>
          <w:highlight w:val="none"/>
        </w:rPr>
      </w:pPr>
    </w:p>
    <w:p w14:paraId="55769BAA">
      <w:pPr>
        <w:pStyle w:val="39"/>
        <w:ind w:firstLine="0" w:firstLineChars="0"/>
        <w:rPr>
          <w:rFonts w:cs="宋体"/>
          <w:b/>
          <w:color w:val="auto"/>
          <w:kern w:val="2"/>
          <w:sz w:val="28"/>
          <w:szCs w:val="28"/>
          <w:highlight w:val="none"/>
        </w:rPr>
      </w:pPr>
    </w:p>
    <w:p w14:paraId="5D4DC490">
      <w:pPr>
        <w:pStyle w:val="39"/>
        <w:ind w:firstLine="0" w:firstLineChars="0"/>
        <w:rPr>
          <w:rFonts w:cs="宋体"/>
          <w:b/>
          <w:color w:val="auto"/>
          <w:kern w:val="2"/>
          <w:sz w:val="28"/>
          <w:szCs w:val="28"/>
          <w:highlight w:val="none"/>
        </w:rPr>
      </w:pPr>
    </w:p>
    <w:p w14:paraId="11230C34">
      <w:pPr>
        <w:pStyle w:val="39"/>
        <w:ind w:firstLine="0" w:firstLineChars="0"/>
        <w:rPr>
          <w:rFonts w:cs="宋体"/>
          <w:b/>
          <w:color w:val="auto"/>
          <w:kern w:val="2"/>
          <w:sz w:val="28"/>
          <w:szCs w:val="28"/>
          <w:highlight w:val="none"/>
        </w:rPr>
      </w:pPr>
    </w:p>
    <w:p w14:paraId="19BBF1FA">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rPr>
        <w:t>1.项目实施方案（如有，请提供）</w:t>
      </w:r>
    </w:p>
    <w:p w14:paraId="1CD79E46">
      <w:pPr>
        <w:rPr>
          <w:rFonts w:ascii="宋体" w:hAnsi="宋体" w:cs="宋体"/>
          <w:color w:val="auto"/>
          <w:highlight w:val="none"/>
        </w:rPr>
      </w:pPr>
    </w:p>
    <w:p w14:paraId="7898AEFB">
      <w:pPr>
        <w:pStyle w:val="10"/>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供应商须结合本次采购需求及评审办法，自主编制完整项目实施方案，各分标具体编制内容要求如下：</w:t>
      </w:r>
    </w:p>
    <w:p w14:paraId="0BA950BA">
      <w:pPr>
        <w:pStyle w:val="1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A分标：</w:t>
      </w:r>
    </w:p>
    <w:p w14:paraId="7F3F0C5A">
      <w:pPr>
        <w:pStyle w:val="10"/>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包含但不限于：特种救护实施方案、宣传视频制作方案、标本养护实施方案、质量保障措施、进度与安全保障方案、售后服务承诺方案。</w:t>
      </w:r>
    </w:p>
    <w:p w14:paraId="3A354F7B">
      <w:pPr>
        <w:pStyle w:val="10"/>
        <w:rPr>
          <w:rFonts w:hint="eastAsia" w:ascii="宋体" w:hAnsi="宋体" w:cs="宋体"/>
          <w:b w:val="0"/>
          <w:bCs w:val="0"/>
          <w:color w:val="auto"/>
          <w:sz w:val="24"/>
          <w:highlight w:val="none"/>
          <w:lang w:val="en-US" w:eastAsia="zh-CN"/>
        </w:rPr>
      </w:pPr>
    </w:p>
    <w:p w14:paraId="2701CA7C">
      <w:pPr>
        <w:pStyle w:val="1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B分标：</w:t>
      </w:r>
    </w:p>
    <w:p w14:paraId="06E00727">
      <w:pPr>
        <w:pStyle w:val="10"/>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包含但不限于：项目理解与工作思路、项目工作方案、质量保障措施、进度与安全保障方案、售后服务承诺方案。</w:t>
      </w:r>
    </w:p>
    <w:p w14:paraId="645A3E37">
      <w:pPr>
        <w:pStyle w:val="10"/>
        <w:rPr>
          <w:rFonts w:hint="eastAsia" w:ascii="宋体" w:hAnsi="宋体" w:cs="宋体"/>
          <w:b w:val="0"/>
          <w:bCs w:val="0"/>
          <w:color w:val="auto"/>
          <w:sz w:val="24"/>
          <w:highlight w:val="none"/>
          <w:lang w:val="en-US" w:eastAsia="zh-CN"/>
        </w:rPr>
      </w:pPr>
    </w:p>
    <w:p w14:paraId="77F44B61">
      <w:pPr>
        <w:pStyle w:val="10"/>
        <w:rPr>
          <w:rFonts w:hint="default" w:ascii="宋体" w:hAnsi="宋体" w:cs="宋体"/>
          <w:b/>
          <w:bCs/>
          <w:color w:val="auto"/>
          <w:sz w:val="24"/>
          <w:highlight w:val="none"/>
          <w:lang w:val="en-US" w:eastAsia="zh-CN"/>
        </w:rPr>
        <w:sectPr>
          <w:pgSz w:w="11906" w:h="16838"/>
          <w:pgMar w:top="1440" w:right="935" w:bottom="1440" w:left="777" w:header="851" w:footer="992" w:gutter="0"/>
          <w:pgNumType w:fmt="decimal"/>
          <w:cols w:space="720" w:num="1"/>
          <w:docGrid w:type="lines" w:linePitch="312" w:charSpace="0"/>
        </w:sectPr>
      </w:pPr>
      <w:r>
        <w:rPr>
          <w:rFonts w:hint="eastAsia" w:ascii="宋体" w:hAnsi="宋体" w:cs="宋体"/>
          <w:b w:val="0"/>
          <w:bCs w:val="0"/>
          <w:color w:val="auto"/>
          <w:sz w:val="24"/>
          <w:highlight w:val="none"/>
          <w:lang w:val="en-US" w:eastAsia="zh-CN"/>
        </w:rPr>
        <w:t>备注：所有方案内容由供应商结合采购需求及评审标准自主编制，确保内容完整、贴合项目实际、合规合规。</w:t>
      </w:r>
    </w:p>
    <w:p w14:paraId="55A043B4">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lang w:val="en-US" w:eastAsia="zh-CN"/>
        </w:rPr>
        <w:t>2</w:t>
      </w:r>
      <w:r>
        <w:rPr>
          <w:rFonts w:hint="eastAsia" w:hAnsi="宋体" w:cs="宋体"/>
          <w:b/>
          <w:color w:val="auto"/>
          <w:sz w:val="28"/>
          <w:szCs w:val="28"/>
          <w:highlight w:val="none"/>
        </w:rPr>
        <w:t>.项目实施人员一览表 （如有，请提供）</w:t>
      </w:r>
    </w:p>
    <w:p w14:paraId="50B7DB12">
      <w:pPr>
        <w:rPr>
          <w:rFonts w:ascii="宋体" w:hAnsi="宋体" w:cs="宋体"/>
          <w:color w:val="auto"/>
          <w:highlight w:val="none"/>
        </w:rPr>
      </w:pPr>
    </w:p>
    <w:p w14:paraId="76F9B048">
      <w:pPr>
        <w:pStyle w:val="15"/>
        <w:rPr>
          <w:rFonts w:hAnsi="宋体" w:cs="宋体"/>
          <w:b/>
          <w:bCs/>
          <w:color w:val="auto"/>
          <w:sz w:val="32"/>
          <w:szCs w:val="32"/>
          <w:highlight w:val="none"/>
        </w:rPr>
      </w:pPr>
      <w:r>
        <w:rPr>
          <w:rFonts w:hint="eastAsia" w:hAnsi="宋体" w:cs="宋体"/>
          <w:b/>
          <w:bCs/>
          <w:color w:val="auto"/>
          <w:sz w:val="32"/>
          <w:szCs w:val="32"/>
          <w:highlight w:val="none"/>
        </w:rPr>
        <w:t>附件：</w:t>
      </w:r>
    </w:p>
    <w:p w14:paraId="617368CF">
      <w:pPr>
        <w:pStyle w:val="15"/>
        <w:ind w:firstLine="472" w:firstLineChars="147"/>
        <w:jc w:val="center"/>
        <w:rPr>
          <w:rFonts w:hAnsi="宋体" w:cs="宋体"/>
          <w:b/>
          <w:bCs/>
          <w:color w:val="auto"/>
          <w:sz w:val="32"/>
          <w:szCs w:val="32"/>
          <w:highlight w:val="none"/>
        </w:rPr>
      </w:pPr>
      <w:r>
        <w:rPr>
          <w:rFonts w:hint="eastAsia" w:hAnsi="宋体" w:cs="宋体"/>
          <w:b/>
          <w:bCs/>
          <w:color w:val="auto"/>
          <w:sz w:val="32"/>
          <w:szCs w:val="32"/>
          <w:highlight w:val="none"/>
        </w:rPr>
        <w:t>项目实施人员一览表（格式）</w:t>
      </w:r>
    </w:p>
    <w:tbl>
      <w:tblPr>
        <w:tblStyle w:val="24"/>
        <w:tblW w:w="10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050"/>
        <w:gridCol w:w="1665"/>
        <w:gridCol w:w="1200"/>
        <w:gridCol w:w="2550"/>
        <w:gridCol w:w="2610"/>
      </w:tblGrid>
      <w:tr w14:paraId="1141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vAlign w:val="center"/>
          </w:tcPr>
          <w:p w14:paraId="071F4A96">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姓 名</w:t>
            </w:r>
          </w:p>
        </w:tc>
        <w:tc>
          <w:tcPr>
            <w:tcW w:w="1050" w:type="dxa"/>
            <w:vAlign w:val="center"/>
          </w:tcPr>
          <w:p w14:paraId="392E6375">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职务</w:t>
            </w:r>
          </w:p>
        </w:tc>
        <w:tc>
          <w:tcPr>
            <w:tcW w:w="1665" w:type="dxa"/>
            <w:vAlign w:val="center"/>
          </w:tcPr>
          <w:p w14:paraId="0754E491">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专业技术资格</w:t>
            </w:r>
          </w:p>
        </w:tc>
        <w:tc>
          <w:tcPr>
            <w:tcW w:w="1200" w:type="dxa"/>
            <w:vAlign w:val="center"/>
          </w:tcPr>
          <w:p w14:paraId="1462A202">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证书编号</w:t>
            </w:r>
          </w:p>
        </w:tc>
        <w:tc>
          <w:tcPr>
            <w:tcW w:w="2550" w:type="dxa"/>
            <w:vAlign w:val="center"/>
          </w:tcPr>
          <w:p w14:paraId="3F3E2EE4">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 xml:space="preserve">  参加本单位工作时间</w:t>
            </w:r>
          </w:p>
        </w:tc>
        <w:tc>
          <w:tcPr>
            <w:tcW w:w="2610" w:type="dxa"/>
            <w:vAlign w:val="center"/>
          </w:tcPr>
          <w:p w14:paraId="3CE67B80">
            <w:pPr>
              <w:keepNext w:val="0"/>
              <w:keepLines w:val="0"/>
              <w:suppressLineNumbers w:val="0"/>
              <w:spacing w:before="0" w:beforeAutospacing="0" w:after="0" w:afterAutospacing="0" w:line="40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劳动合同编号</w:t>
            </w:r>
          </w:p>
        </w:tc>
      </w:tr>
      <w:tr w14:paraId="1BA1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tcPr>
          <w:p w14:paraId="0B347A45">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050" w:type="dxa"/>
          </w:tcPr>
          <w:p w14:paraId="26D0E5C0">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665" w:type="dxa"/>
          </w:tcPr>
          <w:p w14:paraId="2F36D7B2">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200" w:type="dxa"/>
          </w:tcPr>
          <w:p w14:paraId="7C1601D7">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2550" w:type="dxa"/>
          </w:tcPr>
          <w:p w14:paraId="09A660E2">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2610" w:type="dxa"/>
          </w:tcPr>
          <w:p w14:paraId="4CFD5C4A">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r>
      <w:tr w14:paraId="1F5B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1" w:type="dxa"/>
          </w:tcPr>
          <w:p w14:paraId="6B1DB216">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050" w:type="dxa"/>
          </w:tcPr>
          <w:p w14:paraId="2C197A71">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665" w:type="dxa"/>
          </w:tcPr>
          <w:p w14:paraId="1F93CFE5">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1200" w:type="dxa"/>
          </w:tcPr>
          <w:p w14:paraId="0D105B45">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2550" w:type="dxa"/>
          </w:tcPr>
          <w:p w14:paraId="629FBEB5">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c>
          <w:tcPr>
            <w:tcW w:w="2610" w:type="dxa"/>
          </w:tcPr>
          <w:p w14:paraId="098E96C9">
            <w:pPr>
              <w:keepNext w:val="0"/>
              <w:keepLines w:val="0"/>
              <w:suppressLineNumbers w:val="0"/>
              <w:spacing w:before="0" w:beforeAutospacing="0" w:after="0" w:afterAutospacing="0" w:line="400" w:lineRule="exact"/>
              <w:ind w:left="0" w:right="0"/>
              <w:rPr>
                <w:rFonts w:hint="eastAsia" w:ascii="宋体" w:hAnsi="宋体" w:cs="宋体"/>
                <w:color w:val="auto"/>
                <w:szCs w:val="21"/>
                <w:highlight w:val="none"/>
              </w:rPr>
            </w:pPr>
          </w:p>
        </w:tc>
      </w:tr>
    </w:tbl>
    <w:p w14:paraId="3A0A197B">
      <w:pPr>
        <w:spacing w:line="400" w:lineRule="exact"/>
        <w:rPr>
          <w:rFonts w:ascii="宋体" w:hAnsi="宋体" w:cs="宋体"/>
          <w:color w:val="auto"/>
          <w:szCs w:val="21"/>
          <w:highlight w:val="none"/>
        </w:rPr>
      </w:pPr>
    </w:p>
    <w:p w14:paraId="586EE3A3">
      <w:pPr>
        <w:snapToGrid w:val="0"/>
        <w:spacing w:line="400" w:lineRule="exact"/>
        <w:ind w:firstLine="1890" w:firstLineChars="900"/>
        <w:rPr>
          <w:rFonts w:ascii="宋体" w:hAnsi="宋体" w:cs="宋体"/>
          <w:color w:val="auto"/>
          <w:szCs w:val="21"/>
          <w:highlight w:val="none"/>
          <w:u w:val="single"/>
        </w:rPr>
      </w:pPr>
      <w:r>
        <w:rPr>
          <w:rFonts w:hint="eastAsia" w:ascii="宋体" w:hAnsi="宋体" w:cs="宋体"/>
          <w:color w:val="auto"/>
          <w:szCs w:val="21"/>
          <w:highlight w:val="none"/>
        </w:rPr>
        <w:t>磋商供应商[(CA证书签章)，自然人签字或个人CA证书签章]：</w:t>
      </w:r>
      <w:r>
        <w:rPr>
          <w:rFonts w:hint="eastAsia" w:ascii="宋体" w:hAnsi="宋体" w:cs="宋体"/>
          <w:color w:val="auto"/>
          <w:szCs w:val="21"/>
          <w:highlight w:val="none"/>
          <w:u w:val="single"/>
        </w:rPr>
        <w:t xml:space="preserve">                                     </w:t>
      </w:r>
    </w:p>
    <w:p w14:paraId="3234561E">
      <w:pPr>
        <w:rPr>
          <w:color w:val="auto"/>
          <w:highlight w:val="none"/>
        </w:rPr>
      </w:pPr>
    </w:p>
    <w:p w14:paraId="0FEB64DE">
      <w:pPr>
        <w:snapToGrid w:val="0"/>
        <w:spacing w:line="400" w:lineRule="exact"/>
        <w:ind w:firstLine="1680" w:firstLineChars="800"/>
        <w:rPr>
          <w:rFonts w:ascii="宋体" w:hAnsi="宋体" w:cs="宋体"/>
          <w:color w:val="auto"/>
          <w:highlight w:val="non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0446819E">
      <w:pPr>
        <w:pStyle w:val="10"/>
        <w:rPr>
          <w:rFonts w:ascii="宋体" w:hAnsi="宋体" w:cs="宋体"/>
          <w:color w:val="auto"/>
          <w:highlight w:val="none"/>
        </w:rPr>
      </w:pPr>
    </w:p>
    <w:p w14:paraId="40FD7478">
      <w:pPr>
        <w:spacing w:line="360" w:lineRule="auto"/>
        <w:rPr>
          <w:rFonts w:ascii="宋体" w:hAnsi="宋体" w:cs="宋体"/>
          <w:b/>
          <w:bCs/>
          <w:color w:val="auto"/>
          <w:sz w:val="24"/>
          <w:highlight w:val="none"/>
        </w:rPr>
        <w:sectPr>
          <w:pgSz w:w="11906" w:h="16838"/>
          <w:pgMar w:top="1440" w:right="935" w:bottom="1440" w:left="777" w:header="851" w:footer="992" w:gutter="0"/>
          <w:pgNumType w:fmt="decimal"/>
          <w:cols w:space="720" w:num="1"/>
          <w:docGrid w:type="lines" w:linePitch="312" w:charSpace="0"/>
        </w:sectPr>
      </w:pPr>
      <w:r>
        <w:rPr>
          <w:rFonts w:hint="eastAsia" w:ascii="宋体" w:hAnsi="宋体" w:cs="宋体"/>
          <w:b/>
          <w:bCs/>
          <w:color w:val="auto"/>
          <w:sz w:val="24"/>
          <w:highlight w:val="none"/>
        </w:rPr>
        <w:t>注：供应商根据自身情况结合本项目自行制定</w:t>
      </w:r>
    </w:p>
    <w:p w14:paraId="2CA5B731">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lang w:val="en-US" w:eastAsia="zh-CN"/>
        </w:rPr>
        <w:t>3</w:t>
      </w:r>
      <w:r>
        <w:rPr>
          <w:rFonts w:hint="eastAsia" w:hAnsi="宋体" w:cs="宋体"/>
          <w:b/>
          <w:color w:val="auto"/>
          <w:sz w:val="28"/>
          <w:szCs w:val="28"/>
          <w:highlight w:val="none"/>
        </w:rPr>
        <w:t>.“采购需求”需提供的有效证明文件（如有，请提供）；</w:t>
      </w:r>
    </w:p>
    <w:p w14:paraId="351AFAE5">
      <w:pPr>
        <w:pStyle w:val="10"/>
        <w:rPr>
          <w:rFonts w:ascii="宋体" w:hAnsi="宋体" w:cs="宋体"/>
          <w:b/>
          <w:color w:val="auto"/>
          <w:highlight w:val="none"/>
        </w:rPr>
      </w:pPr>
    </w:p>
    <w:p w14:paraId="3B94202C">
      <w:pPr>
        <w:pStyle w:val="23"/>
        <w:ind w:firstLine="422"/>
        <w:rPr>
          <w:rFonts w:ascii="宋体" w:hAnsi="宋体" w:cs="宋体"/>
          <w:b/>
          <w:color w:val="auto"/>
          <w:highlight w:val="none"/>
        </w:rPr>
      </w:pPr>
    </w:p>
    <w:p w14:paraId="1587597D">
      <w:pPr>
        <w:pStyle w:val="23"/>
        <w:ind w:firstLine="422"/>
        <w:rPr>
          <w:rFonts w:ascii="宋体" w:hAnsi="宋体" w:cs="宋体"/>
          <w:b/>
          <w:color w:val="auto"/>
          <w:highlight w:val="none"/>
        </w:rPr>
      </w:pPr>
    </w:p>
    <w:p w14:paraId="5131DCAE">
      <w:pPr>
        <w:pStyle w:val="15"/>
        <w:spacing w:line="340" w:lineRule="exact"/>
        <w:rPr>
          <w:rFonts w:hAnsi="宋体" w:cs="宋体"/>
          <w:b/>
          <w:color w:val="auto"/>
          <w:sz w:val="28"/>
          <w:szCs w:val="28"/>
          <w:highlight w:val="none"/>
        </w:rPr>
      </w:pPr>
      <w:bookmarkStart w:id="237" w:name="_Toc497927090"/>
      <w:bookmarkStart w:id="238" w:name="_Toc3052"/>
      <w:bookmarkStart w:id="239" w:name="_Toc10161"/>
    </w:p>
    <w:p w14:paraId="32AB269A">
      <w:pPr>
        <w:pStyle w:val="15"/>
        <w:spacing w:line="340" w:lineRule="exact"/>
        <w:outlineLvl w:val="3"/>
        <w:rPr>
          <w:rFonts w:hAnsi="宋体" w:cs="宋体"/>
          <w:b/>
          <w:color w:val="auto"/>
          <w:sz w:val="28"/>
          <w:szCs w:val="28"/>
          <w:highlight w:val="none"/>
        </w:rPr>
      </w:pPr>
      <w:r>
        <w:rPr>
          <w:rFonts w:hint="eastAsia" w:hAnsi="宋体" w:cs="宋体"/>
          <w:b/>
          <w:color w:val="auto"/>
          <w:sz w:val="28"/>
          <w:szCs w:val="28"/>
          <w:highlight w:val="none"/>
          <w:lang w:val="en-US" w:eastAsia="zh-CN"/>
        </w:rPr>
        <w:t>4</w:t>
      </w:r>
      <w:r>
        <w:rPr>
          <w:rFonts w:hint="eastAsia" w:hAnsi="宋体" w:cs="宋体"/>
          <w:b/>
          <w:color w:val="auto"/>
          <w:sz w:val="28"/>
          <w:szCs w:val="28"/>
          <w:highlight w:val="none"/>
        </w:rPr>
        <w:t>.供应商</w:t>
      </w:r>
      <w:r>
        <w:rPr>
          <w:rFonts w:hint="eastAsia" w:hAnsi="宋体" w:cs="宋体"/>
          <w:b/>
          <w:color w:val="auto"/>
          <w:sz w:val="28"/>
          <w:szCs w:val="28"/>
          <w:highlight w:val="none"/>
          <w:lang w:eastAsia="zh-CN"/>
        </w:rPr>
        <w:t>2023</w:t>
      </w:r>
      <w:r>
        <w:rPr>
          <w:rFonts w:hint="eastAsia" w:hAnsi="宋体" w:cs="宋体"/>
          <w:b/>
          <w:color w:val="auto"/>
          <w:sz w:val="28"/>
          <w:szCs w:val="28"/>
          <w:highlight w:val="none"/>
        </w:rPr>
        <w:t>年1月1日以来具有同类项目业绩相关证明材料（</w:t>
      </w:r>
      <w:r>
        <w:rPr>
          <w:rFonts w:hint="eastAsia" w:hAnsi="宋体" w:cs="宋体"/>
          <w:b/>
          <w:color w:val="auto"/>
          <w:sz w:val="28"/>
          <w:szCs w:val="28"/>
          <w:highlight w:val="none"/>
          <w:lang w:eastAsia="zh-CN"/>
        </w:rPr>
        <w:t>需提供项目业绩合同或中标（成交）通知书复印件并加盖供应商公章，否则不予计分</w:t>
      </w:r>
      <w:r>
        <w:rPr>
          <w:rFonts w:hint="eastAsia" w:hAnsi="宋体" w:cs="宋体"/>
          <w:b/>
          <w:color w:val="auto"/>
          <w:sz w:val="28"/>
          <w:szCs w:val="28"/>
          <w:highlight w:val="none"/>
        </w:rPr>
        <w:t>）（如有，请提供）；</w:t>
      </w:r>
      <w:bookmarkEnd w:id="237"/>
      <w:bookmarkEnd w:id="238"/>
      <w:bookmarkEnd w:id="239"/>
    </w:p>
    <w:p w14:paraId="50D56C01">
      <w:pPr>
        <w:pStyle w:val="15"/>
        <w:spacing w:line="340" w:lineRule="exact"/>
        <w:rPr>
          <w:rFonts w:hAnsi="宋体" w:cs="宋体"/>
          <w:b/>
          <w:color w:val="auto"/>
          <w:sz w:val="28"/>
          <w:szCs w:val="28"/>
          <w:highlight w:val="none"/>
        </w:rPr>
      </w:pPr>
    </w:p>
    <w:p w14:paraId="22AD3F72">
      <w:pPr>
        <w:pStyle w:val="15"/>
        <w:spacing w:line="340" w:lineRule="exact"/>
        <w:rPr>
          <w:rFonts w:hAnsi="宋体" w:cs="宋体"/>
          <w:b/>
          <w:color w:val="auto"/>
          <w:sz w:val="28"/>
          <w:szCs w:val="28"/>
          <w:highlight w:val="none"/>
        </w:rPr>
      </w:pPr>
    </w:p>
    <w:p w14:paraId="516EC9C5">
      <w:pPr>
        <w:rPr>
          <w:color w:val="auto"/>
          <w:highlight w:val="none"/>
        </w:rPr>
      </w:pPr>
    </w:p>
    <w:p w14:paraId="7CC87962">
      <w:pPr>
        <w:pStyle w:val="15"/>
        <w:spacing w:line="340" w:lineRule="exact"/>
        <w:outlineLvl w:val="3"/>
        <w:rPr>
          <w:rFonts w:hAnsi="宋体" w:cs="宋体"/>
          <w:color w:val="auto"/>
          <w:highlight w:val="none"/>
        </w:rPr>
      </w:pPr>
      <w:r>
        <w:rPr>
          <w:rFonts w:hint="eastAsia" w:hAnsi="宋体" w:cs="宋体"/>
          <w:b/>
          <w:color w:val="auto"/>
          <w:sz w:val="28"/>
          <w:szCs w:val="28"/>
          <w:highlight w:val="none"/>
          <w:lang w:val="en-US" w:eastAsia="zh-CN"/>
        </w:rPr>
        <w:t>5</w:t>
      </w:r>
      <w:r>
        <w:rPr>
          <w:rFonts w:hint="eastAsia" w:hAnsi="宋体" w:cs="宋体"/>
          <w:b/>
          <w:color w:val="auto"/>
          <w:sz w:val="28"/>
          <w:szCs w:val="28"/>
          <w:highlight w:val="none"/>
        </w:rPr>
        <w:t>.中小企业声明函或监狱企业、残疾人福利性单位证明文件</w:t>
      </w:r>
      <w:r>
        <w:rPr>
          <w:rFonts w:hint="eastAsia" w:hAnsi="宋体" w:cs="宋体"/>
          <w:b/>
          <w:color w:val="auto"/>
          <w:sz w:val="28"/>
          <w:szCs w:val="28"/>
          <w:highlight w:val="none"/>
          <w:lang w:eastAsia="zh-CN"/>
        </w:rPr>
        <w:t>（如有，请提供）</w:t>
      </w:r>
      <w:r>
        <w:rPr>
          <w:rFonts w:hint="eastAsia" w:hAnsi="宋体" w:cs="宋体"/>
          <w:b/>
          <w:color w:val="auto"/>
          <w:sz w:val="28"/>
          <w:szCs w:val="28"/>
          <w:highlight w:val="none"/>
        </w:rPr>
        <w:t>。</w:t>
      </w:r>
    </w:p>
    <w:p w14:paraId="54F14613">
      <w:pPr>
        <w:spacing w:line="500" w:lineRule="exact"/>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5</w:t>
      </w:r>
      <w:r>
        <w:rPr>
          <w:rFonts w:hint="eastAsia" w:ascii="宋体" w:hAnsi="宋体" w:cs="宋体"/>
          <w:b/>
          <w:color w:val="auto"/>
          <w:sz w:val="28"/>
          <w:szCs w:val="28"/>
          <w:highlight w:val="none"/>
        </w:rPr>
        <w:t>.1供应商的《中小企业声明函》（如有，请提供）</w:t>
      </w:r>
    </w:p>
    <w:p w14:paraId="6C78CDE9">
      <w:pPr>
        <w:pStyle w:val="15"/>
        <w:rPr>
          <w:rFonts w:hAnsi="宋体" w:cs="宋体"/>
          <w:b/>
          <w:color w:val="auto"/>
          <w:sz w:val="28"/>
          <w:szCs w:val="28"/>
          <w:highlight w:val="none"/>
        </w:rPr>
      </w:pPr>
      <w:r>
        <w:rPr>
          <w:rFonts w:hint="eastAsia" w:hAnsi="宋体" w:cs="宋体"/>
          <w:b/>
          <w:color w:val="auto"/>
          <w:sz w:val="28"/>
          <w:szCs w:val="28"/>
          <w:highlight w:val="none"/>
        </w:rPr>
        <w:t>附件：</w:t>
      </w:r>
    </w:p>
    <w:p w14:paraId="74AC8CD6">
      <w:pPr>
        <w:snapToGrid w:val="0"/>
        <w:spacing w:beforeLines="50" w:after="50" w:line="320" w:lineRule="exact"/>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中小企业声明函（格式）</w:t>
      </w:r>
    </w:p>
    <w:p w14:paraId="2BDE992B">
      <w:pPr>
        <w:ind w:firstLine="560" w:firstLineChars="200"/>
        <w:rPr>
          <w:rFonts w:ascii="宋体" w:hAnsi="宋体" w:cs="宋体"/>
          <w:color w:val="auto"/>
          <w:kern w:val="0"/>
          <w:sz w:val="28"/>
          <w:szCs w:val="28"/>
          <w:highlight w:val="none"/>
        </w:rPr>
      </w:pPr>
    </w:p>
    <w:p w14:paraId="3EB0E14B">
      <w:pPr>
        <w:pStyle w:val="10"/>
        <w:spacing w:line="500" w:lineRule="exact"/>
        <w:ind w:right="142" w:firstLine="522"/>
        <w:rPr>
          <w:rFonts w:ascii="仿宋" w:hAnsi="仿宋" w:eastAsia="仿宋"/>
          <w:b/>
          <w:color w:val="auto"/>
          <w:spacing w:val="-10"/>
          <w:sz w:val="28"/>
          <w:szCs w:val="28"/>
          <w:highlight w:val="none"/>
        </w:rPr>
      </w:pPr>
      <w:r>
        <w:rPr>
          <w:rFonts w:ascii="仿宋" w:hAnsi="仿宋" w:eastAsia="仿宋"/>
          <w:b/>
          <w:color w:val="auto"/>
          <w:spacing w:val="-10"/>
          <w:sz w:val="28"/>
          <w:szCs w:val="28"/>
          <w:highlight w:val="none"/>
        </w:rPr>
        <w:t>本公司</w:t>
      </w:r>
      <w:r>
        <w:rPr>
          <w:rFonts w:hint="eastAsia" w:ascii="仿宋" w:hAnsi="仿宋" w:eastAsia="仿宋"/>
          <w:b/>
          <w:color w:val="auto"/>
          <w:spacing w:val="-10"/>
          <w:sz w:val="28"/>
          <w:szCs w:val="28"/>
          <w:highlight w:val="none"/>
        </w:rPr>
        <w:t>（联合体）</w:t>
      </w:r>
      <w:r>
        <w:rPr>
          <w:rFonts w:ascii="仿宋" w:hAnsi="仿宋" w:eastAsia="仿宋"/>
          <w:b/>
          <w:color w:val="auto"/>
          <w:spacing w:val="-10"/>
          <w:sz w:val="28"/>
          <w:szCs w:val="28"/>
          <w:highlight w:val="none"/>
        </w:rPr>
        <w:t>郑重声明，根据《政府采购促进中小企业发展管理办法》（财库﹝2020﹞46号）的规定，本公司</w:t>
      </w:r>
      <w:r>
        <w:rPr>
          <w:rFonts w:hint="eastAsia" w:ascii="仿宋" w:hAnsi="仿宋" w:eastAsia="仿宋"/>
          <w:b/>
          <w:color w:val="auto"/>
          <w:spacing w:val="-10"/>
          <w:sz w:val="28"/>
          <w:szCs w:val="28"/>
          <w:highlight w:val="none"/>
        </w:rPr>
        <w:t>（联合体）</w:t>
      </w:r>
      <w:r>
        <w:rPr>
          <w:rFonts w:ascii="仿宋" w:hAnsi="仿宋" w:eastAsia="仿宋"/>
          <w:b/>
          <w:color w:val="auto"/>
          <w:spacing w:val="-10"/>
          <w:sz w:val="28"/>
          <w:szCs w:val="28"/>
          <w:highlight w:val="none"/>
        </w:rPr>
        <w:t>参加</w:t>
      </w:r>
      <w:r>
        <w:rPr>
          <w:rFonts w:ascii="仿宋" w:hAnsi="仿宋" w:eastAsia="仿宋"/>
          <w:b/>
          <w:color w:val="auto"/>
          <w:spacing w:val="-10"/>
          <w:sz w:val="28"/>
          <w:szCs w:val="28"/>
          <w:highlight w:val="none"/>
          <w:u w:val="single"/>
        </w:rPr>
        <w:t>（单位名称）</w:t>
      </w:r>
      <w:r>
        <w:rPr>
          <w:rFonts w:ascii="仿宋" w:hAnsi="仿宋" w:eastAsia="仿宋"/>
          <w:b/>
          <w:color w:val="auto"/>
          <w:spacing w:val="-10"/>
          <w:sz w:val="28"/>
          <w:szCs w:val="28"/>
          <w:highlight w:val="none"/>
        </w:rPr>
        <w:t>的</w:t>
      </w:r>
      <w:r>
        <w:rPr>
          <w:rFonts w:ascii="仿宋" w:hAnsi="仿宋" w:eastAsia="仿宋"/>
          <w:b/>
          <w:color w:val="auto"/>
          <w:spacing w:val="-10"/>
          <w:sz w:val="28"/>
          <w:szCs w:val="28"/>
          <w:highlight w:val="none"/>
          <w:u w:val="single"/>
        </w:rPr>
        <w:t>（项目名称）</w:t>
      </w:r>
      <w:r>
        <w:rPr>
          <w:rFonts w:ascii="仿宋" w:hAnsi="仿宋" w:eastAsia="仿宋"/>
          <w:b/>
          <w:color w:val="auto"/>
          <w:spacing w:val="-10"/>
          <w:sz w:val="28"/>
          <w:szCs w:val="28"/>
          <w:highlight w:val="none"/>
        </w:rPr>
        <w:t>采购活动，</w:t>
      </w:r>
      <w:r>
        <w:rPr>
          <w:rFonts w:hint="eastAsia" w:ascii="仿宋" w:hAnsi="仿宋" w:eastAsia="仿宋"/>
          <w:b/>
          <w:color w:val="auto"/>
          <w:spacing w:val="-10"/>
          <w:sz w:val="28"/>
          <w:szCs w:val="28"/>
          <w:highlight w:val="none"/>
        </w:rPr>
        <w:t>服务全部由符合政策要求的中小企业承接。相关企业的具体情况如下：</w:t>
      </w:r>
    </w:p>
    <w:p w14:paraId="36EC709D">
      <w:pPr>
        <w:tabs>
          <w:tab w:val="left" w:pos="1384"/>
          <w:tab w:val="left" w:pos="4562"/>
          <w:tab w:val="left" w:pos="6803"/>
        </w:tabs>
        <w:spacing w:before="13" w:line="500" w:lineRule="exact"/>
        <w:ind w:right="142" w:firstLine="520" w:firstLineChars="200"/>
        <w:rPr>
          <w:rFonts w:ascii="仿宋" w:hAnsi="仿宋" w:eastAsia="仿宋"/>
          <w:color w:val="auto"/>
          <w:spacing w:val="-10"/>
          <w:sz w:val="28"/>
          <w:szCs w:val="28"/>
          <w:highlight w:val="none"/>
        </w:rPr>
      </w:pPr>
      <w:r>
        <w:rPr>
          <w:rFonts w:ascii="仿宋" w:hAnsi="仿宋" w:eastAsia="仿宋"/>
          <w:color w:val="auto"/>
          <w:spacing w:val="-10"/>
          <w:sz w:val="28"/>
          <w:szCs w:val="28"/>
          <w:highlight w:val="none"/>
          <w:u w:val="single"/>
        </w:rPr>
        <w:t>（标的名称）</w:t>
      </w:r>
      <w:r>
        <w:rPr>
          <w:rFonts w:ascii="仿宋" w:hAnsi="仿宋" w:eastAsia="仿宋"/>
          <w:color w:val="auto"/>
          <w:spacing w:val="-10"/>
          <w:sz w:val="28"/>
          <w:szCs w:val="28"/>
          <w:highlight w:val="none"/>
        </w:rPr>
        <w:t>，属于</w:t>
      </w:r>
      <w:r>
        <w:rPr>
          <w:rFonts w:ascii="仿宋" w:hAnsi="仿宋" w:eastAsia="仿宋"/>
          <w:color w:val="auto"/>
          <w:spacing w:val="-10"/>
          <w:sz w:val="28"/>
          <w:szCs w:val="28"/>
          <w:highlight w:val="none"/>
          <w:u w:val="single"/>
        </w:rPr>
        <w:t>（所属</w:t>
      </w:r>
      <w:r>
        <w:rPr>
          <w:rFonts w:hint="eastAsia" w:ascii="仿宋" w:hAnsi="仿宋" w:eastAsia="仿宋"/>
          <w:color w:val="auto"/>
          <w:spacing w:val="-10"/>
          <w:sz w:val="28"/>
          <w:szCs w:val="28"/>
          <w:highlight w:val="none"/>
          <w:u w:val="single"/>
        </w:rPr>
        <w:t>行</w:t>
      </w:r>
      <w:r>
        <w:rPr>
          <w:rFonts w:ascii="仿宋" w:hAnsi="仿宋" w:eastAsia="仿宋"/>
          <w:color w:val="auto"/>
          <w:spacing w:val="-10"/>
          <w:sz w:val="28"/>
          <w:szCs w:val="28"/>
          <w:highlight w:val="none"/>
          <w:u w:val="single"/>
        </w:rPr>
        <w:t>业）</w:t>
      </w:r>
      <w:r>
        <w:rPr>
          <w:rFonts w:ascii="仿宋" w:hAnsi="仿宋" w:eastAsia="仿宋"/>
          <w:color w:val="auto"/>
          <w:spacing w:val="-10"/>
          <w:sz w:val="28"/>
          <w:szCs w:val="28"/>
          <w:highlight w:val="none"/>
        </w:rPr>
        <w:t>；</w:t>
      </w:r>
      <w:r>
        <w:rPr>
          <w:rFonts w:hint="eastAsia" w:ascii="仿宋" w:hAnsi="仿宋" w:eastAsia="仿宋"/>
          <w:color w:val="auto"/>
          <w:spacing w:val="-10"/>
          <w:sz w:val="28"/>
          <w:szCs w:val="28"/>
          <w:highlight w:val="none"/>
        </w:rPr>
        <w:t>承接企业为</w:t>
      </w:r>
      <w:r>
        <w:rPr>
          <w:rFonts w:hint="eastAsia" w:ascii="仿宋" w:hAnsi="仿宋" w:eastAsia="仿宋"/>
          <w:color w:val="auto"/>
          <w:spacing w:val="-10"/>
          <w:sz w:val="28"/>
          <w:szCs w:val="28"/>
          <w:highlight w:val="none"/>
          <w:u w:val="single"/>
        </w:rPr>
        <w:t xml:space="preserve">（企业名称） </w:t>
      </w:r>
      <w:r>
        <w:rPr>
          <w:rFonts w:hint="eastAsia" w:ascii="仿宋" w:hAnsi="仿宋" w:eastAsia="仿宋"/>
          <w:color w:val="auto"/>
          <w:spacing w:val="-10"/>
          <w:sz w:val="28"/>
          <w:szCs w:val="28"/>
          <w:highlight w:val="none"/>
        </w:rPr>
        <w:t>，从业人员人，营业收入为万元，资产总额为万元</w:t>
      </w:r>
      <w:r>
        <w:rPr>
          <w:rFonts w:ascii="仿宋" w:hAnsi="仿宋" w:eastAsia="仿宋"/>
          <w:color w:val="auto"/>
          <w:spacing w:val="-10"/>
          <w:sz w:val="28"/>
          <w:szCs w:val="28"/>
          <w:highlight w:val="none"/>
        </w:rPr>
        <w:t>，属于</w:t>
      </w:r>
      <w:r>
        <w:rPr>
          <w:rFonts w:ascii="仿宋" w:hAnsi="仿宋" w:eastAsia="仿宋"/>
          <w:color w:val="auto"/>
          <w:spacing w:val="-10"/>
          <w:sz w:val="28"/>
          <w:szCs w:val="28"/>
          <w:highlight w:val="none"/>
          <w:u w:val="single"/>
        </w:rPr>
        <w:t>（中型企业、</w:t>
      </w:r>
      <w:r>
        <w:rPr>
          <w:rFonts w:hint="eastAsia" w:ascii="仿宋" w:hAnsi="仿宋" w:eastAsia="仿宋"/>
          <w:color w:val="auto"/>
          <w:spacing w:val="-10"/>
          <w:sz w:val="28"/>
          <w:szCs w:val="28"/>
          <w:highlight w:val="none"/>
          <w:u w:val="single"/>
        </w:rPr>
        <w:t>小型企业、微型企业）</w:t>
      </w:r>
      <w:r>
        <w:rPr>
          <w:rFonts w:hint="eastAsia" w:ascii="仿宋" w:hAnsi="仿宋" w:eastAsia="仿宋"/>
          <w:color w:val="auto"/>
          <w:spacing w:val="-10"/>
          <w:sz w:val="28"/>
          <w:szCs w:val="28"/>
          <w:highlight w:val="none"/>
        </w:rPr>
        <w:t>。</w:t>
      </w:r>
    </w:p>
    <w:p w14:paraId="1CF69219">
      <w:pPr>
        <w:pStyle w:val="10"/>
        <w:spacing w:before="34" w:line="500" w:lineRule="exact"/>
        <w:ind w:right="142" w:firstLine="522"/>
        <w:rPr>
          <w:rFonts w:ascii="仿宋" w:hAnsi="仿宋" w:eastAsia="仿宋"/>
          <w:b/>
          <w:color w:val="auto"/>
          <w:spacing w:val="-10"/>
          <w:sz w:val="28"/>
          <w:szCs w:val="28"/>
          <w:highlight w:val="none"/>
        </w:rPr>
      </w:pPr>
      <w:r>
        <w:rPr>
          <w:rFonts w:ascii="仿宋" w:hAnsi="仿宋" w:eastAsia="仿宋"/>
          <w:b/>
          <w:color w:val="auto"/>
          <w:spacing w:val="-10"/>
          <w:sz w:val="28"/>
          <w:szCs w:val="28"/>
          <w:highlight w:val="none"/>
        </w:rPr>
        <w:t>以上企业，不属于大企业的分支机构，不存在控股股东为大企业的情形，也不存在与大企业的负责人为同一人的情形。</w:t>
      </w:r>
    </w:p>
    <w:p w14:paraId="0103FCB4">
      <w:pPr>
        <w:pStyle w:val="10"/>
        <w:spacing w:before="25" w:line="500" w:lineRule="exact"/>
        <w:ind w:right="142" w:firstLine="522"/>
        <w:rPr>
          <w:rFonts w:ascii="仿宋" w:hAnsi="仿宋" w:eastAsia="仿宋"/>
          <w:b/>
          <w:color w:val="auto"/>
          <w:spacing w:val="-10"/>
          <w:sz w:val="28"/>
          <w:szCs w:val="28"/>
          <w:highlight w:val="none"/>
        </w:rPr>
      </w:pPr>
      <w:r>
        <w:rPr>
          <w:rFonts w:ascii="仿宋" w:hAnsi="仿宋" w:eastAsia="仿宋"/>
          <w:b/>
          <w:color w:val="auto"/>
          <w:spacing w:val="-10"/>
          <w:sz w:val="28"/>
          <w:szCs w:val="28"/>
          <w:highlight w:val="none"/>
        </w:rPr>
        <w:t>本企业对上述声明内容的真实性负责。如有虚假，将依法承担相应责任。</w:t>
      </w:r>
    </w:p>
    <w:p w14:paraId="4D9CF89E">
      <w:pPr>
        <w:pStyle w:val="10"/>
        <w:spacing w:before="56" w:line="500" w:lineRule="exact"/>
        <w:ind w:left="3960" w:right="1808" w:firstLine="522"/>
        <w:rPr>
          <w:rFonts w:ascii="仿宋" w:hAnsi="仿宋" w:eastAsia="仿宋"/>
          <w:b/>
          <w:color w:val="auto"/>
          <w:spacing w:val="-10"/>
          <w:sz w:val="28"/>
          <w:szCs w:val="28"/>
          <w:highlight w:val="none"/>
        </w:rPr>
      </w:pPr>
      <w:r>
        <w:rPr>
          <w:rFonts w:ascii="仿宋" w:hAnsi="仿宋" w:eastAsia="仿宋"/>
          <w:b/>
          <w:color w:val="auto"/>
          <w:spacing w:val="-10"/>
          <w:sz w:val="28"/>
          <w:szCs w:val="28"/>
          <w:highlight w:val="none"/>
        </w:rPr>
        <w:t>企业名称</w:t>
      </w:r>
      <w:r>
        <w:rPr>
          <w:rFonts w:hint="eastAsia" w:ascii="仿宋" w:hAnsi="仿宋" w:eastAsia="仿宋"/>
          <w:b/>
          <w:color w:val="auto"/>
          <w:spacing w:val="-10"/>
          <w:sz w:val="28"/>
          <w:szCs w:val="28"/>
          <w:highlight w:val="none"/>
        </w:rPr>
        <w:t>（电子签章）</w:t>
      </w:r>
      <w:r>
        <w:rPr>
          <w:rFonts w:ascii="仿宋" w:hAnsi="仿宋" w:eastAsia="仿宋"/>
          <w:b/>
          <w:color w:val="auto"/>
          <w:spacing w:val="-10"/>
          <w:sz w:val="28"/>
          <w:szCs w:val="28"/>
          <w:highlight w:val="none"/>
        </w:rPr>
        <w:t xml:space="preserve">： </w:t>
      </w:r>
    </w:p>
    <w:p w14:paraId="20439E9E">
      <w:pPr>
        <w:pStyle w:val="10"/>
        <w:spacing w:before="56" w:line="500" w:lineRule="exact"/>
        <w:ind w:left="3960" w:right="1808" w:firstLine="522"/>
        <w:rPr>
          <w:rFonts w:ascii="仿宋" w:hAnsi="仿宋" w:eastAsia="仿宋"/>
          <w:b/>
          <w:color w:val="auto"/>
          <w:sz w:val="28"/>
          <w:szCs w:val="28"/>
          <w:highlight w:val="none"/>
        </w:rPr>
      </w:pPr>
      <w:r>
        <w:rPr>
          <w:rFonts w:ascii="仿宋" w:hAnsi="仿宋" w:eastAsia="仿宋"/>
          <w:b/>
          <w:color w:val="auto"/>
          <w:spacing w:val="-10"/>
          <w:sz w:val="28"/>
          <w:szCs w:val="28"/>
          <w:highlight w:val="none"/>
        </w:rPr>
        <w:t>日 期：</w:t>
      </w:r>
    </w:p>
    <w:p w14:paraId="1F7CD066">
      <w:pPr>
        <w:spacing w:line="400" w:lineRule="exact"/>
        <w:rPr>
          <w:rFonts w:asciiTheme="majorEastAsia" w:hAnsiTheme="majorEastAsia" w:eastAsiaTheme="majorEastAsia"/>
          <w:color w:val="auto"/>
          <w:kern w:val="0"/>
          <w:sz w:val="28"/>
          <w:szCs w:val="28"/>
          <w:highlight w:val="none"/>
        </w:rPr>
      </w:pPr>
    </w:p>
    <w:p w14:paraId="1E3589E1">
      <w:pPr>
        <w:spacing w:line="400" w:lineRule="exact"/>
        <w:rPr>
          <w:rFonts w:asciiTheme="majorEastAsia" w:hAnsiTheme="majorEastAsia" w:eastAsiaTheme="majorEastAsia"/>
          <w:b/>
          <w:color w:val="auto"/>
          <w:kern w:val="0"/>
          <w:szCs w:val="21"/>
          <w:highlight w:val="none"/>
        </w:rPr>
      </w:pPr>
      <w:r>
        <w:rPr>
          <w:rFonts w:hint="eastAsia" w:asciiTheme="majorEastAsia" w:hAnsiTheme="majorEastAsia" w:eastAsiaTheme="majorEastAsia"/>
          <w:b/>
          <w:color w:val="auto"/>
          <w:kern w:val="0"/>
          <w:szCs w:val="21"/>
          <w:highlight w:val="none"/>
        </w:rPr>
        <w:t>注：1.</w:t>
      </w:r>
      <w:r>
        <w:rPr>
          <w:rFonts w:asciiTheme="majorEastAsia" w:hAnsiTheme="majorEastAsia" w:eastAsiaTheme="majorEastAsia"/>
          <w:b/>
          <w:color w:val="auto"/>
          <w:kern w:val="0"/>
          <w:szCs w:val="21"/>
          <w:highlight w:val="none"/>
        </w:rPr>
        <w:t>从业人员、营业收入、资产总额填报上一年度数据，无上一年度数据的新成立企业可不填报。</w:t>
      </w:r>
    </w:p>
    <w:p w14:paraId="09DF7F49">
      <w:pPr>
        <w:pStyle w:val="15"/>
        <w:spacing w:line="400" w:lineRule="exact"/>
        <w:rPr>
          <w:rFonts w:asciiTheme="majorEastAsia" w:hAnsiTheme="majorEastAsia" w:eastAsiaTheme="majorEastAsia"/>
          <w:b/>
          <w:color w:val="auto"/>
          <w:szCs w:val="21"/>
          <w:highlight w:val="none"/>
        </w:rPr>
      </w:pPr>
      <w:r>
        <w:rPr>
          <w:rFonts w:hint="eastAsia" w:asciiTheme="majorEastAsia" w:hAnsiTheme="majorEastAsia" w:eastAsiaTheme="majorEastAsia"/>
          <w:b/>
          <w:color w:val="auto"/>
          <w:kern w:val="0"/>
          <w:szCs w:val="21"/>
          <w:highlight w:val="none"/>
        </w:rPr>
        <w:t xml:space="preserve">    2.中小企业在政府采购活动过程中，请根据自己的真实情况出具本声明函。依法享受中小企业优惠政策的，采购人或采购代理机构在公告中标结果时，同时公告其《中小企业声明函》，接受社会监督。</w:t>
      </w:r>
    </w:p>
    <w:p w14:paraId="395E05F3">
      <w:pPr>
        <w:rPr>
          <w:rFonts w:hint="eastAsia" w:ascii="宋体" w:hAnsi="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br w:type="page"/>
      </w:r>
    </w:p>
    <w:p w14:paraId="37BB624C">
      <w:pPr>
        <w:spacing w:line="500" w:lineRule="exact"/>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5</w:t>
      </w:r>
      <w:r>
        <w:rPr>
          <w:rFonts w:hint="eastAsia" w:ascii="宋体" w:hAnsi="宋体" w:cs="宋体"/>
          <w:b/>
          <w:color w:val="auto"/>
          <w:sz w:val="28"/>
          <w:szCs w:val="28"/>
          <w:highlight w:val="none"/>
        </w:rPr>
        <w:t>.2供应商属于监狱企业的，应当提供由省级以上监狱管理局、戒毒管理局(含新疆生产建设兵团)出具的属于监狱企业的证明文件（如有，请提供）</w:t>
      </w:r>
    </w:p>
    <w:p w14:paraId="668F5BA4">
      <w:pPr>
        <w:tabs>
          <w:tab w:val="left" w:pos="1305"/>
        </w:tabs>
        <w:spacing w:line="380" w:lineRule="exact"/>
        <w:rPr>
          <w:rFonts w:ascii="宋体" w:hAnsi="宋体" w:cs="宋体"/>
          <w:b/>
          <w:bCs/>
          <w:color w:val="auto"/>
          <w:sz w:val="28"/>
          <w:szCs w:val="28"/>
          <w:highlight w:val="none"/>
        </w:rPr>
      </w:pPr>
    </w:p>
    <w:p w14:paraId="5334E92B">
      <w:pPr>
        <w:tabs>
          <w:tab w:val="left" w:pos="1305"/>
        </w:tabs>
        <w:spacing w:line="380" w:lineRule="exact"/>
        <w:rPr>
          <w:rFonts w:ascii="宋体" w:hAnsi="宋体" w:cs="宋体"/>
          <w:b/>
          <w:bCs/>
          <w:color w:val="auto"/>
          <w:sz w:val="28"/>
          <w:szCs w:val="28"/>
          <w:highlight w:val="none"/>
        </w:rPr>
      </w:pPr>
    </w:p>
    <w:p w14:paraId="1B591BB2">
      <w:pPr>
        <w:tabs>
          <w:tab w:val="left" w:pos="1305"/>
        </w:tabs>
        <w:spacing w:line="380" w:lineRule="exact"/>
        <w:rPr>
          <w:rFonts w:ascii="宋体" w:hAnsi="宋体" w:cs="宋体"/>
          <w:b/>
          <w:bCs/>
          <w:color w:val="auto"/>
          <w:sz w:val="28"/>
          <w:szCs w:val="28"/>
          <w:highlight w:val="none"/>
        </w:rPr>
      </w:pPr>
    </w:p>
    <w:p w14:paraId="3FE7DA8C">
      <w:pPr>
        <w:pStyle w:val="23"/>
        <w:ind w:left="0" w:leftChars="0" w:firstLine="0" w:firstLineChars="0"/>
        <w:rPr>
          <w:rFonts w:ascii="宋体" w:hAnsi="宋体" w:cs="宋体"/>
          <w:color w:val="auto"/>
          <w:sz w:val="28"/>
          <w:szCs w:val="28"/>
          <w:highlight w:val="none"/>
        </w:rPr>
      </w:pPr>
    </w:p>
    <w:p w14:paraId="0D8B24B7">
      <w:pPr>
        <w:tabs>
          <w:tab w:val="left" w:pos="1305"/>
        </w:tabs>
        <w:spacing w:line="380" w:lineRule="exact"/>
        <w:rPr>
          <w:rFonts w:ascii="宋体" w:hAnsi="宋体" w:cs="宋体"/>
          <w:b/>
          <w:bCs/>
          <w:color w:val="auto"/>
          <w:sz w:val="28"/>
          <w:szCs w:val="28"/>
          <w:highlight w:val="none"/>
        </w:rPr>
      </w:pPr>
    </w:p>
    <w:p w14:paraId="1BB2133E">
      <w:pPr>
        <w:tabs>
          <w:tab w:val="left" w:pos="1305"/>
        </w:tabs>
        <w:spacing w:line="380" w:lineRule="exact"/>
        <w:rPr>
          <w:rFonts w:ascii="宋体" w:hAnsi="宋体" w:cs="宋体"/>
          <w:b/>
          <w:bCs/>
          <w:color w:val="auto"/>
          <w:sz w:val="28"/>
          <w:szCs w:val="28"/>
          <w:highlight w:val="none"/>
        </w:rPr>
      </w:pP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.3符合条件的残疾人福利性单位在参加政府采购活动时，应当提供《残疾人福利性单位声明函》，并对声明的真实性负责（如有，请提供）</w:t>
      </w:r>
    </w:p>
    <w:p w14:paraId="48425A3F">
      <w:pPr>
        <w:pStyle w:val="15"/>
        <w:ind w:firstLine="413" w:firstLineChars="147"/>
        <w:rPr>
          <w:rFonts w:hAnsi="宋体" w:cs="宋体"/>
          <w:b/>
          <w:color w:val="auto"/>
          <w:sz w:val="28"/>
          <w:szCs w:val="28"/>
          <w:highlight w:val="none"/>
        </w:rPr>
      </w:pPr>
      <w:r>
        <w:rPr>
          <w:rFonts w:hint="eastAsia" w:hAnsi="宋体" w:cs="宋体"/>
          <w:b/>
          <w:color w:val="auto"/>
          <w:sz w:val="28"/>
          <w:szCs w:val="28"/>
          <w:highlight w:val="none"/>
        </w:rPr>
        <w:t>附件：</w:t>
      </w:r>
    </w:p>
    <w:p w14:paraId="2201E766">
      <w:pPr>
        <w:pStyle w:val="15"/>
        <w:jc w:val="center"/>
        <w:rPr>
          <w:rFonts w:hAnsi="宋体"/>
          <w:b/>
          <w:bCs/>
          <w:color w:val="auto"/>
          <w:sz w:val="30"/>
          <w:szCs w:val="30"/>
          <w:highlight w:val="none"/>
        </w:rPr>
      </w:pPr>
      <w:bookmarkStart w:id="240" w:name="OLE_LINK14"/>
      <w:bookmarkStart w:id="241" w:name="OLE_LINK13"/>
      <w:r>
        <w:rPr>
          <w:rFonts w:hint="eastAsia" w:hAnsi="宋体" w:cs="宋体"/>
          <w:b/>
          <w:bCs/>
          <w:color w:val="auto"/>
          <w:sz w:val="28"/>
          <w:szCs w:val="28"/>
          <w:highlight w:val="none"/>
        </w:rPr>
        <w:t>残疾人福利性单位声明函（格式）</w:t>
      </w:r>
    </w:p>
    <w:bookmarkEnd w:id="240"/>
    <w:bookmarkEnd w:id="241"/>
    <w:p w14:paraId="793627F2">
      <w:pPr>
        <w:spacing w:line="588" w:lineRule="exact"/>
        <w:ind w:firstLine="624" w:firstLineChars="200"/>
        <w:rPr>
          <w:rFonts w:asciiTheme="minorEastAsia" w:hAnsiTheme="minorEastAsia" w:eastAsiaTheme="minorEastAsia"/>
          <w:color w:val="auto"/>
          <w:spacing w:val="6"/>
          <w:sz w:val="30"/>
          <w:szCs w:val="30"/>
          <w:highlight w:val="none"/>
        </w:rPr>
      </w:pPr>
      <w:r>
        <w:rPr>
          <w:rFonts w:hint="eastAsia" w:asciiTheme="minorEastAsia" w:hAnsiTheme="minorEastAsia" w:eastAsiaTheme="minorEastAsia"/>
          <w:color w:val="auto"/>
          <w:spacing w:val="6"/>
          <w:sz w:val="30"/>
          <w:szCs w:val="30"/>
          <w:highlight w:val="none"/>
        </w:rPr>
        <w:t>本单位郑重声明，根据《财政部 民政部 中国残疾人联合会关于促进残疾人就业政府采购政策的通知》（财库</w:t>
      </w:r>
      <w:r>
        <w:rPr>
          <w:rFonts w:hint="eastAsia" w:asciiTheme="minorEastAsia" w:hAnsiTheme="minorEastAsia" w:eastAsiaTheme="minorEastAsia"/>
          <w:color w:val="auto"/>
          <w:sz w:val="30"/>
          <w:szCs w:val="30"/>
          <w:highlight w:val="none"/>
        </w:rPr>
        <w:t>〔2017〕 141</w:t>
      </w:r>
      <w:r>
        <w:rPr>
          <w:rFonts w:hint="eastAsia" w:asciiTheme="minorEastAsia" w:hAnsiTheme="minorEastAsia" w:eastAsiaTheme="minorEastAsia"/>
          <w:color w:val="auto"/>
          <w:spacing w:val="6"/>
          <w:sz w:val="30"/>
          <w:szCs w:val="30"/>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5376F36">
      <w:pPr>
        <w:spacing w:line="588" w:lineRule="exact"/>
        <w:ind w:firstLine="624" w:firstLineChars="200"/>
        <w:rPr>
          <w:rFonts w:asciiTheme="minorEastAsia" w:hAnsiTheme="minorEastAsia" w:eastAsiaTheme="minorEastAsia"/>
          <w:color w:val="auto"/>
          <w:spacing w:val="6"/>
          <w:sz w:val="30"/>
          <w:szCs w:val="30"/>
          <w:highlight w:val="none"/>
        </w:rPr>
      </w:pPr>
      <w:r>
        <w:rPr>
          <w:rFonts w:hint="eastAsia" w:asciiTheme="minorEastAsia" w:hAnsiTheme="minorEastAsia" w:eastAsiaTheme="minorEastAsia"/>
          <w:color w:val="auto"/>
          <w:spacing w:val="6"/>
          <w:sz w:val="30"/>
          <w:szCs w:val="30"/>
          <w:highlight w:val="none"/>
        </w:rPr>
        <w:t>本单位对上述声明的真实性负责。如有虚假，将依法承担相应责任。</w:t>
      </w:r>
    </w:p>
    <w:p w14:paraId="1ED00B6E">
      <w:pPr>
        <w:spacing w:line="588" w:lineRule="exact"/>
        <w:ind w:firstLine="624" w:firstLineChars="200"/>
        <w:rPr>
          <w:rFonts w:asciiTheme="minorEastAsia" w:hAnsiTheme="minorEastAsia" w:eastAsiaTheme="minorEastAsia"/>
          <w:color w:val="auto"/>
          <w:spacing w:val="6"/>
          <w:sz w:val="30"/>
          <w:szCs w:val="30"/>
          <w:highlight w:val="none"/>
        </w:rPr>
      </w:pPr>
    </w:p>
    <w:p w14:paraId="7FE1B43F">
      <w:pPr>
        <w:tabs>
          <w:tab w:val="left" w:pos="4860"/>
        </w:tabs>
        <w:spacing w:line="588" w:lineRule="exact"/>
        <w:ind w:right="1560" w:firstLine="624" w:firstLineChars="200"/>
        <w:jc w:val="center"/>
        <w:rPr>
          <w:rFonts w:asciiTheme="minorEastAsia" w:hAnsiTheme="minorEastAsia" w:eastAsiaTheme="minorEastAsia"/>
          <w:color w:val="auto"/>
          <w:spacing w:val="6"/>
          <w:sz w:val="30"/>
          <w:szCs w:val="30"/>
          <w:highlight w:val="none"/>
        </w:rPr>
      </w:pPr>
      <w:r>
        <w:rPr>
          <w:rFonts w:hint="eastAsia" w:asciiTheme="minorEastAsia" w:hAnsiTheme="minorEastAsia" w:eastAsiaTheme="minorEastAsia"/>
          <w:color w:val="auto"/>
          <w:spacing w:val="6"/>
          <w:sz w:val="30"/>
          <w:szCs w:val="30"/>
          <w:highlight w:val="none"/>
        </w:rPr>
        <w:t xml:space="preserve">      单位名称（电子签章）：</w:t>
      </w:r>
    </w:p>
    <w:p w14:paraId="7E0E83DC">
      <w:pPr>
        <w:rPr>
          <w:rFonts w:hint="eastAsia" w:hAnsi="宋体" w:cs="宋体"/>
          <w:b/>
          <w:color w:val="auto"/>
          <w:sz w:val="28"/>
          <w:szCs w:val="28"/>
          <w:highlight w:val="none"/>
          <w:lang w:val="en-US" w:eastAsia="zh-CN"/>
        </w:rPr>
      </w:pPr>
      <w:r>
        <w:rPr>
          <w:rFonts w:hint="eastAsia" w:asciiTheme="minorEastAsia" w:hAnsiTheme="minorEastAsia" w:eastAsiaTheme="minorEastAsia"/>
          <w:color w:val="auto"/>
          <w:spacing w:val="6"/>
          <w:sz w:val="30"/>
          <w:szCs w:val="30"/>
          <w:highlight w:val="none"/>
        </w:rPr>
        <w:t xml:space="preserve">   日  期：</w:t>
      </w:r>
      <w:r>
        <w:rPr>
          <w:rFonts w:hint="eastAsia" w:hAnsi="宋体" w:cs="宋体"/>
          <w:b/>
          <w:color w:val="auto"/>
          <w:sz w:val="28"/>
          <w:szCs w:val="28"/>
          <w:highlight w:val="none"/>
          <w:lang w:val="en-US" w:eastAsia="zh-CN"/>
        </w:rPr>
        <w:br w:type="page"/>
      </w:r>
    </w:p>
    <w:p w14:paraId="12E6A45A">
      <w:pPr>
        <w:spacing w:line="360" w:lineRule="auto"/>
        <w:outlineLvl w:val="3"/>
        <w:rPr>
          <w:rFonts w:hint="eastAsia" w:ascii="宋体" w:hAnsi="宋体" w:eastAsia="宋体" w:cs="宋体"/>
          <w:b/>
          <w:color w:val="auto"/>
          <w:kern w:val="2"/>
          <w:sz w:val="28"/>
          <w:szCs w:val="28"/>
          <w:highlight w:val="none"/>
          <w:lang w:val="en-US" w:eastAsia="zh-CN" w:bidi="ar-SA"/>
        </w:rPr>
      </w:pPr>
      <w:r>
        <w:rPr>
          <w:rFonts w:hint="eastAsia" w:ascii="宋体" w:hAnsi="宋体" w:cs="宋体"/>
          <w:b/>
          <w:color w:val="auto"/>
          <w:kern w:val="2"/>
          <w:sz w:val="28"/>
          <w:szCs w:val="28"/>
          <w:highlight w:val="none"/>
          <w:lang w:val="en-US" w:eastAsia="zh-CN" w:bidi="ar-SA"/>
        </w:rPr>
        <w:t>6</w:t>
      </w:r>
      <w:r>
        <w:rPr>
          <w:rFonts w:hint="eastAsia" w:ascii="宋体" w:hAnsi="宋体" w:eastAsia="宋体" w:cs="宋体"/>
          <w:b/>
          <w:color w:val="auto"/>
          <w:kern w:val="2"/>
          <w:sz w:val="28"/>
          <w:szCs w:val="28"/>
          <w:highlight w:val="none"/>
          <w:lang w:val="en-US" w:eastAsia="zh-CN" w:bidi="ar-SA"/>
        </w:rPr>
        <w:t>.供应商可结合本项目的评审办法视自身情况自行提交其它相关证明材料。</w:t>
      </w:r>
    </w:p>
    <w:p w14:paraId="2C632D17">
      <w:pPr>
        <w:pStyle w:val="16"/>
        <w:rPr>
          <w:rFonts w:ascii="宋体" w:hAnsi="宋体" w:cs="宋体"/>
          <w:color w:val="auto"/>
          <w:highlight w:val="none"/>
          <w:u w:val="none"/>
        </w:rPr>
      </w:pPr>
    </w:p>
    <w:sectPr>
      <w:pgSz w:w="11906" w:h="16838"/>
      <w:pgMar w:top="1440" w:right="935" w:bottom="1440" w:left="77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decorative"/>
    <w:pitch w:val="default"/>
    <w:sig w:usb0="E1002EFF" w:usb1="C000605B" w:usb2="00000029" w:usb3="00000000" w:csb0="200101FF" w:csb1="20280000"/>
  </w:font>
  <w:font w:name="?? Light">
    <w:altName w:val="Segoe Print"/>
    <w:panose1 w:val="00000000000000000000"/>
    <w:charset w:val="00"/>
    <w:family w:val="auto"/>
    <w:pitch w:val="default"/>
    <w:sig w:usb0="00000000" w:usb1="00000000" w:usb2="00000000" w:usb3="00000000" w:csb0="00000001" w:csb1="00000000"/>
  </w:font>
  <w:font w:name="仿宋">
    <w:panose1 w:val="02010609060101010101"/>
    <w:charset w:val="86"/>
    <w:family w:val="swiss"/>
    <w:pitch w:val="default"/>
    <w:sig w:usb0="800002BF" w:usb1="38CF7CFA" w:usb2="00000016" w:usb3="00000000" w:csb0="00040001" w:csb1="00000000"/>
  </w:font>
  <w:font w:name="仿宋_GB2312">
    <w:altName w:val="仿宋"/>
    <w:panose1 w:val="02010609030101010101"/>
    <w:charset w:val="86"/>
    <w:family w:val="swiss"/>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8A8">
    <w:pPr>
      <w:spacing w:line="268" w:lineRule="exact"/>
      <w:rPr>
        <w:rFonts w:ascii="等线" w:hAnsi="等线" w:eastAsia="等线" w:cs="等线"/>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02FFC">
                          <w:pPr>
                            <w:pStyle w:val="1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F02FFC">
                    <w:pPr>
                      <w:pStyle w:val="1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C325D">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53693">
                          <w:pPr>
                            <w:pStyle w:val="1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453693">
                    <w:pPr>
                      <w:pStyle w:val="16"/>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2966C">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E0F9B">
                          <w:pPr>
                            <w:pStyle w:val="16"/>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8E0F9B">
                    <w:pPr>
                      <w:pStyle w:val="16"/>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14530">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059F20">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00059F20">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6616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86F25"/>
    <w:multiLevelType w:val="singleLevel"/>
    <w:tmpl w:val="8F886F25"/>
    <w:lvl w:ilvl="0" w:tentative="0">
      <w:start w:val="1"/>
      <w:numFmt w:val="decimal"/>
      <w:suff w:val="space"/>
      <w:lvlText w:val="%1、"/>
      <w:lvlJc w:val="left"/>
    </w:lvl>
  </w:abstractNum>
  <w:abstractNum w:abstractNumId="1">
    <w:nsid w:val="BB4CF58C"/>
    <w:multiLevelType w:val="singleLevel"/>
    <w:tmpl w:val="BB4CF58C"/>
    <w:lvl w:ilvl="0" w:tentative="0">
      <w:start w:val="2"/>
      <w:numFmt w:val="decimal"/>
      <w:suff w:val="nothing"/>
      <w:lvlText w:val="（%1）"/>
      <w:lvlJc w:val="left"/>
    </w:lvl>
  </w:abstractNum>
  <w:abstractNum w:abstractNumId="2">
    <w:nsid w:val="1FC16C3F"/>
    <w:multiLevelType w:val="multilevel"/>
    <w:tmpl w:val="1FC16C3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3">
    <w:nsid w:val="1FD97BE0"/>
    <w:multiLevelType w:val="singleLevel"/>
    <w:tmpl w:val="1FD97BE0"/>
    <w:lvl w:ilvl="0" w:tentative="0">
      <w:start w:val="1"/>
      <w:numFmt w:val="chineseCounting"/>
      <w:suff w:val="nothing"/>
      <w:lvlText w:val="（%1）"/>
      <w:lvlJc w:val="left"/>
      <w:rPr>
        <w:rFonts w:hint="eastAsia"/>
      </w:rPr>
    </w:lvl>
  </w:abstractNum>
  <w:abstractNum w:abstractNumId="4">
    <w:nsid w:val="2EBEB4BA"/>
    <w:multiLevelType w:val="singleLevel"/>
    <w:tmpl w:val="2EBEB4BA"/>
    <w:lvl w:ilvl="0" w:tentative="0">
      <w:start w:val="26"/>
      <w:numFmt w:val="decimal"/>
      <w:suff w:val="space"/>
      <w:lvlText w:val="%1."/>
      <w:lvlJc w:val="left"/>
    </w:lvl>
  </w:abstractNum>
  <w:abstractNum w:abstractNumId="5">
    <w:nsid w:val="393ADA10"/>
    <w:multiLevelType w:val="singleLevel"/>
    <w:tmpl w:val="393ADA10"/>
    <w:lvl w:ilvl="0" w:tentative="0">
      <w:start w:val="31"/>
      <w:numFmt w:val="decimal"/>
      <w:suff w:val="space"/>
      <w:lvlText w:val="%1."/>
      <w:lvlJc w:val="left"/>
    </w:lvl>
  </w:abstractNum>
  <w:abstractNum w:abstractNumId="6">
    <w:nsid w:val="620B07F5"/>
    <w:multiLevelType w:val="singleLevel"/>
    <w:tmpl w:val="620B07F5"/>
    <w:lvl w:ilvl="0" w:tentative="0">
      <w:start w:val="3"/>
      <w:numFmt w:val="decimal"/>
      <w:suff w:val="nothing"/>
      <w:lvlText w:val="%1."/>
      <w:lvlJc w:val="left"/>
      <w:pPr>
        <w:ind w:left="-60"/>
      </w:pPr>
    </w:lvl>
  </w:abstractNum>
  <w:abstractNum w:abstractNumId="7">
    <w:nsid w:val="643CBB0D"/>
    <w:multiLevelType w:val="singleLevel"/>
    <w:tmpl w:val="643CBB0D"/>
    <w:lvl w:ilvl="0" w:tentative="0">
      <w:start w:val="1"/>
      <w:numFmt w:val="chineseCounting"/>
      <w:suff w:val="nothing"/>
      <w:lvlText w:val="%1、"/>
      <w:lvlJc w:val="left"/>
    </w:lvl>
  </w:abstractNum>
  <w:abstractNum w:abstractNumId="8">
    <w:nsid w:val="64AF5AA1"/>
    <w:multiLevelType w:val="singleLevel"/>
    <w:tmpl w:val="64AF5AA1"/>
    <w:lvl w:ilvl="0" w:tentative="0">
      <w:start w:val="33"/>
      <w:numFmt w:val="decimal"/>
      <w:suff w:val="nothing"/>
      <w:lvlText w:val="%1."/>
      <w:lvlJc w:val="left"/>
    </w:lvl>
  </w:abstractNum>
  <w:abstractNum w:abstractNumId="9">
    <w:nsid w:val="67497D31"/>
    <w:multiLevelType w:val="multilevel"/>
    <w:tmpl w:val="67497D31"/>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67497D3C"/>
    <w:multiLevelType w:val="multilevel"/>
    <w:tmpl w:val="67497D3C"/>
    <w:lvl w:ilvl="0" w:tentative="0">
      <w:start w:val="2"/>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6AD43707"/>
    <w:multiLevelType w:val="singleLevel"/>
    <w:tmpl w:val="6AD43707"/>
    <w:lvl w:ilvl="0" w:tentative="0">
      <w:start w:val="5"/>
      <w:numFmt w:val="decimal"/>
      <w:suff w:val="space"/>
      <w:lvlText w:val="%1."/>
      <w:lvlJc w:val="left"/>
    </w:lvl>
  </w:abstractNum>
  <w:num w:numId="1">
    <w:abstractNumId w:val="2"/>
  </w:num>
  <w:num w:numId="2">
    <w:abstractNumId w:val="6"/>
  </w:num>
  <w:num w:numId="3">
    <w:abstractNumId w:val="11"/>
  </w:num>
  <w:num w:numId="4">
    <w:abstractNumId w:val="1"/>
  </w:num>
  <w:num w:numId="5">
    <w:abstractNumId w:val="4"/>
  </w:num>
  <w:num w:numId="6">
    <w:abstractNumId w:val="5"/>
  </w:num>
  <w:num w:numId="7">
    <w:abstractNumId w:val="8"/>
  </w:num>
  <w:num w:numId="8">
    <w:abstractNumId w:val="9"/>
    <w:lvlOverride w:ilvl="0">
      <w:startOverride w:val="2"/>
    </w:lvlOverride>
  </w:num>
  <w:num w:numId="9">
    <w:abstractNumId w:val="10"/>
    <w:lvlOverride w:ilvl="0">
      <w:startOverride w:val="2"/>
    </w:lvlOverride>
  </w:num>
  <w:num w:numId="10">
    <w:abstractNumId w:val="3"/>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hZjQxZTIwY2VhZDc0NzRmMzM2NGFkYjBkOWQ0MjcifQ=="/>
    <w:docVar w:name="KSO_WPS_MARK_KEY" w:val="8bedbf56-0780-4ac8-80fd-85fdbf889e71"/>
  </w:docVars>
  <w:rsids>
    <w:rsidRoot w:val="006B6B44"/>
    <w:rsid w:val="00155B9F"/>
    <w:rsid w:val="00227D5A"/>
    <w:rsid w:val="00273AA0"/>
    <w:rsid w:val="002C61F7"/>
    <w:rsid w:val="00361260"/>
    <w:rsid w:val="00377B03"/>
    <w:rsid w:val="00442CC9"/>
    <w:rsid w:val="00457CD7"/>
    <w:rsid w:val="0059276D"/>
    <w:rsid w:val="005F25A9"/>
    <w:rsid w:val="006B6B44"/>
    <w:rsid w:val="00784F0D"/>
    <w:rsid w:val="008408C6"/>
    <w:rsid w:val="009C7964"/>
    <w:rsid w:val="00B65E05"/>
    <w:rsid w:val="00BE3755"/>
    <w:rsid w:val="00C5023F"/>
    <w:rsid w:val="00C83A4D"/>
    <w:rsid w:val="00CE3934"/>
    <w:rsid w:val="00DF61F0"/>
    <w:rsid w:val="00E34700"/>
    <w:rsid w:val="00EA6261"/>
    <w:rsid w:val="00EC296C"/>
    <w:rsid w:val="00EF5BA2"/>
    <w:rsid w:val="00F02DB1"/>
    <w:rsid w:val="0100033D"/>
    <w:rsid w:val="011C633D"/>
    <w:rsid w:val="013C3125"/>
    <w:rsid w:val="014E5B21"/>
    <w:rsid w:val="01821A3D"/>
    <w:rsid w:val="01B62CA7"/>
    <w:rsid w:val="01D84888"/>
    <w:rsid w:val="01E21263"/>
    <w:rsid w:val="01FB79D9"/>
    <w:rsid w:val="02012B23"/>
    <w:rsid w:val="020405D6"/>
    <w:rsid w:val="021E1981"/>
    <w:rsid w:val="02B95509"/>
    <w:rsid w:val="02EB4BA7"/>
    <w:rsid w:val="030932D4"/>
    <w:rsid w:val="030C78DB"/>
    <w:rsid w:val="03246CD1"/>
    <w:rsid w:val="033E499D"/>
    <w:rsid w:val="036C7E00"/>
    <w:rsid w:val="0377595E"/>
    <w:rsid w:val="03B4274D"/>
    <w:rsid w:val="03C12FE4"/>
    <w:rsid w:val="03DA3C5D"/>
    <w:rsid w:val="03F02E9E"/>
    <w:rsid w:val="040E5E88"/>
    <w:rsid w:val="04602F95"/>
    <w:rsid w:val="046D2412"/>
    <w:rsid w:val="047177B4"/>
    <w:rsid w:val="04732647"/>
    <w:rsid w:val="047A66B3"/>
    <w:rsid w:val="047F1B73"/>
    <w:rsid w:val="04854265"/>
    <w:rsid w:val="049357F2"/>
    <w:rsid w:val="04A27D7C"/>
    <w:rsid w:val="04C43772"/>
    <w:rsid w:val="04D97DAE"/>
    <w:rsid w:val="04DF12E2"/>
    <w:rsid w:val="04F57ED0"/>
    <w:rsid w:val="05075F25"/>
    <w:rsid w:val="050A2121"/>
    <w:rsid w:val="051031AE"/>
    <w:rsid w:val="051E5C06"/>
    <w:rsid w:val="052633D9"/>
    <w:rsid w:val="054D2E98"/>
    <w:rsid w:val="056469EE"/>
    <w:rsid w:val="05841AAD"/>
    <w:rsid w:val="058C1BE6"/>
    <w:rsid w:val="059742FC"/>
    <w:rsid w:val="05A0109D"/>
    <w:rsid w:val="05CA7217"/>
    <w:rsid w:val="05E82D27"/>
    <w:rsid w:val="05EE68ED"/>
    <w:rsid w:val="060C5A1F"/>
    <w:rsid w:val="0633580E"/>
    <w:rsid w:val="06342423"/>
    <w:rsid w:val="06486645"/>
    <w:rsid w:val="064956F9"/>
    <w:rsid w:val="065000D1"/>
    <w:rsid w:val="065B15E4"/>
    <w:rsid w:val="066C1D60"/>
    <w:rsid w:val="066D11E7"/>
    <w:rsid w:val="0680754D"/>
    <w:rsid w:val="06996022"/>
    <w:rsid w:val="06A922BE"/>
    <w:rsid w:val="06B13A22"/>
    <w:rsid w:val="06E71E07"/>
    <w:rsid w:val="06FE3C52"/>
    <w:rsid w:val="070723E2"/>
    <w:rsid w:val="070C1155"/>
    <w:rsid w:val="070E0C2D"/>
    <w:rsid w:val="071023CF"/>
    <w:rsid w:val="07513EF5"/>
    <w:rsid w:val="076C2901"/>
    <w:rsid w:val="0780268E"/>
    <w:rsid w:val="078646DF"/>
    <w:rsid w:val="079A3A6D"/>
    <w:rsid w:val="07C57489"/>
    <w:rsid w:val="07E3000E"/>
    <w:rsid w:val="07FC7407"/>
    <w:rsid w:val="08027E93"/>
    <w:rsid w:val="081712C5"/>
    <w:rsid w:val="083D2DFC"/>
    <w:rsid w:val="083F7130"/>
    <w:rsid w:val="0860005B"/>
    <w:rsid w:val="08697D35"/>
    <w:rsid w:val="086C7886"/>
    <w:rsid w:val="08812F2B"/>
    <w:rsid w:val="08CE08D5"/>
    <w:rsid w:val="08CF462B"/>
    <w:rsid w:val="09003B36"/>
    <w:rsid w:val="092D730D"/>
    <w:rsid w:val="098106A1"/>
    <w:rsid w:val="098B1808"/>
    <w:rsid w:val="09B43646"/>
    <w:rsid w:val="09BA72C3"/>
    <w:rsid w:val="09E57EE7"/>
    <w:rsid w:val="09E813E1"/>
    <w:rsid w:val="09F267DA"/>
    <w:rsid w:val="09F467ED"/>
    <w:rsid w:val="0A0A6A80"/>
    <w:rsid w:val="0A101F26"/>
    <w:rsid w:val="0A114758"/>
    <w:rsid w:val="0A4358D5"/>
    <w:rsid w:val="0A45079E"/>
    <w:rsid w:val="0A537D8F"/>
    <w:rsid w:val="0A670558"/>
    <w:rsid w:val="0AA70314"/>
    <w:rsid w:val="0AE07DB7"/>
    <w:rsid w:val="0AE3357A"/>
    <w:rsid w:val="0B523F25"/>
    <w:rsid w:val="0B6767B1"/>
    <w:rsid w:val="0B6E26C2"/>
    <w:rsid w:val="0B77423C"/>
    <w:rsid w:val="0BC03CFE"/>
    <w:rsid w:val="0BC66111"/>
    <w:rsid w:val="0BD83EB7"/>
    <w:rsid w:val="0BE43E2A"/>
    <w:rsid w:val="0C0C54AC"/>
    <w:rsid w:val="0C1D3121"/>
    <w:rsid w:val="0C221581"/>
    <w:rsid w:val="0C2A21CD"/>
    <w:rsid w:val="0C637A1A"/>
    <w:rsid w:val="0C790059"/>
    <w:rsid w:val="0C943AA2"/>
    <w:rsid w:val="0C9C22B2"/>
    <w:rsid w:val="0CC036D2"/>
    <w:rsid w:val="0D336721"/>
    <w:rsid w:val="0DA501B3"/>
    <w:rsid w:val="0DD67C92"/>
    <w:rsid w:val="0DE93DD0"/>
    <w:rsid w:val="0DF62709"/>
    <w:rsid w:val="0E3331BF"/>
    <w:rsid w:val="0E5817CB"/>
    <w:rsid w:val="0E5C2BE5"/>
    <w:rsid w:val="0E5D1762"/>
    <w:rsid w:val="0E667A8A"/>
    <w:rsid w:val="0E68189B"/>
    <w:rsid w:val="0E69033F"/>
    <w:rsid w:val="0E993AB0"/>
    <w:rsid w:val="0EA12625"/>
    <w:rsid w:val="0EA65DCB"/>
    <w:rsid w:val="0EAF6971"/>
    <w:rsid w:val="0EBA28D2"/>
    <w:rsid w:val="0ECA6143"/>
    <w:rsid w:val="0ECB78A3"/>
    <w:rsid w:val="0ED711FF"/>
    <w:rsid w:val="0EE3138A"/>
    <w:rsid w:val="0EE3235C"/>
    <w:rsid w:val="0EEE4008"/>
    <w:rsid w:val="0F152394"/>
    <w:rsid w:val="0F2738C4"/>
    <w:rsid w:val="0F3052F1"/>
    <w:rsid w:val="0F4016E2"/>
    <w:rsid w:val="0F4F25D9"/>
    <w:rsid w:val="0F6B6C1D"/>
    <w:rsid w:val="0F8B0398"/>
    <w:rsid w:val="0F9633C9"/>
    <w:rsid w:val="0FCB3337"/>
    <w:rsid w:val="0FD3494E"/>
    <w:rsid w:val="0FEF20FC"/>
    <w:rsid w:val="0FF85BE5"/>
    <w:rsid w:val="103656CA"/>
    <w:rsid w:val="10471B26"/>
    <w:rsid w:val="107E0B86"/>
    <w:rsid w:val="10934E21"/>
    <w:rsid w:val="10937656"/>
    <w:rsid w:val="109D27CB"/>
    <w:rsid w:val="11037A5C"/>
    <w:rsid w:val="110660A6"/>
    <w:rsid w:val="112D6828"/>
    <w:rsid w:val="113D7A32"/>
    <w:rsid w:val="117F283F"/>
    <w:rsid w:val="118E7B9B"/>
    <w:rsid w:val="11B61715"/>
    <w:rsid w:val="11CA3C1A"/>
    <w:rsid w:val="11DB182B"/>
    <w:rsid w:val="11DE6E2F"/>
    <w:rsid w:val="11F76665"/>
    <w:rsid w:val="11FB02FE"/>
    <w:rsid w:val="124455EA"/>
    <w:rsid w:val="1260763B"/>
    <w:rsid w:val="127A31E0"/>
    <w:rsid w:val="129058CB"/>
    <w:rsid w:val="12A64995"/>
    <w:rsid w:val="12BA1B28"/>
    <w:rsid w:val="12BF4B9D"/>
    <w:rsid w:val="12E45B62"/>
    <w:rsid w:val="12EB2F00"/>
    <w:rsid w:val="12F906D8"/>
    <w:rsid w:val="12F908B4"/>
    <w:rsid w:val="13215279"/>
    <w:rsid w:val="133C3230"/>
    <w:rsid w:val="13856106"/>
    <w:rsid w:val="13C94A07"/>
    <w:rsid w:val="13D36C5E"/>
    <w:rsid w:val="13E72192"/>
    <w:rsid w:val="13FC2CB5"/>
    <w:rsid w:val="14771A6A"/>
    <w:rsid w:val="14817FDA"/>
    <w:rsid w:val="14B0225D"/>
    <w:rsid w:val="14C82B81"/>
    <w:rsid w:val="14D40C9A"/>
    <w:rsid w:val="14FB1C8F"/>
    <w:rsid w:val="1506135C"/>
    <w:rsid w:val="15122D32"/>
    <w:rsid w:val="1519733C"/>
    <w:rsid w:val="151A6E6E"/>
    <w:rsid w:val="154B61B2"/>
    <w:rsid w:val="156B61A7"/>
    <w:rsid w:val="15A0059B"/>
    <w:rsid w:val="167E259C"/>
    <w:rsid w:val="16D87D6E"/>
    <w:rsid w:val="16FA6C98"/>
    <w:rsid w:val="17051824"/>
    <w:rsid w:val="170B353F"/>
    <w:rsid w:val="1725189E"/>
    <w:rsid w:val="173C6FEB"/>
    <w:rsid w:val="176F0A16"/>
    <w:rsid w:val="17733A06"/>
    <w:rsid w:val="1775207A"/>
    <w:rsid w:val="177523D1"/>
    <w:rsid w:val="177B2942"/>
    <w:rsid w:val="1784346D"/>
    <w:rsid w:val="17C65D17"/>
    <w:rsid w:val="17CD1C16"/>
    <w:rsid w:val="17DA4C80"/>
    <w:rsid w:val="182A4348"/>
    <w:rsid w:val="184F13F4"/>
    <w:rsid w:val="18566D43"/>
    <w:rsid w:val="188744BB"/>
    <w:rsid w:val="18926767"/>
    <w:rsid w:val="18A37708"/>
    <w:rsid w:val="18EB151D"/>
    <w:rsid w:val="191106C7"/>
    <w:rsid w:val="19346C7C"/>
    <w:rsid w:val="193B644D"/>
    <w:rsid w:val="194E3524"/>
    <w:rsid w:val="195D26D4"/>
    <w:rsid w:val="199063F6"/>
    <w:rsid w:val="19A86176"/>
    <w:rsid w:val="19B65BE7"/>
    <w:rsid w:val="19F17E3E"/>
    <w:rsid w:val="1A330456"/>
    <w:rsid w:val="1A41745E"/>
    <w:rsid w:val="1A5712FD"/>
    <w:rsid w:val="1A976FFA"/>
    <w:rsid w:val="1AB620A6"/>
    <w:rsid w:val="1AC60298"/>
    <w:rsid w:val="1ACF7806"/>
    <w:rsid w:val="1ADF7C99"/>
    <w:rsid w:val="1AEF5AF1"/>
    <w:rsid w:val="1AFD127E"/>
    <w:rsid w:val="1B01720A"/>
    <w:rsid w:val="1B1C7D80"/>
    <w:rsid w:val="1B291668"/>
    <w:rsid w:val="1B311E97"/>
    <w:rsid w:val="1B3A1A58"/>
    <w:rsid w:val="1B3E54F1"/>
    <w:rsid w:val="1B5606C4"/>
    <w:rsid w:val="1B713E01"/>
    <w:rsid w:val="1B7758FD"/>
    <w:rsid w:val="1B992F08"/>
    <w:rsid w:val="1BB45520"/>
    <w:rsid w:val="1C1443B6"/>
    <w:rsid w:val="1CA0458E"/>
    <w:rsid w:val="1CC17F9B"/>
    <w:rsid w:val="1CCC06F6"/>
    <w:rsid w:val="1CE83B7D"/>
    <w:rsid w:val="1CEA0CE2"/>
    <w:rsid w:val="1CF42602"/>
    <w:rsid w:val="1D0D31E0"/>
    <w:rsid w:val="1D1207F7"/>
    <w:rsid w:val="1D413DDA"/>
    <w:rsid w:val="1D430B8A"/>
    <w:rsid w:val="1D4674DC"/>
    <w:rsid w:val="1D594678"/>
    <w:rsid w:val="1D6923E1"/>
    <w:rsid w:val="1D6F3520"/>
    <w:rsid w:val="1DD34639"/>
    <w:rsid w:val="1DE34B94"/>
    <w:rsid w:val="1DE64ED4"/>
    <w:rsid w:val="1DF93A83"/>
    <w:rsid w:val="1E002D45"/>
    <w:rsid w:val="1E1B70BC"/>
    <w:rsid w:val="1E1C7453"/>
    <w:rsid w:val="1E2C58E8"/>
    <w:rsid w:val="1E3F5366"/>
    <w:rsid w:val="1E603227"/>
    <w:rsid w:val="1E7526A1"/>
    <w:rsid w:val="1E7B4119"/>
    <w:rsid w:val="1E9B599E"/>
    <w:rsid w:val="1EB6799F"/>
    <w:rsid w:val="1EBA2D31"/>
    <w:rsid w:val="1ED91680"/>
    <w:rsid w:val="1EF3295A"/>
    <w:rsid w:val="1EFC46D7"/>
    <w:rsid w:val="1F046865"/>
    <w:rsid w:val="1F0A153D"/>
    <w:rsid w:val="1F1403CE"/>
    <w:rsid w:val="1F1C105D"/>
    <w:rsid w:val="1F1C25A1"/>
    <w:rsid w:val="1F1E0784"/>
    <w:rsid w:val="1F2533FE"/>
    <w:rsid w:val="1F2F6111"/>
    <w:rsid w:val="1F4C1E2A"/>
    <w:rsid w:val="1F655169"/>
    <w:rsid w:val="1F776F31"/>
    <w:rsid w:val="1F81104A"/>
    <w:rsid w:val="1FE74446"/>
    <w:rsid w:val="20075BE8"/>
    <w:rsid w:val="20081198"/>
    <w:rsid w:val="200D1786"/>
    <w:rsid w:val="200D266C"/>
    <w:rsid w:val="201044E2"/>
    <w:rsid w:val="202A40A9"/>
    <w:rsid w:val="203F3F27"/>
    <w:rsid w:val="20607414"/>
    <w:rsid w:val="206233EC"/>
    <w:rsid w:val="20684BD2"/>
    <w:rsid w:val="20841A36"/>
    <w:rsid w:val="20B83463"/>
    <w:rsid w:val="20CB544E"/>
    <w:rsid w:val="20D51F33"/>
    <w:rsid w:val="20E41252"/>
    <w:rsid w:val="20EA0278"/>
    <w:rsid w:val="210545EA"/>
    <w:rsid w:val="21175AEB"/>
    <w:rsid w:val="211F672C"/>
    <w:rsid w:val="2130515F"/>
    <w:rsid w:val="21355DB9"/>
    <w:rsid w:val="213B25BD"/>
    <w:rsid w:val="214D2418"/>
    <w:rsid w:val="214E22CF"/>
    <w:rsid w:val="219A423A"/>
    <w:rsid w:val="21FD749A"/>
    <w:rsid w:val="220B7F0B"/>
    <w:rsid w:val="22133AE8"/>
    <w:rsid w:val="2228666C"/>
    <w:rsid w:val="225455FE"/>
    <w:rsid w:val="2254672B"/>
    <w:rsid w:val="226076E5"/>
    <w:rsid w:val="227332BD"/>
    <w:rsid w:val="228A64F0"/>
    <w:rsid w:val="22966C59"/>
    <w:rsid w:val="22AD2360"/>
    <w:rsid w:val="22C6291C"/>
    <w:rsid w:val="22D67DF5"/>
    <w:rsid w:val="22DB26BB"/>
    <w:rsid w:val="22FE33F9"/>
    <w:rsid w:val="230B3170"/>
    <w:rsid w:val="23104DD0"/>
    <w:rsid w:val="234461A5"/>
    <w:rsid w:val="23736488"/>
    <w:rsid w:val="23756255"/>
    <w:rsid w:val="23847F75"/>
    <w:rsid w:val="238F5D2E"/>
    <w:rsid w:val="23E3790D"/>
    <w:rsid w:val="24066FB4"/>
    <w:rsid w:val="242604B6"/>
    <w:rsid w:val="245A3C9B"/>
    <w:rsid w:val="247A72CB"/>
    <w:rsid w:val="251F61A7"/>
    <w:rsid w:val="25212425"/>
    <w:rsid w:val="25214718"/>
    <w:rsid w:val="254F4DAC"/>
    <w:rsid w:val="25573C2A"/>
    <w:rsid w:val="255F7774"/>
    <w:rsid w:val="2579524A"/>
    <w:rsid w:val="257D13C5"/>
    <w:rsid w:val="25A44CDF"/>
    <w:rsid w:val="25BB1339"/>
    <w:rsid w:val="25DB498E"/>
    <w:rsid w:val="25E14C3C"/>
    <w:rsid w:val="260B7D56"/>
    <w:rsid w:val="261A7F80"/>
    <w:rsid w:val="261D76C7"/>
    <w:rsid w:val="26286935"/>
    <w:rsid w:val="262B6BA5"/>
    <w:rsid w:val="263531E5"/>
    <w:rsid w:val="26380D40"/>
    <w:rsid w:val="26462E7B"/>
    <w:rsid w:val="269106A1"/>
    <w:rsid w:val="26942FFE"/>
    <w:rsid w:val="26A738D1"/>
    <w:rsid w:val="26B8706F"/>
    <w:rsid w:val="26C43618"/>
    <w:rsid w:val="26D125D4"/>
    <w:rsid w:val="26D315AB"/>
    <w:rsid w:val="26EE7D79"/>
    <w:rsid w:val="26FE64D2"/>
    <w:rsid w:val="27231852"/>
    <w:rsid w:val="27872C1D"/>
    <w:rsid w:val="27967869"/>
    <w:rsid w:val="27C26C0C"/>
    <w:rsid w:val="27C47BCD"/>
    <w:rsid w:val="27CF3940"/>
    <w:rsid w:val="282A456F"/>
    <w:rsid w:val="28415DAF"/>
    <w:rsid w:val="2848403E"/>
    <w:rsid w:val="28534CC7"/>
    <w:rsid w:val="285C68C6"/>
    <w:rsid w:val="2862619B"/>
    <w:rsid w:val="286666B5"/>
    <w:rsid w:val="287F16DC"/>
    <w:rsid w:val="291038D3"/>
    <w:rsid w:val="29195862"/>
    <w:rsid w:val="293465F4"/>
    <w:rsid w:val="295139F9"/>
    <w:rsid w:val="295C7D1E"/>
    <w:rsid w:val="295D104C"/>
    <w:rsid w:val="296F0D7F"/>
    <w:rsid w:val="299A1EFE"/>
    <w:rsid w:val="29F76716"/>
    <w:rsid w:val="29FE4C20"/>
    <w:rsid w:val="2A0642E5"/>
    <w:rsid w:val="2A1C4B42"/>
    <w:rsid w:val="2A27590E"/>
    <w:rsid w:val="2A461A00"/>
    <w:rsid w:val="2A526841"/>
    <w:rsid w:val="2A6A2C95"/>
    <w:rsid w:val="2A6E1C5F"/>
    <w:rsid w:val="2AE013C4"/>
    <w:rsid w:val="2AF240E7"/>
    <w:rsid w:val="2B1E540E"/>
    <w:rsid w:val="2B326AF2"/>
    <w:rsid w:val="2B336409"/>
    <w:rsid w:val="2B5D374A"/>
    <w:rsid w:val="2B6F40AB"/>
    <w:rsid w:val="2BD769AA"/>
    <w:rsid w:val="2BE867DE"/>
    <w:rsid w:val="2C126F23"/>
    <w:rsid w:val="2C301D85"/>
    <w:rsid w:val="2C5C3E0E"/>
    <w:rsid w:val="2C6F2F91"/>
    <w:rsid w:val="2C8B2EBE"/>
    <w:rsid w:val="2CA41AAD"/>
    <w:rsid w:val="2CBD784E"/>
    <w:rsid w:val="2D102879"/>
    <w:rsid w:val="2D1278E5"/>
    <w:rsid w:val="2D363AC1"/>
    <w:rsid w:val="2D4174FF"/>
    <w:rsid w:val="2D7366E1"/>
    <w:rsid w:val="2D80355B"/>
    <w:rsid w:val="2DB4017E"/>
    <w:rsid w:val="2E004A83"/>
    <w:rsid w:val="2E56250D"/>
    <w:rsid w:val="2E89343E"/>
    <w:rsid w:val="2E953036"/>
    <w:rsid w:val="2EA476C7"/>
    <w:rsid w:val="2EBA2863"/>
    <w:rsid w:val="2F0974B4"/>
    <w:rsid w:val="2F2427C6"/>
    <w:rsid w:val="2F2D13BF"/>
    <w:rsid w:val="2F6E1B09"/>
    <w:rsid w:val="2F952ACD"/>
    <w:rsid w:val="2FB344DB"/>
    <w:rsid w:val="2FC251C5"/>
    <w:rsid w:val="2FEE1AA4"/>
    <w:rsid w:val="2FF63FA8"/>
    <w:rsid w:val="302513B1"/>
    <w:rsid w:val="30437784"/>
    <w:rsid w:val="304406B6"/>
    <w:rsid w:val="30493046"/>
    <w:rsid w:val="305557A2"/>
    <w:rsid w:val="3056605C"/>
    <w:rsid w:val="30B34192"/>
    <w:rsid w:val="30E37FF0"/>
    <w:rsid w:val="30F26942"/>
    <w:rsid w:val="30F70011"/>
    <w:rsid w:val="31143E67"/>
    <w:rsid w:val="311A0404"/>
    <w:rsid w:val="311A12F4"/>
    <w:rsid w:val="31453A15"/>
    <w:rsid w:val="316E6BC8"/>
    <w:rsid w:val="318A035C"/>
    <w:rsid w:val="319D12C3"/>
    <w:rsid w:val="31A74B17"/>
    <w:rsid w:val="31BD6652"/>
    <w:rsid w:val="31BF7BF7"/>
    <w:rsid w:val="31DE6E0A"/>
    <w:rsid w:val="321015FB"/>
    <w:rsid w:val="32293DF3"/>
    <w:rsid w:val="322A6D80"/>
    <w:rsid w:val="32430109"/>
    <w:rsid w:val="32563766"/>
    <w:rsid w:val="325B2B9E"/>
    <w:rsid w:val="326A2B93"/>
    <w:rsid w:val="326C208D"/>
    <w:rsid w:val="32766CE0"/>
    <w:rsid w:val="32B057EA"/>
    <w:rsid w:val="32BC60A7"/>
    <w:rsid w:val="32C84B2E"/>
    <w:rsid w:val="32DB4E0E"/>
    <w:rsid w:val="32DD1317"/>
    <w:rsid w:val="33073FC8"/>
    <w:rsid w:val="33196C24"/>
    <w:rsid w:val="33581A03"/>
    <w:rsid w:val="337A3E72"/>
    <w:rsid w:val="33B2209F"/>
    <w:rsid w:val="33B74CDE"/>
    <w:rsid w:val="33CC574C"/>
    <w:rsid w:val="33ED7B1F"/>
    <w:rsid w:val="3411315F"/>
    <w:rsid w:val="34134BEF"/>
    <w:rsid w:val="34145B06"/>
    <w:rsid w:val="343E5052"/>
    <w:rsid w:val="34521A56"/>
    <w:rsid w:val="3457424D"/>
    <w:rsid w:val="34600E6E"/>
    <w:rsid w:val="348852A1"/>
    <w:rsid w:val="34EF36BF"/>
    <w:rsid w:val="35033E7C"/>
    <w:rsid w:val="3518676F"/>
    <w:rsid w:val="35253297"/>
    <w:rsid w:val="35445BF0"/>
    <w:rsid w:val="354D466A"/>
    <w:rsid w:val="355B20B3"/>
    <w:rsid w:val="355E745F"/>
    <w:rsid w:val="3561607B"/>
    <w:rsid w:val="357778F8"/>
    <w:rsid w:val="35810C58"/>
    <w:rsid w:val="35995BD6"/>
    <w:rsid w:val="36162765"/>
    <w:rsid w:val="361D365C"/>
    <w:rsid w:val="36206B3D"/>
    <w:rsid w:val="36531214"/>
    <w:rsid w:val="367214D2"/>
    <w:rsid w:val="368A71F8"/>
    <w:rsid w:val="369E0EF6"/>
    <w:rsid w:val="36AB36F1"/>
    <w:rsid w:val="36B95EFA"/>
    <w:rsid w:val="36EB5B5C"/>
    <w:rsid w:val="37085392"/>
    <w:rsid w:val="371A3199"/>
    <w:rsid w:val="3739720A"/>
    <w:rsid w:val="373E23F6"/>
    <w:rsid w:val="37457481"/>
    <w:rsid w:val="375E31F0"/>
    <w:rsid w:val="375E791B"/>
    <w:rsid w:val="37625B6D"/>
    <w:rsid w:val="376F4297"/>
    <w:rsid w:val="377703A7"/>
    <w:rsid w:val="378873BF"/>
    <w:rsid w:val="37BD7DDF"/>
    <w:rsid w:val="37C061AF"/>
    <w:rsid w:val="37C204A6"/>
    <w:rsid w:val="37C24F10"/>
    <w:rsid w:val="37DD26B8"/>
    <w:rsid w:val="37E640D7"/>
    <w:rsid w:val="37F13AF8"/>
    <w:rsid w:val="37F51C53"/>
    <w:rsid w:val="38091218"/>
    <w:rsid w:val="38365807"/>
    <w:rsid w:val="38607858"/>
    <w:rsid w:val="386A0F99"/>
    <w:rsid w:val="386E7642"/>
    <w:rsid w:val="389153B5"/>
    <w:rsid w:val="38C22A7E"/>
    <w:rsid w:val="38CF0CDC"/>
    <w:rsid w:val="38E802E6"/>
    <w:rsid w:val="38FB1500"/>
    <w:rsid w:val="39071B67"/>
    <w:rsid w:val="39175C11"/>
    <w:rsid w:val="39224F11"/>
    <w:rsid w:val="393A00CE"/>
    <w:rsid w:val="393C364B"/>
    <w:rsid w:val="394B27E7"/>
    <w:rsid w:val="3955343C"/>
    <w:rsid w:val="3960278E"/>
    <w:rsid w:val="398E625D"/>
    <w:rsid w:val="39957F50"/>
    <w:rsid w:val="399C171C"/>
    <w:rsid w:val="39AA42C1"/>
    <w:rsid w:val="39C1727D"/>
    <w:rsid w:val="39F3485B"/>
    <w:rsid w:val="39FA6108"/>
    <w:rsid w:val="3A1376B0"/>
    <w:rsid w:val="3A1A4E71"/>
    <w:rsid w:val="3A305F5F"/>
    <w:rsid w:val="3A43428E"/>
    <w:rsid w:val="3A560DCE"/>
    <w:rsid w:val="3A8476E7"/>
    <w:rsid w:val="3AA22453"/>
    <w:rsid w:val="3AB24F6F"/>
    <w:rsid w:val="3AB57BE2"/>
    <w:rsid w:val="3AB764B1"/>
    <w:rsid w:val="3ABF7840"/>
    <w:rsid w:val="3ACF550A"/>
    <w:rsid w:val="3AE5670A"/>
    <w:rsid w:val="3B37322C"/>
    <w:rsid w:val="3B641BF0"/>
    <w:rsid w:val="3B721655"/>
    <w:rsid w:val="3B947B1C"/>
    <w:rsid w:val="3BC66F24"/>
    <w:rsid w:val="3BDD601C"/>
    <w:rsid w:val="3C153A08"/>
    <w:rsid w:val="3C282E96"/>
    <w:rsid w:val="3C477963"/>
    <w:rsid w:val="3C6C3B8E"/>
    <w:rsid w:val="3CAC19F4"/>
    <w:rsid w:val="3CBD7C21"/>
    <w:rsid w:val="3CF24485"/>
    <w:rsid w:val="3CFD2D01"/>
    <w:rsid w:val="3D046180"/>
    <w:rsid w:val="3D297F36"/>
    <w:rsid w:val="3D5566FA"/>
    <w:rsid w:val="3D7039D2"/>
    <w:rsid w:val="3D7331CA"/>
    <w:rsid w:val="3D7F1373"/>
    <w:rsid w:val="3DA86969"/>
    <w:rsid w:val="3DDA73FC"/>
    <w:rsid w:val="3DEA0E8F"/>
    <w:rsid w:val="3E05017A"/>
    <w:rsid w:val="3E6E4482"/>
    <w:rsid w:val="3E7618FA"/>
    <w:rsid w:val="3E7B2030"/>
    <w:rsid w:val="3E830663"/>
    <w:rsid w:val="3EBC2C40"/>
    <w:rsid w:val="3EC9204D"/>
    <w:rsid w:val="3EDE2268"/>
    <w:rsid w:val="3EFB4E8C"/>
    <w:rsid w:val="3F3348D1"/>
    <w:rsid w:val="3F49162A"/>
    <w:rsid w:val="3F6126FB"/>
    <w:rsid w:val="3F63314B"/>
    <w:rsid w:val="3F6A1E6E"/>
    <w:rsid w:val="3F8D5BE5"/>
    <w:rsid w:val="3F972CBA"/>
    <w:rsid w:val="3FBF4E2E"/>
    <w:rsid w:val="400A5153"/>
    <w:rsid w:val="40176A1E"/>
    <w:rsid w:val="401E2A26"/>
    <w:rsid w:val="402E250F"/>
    <w:rsid w:val="40313B62"/>
    <w:rsid w:val="40340199"/>
    <w:rsid w:val="40354679"/>
    <w:rsid w:val="4053561D"/>
    <w:rsid w:val="409B7275"/>
    <w:rsid w:val="40A416C3"/>
    <w:rsid w:val="40A502F3"/>
    <w:rsid w:val="40CC37C8"/>
    <w:rsid w:val="40D048DF"/>
    <w:rsid w:val="40E0565D"/>
    <w:rsid w:val="40E06BFA"/>
    <w:rsid w:val="41017AF4"/>
    <w:rsid w:val="4106686C"/>
    <w:rsid w:val="410C312E"/>
    <w:rsid w:val="41166258"/>
    <w:rsid w:val="41174C22"/>
    <w:rsid w:val="41246AA2"/>
    <w:rsid w:val="4125257F"/>
    <w:rsid w:val="414B5806"/>
    <w:rsid w:val="41501A52"/>
    <w:rsid w:val="417D38A3"/>
    <w:rsid w:val="41C0533E"/>
    <w:rsid w:val="41C262D0"/>
    <w:rsid w:val="41E33EDC"/>
    <w:rsid w:val="41E922D5"/>
    <w:rsid w:val="41FF7786"/>
    <w:rsid w:val="426A586B"/>
    <w:rsid w:val="426F5805"/>
    <w:rsid w:val="427669EC"/>
    <w:rsid w:val="427A0DB5"/>
    <w:rsid w:val="42983C5A"/>
    <w:rsid w:val="429F0D52"/>
    <w:rsid w:val="42C61DC7"/>
    <w:rsid w:val="42C942ED"/>
    <w:rsid w:val="42CF3A15"/>
    <w:rsid w:val="42DB7E92"/>
    <w:rsid w:val="42DF397A"/>
    <w:rsid w:val="42F02E93"/>
    <w:rsid w:val="43103410"/>
    <w:rsid w:val="431C567C"/>
    <w:rsid w:val="433C261E"/>
    <w:rsid w:val="43482915"/>
    <w:rsid w:val="434F77FF"/>
    <w:rsid w:val="435833B8"/>
    <w:rsid w:val="43750A80"/>
    <w:rsid w:val="437F3405"/>
    <w:rsid w:val="43803E5D"/>
    <w:rsid w:val="4390415B"/>
    <w:rsid w:val="43B1724E"/>
    <w:rsid w:val="43BE409B"/>
    <w:rsid w:val="43D97B7C"/>
    <w:rsid w:val="43F9794F"/>
    <w:rsid w:val="444D4548"/>
    <w:rsid w:val="44531B89"/>
    <w:rsid w:val="445A2079"/>
    <w:rsid w:val="44765291"/>
    <w:rsid w:val="447C4669"/>
    <w:rsid w:val="448907C0"/>
    <w:rsid w:val="44E4722C"/>
    <w:rsid w:val="44E4748A"/>
    <w:rsid w:val="450D6521"/>
    <w:rsid w:val="4537152D"/>
    <w:rsid w:val="453A20DD"/>
    <w:rsid w:val="45482A0E"/>
    <w:rsid w:val="4548351D"/>
    <w:rsid w:val="454A4A52"/>
    <w:rsid w:val="456D1381"/>
    <w:rsid w:val="456E2FF9"/>
    <w:rsid w:val="45853583"/>
    <w:rsid w:val="45AD7AAF"/>
    <w:rsid w:val="45CB558C"/>
    <w:rsid w:val="45D54996"/>
    <w:rsid w:val="45F53761"/>
    <w:rsid w:val="460162E2"/>
    <w:rsid w:val="460B6FFA"/>
    <w:rsid w:val="461670EA"/>
    <w:rsid w:val="462B5D05"/>
    <w:rsid w:val="462C5B9A"/>
    <w:rsid w:val="465A2599"/>
    <w:rsid w:val="466C5BDD"/>
    <w:rsid w:val="46724ED1"/>
    <w:rsid w:val="467A08BB"/>
    <w:rsid w:val="469C23EE"/>
    <w:rsid w:val="46B02CAC"/>
    <w:rsid w:val="46B27839"/>
    <w:rsid w:val="46B7187E"/>
    <w:rsid w:val="46BC1650"/>
    <w:rsid w:val="46D71FE6"/>
    <w:rsid w:val="46D9282A"/>
    <w:rsid w:val="471774D0"/>
    <w:rsid w:val="47213261"/>
    <w:rsid w:val="4722660E"/>
    <w:rsid w:val="47370DB9"/>
    <w:rsid w:val="474437B8"/>
    <w:rsid w:val="47473481"/>
    <w:rsid w:val="47DB0EA1"/>
    <w:rsid w:val="47F605E0"/>
    <w:rsid w:val="48187985"/>
    <w:rsid w:val="481A362E"/>
    <w:rsid w:val="4822043E"/>
    <w:rsid w:val="482C230B"/>
    <w:rsid w:val="483076CD"/>
    <w:rsid w:val="483F0499"/>
    <w:rsid w:val="48557468"/>
    <w:rsid w:val="48564DC8"/>
    <w:rsid w:val="487830F3"/>
    <w:rsid w:val="48873A29"/>
    <w:rsid w:val="488A6C14"/>
    <w:rsid w:val="488C6E00"/>
    <w:rsid w:val="48E70A52"/>
    <w:rsid w:val="48FA1296"/>
    <w:rsid w:val="48FE3445"/>
    <w:rsid w:val="492C7466"/>
    <w:rsid w:val="493A7AD0"/>
    <w:rsid w:val="49515C9B"/>
    <w:rsid w:val="49764A58"/>
    <w:rsid w:val="49C957B5"/>
    <w:rsid w:val="49D00811"/>
    <w:rsid w:val="49D41AA0"/>
    <w:rsid w:val="49EA1F85"/>
    <w:rsid w:val="4A187B9C"/>
    <w:rsid w:val="4A4C5595"/>
    <w:rsid w:val="4AAE4FC7"/>
    <w:rsid w:val="4AC33A9A"/>
    <w:rsid w:val="4AC9458D"/>
    <w:rsid w:val="4ACB0C41"/>
    <w:rsid w:val="4AF277AD"/>
    <w:rsid w:val="4B0E0E93"/>
    <w:rsid w:val="4B10272C"/>
    <w:rsid w:val="4B205F07"/>
    <w:rsid w:val="4B547057"/>
    <w:rsid w:val="4B6052BB"/>
    <w:rsid w:val="4B8D047F"/>
    <w:rsid w:val="4B9B2242"/>
    <w:rsid w:val="4BB84DDD"/>
    <w:rsid w:val="4BD021A8"/>
    <w:rsid w:val="4BD93AB3"/>
    <w:rsid w:val="4BE3441A"/>
    <w:rsid w:val="4BFB1519"/>
    <w:rsid w:val="4C0D4CE7"/>
    <w:rsid w:val="4C217503"/>
    <w:rsid w:val="4C2674A9"/>
    <w:rsid w:val="4C9065A1"/>
    <w:rsid w:val="4CA41D1E"/>
    <w:rsid w:val="4CE35192"/>
    <w:rsid w:val="4D032D39"/>
    <w:rsid w:val="4D085C18"/>
    <w:rsid w:val="4D147255"/>
    <w:rsid w:val="4D2301D4"/>
    <w:rsid w:val="4D337A52"/>
    <w:rsid w:val="4D5831B4"/>
    <w:rsid w:val="4D755501"/>
    <w:rsid w:val="4D7808E2"/>
    <w:rsid w:val="4DBD0245"/>
    <w:rsid w:val="4DD74C2E"/>
    <w:rsid w:val="4DF07841"/>
    <w:rsid w:val="4E314CF4"/>
    <w:rsid w:val="4E337D4C"/>
    <w:rsid w:val="4E3F5A59"/>
    <w:rsid w:val="4E417E90"/>
    <w:rsid w:val="4E450DA4"/>
    <w:rsid w:val="4E497850"/>
    <w:rsid w:val="4E5C54C6"/>
    <w:rsid w:val="4E6D06B8"/>
    <w:rsid w:val="4E8F7CF4"/>
    <w:rsid w:val="4EB46E2B"/>
    <w:rsid w:val="4EE10922"/>
    <w:rsid w:val="4F0C2A48"/>
    <w:rsid w:val="4F292DFC"/>
    <w:rsid w:val="4F3B47E8"/>
    <w:rsid w:val="4F3E5B72"/>
    <w:rsid w:val="4F882F35"/>
    <w:rsid w:val="4F9C74D5"/>
    <w:rsid w:val="4FA62E9D"/>
    <w:rsid w:val="4FAB2D34"/>
    <w:rsid w:val="50010753"/>
    <w:rsid w:val="50081462"/>
    <w:rsid w:val="50090D09"/>
    <w:rsid w:val="500B71A4"/>
    <w:rsid w:val="50347FF9"/>
    <w:rsid w:val="50420E91"/>
    <w:rsid w:val="50755E6C"/>
    <w:rsid w:val="50795EBC"/>
    <w:rsid w:val="508275E8"/>
    <w:rsid w:val="50AB1A62"/>
    <w:rsid w:val="50AF72DB"/>
    <w:rsid w:val="50B2258E"/>
    <w:rsid w:val="50C335DB"/>
    <w:rsid w:val="50C63C47"/>
    <w:rsid w:val="50E23BD5"/>
    <w:rsid w:val="50FB4F07"/>
    <w:rsid w:val="51183C80"/>
    <w:rsid w:val="511C22AE"/>
    <w:rsid w:val="512C1FE1"/>
    <w:rsid w:val="51456CD1"/>
    <w:rsid w:val="52180956"/>
    <w:rsid w:val="52297E55"/>
    <w:rsid w:val="522A7FC1"/>
    <w:rsid w:val="523B63BA"/>
    <w:rsid w:val="525A6DC5"/>
    <w:rsid w:val="529D6898"/>
    <w:rsid w:val="52BF28D9"/>
    <w:rsid w:val="52C46D79"/>
    <w:rsid w:val="52CB373D"/>
    <w:rsid w:val="52DD37A9"/>
    <w:rsid w:val="52EF785C"/>
    <w:rsid w:val="531243A6"/>
    <w:rsid w:val="53285977"/>
    <w:rsid w:val="53372935"/>
    <w:rsid w:val="533D693F"/>
    <w:rsid w:val="53471890"/>
    <w:rsid w:val="53560736"/>
    <w:rsid w:val="539A2957"/>
    <w:rsid w:val="53A5652C"/>
    <w:rsid w:val="53C646E4"/>
    <w:rsid w:val="53C876EF"/>
    <w:rsid w:val="53D11D66"/>
    <w:rsid w:val="53DE45D6"/>
    <w:rsid w:val="53FE3F51"/>
    <w:rsid w:val="542C3BAD"/>
    <w:rsid w:val="542E1799"/>
    <w:rsid w:val="54396E8B"/>
    <w:rsid w:val="547A0454"/>
    <w:rsid w:val="548E5FEE"/>
    <w:rsid w:val="549C3D50"/>
    <w:rsid w:val="54A07F9F"/>
    <w:rsid w:val="54A85C20"/>
    <w:rsid w:val="54D97C92"/>
    <w:rsid w:val="54FB4092"/>
    <w:rsid w:val="55054AAE"/>
    <w:rsid w:val="55094989"/>
    <w:rsid w:val="551B1C37"/>
    <w:rsid w:val="551C7020"/>
    <w:rsid w:val="552A1E7A"/>
    <w:rsid w:val="55344548"/>
    <w:rsid w:val="55362244"/>
    <w:rsid w:val="554E1AE0"/>
    <w:rsid w:val="555D0434"/>
    <w:rsid w:val="55826103"/>
    <w:rsid w:val="5586310C"/>
    <w:rsid w:val="558A20A7"/>
    <w:rsid w:val="55976DDD"/>
    <w:rsid w:val="55E71A57"/>
    <w:rsid w:val="55EA236F"/>
    <w:rsid w:val="561300DF"/>
    <w:rsid w:val="561D3112"/>
    <w:rsid w:val="562422F7"/>
    <w:rsid w:val="564E4C07"/>
    <w:rsid w:val="5657153E"/>
    <w:rsid w:val="567B2D32"/>
    <w:rsid w:val="5695591B"/>
    <w:rsid w:val="56A428CB"/>
    <w:rsid w:val="56A77B69"/>
    <w:rsid w:val="56C81A05"/>
    <w:rsid w:val="56CC0D48"/>
    <w:rsid w:val="56D55E16"/>
    <w:rsid w:val="56D90887"/>
    <w:rsid w:val="56ED576B"/>
    <w:rsid w:val="56F541D8"/>
    <w:rsid w:val="56F90C53"/>
    <w:rsid w:val="56F97FFA"/>
    <w:rsid w:val="56FC38DD"/>
    <w:rsid w:val="57055C0C"/>
    <w:rsid w:val="570566FB"/>
    <w:rsid w:val="57104C56"/>
    <w:rsid w:val="5712706A"/>
    <w:rsid w:val="572A032B"/>
    <w:rsid w:val="57311821"/>
    <w:rsid w:val="57364FF4"/>
    <w:rsid w:val="573D34C9"/>
    <w:rsid w:val="575042AD"/>
    <w:rsid w:val="575E5568"/>
    <w:rsid w:val="577F1FDA"/>
    <w:rsid w:val="579C1EFF"/>
    <w:rsid w:val="57A94647"/>
    <w:rsid w:val="57AC414E"/>
    <w:rsid w:val="57CA5A3E"/>
    <w:rsid w:val="57F50615"/>
    <w:rsid w:val="58015B8A"/>
    <w:rsid w:val="58033C1C"/>
    <w:rsid w:val="581B7518"/>
    <w:rsid w:val="582676AE"/>
    <w:rsid w:val="582E1323"/>
    <w:rsid w:val="587670CA"/>
    <w:rsid w:val="588A08E5"/>
    <w:rsid w:val="58B95791"/>
    <w:rsid w:val="58C46BFB"/>
    <w:rsid w:val="58DB5A41"/>
    <w:rsid w:val="591C178D"/>
    <w:rsid w:val="59323D77"/>
    <w:rsid w:val="59BA1FB8"/>
    <w:rsid w:val="59BD4ADC"/>
    <w:rsid w:val="59D708D6"/>
    <w:rsid w:val="59DA0E89"/>
    <w:rsid w:val="59DF2136"/>
    <w:rsid w:val="59FA4F0F"/>
    <w:rsid w:val="5A054FE1"/>
    <w:rsid w:val="5A1427BB"/>
    <w:rsid w:val="5A3202AD"/>
    <w:rsid w:val="5A3A638A"/>
    <w:rsid w:val="5A7D67B6"/>
    <w:rsid w:val="5A967F18"/>
    <w:rsid w:val="5B046076"/>
    <w:rsid w:val="5B800CC5"/>
    <w:rsid w:val="5B834D61"/>
    <w:rsid w:val="5B9242D5"/>
    <w:rsid w:val="5BA070AD"/>
    <w:rsid w:val="5BA37FCD"/>
    <w:rsid w:val="5BAD5E9A"/>
    <w:rsid w:val="5BAF6602"/>
    <w:rsid w:val="5BB7F8DE"/>
    <w:rsid w:val="5BF37E30"/>
    <w:rsid w:val="5C002948"/>
    <w:rsid w:val="5C076A71"/>
    <w:rsid w:val="5C3D0E1E"/>
    <w:rsid w:val="5C401F83"/>
    <w:rsid w:val="5C6F7091"/>
    <w:rsid w:val="5CB30B19"/>
    <w:rsid w:val="5CE1795D"/>
    <w:rsid w:val="5D056076"/>
    <w:rsid w:val="5D120EB2"/>
    <w:rsid w:val="5D1A0A26"/>
    <w:rsid w:val="5D20178F"/>
    <w:rsid w:val="5D25114A"/>
    <w:rsid w:val="5D2577C8"/>
    <w:rsid w:val="5D31207E"/>
    <w:rsid w:val="5D354B81"/>
    <w:rsid w:val="5D5749EC"/>
    <w:rsid w:val="5D5F1C2E"/>
    <w:rsid w:val="5D7E0FB5"/>
    <w:rsid w:val="5D9D5E1D"/>
    <w:rsid w:val="5DA55487"/>
    <w:rsid w:val="5DA56B37"/>
    <w:rsid w:val="5DAA2507"/>
    <w:rsid w:val="5DBB58F8"/>
    <w:rsid w:val="5E1F5AE8"/>
    <w:rsid w:val="5E822A4A"/>
    <w:rsid w:val="5E847F27"/>
    <w:rsid w:val="5E8F1669"/>
    <w:rsid w:val="5E98553F"/>
    <w:rsid w:val="5E985640"/>
    <w:rsid w:val="5EB23D46"/>
    <w:rsid w:val="5EC956D2"/>
    <w:rsid w:val="5ECE3E1C"/>
    <w:rsid w:val="5ED722CD"/>
    <w:rsid w:val="5F08597F"/>
    <w:rsid w:val="5F243F29"/>
    <w:rsid w:val="5F530D56"/>
    <w:rsid w:val="5F757C38"/>
    <w:rsid w:val="5F7808AE"/>
    <w:rsid w:val="5F7F6ECA"/>
    <w:rsid w:val="5F8F4D1C"/>
    <w:rsid w:val="5FC209DF"/>
    <w:rsid w:val="5FDD0669"/>
    <w:rsid w:val="5FFB42B6"/>
    <w:rsid w:val="600532C8"/>
    <w:rsid w:val="600B2286"/>
    <w:rsid w:val="6035290D"/>
    <w:rsid w:val="60371E35"/>
    <w:rsid w:val="604501B0"/>
    <w:rsid w:val="60514499"/>
    <w:rsid w:val="60515232"/>
    <w:rsid w:val="60642E51"/>
    <w:rsid w:val="60682CCB"/>
    <w:rsid w:val="607C6156"/>
    <w:rsid w:val="609A50F4"/>
    <w:rsid w:val="60A223A0"/>
    <w:rsid w:val="60A87B16"/>
    <w:rsid w:val="60AC2370"/>
    <w:rsid w:val="60B345D4"/>
    <w:rsid w:val="60B7754D"/>
    <w:rsid w:val="60D55677"/>
    <w:rsid w:val="60F9053C"/>
    <w:rsid w:val="612D212E"/>
    <w:rsid w:val="61685397"/>
    <w:rsid w:val="617B0AAB"/>
    <w:rsid w:val="617C773A"/>
    <w:rsid w:val="61871BEC"/>
    <w:rsid w:val="61A22D98"/>
    <w:rsid w:val="61AD128D"/>
    <w:rsid w:val="61B32C73"/>
    <w:rsid w:val="61C138E8"/>
    <w:rsid w:val="61E569E0"/>
    <w:rsid w:val="61FB4C75"/>
    <w:rsid w:val="61FD78BE"/>
    <w:rsid w:val="62024C5F"/>
    <w:rsid w:val="621C0D9D"/>
    <w:rsid w:val="62297241"/>
    <w:rsid w:val="622E3C85"/>
    <w:rsid w:val="625A0317"/>
    <w:rsid w:val="62651044"/>
    <w:rsid w:val="629E6C38"/>
    <w:rsid w:val="62A56FE4"/>
    <w:rsid w:val="62F241B7"/>
    <w:rsid w:val="62F86379"/>
    <w:rsid w:val="63045A1F"/>
    <w:rsid w:val="63053D62"/>
    <w:rsid w:val="634B4E22"/>
    <w:rsid w:val="634E7139"/>
    <w:rsid w:val="635A5C6C"/>
    <w:rsid w:val="636B5EBC"/>
    <w:rsid w:val="63CA40E4"/>
    <w:rsid w:val="63CA5585"/>
    <w:rsid w:val="63FA178C"/>
    <w:rsid w:val="6404678D"/>
    <w:rsid w:val="640A68C3"/>
    <w:rsid w:val="64207F1F"/>
    <w:rsid w:val="64264F51"/>
    <w:rsid w:val="642E437A"/>
    <w:rsid w:val="64317B3B"/>
    <w:rsid w:val="644A4A48"/>
    <w:rsid w:val="644C3BBB"/>
    <w:rsid w:val="645B3B68"/>
    <w:rsid w:val="64606C85"/>
    <w:rsid w:val="64757075"/>
    <w:rsid w:val="648B3FB8"/>
    <w:rsid w:val="649E6D36"/>
    <w:rsid w:val="64C25C2B"/>
    <w:rsid w:val="64DF2B43"/>
    <w:rsid w:val="652248D5"/>
    <w:rsid w:val="652A1AB9"/>
    <w:rsid w:val="655F37A1"/>
    <w:rsid w:val="657123B4"/>
    <w:rsid w:val="657A284A"/>
    <w:rsid w:val="658C0F97"/>
    <w:rsid w:val="65AE1BAE"/>
    <w:rsid w:val="662B038E"/>
    <w:rsid w:val="662F30D7"/>
    <w:rsid w:val="664A2E5F"/>
    <w:rsid w:val="664D5EC2"/>
    <w:rsid w:val="66AF21DF"/>
    <w:rsid w:val="66BF4765"/>
    <w:rsid w:val="67003A73"/>
    <w:rsid w:val="670962A6"/>
    <w:rsid w:val="672A36DE"/>
    <w:rsid w:val="67386876"/>
    <w:rsid w:val="6750479A"/>
    <w:rsid w:val="67506908"/>
    <w:rsid w:val="67531E2F"/>
    <w:rsid w:val="67547C68"/>
    <w:rsid w:val="675B4115"/>
    <w:rsid w:val="67763D4A"/>
    <w:rsid w:val="67A01F82"/>
    <w:rsid w:val="67B6759E"/>
    <w:rsid w:val="67EB1AD0"/>
    <w:rsid w:val="67EC7F14"/>
    <w:rsid w:val="67FA6AA3"/>
    <w:rsid w:val="680B3267"/>
    <w:rsid w:val="681637FC"/>
    <w:rsid w:val="682E158C"/>
    <w:rsid w:val="68387955"/>
    <w:rsid w:val="683A528F"/>
    <w:rsid w:val="687C69C4"/>
    <w:rsid w:val="68A83632"/>
    <w:rsid w:val="68AC2CF6"/>
    <w:rsid w:val="68B97536"/>
    <w:rsid w:val="68D54792"/>
    <w:rsid w:val="68D82D9A"/>
    <w:rsid w:val="690A0C77"/>
    <w:rsid w:val="690D6D80"/>
    <w:rsid w:val="691728C7"/>
    <w:rsid w:val="691E5254"/>
    <w:rsid w:val="693E04B9"/>
    <w:rsid w:val="69400D4D"/>
    <w:rsid w:val="696038C5"/>
    <w:rsid w:val="69625C3B"/>
    <w:rsid w:val="696B5D3C"/>
    <w:rsid w:val="6991631B"/>
    <w:rsid w:val="69960D5D"/>
    <w:rsid w:val="699A31AB"/>
    <w:rsid w:val="699E685E"/>
    <w:rsid w:val="69A5583E"/>
    <w:rsid w:val="69D97F33"/>
    <w:rsid w:val="69E770D3"/>
    <w:rsid w:val="6A000436"/>
    <w:rsid w:val="6A1663A2"/>
    <w:rsid w:val="6A212E7F"/>
    <w:rsid w:val="6A37458A"/>
    <w:rsid w:val="6A376637"/>
    <w:rsid w:val="6A39356C"/>
    <w:rsid w:val="6A8D7902"/>
    <w:rsid w:val="6AB71EF6"/>
    <w:rsid w:val="6AE663EC"/>
    <w:rsid w:val="6AF7022D"/>
    <w:rsid w:val="6B1F4D16"/>
    <w:rsid w:val="6B3029F3"/>
    <w:rsid w:val="6B517A0F"/>
    <w:rsid w:val="6B534677"/>
    <w:rsid w:val="6B6A0368"/>
    <w:rsid w:val="6B6F6251"/>
    <w:rsid w:val="6B8E2363"/>
    <w:rsid w:val="6B9246C9"/>
    <w:rsid w:val="6BAD4363"/>
    <w:rsid w:val="6BB3513A"/>
    <w:rsid w:val="6BC534C0"/>
    <w:rsid w:val="6BD44496"/>
    <w:rsid w:val="6BD66A37"/>
    <w:rsid w:val="6BDC1080"/>
    <w:rsid w:val="6C1A54A7"/>
    <w:rsid w:val="6C1C48C2"/>
    <w:rsid w:val="6C447394"/>
    <w:rsid w:val="6C6C1677"/>
    <w:rsid w:val="6C6D536B"/>
    <w:rsid w:val="6C7960AB"/>
    <w:rsid w:val="6C7D3B93"/>
    <w:rsid w:val="6C8113CB"/>
    <w:rsid w:val="6C884F7A"/>
    <w:rsid w:val="6C973CB0"/>
    <w:rsid w:val="6C9C7F3A"/>
    <w:rsid w:val="6CC13187"/>
    <w:rsid w:val="6CE35466"/>
    <w:rsid w:val="6CEE3336"/>
    <w:rsid w:val="6CF273C5"/>
    <w:rsid w:val="6CF76D6D"/>
    <w:rsid w:val="6D051FAD"/>
    <w:rsid w:val="6D1B431A"/>
    <w:rsid w:val="6D204ADF"/>
    <w:rsid w:val="6D3A00F9"/>
    <w:rsid w:val="6D4806C8"/>
    <w:rsid w:val="6D65184A"/>
    <w:rsid w:val="6D6D2C0B"/>
    <w:rsid w:val="6D802707"/>
    <w:rsid w:val="6D9253F2"/>
    <w:rsid w:val="6DBA4C92"/>
    <w:rsid w:val="6DEE1886"/>
    <w:rsid w:val="6E196034"/>
    <w:rsid w:val="6E1D034A"/>
    <w:rsid w:val="6E516D5B"/>
    <w:rsid w:val="6E6C605B"/>
    <w:rsid w:val="6E7D5335"/>
    <w:rsid w:val="6EF14839"/>
    <w:rsid w:val="6F26561E"/>
    <w:rsid w:val="6F462634"/>
    <w:rsid w:val="6F5527FB"/>
    <w:rsid w:val="6F684E41"/>
    <w:rsid w:val="6F6C36F5"/>
    <w:rsid w:val="6F9F0634"/>
    <w:rsid w:val="6FAD572A"/>
    <w:rsid w:val="6FC92EBD"/>
    <w:rsid w:val="6FFD220E"/>
    <w:rsid w:val="7026759E"/>
    <w:rsid w:val="70364BD5"/>
    <w:rsid w:val="70704013"/>
    <w:rsid w:val="70B86135"/>
    <w:rsid w:val="70B86D64"/>
    <w:rsid w:val="70D56AB2"/>
    <w:rsid w:val="70F52DB1"/>
    <w:rsid w:val="70FD7FEB"/>
    <w:rsid w:val="711C7FB1"/>
    <w:rsid w:val="71402718"/>
    <w:rsid w:val="71474634"/>
    <w:rsid w:val="715C1A0D"/>
    <w:rsid w:val="71670655"/>
    <w:rsid w:val="718E1589"/>
    <w:rsid w:val="719055C6"/>
    <w:rsid w:val="71966EF5"/>
    <w:rsid w:val="71A5106C"/>
    <w:rsid w:val="71AE3EAF"/>
    <w:rsid w:val="71D3089A"/>
    <w:rsid w:val="71E32653"/>
    <w:rsid w:val="720B64A8"/>
    <w:rsid w:val="721675B7"/>
    <w:rsid w:val="72477CBE"/>
    <w:rsid w:val="72684D25"/>
    <w:rsid w:val="72A352B0"/>
    <w:rsid w:val="72B648F6"/>
    <w:rsid w:val="72C5363D"/>
    <w:rsid w:val="72F8742B"/>
    <w:rsid w:val="732A0A91"/>
    <w:rsid w:val="73376B76"/>
    <w:rsid w:val="7338355D"/>
    <w:rsid w:val="7361609C"/>
    <w:rsid w:val="7363305A"/>
    <w:rsid w:val="73733D61"/>
    <w:rsid w:val="73823E65"/>
    <w:rsid w:val="738F426C"/>
    <w:rsid w:val="73994D87"/>
    <w:rsid w:val="739A1636"/>
    <w:rsid w:val="73A03418"/>
    <w:rsid w:val="73A70A92"/>
    <w:rsid w:val="73EC5163"/>
    <w:rsid w:val="74052759"/>
    <w:rsid w:val="74341EB6"/>
    <w:rsid w:val="744B61C8"/>
    <w:rsid w:val="745B0678"/>
    <w:rsid w:val="74781549"/>
    <w:rsid w:val="7484505F"/>
    <w:rsid w:val="74906230"/>
    <w:rsid w:val="74B6604D"/>
    <w:rsid w:val="74E527D3"/>
    <w:rsid w:val="74EE250C"/>
    <w:rsid w:val="74F547DE"/>
    <w:rsid w:val="74FC2C05"/>
    <w:rsid w:val="7521074C"/>
    <w:rsid w:val="75682F59"/>
    <w:rsid w:val="757645E6"/>
    <w:rsid w:val="75A635D8"/>
    <w:rsid w:val="75CE7E20"/>
    <w:rsid w:val="75DE03EB"/>
    <w:rsid w:val="763816C7"/>
    <w:rsid w:val="765F0D69"/>
    <w:rsid w:val="766005C6"/>
    <w:rsid w:val="767D1A7A"/>
    <w:rsid w:val="769000E8"/>
    <w:rsid w:val="76B050B4"/>
    <w:rsid w:val="76B6732A"/>
    <w:rsid w:val="76C1068E"/>
    <w:rsid w:val="76C20D00"/>
    <w:rsid w:val="76C318DA"/>
    <w:rsid w:val="772C3A48"/>
    <w:rsid w:val="7733187A"/>
    <w:rsid w:val="77493659"/>
    <w:rsid w:val="77DD0911"/>
    <w:rsid w:val="77F02C20"/>
    <w:rsid w:val="78010DC2"/>
    <w:rsid w:val="78045370"/>
    <w:rsid w:val="78111AD0"/>
    <w:rsid w:val="78157C66"/>
    <w:rsid w:val="78372EEC"/>
    <w:rsid w:val="783E4015"/>
    <w:rsid w:val="783E5FD7"/>
    <w:rsid w:val="7846054D"/>
    <w:rsid w:val="78830D50"/>
    <w:rsid w:val="78846CF5"/>
    <w:rsid w:val="788C4EE8"/>
    <w:rsid w:val="78A52E33"/>
    <w:rsid w:val="78BE53A7"/>
    <w:rsid w:val="78C41E6C"/>
    <w:rsid w:val="78CE5AD8"/>
    <w:rsid w:val="78FE5CEA"/>
    <w:rsid w:val="793821A5"/>
    <w:rsid w:val="79B23A36"/>
    <w:rsid w:val="79B75EA3"/>
    <w:rsid w:val="79C77404"/>
    <w:rsid w:val="79D7223F"/>
    <w:rsid w:val="79F67086"/>
    <w:rsid w:val="7A2B119E"/>
    <w:rsid w:val="7A4F7F19"/>
    <w:rsid w:val="7A785130"/>
    <w:rsid w:val="7A7E4CD5"/>
    <w:rsid w:val="7AA2418C"/>
    <w:rsid w:val="7AA31C11"/>
    <w:rsid w:val="7AB928EB"/>
    <w:rsid w:val="7ADA5FD2"/>
    <w:rsid w:val="7AED7EAE"/>
    <w:rsid w:val="7B05215F"/>
    <w:rsid w:val="7B2C57EF"/>
    <w:rsid w:val="7B384B5D"/>
    <w:rsid w:val="7B4508AD"/>
    <w:rsid w:val="7B5B4C8B"/>
    <w:rsid w:val="7B656EB9"/>
    <w:rsid w:val="7B910D5D"/>
    <w:rsid w:val="7BA5334A"/>
    <w:rsid w:val="7BB32E10"/>
    <w:rsid w:val="7BBA0FB3"/>
    <w:rsid w:val="7C0C4DFD"/>
    <w:rsid w:val="7C0E48E3"/>
    <w:rsid w:val="7C3E7E36"/>
    <w:rsid w:val="7C417FE9"/>
    <w:rsid w:val="7C451E16"/>
    <w:rsid w:val="7C533FE0"/>
    <w:rsid w:val="7CAA74E1"/>
    <w:rsid w:val="7CDE6F23"/>
    <w:rsid w:val="7CFB7B78"/>
    <w:rsid w:val="7D167E7A"/>
    <w:rsid w:val="7D2F517E"/>
    <w:rsid w:val="7D3F2FEA"/>
    <w:rsid w:val="7D751253"/>
    <w:rsid w:val="7D911A3D"/>
    <w:rsid w:val="7D92387D"/>
    <w:rsid w:val="7D983576"/>
    <w:rsid w:val="7DA34B71"/>
    <w:rsid w:val="7DA908E3"/>
    <w:rsid w:val="7E152E18"/>
    <w:rsid w:val="7E2F3454"/>
    <w:rsid w:val="7E5A31D4"/>
    <w:rsid w:val="7E657767"/>
    <w:rsid w:val="7E6E0110"/>
    <w:rsid w:val="7E7146EC"/>
    <w:rsid w:val="7E8A54C7"/>
    <w:rsid w:val="7EE15027"/>
    <w:rsid w:val="7EF0118F"/>
    <w:rsid w:val="7EF62354"/>
    <w:rsid w:val="7F132354"/>
    <w:rsid w:val="7F1C2150"/>
    <w:rsid w:val="7F1F593C"/>
    <w:rsid w:val="7F3E6D8A"/>
    <w:rsid w:val="7F4A46F4"/>
    <w:rsid w:val="7F740198"/>
    <w:rsid w:val="7F911CC9"/>
    <w:rsid w:val="7FC43332"/>
    <w:rsid w:val="7FE16D34"/>
    <w:rsid w:val="7FE358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480" w:lineRule="auto"/>
      <w:jc w:val="center"/>
      <w:outlineLvl w:val="0"/>
    </w:pPr>
    <w:rPr>
      <w:b/>
      <w:bCs/>
      <w:kern w:val="44"/>
      <w:sz w:val="36"/>
      <w:szCs w:val="44"/>
    </w:rPr>
  </w:style>
  <w:style w:type="paragraph" w:styleId="3">
    <w:name w:val="heading 2"/>
    <w:basedOn w:val="1"/>
    <w:next w:val="4"/>
    <w:qFormat/>
    <w:uiPriority w:val="0"/>
    <w:pPr>
      <w:keepNext/>
      <w:keepLines/>
      <w:tabs>
        <w:tab w:val="left" w:pos="567"/>
      </w:tabs>
      <w:spacing w:line="360" w:lineRule="auto"/>
      <w:ind w:left="567" w:hanging="567"/>
      <w:outlineLvl w:val="1"/>
    </w:pPr>
    <w:rPr>
      <w:rFonts w:ascii="Arial" w:hAnsi="Arial"/>
      <w:bCs/>
      <w:color w:val="000000"/>
      <w:sz w:val="28"/>
      <w:szCs w:val="32"/>
      <w:lang w:val="pt-BR"/>
    </w:rPr>
  </w:style>
  <w:style w:type="paragraph" w:styleId="5">
    <w:name w:val="heading 3"/>
    <w:basedOn w:val="1"/>
    <w:next w:val="4"/>
    <w:link w:val="42"/>
    <w:qFormat/>
    <w:uiPriority w:val="0"/>
    <w:pPr>
      <w:keepNext/>
      <w:keepLines/>
      <w:outlineLvl w:val="2"/>
    </w:pPr>
    <w:rPr>
      <w:rFonts w:ascii="Calibri" w:hAnsi="Calibri"/>
      <w:b/>
      <w:sz w:val="32"/>
    </w:rPr>
  </w:style>
  <w:style w:type="paragraph" w:styleId="6">
    <w:name w:val="heading 4"/>
    <w:basedOn w:val="1"/>
    <w:next w:val="1"/>
    <w:qFormat/>
    <w:uiPriority w:val="0"/>
    <w:pPr>
      <w:keepNext/>
      <w:spacing w:before="240" w:after="60"/>
      <w:outlineLvl w:val="3"/>
    </w:pPr>
    <w:rPr>
      <w:b/>
      <w:bCs/>
      <w:sz w:val="28"/>
      <w:szCs w:val="28"/>
    </w:rPr>
  </w:style>
  <w:style w:type="character" w:default="1" w:styleId="26">
    <w:name w:val="Default Paragraph Font"/>
    <w:unhideWhenUsed/>
    <w:qFormat/>
    <w:uiPriority w:val="1"/>
  </w:style>
  <w:style w:type="table" w:default="1" w:styleId="24">
    <w:name w:val="Normal Table"/>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7">
    <w:name w:val="table of authorities"/>
    <w:basedOn w:val="1"/>
    <w:next w:val="1"/>
    <w:qFormat/>
    <w:uiPriority w:val="0"/>
    <w:pPr>
      <w:ind w:left="420" w:leftChars="200"/>
    </w:pPr>
  </w:style>
  <w:style w:type="paragraph" w:styleId="8">
    <w:name w:val="index 8"/>
    <w:basedOn w:val="1"/>
    <w:next w:val="1"/>
    <w:qFormat/>
    <w:uiPriority w:val="0"/>
    <w:pPr>
      <w:ind w:left="2940"/>
    </w:pPr>
  </w:style>
  <w:style w:type="paragraph" w:styleId="9">
    <w:name w:val="annotation text"/>
    <w:basedOn w:val="1"/>
    <w:qFormat/>
    <w:uiPriority w:val="0"/>
    <w:pPr>
      <w:jc w:val="left"/>
    </w:pPr>
  </w:style>
  <w:style w:type="paragraph" w:styleId="10">
    <w:name w:val="Body Text"/>
    <w:basedOn w:val="1"/>
    <w:qFormat/>
    <w:uiPriority w:val="0"/>
  </w:style>
  <w:style w:type="paragraph" w:styleId="11">
    <w:name w:val="Body Text Indent"/>
    <w:basedOn w:val="1"/>
    <w:next w:val="12"/>
    <w:qFormat/>
    <w:uiPriority w:val="0"/>
    <w:pPr>
      <w:spacing w:after="120"/>
      <w:ind w:left="420" w:leftChars="200"/>
    </w:pPr>
  </w:style>
  <w:style w:type="paragraph" w:styleId="12">
    <w:name w:val="envelope return"/>
    <w:basedOn w:val="1"/>
    <w:qFormat/>
    <w:uiPriority w:val="0"/>
    <w:pPr>
      <w:snapToGrid w:val="0"/>
    </w:pPr>
    <w:rPr>
      <w:rFonts w:ascii="Arial" w:hAnsi="Arial"/>
    </w:rPr>
  </w:style>
  <w:style w:type="paragraph" w:styleId="13">
    <w:name w:val="Block Text"/>
    <w:basedOn w:val="1"/>
    <w:qFormat/>
    <w:uiPriority w:val="0"/>
    <w:pPr>
      <w:adjustRightInd w:val="0"/>
      <w:ind w:left="420" w:right="33"/>
      <w:jc w:val="left"/>
      <w:textAlignment w:val="baseline"/>
    </w:pPr>
    <w:rPr>
      <w:kern w:val="0"/>
      <w:szCs w:val="20"/>
    </w:rPr>
  </w:style>
  <w:style w:type="paragraph" w:styleId="14">
    <w:name w:val="toc 3"/>
    <w:basedOn w:val="1"/>
    <w:next w:val="1"/>
    <w:unhideWhenUsed/>
    <w:qFormat/>
    <w:uiPriority w:val="39"/>
    <w:pPr>
      <w:ind w:left="840" w:leftChars="400"/>
    </w:pPr>
  </w:style>
  <w:style w:type="paragraph" w:styleId="15">
    <w:name w:val="Plain Text"/>
    <w:basedOn w:val="1"/>
    <w:qFormat/>
    <w:uiPriority w:val="99"/>
    <w:rPr>
      <w:rFonts w:ascii="宋体" w:hAnsi="Courier New"/>
      <w:szCs w:val="20"/>
    </w:rPr>
  </w:style>
  <w:style w:type="paragraph" w:styleId="16">
    <w:name w:val="footer"/>
    <w:basedOn w:val="1"/>
    <w:qFormat/>
    <w:uiPriority w:val="99"/>
    <w:pPr>
      <w:tabs>
        <w:tab w:val="center" w:pos="4153"/>
        <w:tab w:val="right" w:pos="8306"/>
      </w:tabs>
      <w:snapToGrid w:val="0"/>
      <w:jc w:val="left"/>
    </w:pPr>
    <w:rPr>
      <w:sz w:val="18"/>
      <w:szCs w:val="18"/>
    </w:rPr>
  </w:style>
  <w:style w:type="paragraph" w:styleId="1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style>
  <w:style w:type="paragraph" w:styleId="19">
    <w:name w:val="toc 2"/>
    <w:basedOn w:val="1"/>
    <w:next w:val="1"/>
    <w:unhideWhenUsed/>
    <w:qFormat/>
    <w:uiPriority w:val="39"/>
    <w:pPr>
      <w:ind w:left="420" w:leftChars="200"/>
    </w:pPr>
  </w:style>
  <w:style w:type="paragraph" w:styleId="20">
    <w:name w:val="List 4"/>
    <w:basedOn w:val="1"/>
    <w:qFormat/>
    <w:uiPriority w:val="0"/>
    <w:pPr>
      <w:ind w:left="100" w:leftChars="600" w:hanging="200" w:hangingChars="200"/>
      <w:contextualSpacing/>
    </w:p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2">
    <w:name w:val="Body Text First Indent"/>
    <w:basedOn w:val="10"/>
    <w:qFormat/>
    <w:uiPriority w:val="0"/>
    <w:pPr>
      <w:ind w:firstLine="420" w:firstLineChars="100"/>
    </w:pPr>
  </w:style>
  <w:style w:type="paragraph" w:styleId="23">
    <w:name w:val="Body Text First Indent 2"/>
    <w:basedOn w:val="11"/>
    <w:unhideWhenUsed/>
    <w:qFormat/>
    <w:uiPriority w:val="99"/>
    <w:pPr>
      <w:ind w:firstLine="420" w:firstLineChars="200"/>
    </w:pPr>
  </w:style>
  <w:style w:type="table" w:styleId="25">
    <w:name w:val="Table Grid"/>
    <w:basedOn w:val="2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style>
  <w:style w:type="character" w:styleId="28">
    <w:name w:val="FollowedHyperlink"/>
    <w:basedOn w:val="26"/>
    <w:qFormat/>
    <w:uiPriority w:val="0"/>
    <w:rPr>
      <w:color w:val="800080"/>
      <w:u w:val="none"/>
    </w:rPr>
  </w:style>
  <w:style w:type="character" w:styleId="29">
    <w:name w:val="Emphasis"/>
    <w:basedOn w:val="26"/>
    <w:qFormat/>
    <w:uiPriority w:val="0"/>
  </w:style>
  <w:style w:type="character" w:styleId="30">
    <w:name w:val="HTML Definition"/>
    <w:basedOn w:val="26"/>
    <w:qFormat/>
    <w:uiPriority w:val="0"/>
  </w:style>
  <w:style w:type="character" w:styleId="31">
    <w:name w:val="HTML Typewriter"/>
    <w:basedOn w:val="26"/>
    <w:qFormat/>
    <w:uiPriority w:val="0"/>
    <w:rPr>
      <w:rFonts w:ascii="monospace" w:hAnsi="monospace" w:eastAsia="monospace" w:cs="monospace"/>
      <w:sz w:val="20"/>
    </w:rPr>
  </w:style>
  <w:style w:type="character" w:styleId="32">
    <w:name w:val="HTML Acronym"/>
    <w:basedOn w:val="26"/>
    <w:qFormat/>
    <w:uiPriority w:val="0"/>
  </w:style>
  <w:style w:type="character" w:styleId="33">
    <w:name w:val="HTML Variable"/>
    <w:basedOn w:val="26"/>
    <w:qFormat/>
    <w:uiPriority w:val="0"/>
  </w:style>
  <w:style w:type="character" w:styleId="34">
    <w:name w:val="Hyperlink"/>
    <w:basedOn w:val="26"/>
    <w:qFormat/>
    <w:uiPriority w:val="0"/>
    <w:rPr>
      <w:color w:val="0000FF"/>
      <w:u w:val="none"/>
    </w:rPr>
  </w:style>
  <w:style w:type="character" w:styleId="35">
    <w:name w:val="HTML Code"/>
    <w:basedOn w:val="26"/>
    <w:qFormat/>
    <w:uiPriority w:val="0"/>
    <w:rPr>
      <w:rFonts w:hint="default" w:ascii="monospace" w:hAnsi="monospace" w:eastAsia="monospace" w:cs="monospace"/>
      <w:sz w:val="20"/>
    </w:rPr>
  </w:style>
  <w:style w:type="character" w:styleId="36">
    <w:name w:val="HTML Cite"/>
    <w:basedOn w:val="26"/>
    <w:qFormat/>
    <w:uiPriority w:val="0"/>
  </w:style>
  <w:style w:type="character" w:styleId="37">
    <w:name w:val="HTML Keyboard"/>
    <w:basedOn w:val="26"/>
    <w:qFormat/>
    <w:uiPriority w:val="0"/>
    <w:rPr>
      <w:rFonts w:hint="default" w:ascii="monospace" w:hAnsi="monospace" w:eastAsia="monospace" w:cs="monospace"/>
      <w:sz w:val="20"/>
    </w:rPr>
  </w:style>
  <w:style w:type="character" w:styleId="38">
    <w:name w:val="HTML Sample"/>
    <w:basedOn w:val="26"/>
    <w:qFormat/>
    <w:uiPriority w:val="0"/>
    <w:rPr>
      <w:rFonts w:hint="default" w:ascii="monospace" w:hAnsi="monospace" w:eastAsia="monospace" w:cs="monospace"/>
    </w:rPr>
  </w:style>
  <w:style w:type="paragraph" w:customStyle="1" w:styleId="39">
    <w:name w:val="首行缩进"/>
    <w:basedOn w:val="1"/>
    <w:qFormat/>
    <w:uiPriority w:val="0"/>
    <w:pPr>
      <w:spacing w:line="360" w:lineRule="auto"/>
      <w:ind w:firstLine="480" w:firstLineChars="200"/>
    </w:pPr>
    <w:rPr>
      <w:rFonts w:ascii="宋体" w:hAnsi="宋体"/>
      <w:kern w:val="0"/>
      <w:sz w:val="24"/>
    </w:rPr>
  </w:style>
  <w:style w:type="paragraph" w:customStyle="1" w:styleId="40">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99"/>
    <w:pPr>
      <w:ind w:firstLine="420" w:firstLineChars="200"/>
    </w:pPr>
  </w:style>
  <w:style w:type="character" w:customStyle="1" w:styleId="42">
    <w:name w:val="标题 3 Char"/>
    <w:link w:val="5"/>
    <w:qFormat/>
    <w:uiPriority w:val="0"/>
    <w:rPr>
      <w:rFonts w:ascii="Calibri" w:hAnsi="Calibri" w:eastAsia="宋体"/>
      <w:b/>
      <w:sz w:val="32"/>
    </w:rPr>
  </w:style>
  <w:style w:type="paragraph" w:customStyle="1" w:styleId="43">
    <w:name w:val="Char1 Char Char Char Char Char Char"/>
    <w:basedOn w:val="1"/>
    <w:qFormat/>
    <w:uiPriority w:val="0"/>
    <w:rPr>
      <w:rFonts w:ascii="Tahoma" w:hAnsi="Tahoma"/>
      <w:sz w:val="24"/>
      <w:szCs w:val="20"/>
    </w:rPr>
  </w:style>
  <w:style w:type="paragraph" w:customStyle="1" w:styleId="44">
    <w:name w:val="Char"/>
    <w:basedOn w:val="1"/>
    <w:qFormat/>
    <w:uiPriority w:val="0"/>
  </w:style>
  <w:style w:type="character" w:customStyle="1" w:styleId="45">
    <w:name w:val="font21"/>
    <w:basedOn w:val="26"/>
    <w:qFormat/>
    <w:uiPriority w:val="0"/>
    <w:rPr>
      <w:rFonts w:hint="eastAsia" w:ascii="宋体" w:hAnsi="宋体" w:eastAsia="宋体" w:cs="宋体"/>
      <w:color w:val="000000"/>
      <w:sz w:val="21"/>
      <w:szCs w:val="21"/>
      <w:u w:val="none"/>
    </w:rPr>
  </w:style>
  <w:style w:type="character" w:customStyle="1" w:styleId="46">
    <w:name w:val="font01"/>
    <w:basedOn w:val="26"/>
    <w:qFormat/>
    <w:uiPriority w:val="0"/>
    <w:rPr>
      <w:rFonts w:hint="default" w:ascii="Calibri" w:hAnsi="Calibri" w:cs="Calibri"/>
      <w:color w:val="000000"/>
      <w:sz w:val="21"/>
      <w:szCs w:val="21"/>
      <w:u w:val="none"/>
    </w:rPr>
  </w:style>
  <w:style w:type="paragraph" w:customStyle="1" w:styleId="47">
    <w:name w:val="_Style 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48">
    <w:name w:val="NormalCharacter"/>
    <w:semiHidden/>
    <w:qFormat/>
    <w:uiPriority w:val="0"/>
  </w:style>
  <w:style w:type="paragraph" w:customStyle="1" w:styleId="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50">
    <w:name w:val="null3"/>
    <w:qFormat/>
    <w:uiPriority w:val="0"/>
    <w:rPr>
      <w:rFonts w:hint="eastAsia" w:ascii="Calibri" w:hAnsi="Calibri" w:eastAsia="宋体" w:cs="Times New Roman"/>
      <w:sz w:val="21"/>
      <w:szCs w:val="22"/>
      <w:lang w:val="en-US" w:eastAsia="zh-CN" w:bidi="ar-SA"/>
    </w:rPr>
  </w:style>
  <w:style w:type="paragraph" w:customStyle="1" w:styleId="51">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52">
    <w:name w:val="TOC 标题1"/>
    <w:basedOn w:val="2"/>
    <w:next w:val="1"/>
    <w:qFormat/>
    <w:uiPriority w:val="0"/>
    <w:pPr>
      <w:widowControl/>
      <w:spacing w:before="240" w:line="259" w:lineRule="auto"/>
      <w:jc w:val="left"/>
      <w:outlineLvl w:val="9"/>
    </w:pPr>
    <w:rPr>
      <w:rFonts w:ascii="?? Light" w:hAnsi="?? Light"/>
      <w:b w:val="0"/>
      <w:color w:val="2F5496"/>
      <w:kern w:val="0"/>
      <w:szCs w:val="32"/>
    </w:rPr>
  </w:style>
  <w:style w:type="character" w:customStyle="1" w:styleId="53">
    <w:name w:val="font15"/>
    <w:basedOn w:val="26"/>
    <w:qFormat/>
    <w:uiPriority w:val="0"/>
    <w:rPr>
      <w:rFonts w:hint="default" w:ascii="仿宋" w:hAnsi="仿宋" w:eastAsia="仿宋" w:cs="仿宋"/>
      <w:color w:val="000000"/>
      <w:sz w:val="22"/>
      <w:szCs w:val="22"/>
      <w:u w:val="none"/>
    </w:rPr>
  </w:style>
  <w:style w:type="character" w:customStyle="1" w:styleId="54">
    <w:name w:val="font141"/>
    <w:basedOn w:val="26"/>
    <w:qFormat/>
    <w:uiPriority w:val="0"/>
    <w:rPr>
      <w:rFonts w:hint="default" w:ascii="仿宋_GB2312" w:eastAsia="仿宋_GB2312" w:cs="仿宋_GB2312"/>
      <w:color w:val="000000"/>
      <w:sz w:val="22"/>
      <w:szCs w:val="22"/>
      <w:u w:val="none"/>
    </w:rPr>
  </w:style>
  <w:style w:type="paragraph" w:customStyle="1" w:styleId="55">
    <w:name w:val="Other|1"/>
    <w:basedOn w:val="1"/>
    <w:qFormat/>
    <w:uiPriority w:val="0"/>
    <w:pPr>
      <w:spacing w:line="410" w:lineRule="auto"/>
      <w:ind w:firstLine="400"/>
    </w:pPr>
    <w:rPr>
      <w:rFonts w:ascii="宋体" w:hAnsi="宋体" w:cs="宋体"/>
      <w:sz w:val="20"/>
      <w:szCs w:val="20"/>
      <w:lang w:val="zh-TW" w:eastAsia="zh-TW" w:bidi="zh-TW"/>
    </w:rPr>
  </w:style>
  <w:style w:type="paragraph" w:customStyle="1" w:styleId="56">
    <w:name w:val="Table Text"/>
    <w:basedOn w:val="1"/>
    <w:semiHidden/>
    <w:qFormat/>
    <w:uiPriority w:val="0"/>
    <w:rPr>
      <w:rFonts w:ascii="宋体" w:hAnsi="宋体" w:eastAsia="宋体" w:cs="宋体"/>
      <w:sz w:val="20"/>
      <w:szCs w:val="20"/>
      <w:lang w:val="en-US" w:eastAsia="en-US" w:bidi="ar-SA"/>
    </w:rPr>
  </w:style>
  <w:style w:type="table" w:customStyle="1" w:styleId="57">
    <w:name w:val="Table Normal"/>
    <w:semiHidden/>
    <w:unhideWhenUsed/>
    <w:qFormat/>
    <w:uiPriority w:val="0"/>
    <w:tblPr>
      <w:tblCellMar>
        <w:top w:w="0" w:type="dxa"/>
        <w:left w:w="0" w:type="dxa"/>
        <w:bottom w:w="0" w:type="dxa"/>
        <w:right w:w="0" w:type="dxa"/>
      </w:tblCellMar>
    </w:tblPr>
  </w:style>
  <w:style w:type="character" w:customStyle="1" w:styleId="58">
    <w:name w:val="bookmark-item"/>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66</Pages>
  <Words>13337</Words>
  <Characters>14597</Characters>
  <Lines>464</Lines>
  <Paragraphs>130</Paragraphs>
  <TotalTime>5</TotalTime>
  <ScaleCrop>false</ScaleCrop>
  <LinksUpToDate>false</LinksUpToDate>
  <CharactersWithSpaces>14885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2024-11-01T10:38:00Z</dcterms:created>
  <dc:creator>Administrator</dc:creator>
  <cp:lastModifiedBy>Administrator</cp:lastModifiedBy>
  <cp:lastPrinted>2024-01-25T15:29:00Z</cp:lastPrinted>
  <dcterms:modified xsi:type="dcterms:W3CDTF">2026-09-01T03:11:19Z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7902D4AD62244533BCFA84A6ACA4C0D3_13</vt:lpwstr>
  </property>
  <property fmtid="{D5CDD505-2E9C-101B-9397-08002B2CF9AE}" pid="4" name="KSOTemplateDocerSaveRecord">
    <vt:lpwstr>eyJoZGlkIjoiMjNhZjQxZTIwY2VhZDc0NzRmMzM2NGFkYjBkOWQ0MjciLCJ1c2VySWQiOiI2MTEwMjY4OTIifQ==</vt:lpwstr>
  </property>
</Properties>
</file>