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F307F">
      <w:pPr>
        <w:spacing w:line="360" w:lineRule="auto"/>
        <w:jc w:val="center"/>
        <w:rPr>
          <w:rFonts w:hint="eastAsia" w:ascii="仿宋" w:hAnsi="宋体" w:eastAsia="仿宋"/>
          <w:color w:val="auto"/>
          <w:sz w:val="52"/>
          <w:szCs w:val="52"/>
          <w:highlight w:val="none"/>
        </w:rPr>
      </w:pPr>
    </w:p>
    <w:p w14:paraId="648F66D4">
      <w:pPr>
        <w:pStyle w:val="26"/>
        <w:jc w:val="center"/>
        <w:rPr>
          <w:rFonts w:ascii="黑体" w:hAnsi="黑体" w:eastAsia="黑体"/>
          <w:color w:val="auto"/>
          <w:spacing w:val="30"/>
          <w:kern w:val="52"/>
          <w:sz w:val="64"/>
          <w:szCs w:val="64"/>
          <w:highlight w:val="none"/>
        </w:rPr>
      </w:pPr>
      <w:r>
        <w:rPr>
          <w:rFonts w:ascii="黑体" w:hAnsi="黑体" w:eastAsia="黑体"/>
          <w:color w:val="auto"/>
          <w:spacing w:val="30"/>
          <w:kern w:val="52"/>
          <w:sz w:val="64"/>
          <w:szCs w:val="64"/>
          <w:highlight w:val="none"/>
        </w:rPr>
        <w:t>广西科文招标有限公司</w:t>
      </w:r>
    </w:p>
    <w:p w14:paraId="6A86EABC">
      <w:pPr>
        <w:pStyle w:val="26"/>
        <w:jc w:val="center"/>
        <w:rPr>
          <w:rFonts w:hint="eastAsia" w:ascii="黑体" w:hAnsi="黑体" w:eastAsia="黑体"/>
          <w:color w:val="auto"/>
          <w:spacing w:val="28"/>
          <w:sz w:val="64"/>
          <w:szCs w:val="64"/>
          <w:highlight w:val="none"/>
        </w:rPr>
      </w:pPr>
      <w:r>
        <w:rPr>
          <w:rFonts w:ascii="黑体" w:hAnsi="黑体" w:eastAsia="黑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0" r="0" b="0"/>
                <wp:wrapNone/>
                <wp:docPr id="1" name="Line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hQAKNYAAAAIAQAADwAAAAAAAAAB&#10;ACAAAAAiAAAAZHJzL2Rvd25yZXYueG1sUEsBAhQAFAAAAAgAh07iQDPL187ZAQAA2gMAAA4AAAAA&#10;AAAAAQAgAAAAJQEAAGRycy9lMm9Eb2MueG1sUEsFBgAAAAAGAAYAWQEAAHAFAAAAAA==&#10;">
                <v:fill on="f" focussize="0,0"/>
                <v:stroke weight="1pt" color="#000000" joinstyle="round"/>
                <v:imagedata o:title=""/>
                <o:lock v:ext="edit" aspectratio="f"/>
              </v:line>
            </w:pict>
          </mc:Fallback>
        </mc:AlternateContent>
      </w:r>
    </w:p>
    <w:p w14:paraId="1B10A2EA">
      <w:pPr>
        <w:snapToGrid w:val="0"/>
        <w:spacing w:before="120" w:beforeLines="50" w:line="360" w:lineRule="auto"/>
        <w:jc w:val="center"/>
        <w:rPr>
          <w:rFonts w:hint="eastAsia" w:ascii="黑体" w:hAnsi="黑体" w:eastAsia="黑体"/>
          <w:color w:val="auto"/>
          <w:sz w:val="120"/>
          <w:szCs w:val="120"/>
          <w:highlight w:val="none"/>
        </w:rPr>
      </w:pPr>
      <w:r>
        <w:rPr>
          <w:rFonts w:hint="eastAsia" w:ascii="黑体" w:hAnsi="黑体" w:eastAsia="黑体"/>
          <w:color w:val="auto"/>
          <w:sz w:val="120"/>
          <w:szCs w:val="120"/>
          <w:highlight w:val="none"/>
        </w:rPr>
        <w:t>招 标 文 件</w:t>
      </w:r>
    </w:p>
    <w:p w14:paraId="5E93AB23">
      <w:pPr>
        <w:pStyle w:val="26"/>
        <w:snapToGrid w:val="0"/>
        <w:spacing w:line="360" w:lineRule="auto"/>
        <w:ind w:firstLine="1977" w:firstLineChars="691"/>
        <w:rPr>
          <w:rFonts w:hint="eastAsia" w:ascii="仿宋_GB2312" w:hAnsi="宋体" w:eastAsia="仿宋_GB2312"/>
          <w:b/>
          <w:bCs/>
          <w:color w:val="auto"/>
          <w:w w:val="95"/>
          <w:sz w:val="30"/>
          <w:szCs w:val="30"/>
          <w:highlight w:val="none"/>
        </w:rPr>
      </w:pPr>
    </w:p>
    <w:p w14:paraId="55E2E921">
      <w:pPr>
        <w:pStyle w:val="26"/>
        <w:snapToGrid w:val="0"/>
        <w:spacing w:line="360" w:lineRule="auto"/>
        <w:ind w:firstLine="1977" w:firstLineChars="691"/>
        <w:rPr>
          <w:rFonts w:hint="eastAsia" w:ascii="仿宋_GB2312" w:hAnsi="宋体" w:eastAsia="仿宋_GB2312"/>
          <w:b/>
          <w:bCs/>
          <w:color w:val="auto"/>
          <w:w w:val="95"/>
          <w:sz w:val="30"/>
          <w:szCs w:val="30"/>
          <w:highlight w:val="none"/>
        </w:rPr>
      </w:pPr>
    </w:p>
    <w:p w14:paraId="5F9D9D8E">
      <w:pPr>
        <w:pStyle w:val="26"/>
        <w:keepNext w:val="0"/>
        <w:keepLines w:val="0"/>
        <w:pageBreakBefore w:val="0"/>
        <w:widowControl w:val="0"/>
        <w:kinsoku/>
        <w:wordWrap/>
        <w:overflowPunct/>
        <w:topLinePunct w:val="0"/>
        <w:autoSpaceDE/>
        <w:autoSpaceDN/>
        <w:bidi w:val="0"/>
        <w:adjustRightInd/>
        <w:snapToGrid w:val="0"/>
        <w:spacing w:line="360" w:lineRule="auto"/>
        <w:ind w:firstLine="2003" w:firstLineChars="700"/>
        <w:jc w:val="left"/>
        <w:textAlignment w:val="auto"/>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项目名称：</w:t>
      </w:r>
      <w:r>
        <w:rPr>
          <w:rFonts w:hint="eastAsia" w:hAnsi="宋体"/>
          <w:b/>
          <w:bCs/>
          <w:color w:val="auto"/>
          <w:w w:val="95"/>
          <w:sz w:val="30"/>
          <w:szCs w:val="30"/>
          <w:highlight w:val="none"/>
          <w:lang w:eastAsia="zh-CN"/>
        </w:rPr>
        <w:t>医院HIS系统维保服务</w:t>
      </w:r>
    </w:p>
    <w:p w14:paraId="704883C4">
      <w:pPr>
        <w:pStyle w:val="26"/>
        <w:keepNext w:val="0"/>
        <w:keepLines w:val="0"/>
        <w:pageBreakBefore w:val="0"/>
        <w:widowControl w:val="0"/>
        <w:kinsoku/>
        <w:wordWrap/>
        <w:overflowPunct/>
        <w:topLinePunct w:val="0"/>
        <w:autoSpaceDE/>
        <w:autoSpaceDN/>
        <w:bidi w:val="0"/>
        <w:adjustRightInd/>
        <w:snapToGrid w:val="0"/>
        <w:spacing w:line="360" w:lineRule="auto"/>
        <w:ind w:firstLine="2003" w:firstLineChars="700"/>
        <w:textAlignment w:val="auto"/>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项目编号：</w:t>
      </w:r>
      <w:r>
        <w:rPr>
          <w:rFonts w:hint="eastAsia" w:hAnsi="宋体"/>
          <w:b/>
          <w:bCs/>
          <w:color w:val="auto"/>
          <w:w w:val="95"/>
          <w:sz w:val="30"/>
          <w:szCs w:val="30"/>
          <w:highlight w:val="none"/>
          <w:lang w:eastAsia="zh-CN"/>
        </w:rPr>
        <w:t>GXZC2026-G3-002051-KWZB</w:t>
      </w:r>
    </w:p>
    <w:p w14:paraId="617DB071">
      <w:pPr>
        <w:pStyle w:val="26"/>
        <w:snapToGrid w:val="0"/>
        <w:spacing w:line="360" w:lineRule="auto"/>
        <w:ind w:firstLine="1977" w:firstLineChars="691"/>
        <w:rPr>
          <w:rFonts w:hint="eastAsia" w:hAnsi="宋体"/>
          <w:b/>
          <w:bCs/>
          <w:color w:val="auto"/>
          <w:w w:val="95"/>
          <w:sz w:val="30"/>
          <w:szCs w:val="30"/>
          <w:highlight w:val="none"/>
        </w:rPr>
      </w:pPr>
    </w:p>
    <w:p w14:paraId="4AC085EF">
      <w:pPr>
        <w:pStyle w:val="26"/>
        <w:snapToGrid w:val="0"/>
        <w:spacing w:line="360" w:lineRule="auto"/>
        <w:ind w:firstLine="1977" w:firstLineChars="691"/>
        <w:rPr>
          <w:rFonts w:hint="eastAsia" w:hAnsi="宋体"/>
          <w:b/>
          <w:bCs/>
          <w:color w:val="auto"/>
          <w:w w:val="95"/>
          <w:sz w:val="30"/>
          <w:szCs w:val="30"/>
          <w:highlight w:val="none"/>
        </w:rPr>
      </w:pPr>
      <w:bookmarkStart w:id="153" w:name="_GoBack"/>
      <w:bookmarkEnd w:id="153"/>
    </w:p>
    <w:p w14:paraId="732D5C0D">
      <w:pPr>
        <w:pStyle w:val="26"/>
        <w:snapToGrid w:val="0"/>
        <w:spacing w:line="360" w:lineRule="auto"/>
        <w:ind w:firstLine="1977" w:firstLineChars="691"/>
        <w:rPr>
          <w:rFonts w:hint="eastAsia" w:hAnsi="宋体"/>
          <w:b/>
          <w:bCs/>
          <w:color w:val="auto"/>
          <w:w w:val="95"/>
          <w:sz w:val="30"/>
          <w:szCs w:val="30"/>
          <w:highlight w:val="none"/>
        </w:rPr>
      </w:pPr>
    </w:p>
    <w:p w14:paraId="21667C29">
      <w:pPr>
        <w:pStyle w:val="26"/>
        <w:snapToGrid w:val="0"/>
        <w:spacing w:line="360" w:lineRule="auto"/>
        <w:ind w:firstLine="1977" w:firstLineChars="691"/>
        <w:rPr>
          <w:rFonts w:hint="eastAsia" w:hAnsi="宋体"/>
          <w:b/>
          <w:bCs/>
          <w:color w:val="auto"/>
          <w:w w:val="95"/>
          <w:sz w:val="30"/>
          <w:szCs w:val="30"/>
          <w:highlight w:val="none"/>
        </w:rPr>
      </w:pPr>
    </w:p>
    <w:p w14:paraId="5DC41839">
      <w:pPr>
        <w:pStyle w:val="26"/>
        <w:snapToGrid w:val="0"/>
        <w:spacing w:line="360" w:lineRule="auto"/>
        <w:ind w:firstLine="1977" w:firstLineChars="691"/>
        <w:rPr>
          <w:rFonts w:hint="eastAsia" w:hAnsi="宋体"/>
          <w:b/>
          <w:bCs/>
          <w:color w:val="auto"/>
          <w:w w:val="95"/>
          <w:sz w:val="30"/>
          <w:szCs w:val="30"/>
          <w:highlight w:val="none"/>
        </w:rPr>
      </w:pPr>
    </w:p>
    <w:p w14:paraId="2BF8F6B6">
      <w:pPr>
        <w:pStyle w:val="26"/>
        <w:snapToGrid w:val="0"/>
        <w:spacing w:line="360" w:lineRule="auto"/>
        <w:ind w:firstLine="2106" w:firstLineChars="736"/>
        <w:rPr>
          <w:rFonts w:hint="eastAsia" w:hAnsi="宋体" w:eastAsia="宋体" w:cs="宋体"/>
          <w:b/>
          <w:bCs/>
          <w:color w:val="auto"/>
          <w:w w:val="95"/>
          <w:sz w:val="30"/>
          <w:szCs w:val="30"/>
          <w:highlight w:val="none"/>
          <w:lang w:eastAsia="zh-CN"/>
        </w:rPr>
      </w:pPr>
      <w:r>
        <w:rPr>
          <w:rFonts w:hint="eastAsia" w:hAnsi="宋体"/>
          <w:b/>
          <w:bCs/>
          <w:color w:val="auto"/>
          <w:w w:val="95"/>
          <w:sz w:val="30"/>
          <w:szCs w:val="30"/>
          <w:highlight w:val="none"/>
        </w:rPr>
        <w:t>采 购 人：</w:t>
      </w:r>
      <w:r>
        <w:rPr>
          <w:rFonts w:hint="eastAsia" w:hAnsi="宋体" w:cs="宋体"/>
          <w:b/>
          <w:bCs/>
          <w:color w:val="auto"/>
          <w:w w:val="95"/>
          <w:sz w:val="30"/>
          <w:szCs w:val="30"/>
          <w:highlight w:val="none"/>
          <w:lang w:eastAsia="zh-CN"/>
        </w:rPr>
        <w:t>广西医科大学第一附属医院</w:t>
      </w:r>
    </w:p>
    <w:p w14:paraId="7BBB8CA0">
      <w:pPr>
        <w:pStyle w:val="26"/>
        <w:snapToGrid w:val="0"/>
        <w:spacing w:line="360" w:lineRule="auto"/>
        <w:ind w:firstLine="1977" w:firstLineChars="691"/>
        <w:rPr>
          <w:rFonts w:hint="eastAsia" w:hAnsi="宋体"/>
          <w:b/>
          <w:bCs/>
          <w:color w:val="auto"/>
          <w:w w:val="95"/>
          <w:sz w:val="30"/>
          <w:szCs w:val="30"/>
          <w:highlight w:val="none"/>
        </w:rPr>
      </w:pPr>
      <w:r>
        <w:rPr>
          <w:rFonts w:hint="eastAsia" w:hAnsi="宋体"/>
          <w:b/>
          <w:bCs/>
          <w:color w:val="auto"/>
          <w:w w:val="95"/>
          <w:sz w:val="30"/>
          <w:szCs w:val="30"/>
          <w:highlight w:val="none"/>
        </w:rPr>
        <w:t>采购代理机构：广西科文招标有限公司</w:t>
      </w:r>
    </w:p>
    <w:p w14:paraId="0315BF45">
      <w:pPr>
        <w:pStyle w:val="26"/>
        <w:snapToGrid w:val="0"/>
        <w:spacing w:line="360" w:lineRule="auto"/>
        <w:ind w:firstLine="1125" w:firstLineChars="393"/>
        <w:rPr>
          <w:rFonts w:hint="eastAsia" w:hAnsi="宋体"/>
          <w:b/>
          <w:bCs/>
          <w:color w:val="auto"/>
          <w:w w:val="95"/>
          <w:sz w:val="30"/>
          <w:szCs w:val="30"/>
          <w:highlight w:val="none"/>
        </w:rPr>
      </w:pPr>
    </w:p>
    <w:p w14:paraId="16630DF4">
      <w:pPr>
        <w:pStyle w:val="26"/>
        <w:snapToGrid w:val="0"/>
        <w:spacing w:line="360" w:lineRule="auto"/>
        <w:jc w:val="center"/>
        <w:rPr>
          <w:rFonts w:hint="eastAsia" w:hAnsi="宋体" w:eastAsia="宋体"/>
          <w:color w:val="auto"/>
          <w:szCs w:val="20"/>
          <w:highlight w:val="none"/>
          <w:lang w:eastAsia="zh-CN"/>
        </w:rPr>
      </w:pPr>
      <w:r>
        <w:rPr>
          <w:rFonts w:hint="eastAsia" w:hAnsi="宋体"/>
          <w:b/>
          <w:bCs/>
          <w:color w:val="auto"/>
          <w:w w:val="95"/>
          <w:sz w:val="30"/>
          <w:szCs w:val="30"/>
          <w:highlight w:val="none"/>
          <w:lang w:eastAsia="zh-CN"/>
        </w:rPr>
        <w:t>2026年  月  日</w:t>
      </w:r>
    </w:p>
    <w:p w14:paraId="1A3C8490">
      <w:pPr>
        <w:pStyle w:val="26"/>
        <w:spacing w:before="120" w:after="120" w:line="360" w:lineRule="auto"/>
        <w:jc w:val="center"/>
        <w:rPr>
          <w:rFonts w:hint="eastAsia" w:ascii="仿宋_GB2312" w:hAnsi="宋体" w:eastAsia="仿宋_GB2312"/>
          <w:color w:val="auto"/>
          <w:highlight w:val="none"/>
        </w:rPr>
        <w:sectPr>
          <w:footerReference r:id="rId5" w:type="first"/>
          <w:headerReference r:id="rId3" w:type="default"/>
          <w:footerReference r:id="rId4" w:type="even"/>
          <w:pgSz w:w="11906" w:h="16838"/>
          <w:pgMar w:top="1134" w:right="1134" w:bottom="2269" w:left="1134" w:header="851" w:footer="567" w:gutter="0"/>
          <w:cols w:space="720" w:num="1"/>
          <w:titlePg/>
          <w:docGrid w:linePitch="312" w:charSpace="0"/>
        </w:sectPr>
      </w:pPr>
    </w:p>
    <w:p w14:paraId="7EDA614C">
      <w:pPr>
        <w:pStyle w:val="5"/>
        <w:rPr>
          <w:rFonts w:hint="eastAsia"/>
          <w:color w:val="auto"/>
          <w:highlight w:val="none"/>
        </w:rPr>
      </w:pPr>
    </w:p>
    <w:p w14:paraId="47C40609">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4A96AC0">
      <w:pPr>
        <w:pStyle w:val="34"/>
        <w:tabs>
          <w:tab w:val="right" w:leader="dot" w:pos="9638"/>
          <w:tab w:val="clear" w:pos="8398"/>
        </w:tabs>
        <w:ind w:firstLine="280"/>
        <w:rPr>
          <w:color w:val="auto"/>
          <w:sz w:val="28"/>
          <w:szCs w:val="28"/>
          <w:highlight w:val="none"/>
        </w:rPr>
      </w:pPr>
      <w:r>
        <w:rPr>
          <w:rFonts w:ascii="仿宋_GB2312" w:eastAsia="仿宋_GB2312"/>
          <w:b w:val="0"/>
          <w:color w:val="auto"/>
          <w:sz w:val="28"/>
          <w:szCs w:val="28"/>
          <w:highlight w:val="none"/>
        </w:rPr>
        <w:fldChar w:fldCharType="begin"/>
      </w:r>
      <w:r>
        <w:rPr>
          <w:rFonts w:ascii="仿宋_GB2312" w:eastAsia="仿宋_GB2312"/>
          <w:b w:val="0"/>
          <w:color w:val="auto"/>
          <w:sz w:val="28"/>
          <w:szCs w:val="28"/>
          <w:highlight w:val="none"/>
        </w:rPr>
        <w:instrText xml:space="preserve"> </w:instrText>
      </w:r>
      <w:r>
        <w:rPr>
          <w:rFonts w:hint="eastAsia" w:ascii="仿宋_GB2312" w:eastAsia="仿宋_GB2312"/>
          <w:b w:val="0"/>
          <w:color w:val="auto"/>
          <w:sz w:val="28"/>
          <w:szCs w:val="28"/>
          <w:highlight w:val="none"/>
        </w:rPr>
        <w:instrText xml:space="preserve">TOC \o "1-2" \h \z \u</w:instrText>
      </w:r>
      <w:r>
        <w:rPr>
          <w:rFonts w:ascii="仿宋_GB2312" w:eastAsia="仿宋_GB2312"/>
          <w:b w:val="0"/>
          <w:color w:val="auto"/>
          <w:sz w:val="28"/>
          <w:szCs w:val="28"/>
          <w:highlight w:val="none"/>
        </w:rPr>
        <w:instrText xml:space="preserve"> </w:instrText>
      </w:r>
      <w:r>
        <w:rPr>
          <w:rFonts w:ascii="仿宋_GB2312" w:eastAsia="仿宋_GB2312"/>
          <w:b w:val="0"/>
          <w:color w:val="auto"/>
          <w:sz w:val="28"/>
          <w:szCs w:val="28"/>
          <w:highlight w:val="none"/>
        </w:rPr>
        <w:fldChar w:fldCharType="separate"/>
      </w: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_Toc25674 </w:instrText>
      </w:r>
      <w:r>
        <w:rPr>
          <w:rFonts w:ascii="仿宋_GB2312" w:eastAsia="仿宋_GB2312"/>
          <w:color w:val="auto"/>
          <w:sz w:val="28"/>
          <w:szCs w:val="28"/>
          <w:highlight w:val="none"/>
        </w:rPr>
        <w:fldChar w:fldCharType="separate"/>
      </w:r>
      <w:r>
        <w:rPr>
          <w:rFonts w:hint="eastAsia"/>
          <w:color w:val="auto"/>
          <w:sz w:val="28"/>
          <w:szCs w:val="28"/>
          <w:highlight w:val="none"/>
        </w:rPr>
        <w:t xml:space="preserve">第一章 </w:t>
      </w:r>
      <w:r>
        <w:rPr>
          <w:rFonts w:hint="eastAsia"/>
          <w:color w:val="auto"/>
          <w:sz w:val="28"/>
          <w:szCs w:val="28"/>
          <w:highlight w:val="none"/>
          <w:lang w:val="en-US" w:eastAsia="zh-CN"/>
        </w:rPr>
        <w:t xml:space="preserve"> </w:t>
      </w:r>
      <w:r>
        <w:rPr>
          <w:rFonts w:hint="eastAsia"/>
          <w:color w:val="auto"/>
          <w:sz w:val="28"/>
          <w:szCs w:val="28"/>
          <w:highlight w:val="none"/>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_Toc25674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ascii="仿宋_GB2312" w:eastAsia="仿宋_GB2312"/>
          <w:color w:val="auto"/>
          <w:sz w:val="28"/>
          <w:szCs w:val="28"/>
          <w:highlight w:val="none"/>
        </w:rPr>
        <w:fldChar w:fldCharType="end"/>
      </w:r>
    </w:p>
    <w:p w14:paraId="60519645">
      <w:pPr>
        <w:pStyle w:val="34"/>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_Toc22512 </w:instrText>
      </w:r>
      <w:r>
        <w:rPr>
          <w:rFonts w:ascii="仿宋_GB2312" w:eastAsia="仿宋_GB2312"/>
          <w:color w:val="auto"/>
          <w:sz w:val="28"/>
          <w:szCs w:val="28"/>
          <w:highlight w:val="none"/>
        </w:rPr>
        <w:fldChar w:fldCharType="separate"/>
      </w:r>
      <w:r>
        <w:rPr>
          <w:rFonts w:hint="eastAsia"/>
          <w:color w:val="auto"/>
          <w:sz w:val="28"/>
          <w:szCs w:val="28"/>
          <w:highlight w:val="none"/>
        </w:rPr>
        <w:t>第二章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_Toc22512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ascii="仿宋_GB2312" w:eastAsia="仿宋_GB2312"/>
          <w:color w:val="auto"/>
          <w:sz w:val="28"/>
          <w:szCs w:val="28"/>
          <w:highlight w:val="none"/>
        </w:rPr>
        <w:fldChar w:fldCharType="end"/>
      </w:r>
    </w:p>
    <w:p w14:paraId="18B5FAA1">
      <w:pPr>
        <w:pStyle w:val="34"/>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_Toc10714 </w:instrText>
      </w:r>
      <w:r>
        <w:rPr>
          <w:rFonts w:ascii="仿宋_GB2312" w:eastAsia="仿宋_GB2312"/>
          <w:color w:val="auto"/>
          <w:sz w:val="28"/>
          <w:szCs w:val="28"/>
          <w:highlight w:val="none"/>
        </w:rPr>
        <w:fldChar w:fldCharType="separate"/>
      </w:r>
      <w:r>
        <w:rPr>
          <w:rFonts w:hint="eastAsia"/>
          <w:color w:val="auto"/>
          <w:sz w:val="28"/>
          <w:szCs w:val="28"/>
          <w:highlight w:val="none"/>
        </w:rPr>
        <w:t>第三章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_Toc10714 \h </w:instrText>
      </w:r>
      <w:r>
        <w:rPr>
          <w:color w:val="auto"/>
          <w:sz w:val="28"/>
          <w:szCs w:val="28"/>
          <w:highlight w:val="none"/>
        </w:rPr>
        <w:fldChar w:fldCharType="separate"/>
      </w:r>
      <w:r>
        <w:rPr>
          <w:color w:val="auto"/>
          <w:sz w:val="28"/>
          <w:szCs w:val="28"/>
          <w:highlight w:val="none"/>
        </w:rPr>
        <w:t>38</w:t>
      </w:r>
      <w:r>
        <w:rPr>
          <w:color w:val="auto"/>
          <w:sz w:val="28"/>
          <w:szCs w:val="28"/>
          <w:highlight w:val="none"/>
        </w:rPr>
        <w:fldChar w:fldCharType="end"/>
      </w:r>
      <w:r>
        <w:rPr>
          <w:rFonts w:ascii="仿宋_GB2312" w:eastAsia="仿宋_GB2312"/>
          <w:color w:val="auto"/>
          <w:sz w:val="28"/>
          <w:szCs w:val="28"/>
          <w:highlight w:val="none"/>
        </w:rPr>
        <w:fldChar w:fldCharType="end"/>
      </w:r>
    </w:p>
    <w:p w14:paraId="0E9100DE">
      <w:pPr>
        <w:pStyle w:val="34"/>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_Toc22041 </w:instrText>
      </w:r>
      <w:r>
        <w:rPr>
          <w:rFonts w:ascii="仿宋_GB2312" w:eastAsia="仿宋_GB2312"/>
          <w:color w:val="auto"/>
          <w:sz w:val="28"/>
          <w:szCs w:val="28"/>
          <w:highlight w:val="none"/>
        </w:rPr>
        <w:fldChar w:fldCharType="separate"/>
      </w:r>
      <w:r>
        <w:rPr>
          <w:rFonts w:hint="eastAsia"/>
          <w:color w:val="auto"/>
          <w:sz w:val="28"/>
          <w:szCs w:val="28"/>
          <w:highlight w:val="none"/>
        </w:rPr>
        <w:t>第四章  评标方法及评标标准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_Toc22041 \h </w:instrText>
      </w:r>
      <w:r>
        <w:rPr>
          <w:color w:val="auto"/>
          <w:sz w:val="28"/>
          <w:szCs w:val="28"/>
          <w:highlight w:val="none"/>
        </w:rPr>
        <w:fldChar w:fldCharType="separate"/>
      </w:r>
      <w:r>
        <w:rPr>
          <w:color w:val="auto"/>
          <w:sz w:val="28"/>
          <w:szCs w:val="28"/>
          <w:highlight w:val="none"/>
        </w:rPr>
        <w:t>60</w:t>
      </w:r>
      <w:r>
        <w:rPr>
          <w:color w:val="auto"/>
          <w:sz w:val="28"/>
          <w:szCs w:val="28"/>
          <w:highlight w:val="none"/>
        </w:rPr>
        <w:fldChar w:fldCharType="end"/>
      </w:r>
      <w:r>
        <w:rPr>
          <w:rFonts w:ascii="仿宋_GB2312" w:eastAsia="仿宋_GB2312"/>
          <w:color w:val="auto"/>
          <w:sz w:val="28"/>
          <w:szCs w:val="28"/>
          <w:highlight w:val="none"/>
        </w:rPr>
        <w:fldChar w:fldCharType="end"/>
      </w:r>
    </w:p>
    <w:p w14:paraId="50B02B35">
      <w:pPr>
        <w:pStyle w:val="34"/>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_Toc12053 </w:instrText>
      </w:r>
      <w:r>
        <w:rPr>
          <w:rFonts w:ascii="仿宋_GB2312" w:eastAsia="仿宋_GB2312"/>
          <w:color w:val="auto"/>
          <w:sz w:val="28"/>
          <w:szCs w:val="28"/>
          <w:highlight w:val="none"/>
        </w:rPr>
        <w:fldChar w:fldCharType="separate"/>
      </w:r>
      <w:r>
        <w:rPr>
          <w:rFonts w:hint="eastAsia"/>
          <w:color w:val="auto"/>
          <w:sz w:val="28"/>
          <w:szCs w:val="28"/>
          <w:highlight w:val="none"/>
        </w:rPr>
        <w:t>第五章  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_Toc12053 \h </w:instrText>
      </w:r>
      <w:r>
        <w:rPr>
          <w:color w:val="auto"/>
          <w:sz w:val="28"/>
          <w:szCs w:val="28"/>
          <w:highlight w:val="none"/>
        </w:rPr>
        <w:fldChar w:fldCharType="separate"/>
      </w:r>
      <w:r>
        <w:rPr>
          <w:color w:val="auto"/>
          <w:sz w:val="28"/>
          <w:szCs w:val="28"/>
          <w:highlight w:val="none"/>
        </w:rPr>
        <w:t>71</w:t>
      </w:r>
      <w:r>
        <w:rPr>
          <w:color w:val="auto"/>
          <w:sz w:val="28"/>
          <w:szCs w:val="28"/>
          <w:highlight w:val="none"/>
        </w:rPr>
        <w:fldChar w:fldCharType="end"/>
      </w:r>
      <w:r>
        <w:rPr>
          <w:rFonts w:ascii="仿宋_GB2312" w:eastAsia="仿宋_GB2312"/>
          <w:color w:val="auto"/>
          <w:sz w:val="28"/>
          <w:szCs w:val="28"/>
          <w:highlight w:val="none"/>
        </w:rPr>
        <w:fldChar w:fldCharType="end"/>
      </w:r>
    </w:p>
    <w:p w14:paraId="414183BE">
      <w:pPr>
        <w:pStyle w:val="34"/>
        <w:tabs>
          <w:tab w:val="right" w:leader="dot" w:pos="9638"/>
          <w:tab w:val="clear" w:pos="8398"/>
        </w:tabs>
        <w:ind w:firstLine="280"/>
        <w:rPr>
          <w:rFonts w:hint="default" w:eastAsia="仿宋_GB2312"/>
          <w:color w:val="auto"/>
          <w:sz w:val="28"/>
          <w:szCs w:val="28"/>
          <w:highlight w:val="none"/>
          <w:lang w:val="en-US" w:eastAsia="zh-CN"/>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_Toc31786 </w:instrText>
      </w:r>
      <w:r>
        <w:rPr>
          <w:rFonts w:ascii="仿宋_GB2312" w:eastAsia="仿宋_GB2312"/>
          <w:color w:val="auto"/>
          <w:sz w:val="28"/>
          <w:szCs w:val="28"/>
          <w:highlight w:val="none"/>
        </w:rPr>
        <w:fldChar w:fldCharType="separate"/>
      </w:r>
      <w:r>
        <w:rPr>
          <w:rFonts w:hint="eastAsia"/>
          <w:color w:val="auto"/>
          <w:sz w:val="28"/>
          <w:szCs w:val="28"/>
          <w:highlight w:val="none"/>
        </w:rPr>
        <w:t>第六章　投标文件格式</w:t>
      </w:r>
      <w:r>
        <w:rPr>
          <w:color w:val="auto"/>
          <w:sz w:val="28"/>
          <w:szCs w:val="28"/>
          <w:highlight w:val="none"/>
        </w:rPr>
        <w:tab/>
      </w:r>
      <w:r>
        <w:rPr>
          <w:rFonts w:ascii="仿宋_GB2312" w:eastAsia="仿宋_GB2312"/>
          <w:color w:val="auto"/>
          <w:sz w:val="28"/>
          <w:szCs w:val="28"/>
          <w:highlight w:val="none"/>
        </w:rPr>
        <w:fldChar w:fldCharType="end"/>
      </w:r>
      <w:r>
        <w:rPr>
          <w:rFonts w:hint="eastAsia" w:ascii="仿宋_GB2312" w:eastAsia="仿宋_GB2312"/>
          <w:color w:val="auto"/>
          <w:sz w:val="28"/>
          <w:szCs w:val="28"/>
          <w:highlight w:val="none"/>
          <w:lang w:val="en-US" w:eastAsia="zh-CN"/>
        </w:rPr>
        <w:t>81</w:t>
      </w:r>
    </w:p>
    <w:p w14:paraId="41DBD5D1">
      <w:pPr>
        <w:spacing w:before="120" w:beforeLines="50" w:line="600" w:lineRule="exact"/>
        <w:jc w:val="center"/>
        <w:rPr>
          <w:rFonts w:hint="eastAsia" w:ascii="仿宋_GB2312" w:hAnsi="宋体" w:eastAsia="仿宋_GB2312"/>
          <w:color w:val="auto"/>
          <w:sz w:val="24"/>
          <w:highlight w:val="none"/>
        </w:rPr>
      </w:pPr>
      <w:r>
        <w:rPr>
          <w:rFonts w:ascii="仿宋_GB2312" w:hAnsi="宋体" w:eastAsia="仿宋_GB2312"/>
          <w:color w:val="auto"/>
          <w:sz w:val="28"/>
          <w:szCs w:val="28"/>
          <w:highlight w:val="none"/>
        </w:rPr>
        <w:fldChar w:fldCharType="end"/>
      </w:r>
    </w:p>
    <w:p w14:paraId="1995770B">
      <w:pPr>
        <w:spacing w:before="120" w:beforeLines="50" w:line="480" w:lineRule="exact"/>
        <w:rPr>
          <w:rFonts w:hint="eastAsia" w:ascii="仿宋_GB2312" w:hAnsi="宋体" w:eastAsia="仿宋_GB2312"/>
          <w:color w:val="auto"/>
          <w:sz w:val="30"/>
          <w:highlight w:val="none"/>
        </w:rPr>
      </w:pPr>
    </w:p>
    <w:p w14:paraId="5718BF18">
      <w:pPr>
        <w:rPr>
          <w:rFonts w:hint="eastAsia"/>
          <w:color w:val="auto"/>
          <w:highlight w:val="none"/>
        </w:rPr>
      </w:pPr>
    </w:p>
    <w:p w14:paraId="4CA9CEA4">
      <w:pPr>
        <w:spacing w:before="120" w:beforeLines="50" w:line="480" w:lineRule="exact"/>
        <w:rPr>
          <w:rFonts w:hint="eastAsia" w:ascii="仿宋_GB2312" w:hAnsi="宋体" w:eastAsia="仿宋_GB2312"/>
          <w:color w:val="auto"/>
          <w:sz w:val="30"/>
          <w:highlight w:val="none"/>
        </w:rPr>
      </w:pPr>
    </w:p>
    <w:p w14:paraId="6E30DB3A">
      <w:pPr>
        <w:spacing w:before="120" w:beforeLines="50" w:line="480" w:lineRule="exact"/>
        <w:rPr>
          <w:rFonts w:hint="eastAsia" w:ascii="仿宋_GB2312" w:hAnsi="宋体" w:eastAsia="仿宋_GB2312"/>
          <w:color w:val="auto"/>
          <w:sz w:val="30"/>
          <w:highlight w:val="none"/>
        </w:rPr>
      </w:pPr>
    </w:p>
    <w:p w14:paraId="647EFB85">
      <w:pPr>
        <w:pStyle w:val="18"/>
        <w:rPr>
          <w:rFonts w:hint="eastAsia" w:ascii="宋体" w:hAnsi="宋体" w:cs="宋体"/>
          <w:b/>
          <w:bCs/>
          <w:color w:val="auto"/>
          <w:highlight w:val="none"/>
        </w:rPr>
      </w:pPr>
      <w:bookmarkStart w:id="0" w:name="_Toc254970630"/>
      <w:bookmarkStart w:id="1" w:name="_Toc254970489"/>
    </w:p>
    <w:p w14:paraId="0A54BCDB">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sectPr>
          <w:footerReference r:id="rId7" w:type="first"/>
          <w:footerReference r:id="rId6" w:type="default"/>
          <w:pgSz w:w="11906" w:h="16838"/>
          <w:pgMar w:top="1134" w:right="1134" w:bottom="2269" w:left="1134" w:header="851" w:footer="567" w:gutter="0"/>
          <w:pgNumType w:start="1"/>
          <w:cols w:space="720" w:num="1"/>
          <w:docGrid w:linePitch="312" w:charSpace="0"/>
        </w:sectPr>
      </w:pPr>
    </w:p>
    <w:p w14:paraId="13974468">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pPr>
      <w:bookmarkStart w:id="2" w:name="_Toc25674"/>
      <w:r>
        <w:rPr>
          <w:rFonts w:hint="eastAsia"/>
          <w:color w:val="auto"/>
          <w:highlight w:val="none"/>
        </w:rPr>
        <w:t>第一章</w:t>
      </w:r>
      <w:bookmarkEnd w:id="0"/>
      <w:bookmarkEnd w:id="1"/>
      <w:bookmarkStart w:id="3" w:name="_Toc35393789"/>
      <w:bookmarkStart w:id="4" w:name="_Toc28359001"/>
      <w:r>
        <w:rPr>
          <w:rFonts w:hint="eastAsia"/>
          <w:color w:val="auto"/>
          <w:highlight w:val="none"/>
        </w:rPr>
        <w:t xml:space="preserve"> 招标公告</w:t>
      </w:r>
      <w:bookmarkEnd w:id="2"/>
      <w:bookmarkEnd w:id="3"/>
      <w:bookmarkEnd w:id="4"/>
    </w:p>
    <w:p w14:paraId="6A7A7620">
      <w:pPr>
        <w:rPr>
          <w:rFonts w:hint="eastAsia"/>
          <w:color w:val="auto"/>
          <w:highlight w:val="none"/>
        </w:rPr>
      </w:pPr>
    </w:p>
    <w:p w14:paraId="34EB4700">
      <w:pPr>
        <w:pStyle w:val="26"/>
        <w:spacing w:line="500" w:lineRule="exact"/>
        <w:jc w:val="center"/>
        <w:rPr>
          <w:b/>
          <w:color w:val="auto"/>
          <w:sz w:val="36"/>
          <w:szCs w:val="36"/>
          <w:highlight w:val="none"/>
        </w:rPr>
      </w:pPr>
      <w:r>
        <w:rPr>
          <w:rFonts w:hint="eastAsia"/>
          <w:b/>
          <w:color w:val="auto"/>
          <w:sz w:val="36"/>
          <w:szCs w:val="36"/>
          <w:highlight w:val="none"/>
        </w:rPr>
        <w:t>广西科文招标有限公司</w:t>
      </w:r>
    </w:p>
    <w:p w14:paraId="63ADAF8F">
      <w:pPr>
        <w:pStyle w:val="2"/>
        <w:tabs>
          <w:tab w:val="left" w:pos="0"/>
          <w:tab w:val="left" w:pos="3165"/>
          <w:tab w:val="center" w:pos="4153"/>
        </w:tabs>
        <w:autoSpaceDE w:val="0"/>
        <w:autoSpaceDN w:val="0"/>
        <w:adjustRightInd w:val="0"/>
        <w:spacing w:before="0" w:after="0" w:line="500" w:lineRule="exact"/>
        <w:jc w:val="center"/>
        <w:rPr>
          <w:rFonts w:hint="eastAsia" w:ascii="宋体" w:hAnsi="宋体"/>
          <w:color w:val="auto"/>
          <w:szCs w:val="21"/>
          <w:highlight w:val="none"/>
        </w:rPr>
      </w:pPr>
      <w:bookmarkStart w:id="5" w:name="_Toc29290"/>
      <w:r>
        <w:rPr>
          <w:rFonts w:hint="eastAsia" w:ascii="宋体" w:hAnsi="Courier New"/>
          <w:bCs w:val="0"/>
          <w:color w:val="auto"/>
          <w:kern w:val="2"/>
          <w:sz w:val="36"/>
          <w:szCs w:val="36"/>
          <w:highlight w:val="none"/>
          <w:lang w:eastAsia="zh-CN"/>
        </w:rPr>
        <w:t>医院HIS系统维保服务</w:t>
      </w:r>
      <w:r>
        <w:rPr>
          <w:rFonts w:hint="eastAsia" w:ascii="宋体" w:hAnsi="Courier New"/>
          <w:bCs w:val="0"/>
          <w:color w:val="auto"/>
          <w:kern w:val="2"/>
          <w:sz w:val="36"/>
          <w:szCs w:val="36"/>
          <w:highlight w:val="none"/>
        </w:rPr>
        <w:t>（</w:t>
      </w:r>
      <w:r>
        <w:rPr>
          <w:rFonts w:hint="eastAsia" w:ascii="宋体" w:hAnsi="Courier New"/>
          <w:bCs w:val="0"/>
          <w:color w:val="auto"/>
          <w:kern w:val="2"/>
          <w:sz w:val="36"/>
          <w:szCs w:val="36"/>
          <w:highlight w:val="none"/>
          <w:lang w:eastAsia="zh-CN"/>
        </w:rPr>
        <w:t>GXZC2026-G3-002051-KWZB</w:t>
      </w:r>
      <w:r>
        <w:rPr>
          <w:rFonts w:hint="eastAsia" w:ascii="宋体" w:hAnsi="Courier New"/>
          <w:bCs w:val="0"/>
          <w:color w:val="auto"/>
          <w:kern w:val="2"/>
          <w:sz w:val="36"/>
          <w:szCs w:val="36"/>
          <w:highlight w:val="none"/>
        </w:rPr>
        <w:t>）招标公告</w:t>
      </w:r>
      <w:bookmarkEnd w:id="5"/>
    </w:p>
    <w:p w14:paraId="53AD5889">
      <w:pPr>
        <w:pStyle w:val="2"/>
        <w:tabs>
          <w:tab w:val="left" w:pos="0"/>
          <w:tab w:val="left" w:pos="3165"/>
          <w:tab w:val="center" w:pos="4153"/>
        </w:tabs>
        <w:autoSpaceDE w:val="0"/>
        <w:autoSpaceDN w:val="0"/>
        <w:adjustRightInd w:val="0"/>
        <w:spacing w:before="0" w:after="0" w:line="500" w:lineRule="exact"/>
        <w:jc w:val="center"/>
        <w:rPr>
          <w:rFonts w:hint="eastAsia" w:ascii="宋体" w:hAnsi="Courier New"/>
          <w:bCs w:val="0"/>
          <w:color w:val="auto"/>
          <w:kern w:val="2"/>
          <w:sz w:val="36"/>
          <w:szCs w:val="36"/>
          <w:highlight w:val="none"/>
        </w:rPr>
      </w:pPr>
    </w:p>
    <w:p w14:paraId="2A9DEF87">
      <w:pPr>
        <w:pBdr>
          <w:top w:val="single" w:color="auto" w:sz="4" w:space="1"/>
          <w:left w:val="single" w:color="auto" w:sz="4" w:space="4"/>
          <w:bottom w:val="single" w:color="auto" w:sz="4" w:space="0"/>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4DAE5053">
      <w:pPr>
        <w:pBdr>
          <w:top w:val="single" w:color="auto" w:sz="4" w:space="1"/>
          <w:left w:val="single" w:color="auto" w:sz="4" w:space="4"/>
          <w:bottom w:val="single" w:color="auto" w:sz="4" w:space="0"/>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医院HIS系统维保服务</w:t>
      </w:r>
      <w:r>
        <w:rPr>
          <w:rFonts w:hint="eastAsia" w:ascii="宋体" w:hAnsi="宋体"/>
          <w:color w:val="auto"/>
          <w:szCs w:val="21"/>
          <w:highlight w:val="none"/>
        </w:rPr>
        <w:t>招标项目的潜在投标人应在广西政府采购云平台（https://www.gcy.zfcg.gxzf.gov.cn）获取（下载）招标文件，并于</w:t>
      </w:r>
      <w:r>
        <w:rPr>
          <w:rFonts w:hint="eastAsia" w:ascii="宋体" w:hAnsi="宋体"/>
          <w:color w:val="auto"/>
          <w:szCs w:val="21"/>
          <w:highlight w:val="none"/>
          <w:lang w:eastAsia="zh-CN"/>
        </w:rPr>
        <w:t>2026年  月  日9时30分</w:t>
      </w:r>
      <w:r>
        <w:rPr>
          <w:rFonts w:hint="eastAsia" w:ascii="宋体" w:hAnsi="宋体"/>
          <w:color w:val="auto"/>
          <w:szCs w:val="21"/>
          <w:highlight w:val="none"/>
        </w:rPr>
        <w:t>（北京时间）前</w:t>
      </w:r>
      <w:r>
        <w:rPr>
          <w:rFonts w:hint="eastAsia" w:ascii="宋体" w:hAnsi="宋体"/>
          <w:bCs/>
          <w:color w:val="auto"/>
          <w:szCs w:val="21"/>
          <w:highlight w:val="none"/>
        </w:rPr>
        <w:t>递交投标</w:t>
      </w:r>
      <w:r>
        <w:rPr>
          <w:rFonts w:ascii="宋体" w:hAnsi="宋体"/>
          <w:bCs/>
          <w:color w:val="auto"/>
          <w:szCs w:val="21"/>
          <w:highlight w:val="none"/>
        </w:rPr>
        <w:t>文件</w:t>
      </w:r>
      <w:r>
        <w:rPr>
          <w:rFonts w:hint="eastAsia" w:ascii="宋体" w:hAnsi="宋体"/>
          <w:color w:val="auto"/>
          <w:szCs w:val="21"/>
          <w:highlight w:val="none"/>
        </w:rPr>
        <w:t>。</w:t>
      </w:r>
    </w:p>
    <w:p w14:paraId="4F56461D">
      <w:pPr>
        <w:spacing w:line="360" w:lineRule="auto"/>
        <w:rPr>
          <w:rFonts w:ascii="宋体" w:hAnsi="宋体"/>
          <w:color w:val="auto"/>
          <w:szCs w:val="21"/>
          <w:highlight w:val="none"/>
        </w:rPr>
      </w:pPr>
    </w:p>
    <w:p w14:paraId="785377F9">
      <w:pPr>
        <w:spacing w:line="440" w:lineRule="exact"/>
        <w:rPr>
          <w:rFonts w:ascii="黑体" w:hAnsi="黑体" w:eastAsia="黑体"/>
          <w:b/>
          <w:bCs/>
          <w:color w:val="auto"/>
          <w:sz w:val="24"/>
          <w:highlight w:val="none"/>
        </w:rPr>
      </w:pPr>
      <w:bookmarkStart w:id="6" w:name="_Toc35393790"/>
      <w:bookmarkStart w:id="7" w:name="_Toc28359079"/>
      <w:bookmarkStart w:id="8" w:name="_Toc28359002"/>
      <w:bookmarkStart w:id="9" w:name="_Toc35393621"/>
      <w:bookmarkStart w:id="10" w:name="_Hlk24379207"/>
      <w:r>
        <w:rPr>
          <w:rFonts w:hint="eastAsia" w:ascii="黑体" w:hAnsi="黑体" w:eastAsia="黑体"/>
          <w:b/>
          <w:bCs/>
          <w:color w:val="auto"/>
          <w:sz w:val="24"/>
          <w:highlight w:val="none"/>
        </w:rPr>
        <w:t>一、项目基本情况</w:t>
      </w:r>
      <w:bookmarkEnd w:id="6"/>
      <w:bookmarkEnd w:id="7"/>
      <w:bookmarkEnd w:id="8"/>
      <w:bookmarkEnd w:id="9"/>
    </w:p>
    <w:p w14:paraId="315298B0">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GXZC2026-G3-002051-KWZB</w:t>
      </w:r>
    </w:p>
    <w:p w14:paraId="275B91E2">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医院HIS系统维保服务</w:t>
      </w:r>
    </w:p>
    <w:bookmarkEnd w:id="10"/>
    <w:p w14:paraId="5105C0DE">
      <w:pPr>
        <w:spacing w:line="440" w:lineRule="exac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500万元</w:t>
      </w:r>
    </w:p>
    <w:p w14:paraId="00A65E7E">
      <w:pPr>
        <w:spacing w:line="440" w:lineRule="exact"/>
        <w:ind w:firstLine="420" w:firstLineChars="200"/>
        <w:rPr>
          <w:rFonts w:hint="default" w:ascii="宋体" w:hAnsi="宋体"/>
          <w:color w:val="auto"/>
          <w:szCs w:val="21"/>
          <w:highlight w:val="none"/>
          <w:lang w:val="en-US"/>
        </w:rPr>
      </w:pPr>
      <w:r>
        <w:rPr>
          <w:rFonts w:hint="eastAsia" w:ascii="宋体" w:hAnsi="宋体"/>
          <w:color w:val="auto"/>
          <w:szCs w:val="21"/>
          <w:highlight w:val="none"/>
        </w:rPr>
        <w:t>最高限价：</w:t>
      </w:r>
      <w:r>
        <w:rPr>
          <w:rFonts w:hint="eastAsia" w:ascii="宋体" w:hAnsi="宋体"/>
          <w:color w:val="auto"/>
          <w:szCs w:val="21"/>
          <w:highlight w:val="none"/>
          <w:lang w:val="en-US" w:eastAsia="zh-CN"/>
        </w:rPr>
        <w:t>500万元</w:t>
      </w:r>
    </w:p>
    <w:p w14:paraId="6694FE85">
      <w:pPr>
        <w:pStyle w:val="26"/>
        <w:spacing w:line="440" w:lineRule="exact"/>
        <w:ind w:firstLine="420" w:firstLineChars="200"/>
        <w:rPr>
          <w:rFonts w:hAnsi="宋体"/>
          <w:b/>
          <w:bCs/>
          <w:color w:val="auto"/>
          <w:sz w:val="21"/>
          <w:szCs w:val="21"/>
          <w:highlight w:val="none"/>
        </w:rPr>
      </w:pPr>
      <w:r>
        <w:rPr>
          <w:rFonts w:hint="eastAsia" w:hAnsi="宋体"/>
          <w:color w:val="auto"/>
          <w:sz w:val="21"/>
          <w:highlight w:val="none"/>
        </w:rPr>
        <w:t>采购需求：</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
        <w:gridCol w:w="1537"/>
        <w:gridCol w:w="865"/>
        <w:gridCol w:w="6145"/>
      </w:tblGrid>
      <w:tr w14:paraId="35137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296D98D">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序号</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1738F686">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标的名称</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6494DF86">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6145" w:type="dxa"/>
            <w:tcBorders>
              <w:top w:val="single" w:color="auto" w:sz="4" w:space="0"/>
              <w:left w:val="single" w:color="auto" w:sz="4" w:space="0"/>
              <w:bottom w:val="single" w:color="auto" w:sz="4" w:space="0"/>
              <w:right w:val="single" w:color="auto" w:sz="4" w:space="0"/>
            </w:tcBorders>
            <w:noWrap w:val="0"/>
            <w:vAlign w:val="center"/>
          </w:tcPr>
          <w:p w14:paraId="4879C84B">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118F5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080FA99">
            <w:pPr>
              <w:snapToGrid w:val="0"/>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271D9F01">
            <w:pPr>
              <w:snapToGrid w:val="0"/>
              <w:spacing w:line="440" w:lineRule="exac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医院HIS系统维保服务</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4F606F8C">
            <w:pPr>
              <w:snapToGrid w:val="0"/>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1项</w:t>
            </w:r>
          </w:p>
        </w:tc>
        <w:tc>
          <w:tcPr>
            <w:tcW w:w="6145" w:type="dxa"/>
            <w:tcBorders>
              <w:top w:val="single" w:color="auto" w:sz="4" w:space="0"/>
              <w:left w:val="single" w:color="auto" w:sz="4" w:space="0"/>
              <w:bottom w:val="single" w:color="auto" w:sz="4" w:space="0"/>
              <w:right w:val="single" w:color="auto" w:sz="4" w:space="0"/>
            </w:tcBorders>
            <w:noWrap w:val="0"/>
            <w:vAlign w:val="center"/>
          </w:tcPr>
          <w:p w14:paraId="002E8EC2">
            <w:pPr>
              <w:pStyle w:val="2"/>
              <w:pageBreakBefore w:val="0"/>
              <w:kinsoku/>
              <w:wordWrap/>
              <w:overflowPunct/>
              <w:topLinePunct w:val="0"/>
              <w:autoSpaceDE/>
              <w:autoSpaceDN/>
              <w:bidi w:val="0"/>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建设内容</w:t>
            </w:r>
          </w:p>
          <w:p w14:paraId="6FD76577">
            <w:pPr>
              <w:snapToGrid w:val="0"/>
              <w:spacing w:line="4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本项目所</w:t>
            </w:r>
            <w:r>
              <w:rPr>
                <w:rFonts w:hint="eastAsia" w:ascii="宋体" w:hAnsi="宋体" w:eastAsia="宋体" w:cs="宋体"/>
                <w:color w:val="auto"/>
                <w:sz w:val="21"/>
                <w:szCs w:val="21"/>
                <w:highlight w:val="none"/>
                <w:lang w:val="en-US" w:eastAsia="zh-CN"/>
              </w:rPr>
              <w:t>建设的内容为</w:t>
            </w:r>
            <w:r>
              <w:rPr>
                <w:rFonts w:hint="eastAsia" w:ascii="宋体" w:hAnsi="宋体" w:cs="宋体"/>
                <w:color w:val="auto"/>
                <w:sz w:val="21"/>
                <w:szCs w:val="21"/>
                <w:highlight w:val="none"/>
                <w:lang w:eastAsia="zh-CN"/>
              </w:rPr>
              <w:t>医院HIS系统维保服务</w:t>
            </w:r>
            <w:r>
              <w:rPr>
                <w:rFonts w:hint="eastAsia" w:ascii="宋体" w:hAnsi="宋体" w:eastAsia="宋体" w:cs="宋体"/>
                <w:color w:val="auto"/>
                <w:sz w:val="21"/>
                <w:szCs w:val="21"/>
                <w:highlight w:val="none"/>
                <w:lang w:val="en-US" w:eastAsia="zh-CN"/>
              </w:rPr>
              <w:t>2年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服务内容包含现有的东华iMedical HO下所有产品线的许可对采购人开放，采购人可以按实际需要选择具体上线的产品；采购人正在使用和实施的东华医为系统的维保服务；各类评级服务（电子病历六级、智慧服务四级、互联互通五乙、三甲医院绩效指标等评级产品和服务支持）；基于iMedical HO的所有新需求(包括但不限于报表、医保政策、国家省地市的政策等)和接口服务。</w:t>
            </w:r>
          </w:p>
          <w:p w14:paraId="721D2361">
            <w:pPr>
              <w:snapToGrid w:val="0"/>
              <w:spacing w:line="440" w:lineRule="exact"/>
              <w:jc w:val="left"/>
              <w:rPr>
                <w:rFonts w:ascii="宋体" w:hAnsi="宋体" w:cs="宋体"/>
                <w:color w:val="auto"/>
                <w:kern w:val="0"/>
                <w:szCs w:val="21"/>
                <w:highlight w:val="none"/>
                <w:lang w:bidi="ar"/>
              </w:rPr>
            </w:pPr>
            <w:r>
              <w:rPr>
                <w:rFonts w:hint="default" w:ascii="Arial" w:hAnsi="Arial" w:cs="Arial"/>
                <w:b/>
                <w:bCs w:val="0"/>
                <w:color w:val="auto"/>
                <w:szCs w:val="21"/>
                <w:highlight w:val="none"/>
              </w:rPr>
              <w:t>……</w:t>
            </w:r>
            <w:r>
              <w:rPr>
                <w:rFonts w:hint="eastAsia" w:ascii="宋体" w:hAnsi="宋体" w:cs="宋体"/>
                <w:b/>
                <w:bCs w:val="0"/>
                <w:color w:val="auto"/>
                <w:kern w:val="0"/>
                <w:szCs w:val="21"/>
                <w:highlight w:val="none"/>
                <w:lang w:bidi="ar"/>
              </w:rPr>
              <w:t>，具体详见第二章采购需求。</w:t>
            </w:r>
          </w:p>
        </w:tc>
      </w:tr>
    </w:tbl>
    <w:p w14:paraId="371AA320">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合同履行期限：自合同签订之日起两年。</w:t>
      </w:r>
    </w:p>
    <w:p w14:paraId="619370DF">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本项目不接受联合体投标。</w:t>
      </w:r>
    </w:p>
    <w:p w14:paraId="723A5289">
      <w:pPr>
        <w:spacing w:line="440" w:lineRule="exact"/>
        <w:rPr>
          <w:rFonts w:ascii="黑体" w:hAnsi="黑体" w:eastAsia="黑体"/>
          <w:b/>
          <w:bCs/>
          <w:color w:val="auto"/>
          <w:sz w:val="24"/>
          <w:highlight w:val="none"/>
        </w:rPr>
      </w:pPr>
      <w:bookmarkStart w:id="11" w:name="_Toc35393791"/>
      <w:bookmarkStart w:id="12" w:name="_Toc28359080"/>
      <w:bookmarkStart w:id="13" w:name="_Toc28359003"/>
      <w:bookmarkStart w:id="14" w:name="_Toc35393622"/>
      <w:r>
        <w:rPr>
          <w:rFonts w:hint="eastAsia" w:ascii="黑体" w:hAnsi="黑体" w:eastAsia="黑体"/>
          <w:b/>
          <w:bCs/>
          <w:color w:val="auto"/>
          <w:sz w:val="24"/>
          <w:highlight w:val="none"/>
        </w:rPr>
        <w:t>二、申请人的资格要求：</w:t>
      </w:r>
      <w:bookmarkEnd w:id="11"/>
      <w:bookmarkEnd w:id="12"/>
      <w:bookmarkEnd w:id="13"/>
      <w:bookmarkEnd w:id="14"/>
    </w:p>
    <w:p w14:paraId="4370E835">
      <w:pPr>
        <w:spacing w:line="440" w:lineRule="exact"/>
        <w:ind w:firstLine="420" w:firstLineChars="200"/>
        <w:rPr>
          <w:rFonts w:ascii="宋体" w:hAnsi="宋体"/>
          <w:color w:val="auto"/>
          <w:szCs w:val="21"/>
          <w:highlight w:val="none"/>
        </w:rPr>
      </w:pPr>
      <w:bookmarkStart w:id="15" w:name="_Toc28359004"/>
      <w:bookmarkStart w:id="16" w:name="_Toc28359081"/>
      <w:bookmarkStart w:id="17" w:name="_Toc35393623"/>
      <w:bookmarkStart w:id="18" w:name="_Toc35393792"/>
      <w:r>
        <w:rPr>
          <w:rFonts w:hint="eastAsia" w:ascii="宋体" w:hAnsi="宋体"/>
          <w:color w:val="auto"/>
          <w:szCs w:val="21"/>
          <w:highlight w:val="none"/>
        </w:rPr>
        <w:t>1、满足《中华人民共和国政府采购法》第二十二条规定；</w:t>
      </w:r>
    </w:p>
    <w:p w14:paraId="239F1B6D">
      <w:pPr>
        <w:spacing w:line="440" w:lineRule="exact"/>
        <w:ind w:firstLine="420" w:firstLineChars="200"/>
        <w:rPr>
          <w:rFonts w:hint="eastAsia" w:ascii="宋体" w:hAnsi="宋体" w:eastAsia="宋体"/>
          <w:color w:val="auto"/>
          <w:szCs w:val="21"/>
          <w:highlight w:val="none"/>
          <w:u w:val="none"/>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w:t>
      </w:r>
      <w:r>
        <w:rPr>
          <w:rFonts w:hint="eastAsia" w:ascii="宋体" w:hAnsi="宋体"/>
          <w:color w:val="auto"/>
          <w:szCs w:val="21"/>
          <w:highlight w:val="none"/>
          <w:u w:val="none"/>
        </w:rPr>
        <w:t>要求：无</w:t>
      </w:r>
      <w:r>
        <w:rPr>
          <w:rFonts w:hint="eastAsia" w:ascii="宋体" w:hAnsi="宋体"/>
          <w:color w:val="auto"/>
          <w:szCs w:val="21"/>
          <w:highlight w:val="none"/>
          <w:u w:val="none"/>
          <w:lang w:eastAsia="zh-CN"/>
        </w:rPr>
        <w:t>，非专门面向中小企业采购的项目；</w:t>
      </w:r>
    </w:p>
    <w:p w14:paraId="75564DE6">
      <w:pPr>
        <w:spacing w:line="440" w:lineRule="exact"/>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3、本项目的特定资格要求：</w:t>
      </w:r>
      <w:r>
        <w:rPr>
          <w:rFonts w:hint="eastAsia" w:ascii="宋体" w:hAnsi="宋体"/>
          <w:color w:val="auto"/>
          <w:szCs w:val="21"/>
          <w:highlight w:val="none"/>
          <w:u w:val="none"/>
          <w:lang w:val="en-US" w:eastAsia="zh-CN"/>
        </w:rPr>
        <w:t>无</w:t>
      </w:r>
      <w:r>
        <w:rPr>
          <w:rFonts w:hint="eastAsia" w:ascii="宋体" w:hAnsi="宋体"/>
          <w:color w:val="auto"/>
          <w:szCs w:val="21"/>
          <w:highlight w:val="none"/>
          <w:u w:val="none"/>
        </w:rPr>
        <w:t>。</w:t>
      </w:r>
    </w:p>
    <w:p w14:paraId="72182438">
      <w:pPr>
        <w:spacing w:line="440" w:lineRule="exact"/>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5"/>
      <w:bookmarkEnd w:id="16"/>
      <w:bookmarkEnd w:id="17"/>
      <w:bookmarkEnd w:id="18"/>
    </w:p>
    <w:p w14:paraId="4F058AD8">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时间：</w:t>
      </w:r>
      <w:r>
        <w:rPr>
          <w:rFonts w:hint="eastAsia" w:ascii="宋体" w:hAnsi="宋体" w:cs="Arial"/>
          <w:color w:val="auto"/>
          <w:szCs w:val="21"/>
          <w:highlight w:val="none"/>
          <w:lang w:eastAsia="zh-CN"/>
        </w:rPr>
        <w:t>2026年  月  日</w:t>
      </w:r>
      <w:r>
        <w:rPr>
          <w:rFonts w:hint="eastAsia" w:ascii="宋体" w:hAnsi="宋体" w:cs="Arial"/>
          <w:color w:val="auto"/>
          <w:szCs w:val="21"/>
          <w:highlight w:val="none"/>
        </w:rPr>
        <w:t>至</w:t>
      </w:r>
      <w:r>
        <w:rPr>
          <w:rFonts w:hint="eastAsia" w:ascii="宋体" w:hAnsi="宋体" w:cs="Arial"/>
          <w:color w:val="auto"/>
          <w:szCs w:val="21"/>
          <w:highlight w:val="none"/>
          <w:lang w:eastAsia="zh-CN"/>
        </w:rPr>
        <w:t>2026年  月  日</w:t>
      </w:r>
      <w:r>
        <w:rPr>
          <w:rFonts w:hint="eastAsia" w:ascii="宋体" w:hAnsi="宋体" w:cs="Arial"/>
          <w:color w:val="auto"/>
          <w:szCs w:val="21"/>
          <w:highlight w:val="none"/>
        </w:rPr>
        <w:t>，每天上午00:00-12:00；下午12:00-23:59（北京时间，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p>
    <w:p w14:paraId="0030494E">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地点：广西政府采购云平台（https://www.gcy.zfcg.gxzf.gov.cn）</w:t>
      </w:r>
    </w:p>
    <w:p w14:paraId="5403D405">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方式：网上下载。本项目不发放纸质文件，投标人应自行在</w:t>
      </w:r>
      <w:r>
        <w:rPr>
          <w:rFonts w:hint="eastAsia" w:ascii="宋体" w:hAnsi="宋体" w:cs="Arial"/>
          <w:color w:val="auto"/>
          <w:szCs w:val="21"/>
          <w:highlight w:val="none"/>
        </w:rPr>
        <w:fldChar w:fldCharType="begin"/>
      </w:r>
      <w:r>
        <w:rPr>
          <w:rFonts w:hint="eastAsia" w:ascii="宋体" w:hAnsi="宋体" w:cs="Arial"/>
          <w:color w:val="auto"/>
          <w:szCs w:val="21"/>
          <w:highlight w:val="none"/>
        </w:rPr>
        <w:instrText xml:space="preserve"> HYPERLINK "" </w:instrText>
      </w:r>
      <w:r>
        <w:rPr>
          <w:rFonts w:hint="eastAsia" w:ascii="宋体" w:hAnsi="宋体" w:cs="Arial"/>
          <w:color w:val="auto"/>
          <w:szCs w:val="21"/>
          <w:highlight w:val="none"/>
        </w:rPr>
        <w:fldChar w:fldCharType="separate"/>
      </w:r>
      <w:r>
        <w:rPr>
          <w:rFonts w:hint="eastAsia" w:ascii="宋体" w:hAnsi="宋体" w:cs="Arial"/>
          <w:color w:val="auto"/>
          <w:szCs w:val="21"/>
          <w:highlight w:val="none"/>
        </w:rPr>
        <w:fldChar w:fldCharType="end"/>
      </w:r>
      <w:r>
        <w:rPr>
          <w:rFonts w:hint="eastAsia" w:ascii="宋体" w:hAnsi="宋体" w:cs="Arial"/>
          <w:color w:val="auto"/>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26C5B959">
      <w:pPr>
        <w:spacing w:line="440" w:lineRule="exact"/>
        <w:ind w:firstLine="420" w:firstLineChars="200"/>
        <w:rPr>
          <w:rFonts w:ascii="宋体" w:hAnsi="宋体" w:cs="宋体"/>
          <w:color w:val="auto"/>
          <w:szCs w:val="21"/>
          <w:highlight w:val="none"/>
        </w:rPr>
      </w:pPr>
      <w:r>
        <w:rPr>
          <w:rFonts w:hint="eastAsia" w:ascii="宋体" w:hAnsi="宋体" w:cs="Arial"/>
          <w:color w:val="auto"/>
          <w:szCs w:val="21"/>
          <w:highlight w:val="none"/>
        </w:rPr>
        <w:t>售价：0元。</w:t>
      </w:r>
    </w:p>
    <w:p w14:paraId="0B46EFBE">
      <w:pPr>
        <w:spacing w:line="440" w:lineRule="exact"/>
        <w:rPr>
          <w:rFonts w:ascii="黑体" w:hAnsi="黑体" w:eastAsia="黑体"/>
          <w:b/>
          <w:bCs/>
          <w:color w:val="auto"/>
          <w:sz w:val="24"/>
          <w:highlight w:val="none"/>
        </w:rPr>
      </w:pPr>
      <w:bookmarkStart w:id="19" w:name="_Toc28359082"/>
      <w:bookmarkStart w:id="20" w:name="_Toc28359005"/>
      <w:bookmarkStart w:id="21" w:name="_Toc35393793"/>
      <w:bookmarkStart w:id="22" w:name="_Toc35393624"/>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7CFEE328">
      <w:pPr>
        <w:spacing w:line="440" w:lineRule="exact"/>
        <w:ind w:firstLine="420" w:firstLineChars="200"/>
        <w:rPr>
          <w:rFonts w:ascii="宋体" w:hAnsi="宋体" w:cs="Arial"/>
          <w:color w:val="auto"/>
          <w:szCs w:val="21"/>
          <w:highlight w:val="none"/>
        </w:rPr>
      </w:pPr>
      <w:bookmarkStart w:id="23" w:name="_Toc28359084"/>
      <w:bookmarkStart w:id="24" w:name="_Toc28359007"/>
      <w:bookmarkStart w:id="25" w:name="_Toc35393625"/>
      <w:bookmarkStart w:id="26" w:name="_Toc35393794"/>
      <w:r>
        <w:rPr>
          <w:rFonts w:hint="eastAsia" w:ascii="宋体" w:hAnsi="宋体"/>
          <w:color w:val="auto"/>
          <w:szCs w:val="21"/>
          <w:highlight w:val="none"/>
        </w:rPr>
        <w:t>1、</w:t>
      </w:r>
      <w:r>
        <w:rPr>
          <w:rFonts w:hint="eastAsia" w:ascii="宋体" w:hAnsi="宋体" w:cs="宋体"/>
          <w:color w:val="auto"/>
          <w:szCs w:val="21"/>
          <w:highlight w:val="none"/>
          <w:lang w:bidi="ar"/>
        </w:rPr>
        <w:t>截止时间</w:t>
      </w:r>
      <w:r>
        <w:rPr>
          <w:rFonts w:hint="eastAsia" w:ascii="宋体" w:hAnsi="宋体"/>
          <w:color w:val="auto"/>
          <w:szCs w:val="21"/>
          <w:highlight w:val="none"/>
        </w:rPr>
        <w:t>：</w:t>
      </w:r>
      <w:r>
        <w:rPr>
          <w:rFonts w:hint="eastAsia" w:ascii="宋体" w:hAnsi="宋体" w:cs="Arial"/>
          <w:color w:val="auto"/>
          <w:szCs w:val="21"/>
          <w:highlight w:val="none"/>
          <w:lang w:eastAsia="zh-CN"/>
        </w:rPr>
        <w:t>2026年  月  日9时30分</w:t>
      </w:r>
      <w:r>
        <w:rPr>
          <w:rFonts w:hint="eastAsia" w:ascii="宋体" w:hAnsi="宋体" w:cs="Arial"/>
          <w:color w:val="auto"/>
          <w:szCs w:val="21"/>
          <w:highlight w:val="none"/>
        </w:rPr>
        <w:t>（北京时间）</w:t>
      </w:r>
    </w:p>
    <w:p w14:paraId="737C7157">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2、地点：本项目将在广西政府采购云平台电子开标大厅解密、开标。</w:t>
      </w:r>
    </w:p>
    <w:p w14:paraId="4A8F12ED">
      <w:pPr>
        <w:spacing w:line="440" w:lineRule="exact"/>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39DAACA5">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13DA5DB">
      <w:pPr>
        <w:spacing w:line="440" w:lineRule="exact"/>
        <w:rPr>
          <w:rFonts w:ascii="黑体" w:hAnsi="黑体" w:eastAsia="黑体"/>
          <w:b/>
          <w:bCs/>
          <w:color w:val="auto"/>
          <w:sz w:val="24"/>
          <w:highlight w:val="none"/>
        </w:rPr>
      </w:pPr>
      <w:bookmarkStart w:id="27" w:name="_Toc35393626"/>
      <w:bookmarkStart w:id="28" w:name="_Toc35393795"/>
      <w:r>
        <w:rPr>
          <w:rFonts w:hint="eastAsia" w:ascii="黑体" w:hAnsi="黑体" w:eastAsia="黑体"/>
          <w:b/>
          <w:bCs/>
          <w:color w:val="auto"/>
          <w:sz w:val="24"/>
          <w:highlight w:val="none"/>
        </w:rPr>
        <w:t>六、其他补充事宜</w:t>
      </w:r>
      <w:bookmarkEnd w:id="27"/>
      <w:bookmarkEnd w:id="28"/>
    </w:p>
    <w:p w14:paraId="23956654">
      <w:pPr>
        <w:spacing w:line="440" w:lineRule="exact"/>
        <w:ind w:firstLine="420" w:firstLineChars="200"/>
        <w:rPr>
          <w:rFonts w:hint="eastAsia" w:ascii="宋体" w:hAnsi="宋体" w:cs="宋体"/>
          <w:color w:val="auto"/>
          <w:kern w:val="0"/>
          <w:szCs w:val="21"/>
          <w:highlight w:val="none"/>
        </w:rPr>
      </w:pPr>
      <w:bookmarkStart w:id="29" w:name="_Hlk37429674"/>
      <w:r>
        <w:rPr>
          <w:rFonts w:hint="eastAsia" w:ascii="宋体" w:hAnsi="宋体" w:cs="宋体"/>
          <w:color w:val="auto"/>
          <w:kern w:val="0"/>
          <w:szCs w:val="21"/>
          <w:highlight w:val="none"/>
        </w:rPr>
        <w:t>1、投标保证金（人民币）：</w:t>
      </w:r>
      <w:r>
        <w:rPr>
          <w:rFonts w:hint="eastAsia" w:ascii="宋体" w:hAnsi="宋体" w:cs="宋体"/>
          <w:color w:val="auto"/>
          <w:kern w:val="0"/>
          <w:szCs w:val="21"/>
          <w:highlight w:val="none"/>
          <w:lang w:val="en-US" w:eastAsia="zh-CN"/>
        </w:rPr>
        <w:t>2万元</w:t>
      </w:r>
      <w:r>
        <w:rPr>
          <w:rFonts w:hint="eastAsia" w:ascii="宋体" w:hAnsi="宋体" w:cs="宋体"/>
          <w:color w:val="auto"/>
          <w:kern w:val="0"/>
          <w:szCs w:val="21"/>
          <w:highlight w:val="none"/>
        </w:rPr>
        <w:t>。</w:t>
      </w:r>
    </w:p>
    <w:p w14:paraId="6F568618">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4BA5AE50">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p w14:paraId="106FED25">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4、网上查询地址：中国政府采购网（www.ccgp.gov.cn）、广西政府采购网（zfcg.gxzf.gov.cn）、广西壮族自治区公共资源交易中心（http://ggzy.jgswj.gxzf.gov.cn/）。</w:t>
      </w:r>
    </w:p>
    <w:p w14:paraId="659BEC1A">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5、本项目需要落实的政府采购政策：</w:t>
      </w:r>
    </w:p>
    <w:p w14:paraId="7FD225DA">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0B8DF3A2">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79DA7D1D">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DE97148">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1BF0FABF">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383ACF0E">
      <w:pPr>
        <w:widowControl/>
        <w:spacing w:line="4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6、投标注意事项：</w:t>
      </w:r>
    </w:p>
    <w:p w14:paraId="624F75C7">
      <w:pPr>
        <w:widowControl/>
        <w:spacing w:line="44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lang w:bidi="ar"/>
        </w:rPr>
        <w:t>（1）投标文件提交方式：本项目为全流程电子化政府采购项目，通过广西政府采购云平台（https://www.gcy.zfcg.gxzf.gov.cn）实行在线电子投标，投标人应先安装“政采云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auto"/>
          <w:szCs w:val="21"/>
          <w:highlight w:val="none"/>
          <w:lang w:bidi="ar"/>
        </w:rPr>
        <w:t>投标人在广西政府采购云平台提交电子版投标文件时，请填写参加远程开标活动经办人联系方式。</w:t>
      </w:r>
    </w:p>
    <w:p w14:paraId="051775E0">
      <w:pPr>
        <w:widowControl/>
        <w:spacing w:line="4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（2）投标人</w:t>
      </w:r>
      <w:r>
        <w:rPr>
          <w:rFonts w:ascii="宋体" w:hAnsi="宋体" w:cs="宋体"/>
          <w:color w:val="auto"/>
          <w:szCs w:val="21"/>
          <w:highlight w:val="none"/>
          <w:lang w:bidi="ar"/>
        </w:rPr>
        <w:t>应及时熟悉掌握电子标系统操作指南（见政采云电子卖场首页右上角—服务中心—帮助文档—项目采购）：</w:t>
      </w:r>
      <w:r>
        <w:rPr>
          <w:rFonts w:ascii="宋体" w:hAnsi="宋体" w:cs="宋体"/>
          <w:color w:val="auto"/>
          <w:szCs w:val="21"/>
          <w:highlight w:val="none"/>
          <w:lang w:bidi="ar"/>
        </w:rPr>
        <w:fldChar w:fldCharType="begin"/>
      </w:r>
      <w:r>
        <w:rPr>
          <w:rFonts w:ascii="宋体" w:hAnsi="宋体" w:cs="宋体"/>
          <w:color w:val="auto"/>
          <w:szCs w:val="21"/>
          <w:highlight w:val="none"/>
          <w:lang w:bidi="ar"/>
        </w:rPr>
        <w:instrText xml:space="preserve"> HYPERLINK "https://service.zcygov.cn/#/knowledges/tree?tag=AG1DtGwBFdiHxlNdhY0r" </w:instrText>
      </w:r>
      <w:r>
        <w:rPr>
          <w:rFonts w:ascii="宋体" w:hAnsi="宋体" w:cs="宋体"/>
          <w:color w:val="auto"/>
          <w:szCs w:val="21"/>
          <w:highlight w:val="none"/>
          <w:lang w:bidi="ar"/>
        </w:rPr>
        <w:fldChar w:fldCharType="separate"/>
      </w:r>
      <w:r>
        <w:rPr>
          <w:rFonts w:ascii="宋体" w:hAnsi="宋体" w:cs="宋体"/>
          <w:color w:val="auto"/>
          <w:szCs w:val="21"/>
          <w:highlight w:val="none"/>
          <w:lang w:bidi="ar"/>
        </w:rPr>
        <w:t>https://service.zcygov.cn/#/knowledges/tree?tag=AG1DtGwBFdiHxlNdhY0r</w:t>
      </w:r>
      <w:r>
        <w:rPr>
          <w:rFonts w:ascii="宋体" w:hAnsi="宋体" w:cs="宋体"/>
          <w:color w:val="auto"/>
          <w:szCs w:val="21"/>
          <w:highlight w:val="none"/>
          <w:lang w:bidi="ar"/>
        </w:rPr>
        <w:fldChar w:fldCharType="end"/>
      </w:r>
      <w:r>
        <w:rPr>
          <w:rFonts w:hint="eastAsia" w:ascii="宋体" w:hAnsi="宋体" w:cs="宋体"/>
          <w:color w:val="auto"/>
          <w:szCs w:val="21"/>
          <w:highlight w:val="none"/>
          <w:lang w:bidi="ar"/>
        </w:rPr>
        <w:t>；</w:t>
      </w:r>
      <w:r>
        <w:rPr>
          <w:rFonts w:ascii="宋体" w:hAnsi="宋体" w:cs="宋体"/>
          <w:color w:val="auto"/>
          <w:szCs w:val="21"/>
          <w:highlight w:val="none"/>
          <w:lang w:bidi="ar"/>
        </w:rPr>
        <w:t>及时完成CA申领和绑定（见广西壮族自治区政府采购网—办事服务—下载专区-政采云CA证书办理操作指南）。</w:t>
      </w:r>
    </w:p>
    <w:p w14:paraId="6DDB5DBB">
      <w:pPr>
        <w:widowControl/>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未进行网上注册并办理数字证书（CA认证）的投标人将无法参与本项目政府采购活动，潜在投标人应当在投标截止时间前，完成电子交易平台上的CA数字证书办理及投标文件的提交。完成CA数字证书办理预计7日左右，投标人只需办理其中一家CA数字证书及签章，建议各投标人抓紧时间办理。</w:t>
      </w:r>
    </w:p>
    <w:p w14:paraId="00E79156">
      <w:pPr>
        <w:widowControl/>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14:paraId="47B34EBA">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927EEFF">
      <w:pPr>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7、CA证书在线解密：投标人投标时，需携带制作投标文件时用来加密的有效数字证书（CA认证）登录广西政府采购云平台电子开标大厅现场按规定时间对加密的投标文件进行解密，否则后果自负。</w:t>
      </w:r>
    </w:p>
    <w:p w14:paraId="31BFC885">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8、若对项目采购电子交易系统操作有疑问，可登录广西政府采购云平台（https://www.gcy.zfcg.gxzf.gov.cn），点击右侧咨询小采，获取采小蜜智能服务管家帮助，或拨打政采云服务热线95763获取热线服务帮助。</w:t>
      </w:r>
    </w:p>
    <w:bookmarkEnd w:id="29"/>
    <w:p w14:paraId="7D8FB2ED">
      <w:pPr>
        <w:spacing w:line="440" w:lineRule="exact"/>
        <w:rPr>
          <w:rFonts w:ascii="黑体" w:hAnsi="黑体" w:eastAsia="黑体"/>
          <w:b/>
          <w:bCs/>
          <w:color w:val="auto"/>
          <w:sz w:val="24"/>
          <w:highlight w:val="none"/>
        </w:rPr>
      </w:pPr>
      <w:bookmarkStart w:id="30" w:name="_Toc35393796"/>
      <w:bookmarkStart w:id="31" w:name="_Toc28359085"/>
      <w:bookmarkStart w:id="32" w:name="_Toc28359008"/>
      <w:bookmarkStart w:id="33" w:name="_Toc35393627"/>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0"/>
      <w:bookmarkEnd w:id="31"/>
      <w:bookmarkEnd w:id="32"/>
      <w:bookmarkEnd w:id="33"/>
    </w:p>
    <w:p w14:paraId="78F46DDE">
      <w:pPr>
        <w:spacing w:line="440" w:lineRule="exact"/>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5837BDAD">
      <w:pPr>
        <w:spacing w:line="440" w:lineRule="exact"/>
        <w:ind w:firstLine="567" w:firstLineChars="270"/>
        <w:jc w:val="lef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s="Arial"/>
          <w:color w:val="auto"/>
          <w:highlight w:val="none"/>
          <w:lang w:eastAsia="zh-CN"/>
        </w:rPr>
        <w:t>广西医科大学第一附属医院</w:t>
      </w:r>
    </w:p>
    <w:p w14:paraId="030D6D36">
      <w:pPr>
        <w:spacing w:line="440" w:lineRule="exact"/>
        <w:ind w:firstLine="567" w:firstLineChars="270"/>
        <w:jc w:val="left"/>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s="Arial"/>
          <w:color w:val="auto"/>
          <w:szCs w:val="21"/>
          <w:highlight w:val="none"/>
          <w:lang w:eastAsia="zh-CN"/>
        </w:rPr>
        <w:t>广西南宁市双拥路6号</w:t>
      </w:r>
    </w:p>
    <w:p w14:paraId="031A9B72">
      <w:pPr>
        <w:spacing w:line="440" w:lineRule="exact"/>
        <w:ind w:firstLine="567" w:firstLineChars="270"/>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联系方式：</w:t>
      </w:r>
      <w:bookmarkStart w:id="34" w:name="_Toc28359086"/>
      <w:bookmarkStart w:id="35" w:name="_Toc28359009"/>
      <w:r>
        <w:rPr>
          <w:rFonts w:hint="eastAsia" w:ascii="宋体" w:hAnsi="宋体" w:cs="Arial"/>
          <w:color w:val="auto"/>
          <w:szCs w:val="21"/>
          <w:highlight w:val="none"/>
          <w:lang w:eastAsia="zh-CN"/>
        </w:rPr>
        <w:t>刘韩越</w:t>
      </w:r>
      <w:r>
        <w:rPr>
          <w:rFonts w:hint="eastAsia" w:ascii="宋体" w:hAnsi="宋体" w:cs="Arial"/>
          <w:color w:val="auto"/>
          <w:szCs w:val="21"/>
          <w:highlight w:val="none"/>
        </w:rPr>
        <w:t xml:space="preserve"> </w:t>
      </w:r>
      <w:r>
        <w:rPr>
          <w:rFonts w:ascii="宋体" w:hAnsi="宋体" w:cs="Arial"/>
          <w:color w:val="auto"/>
          <w:szCs w:val="21"/>
          <w:highlight w:val="none"/>
        </w:rPr>
        <w:t xml:space="preserve"> </w:t>
      </w:r>
      <w:r>
        <w:rPr>
          <w:rFonts w:hint="eastAsia" w:ascii="宋体" w:hAnsi="宋体" w:cs="Arial"/>
          <w:color w:val="auto"/>
          <w:szCs w:val="21"/>
          <w:highlight w:val="none"/>
          <w:lang w:eastAsia="zh-CN"/>
        </w:rPr>
        <w:t>0771-5634385</w:t>
      </w:r>
    </w:p>
    <w:p w14:paraId="21892D47">
      <w:pPr>
        <w:spacing w:line="440" w:lineRule="exact"/>
        <w:ind w:firstLine="567" w:firstLineChars="270"/>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4"/>
      <w:bookmarkEnd w:id="35"/>
    </w:p>
    <w:p w14:paraId="0D976ABB">
      <w:pPr>
        <w:spacing w:line="440" w:lineRule="exact"/>
        <w:ind w:firstLine="567" w:firstLineChars="27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szCs w:val="21"/>
          <w:highlight w:val="none"/>
        </w:rPr>
        <w:t>广西科文招标有限公司</w:t>
      </w:r>
    </w:p>
    <w:p w14:paraId="403550F8">
      <w:pPr>
        <w:spacing w:line="440" w:lineRule="exact"/>
        <w:ind w:firstLine="567" w:firstLineChars="27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s="Arial"/>
          <w:color w:val="auto"/>
          <w:szCs w:val="21"/>
          <w:highlight w:val="none"/>
        </w:rPr>
        <w:t>广西南宁市民族大道141号中鼎万象东方大厦D区</w:t>
      </w:r>
      <w:r>
        <w:rPr>
          <w:rFonts w:hint="eastAsia" w:ascii="宋体" w:hAnsi="宋体" w:cs="Arial"/>
          <w:color w:val="auto"/>
          <w:highlight w:val="none"/>
        </w:rPr>
        <w:t>五层</w:t>
      </w:r>
    </w:p>
    <w:p w14:paraId="450CEE46">
      <w:pPr>
        <w:spacing w:line="440" w:lineRule="exact"/>
        <w:ind w:firstLine="567" w:firstLineChars="270"/>
        <w:rPr>
          <w:rFonts w:hint="eastAsia" w:ascii="宋体" w:hAnsi="宋体"/>
          <w:color w:val="auto"/>
          <w:szCs w:val="21"/>
          <w:highlight w:val="none"/>
        </w:rPr>
      </w:pPr>
      <w:r>
        <w:rPr>
          <w:rFonts w:hint="eastAsia" w:ascii="宋体" w:hAnsi="宋体"/>
          <w:color w:val="auto"/>
          <w:szCs w:val="21"/>
          <w:highlight w:val="none"/>
        </w:rPr>
        <w:t>联系方式：</w:t>
      </w:r>
      <w:bookmarkStart w:id="36" w:name="_Toc28359087"/>
      <w:bookmarkStart w:id="37" w:name="_Toc28359010"/>
      <w:r>
        <w:rPr>
          <w:rFonts w:hint="eastAsia" w:ascii="宋体" w:hAnsi="宋体"/>
          <w:color w:val="auto"/>
          <w:szCs w:val="21"/>
          <w:highlight w:val="none"/>
        </w:rPr>
        <w:t>蒙颖、郑辉海</w:t>
      </w:r>
      <w:r>
        <w:rPr>
          <w:rFonts w:hint="eastAsia" w:ascii="宋体" w:hAnsi="宋体" w:cs="Arial"/>
          <w:color w:val="auto"/>
          <w:szCs w:val="21"/>
          <w:highlight w:val="none"/>
        </w:rPr>
        <w:t xml:space="preserve"> </w:t>
      </w:r>
      <w:r>
        <w:rPr>
          <w:rFonts w:ascii="宋体" w:hAnsi="宋体" w:cs="Arial"/>
          <w:color w:val="auto"/>
          <w:szCs w:val="21"/>
          <w:highlight w:val="none"/>
        </w:rPr>
        <w:t xml:space="preserve">  </w:t>
      </w:r>
      <w:r>
        <w:rPr>
          <w:rFonts w:hint="eastAsia" w:ascii="宋体" w:hAnsi="宋体" w:cs="Arial"/>
          <w:color w:val="auto"/>
          <w:szCs w:val="21"/>
          <w:highlight w:val="none"/>
        </w:rPr>
        <w:t>0771-2023875</w:t>
      </w:r>
    </w:p>
    <w:p w14:paraId="52CC1423">
      <w:pPr>
        <w:spacing w:line="440" w:lineRule="exact"/>
        <w:ind w:firstLine="567" w:firstLineChars="270"/>
        <w:rPr>
          <w:rFonts w:ascii="宋体" w:hAnsi="宋体" w:cs="Arial"/>
          <w:color w:val="auto"/>
          <w:szCs w:val="21"/>
          <w:highlight w:val="none"/>
        </w:rPr>
      </w:pPr>
      <w:r>
        <w:rPr>
          <w:rFonts w:hint="eastAsia" w:ascii="宋体" w:hAnsi="宋体" w:cs="Arial"/>
          <w:color w:val="auto"/>
          <w:szCs w:val="21"/>
          <w:highlight w:val="none"/>
        </w:rPr>
        <w:t>3.项目</w:t>
      </w:r>
      <w:r>
        <w:rPr>
          <w:rFonts w:ascii="宋体" w:hAnsi="宋体" w:cs="Arial"/>
          <w:color w:val="auto"/>
          <w:szCs w:val="21"/>
          <w:highlight w:val="none"/>
        </w:rPr>
        <w:t>联系方式</w:t>
      </w:r>
      <w:bookmarkEnd w:id="36"/>
      <w:bookmarkEnd w:id="37"/>
    </w:p>
    <w:p w14:paraId="7EC630FA">
      <w:pPr>
        <w:pStyle w:val="26"/>
        <w:spacing w:line="440" w:lineRule="exact"/>
        <w:ind w:firstLine="567" w:firstLineChars="270"/>
        <w:rPr>
          <w:rFonts w:hAnsi="宋体" w:cs="Arial"/>
          <w:color w:val="auto"/>
          <w:kern w:val="2"/>
          <w:sz w:val="21"/>
          <w:highlight w:val="none"/>
        </w:rPr>
      </w:pPr>
      <w:r>
        <w:rPr>
          <w:rFonts w:hint="eastAsia" w:hAnsi="宋体" w:cs="Arial"/>
          <w:color w:val="auto"/>
          <w:kern w:val="2"/>
          <w:sz w:val="21"/>
          <w:highlight w:val="none"/>
        </w:rPr>
        <w:t>项目联系人：蒙颖、郑辉海</w:t>
      </w:r>
      <w:r>
        <w:rPr>
          <w:rFonts w:hAnsi="宋体" w:cs="Arial"/>
          <w:color w:val="auto"/>
          <w:kern w:val="2"/>
          <w:sz w:val="21"/>
          <w:highlight w:val="none"/>
        </w:rPr>
        <w:t xml:space="preserve"> </w:t>
      </w:r>
    </w:p>
    <w:p w14:paraId="51438605">
      <w:pPr>
        <w:spacing w:line="440" w:lineRule="exact"/>
        <w:ind w:firstLine="567" w:firstLineChars="270"/>
        <w:rPr>
          <w:rFonts w:hint="eastAsia" w:ascii="宋体" w:hAnsi="宋体"/>
          <w:color w:val="auto"/>
          <w:szCs w:val="21"/>
          <w:highlight w:val="none"/>
          <w:u w:val="single"/>
        </w:rPr>
      </w:pPr>
      <w:r>
        <w:rPr>
          <w:rFonts w:hint="eastAsia" w:ascii="宋体" w:hAnsi="宋体" w:cs="Arial"/>
          <w:color w:val="auto"/>
          <w:szCs w:val="21"/>
          <w:highlight w:val="none"/>
        </w:rPr>
        <w:t>电　话：0771-2023875</w:t>
      </w:r>
    </w:p>
    <w:p w14:paraId="124841E4">
      <w:pPr>
        <w:spacing w:line="440" w:lineRule="exact"/>
        <w:ind w:firstLine="6405" w:firstLineChars="3050"/>
        <w:rPr>
          <w:rFonts w:hint="eastAsia" w:ascii="宋体" w:hAnsi="宋体"/>
          <w:color w:val="auto"/>
          <w:szCs w:val="21"/>
          <w:highlight w:val="none"/>
        </w:rPr>
      </w:pPr>
      <w:r>
        <w:rPr>
          <w:rFonts w:hint="eastAsia" w:ascii="宋体" w:hAnsi="宋体" w:cs="Arial"/>
          <w:color w:val="auto"/>
          <w:szCs w:val="21"/>
          <w:highlight w:val="none"/>
        </w:rPr>
        <w:t>广西科文招标有限公司</w:t>
      </w:r>
    </w:p>
    <w:p w14:paraId="2FCF7061">
      <w:pPr>
        <w:snapToGrid w:val="0"/>
        <w:spacing w:line="440" w:lineRule="exact"/>
        <w:ind w:left="238"/>
        <w:rPr>
          <w:rFonts w:hint="eastAsia" w:ascii="宋体" w:hAnsi="宋体" w:eastAsia="宋体" w:cs="Arial"/>
          <w:color w:val="auto"/>
          <w:highlight w:val="none"/>
          <w:lang w:eastAsia="zh-CN"/>
        </w:rPr>
      </w:pPr>
      <w:r>
        <w:rPr>
          <w:rFonts w:hint="eastAsia"/>
          <w:color w:val="auto"/>
          <w:highlight w:val="none"/>
        </w:rPr>
        <w:t xml:space="preserve">                                                           </w:t>
      </w:r>
      <w:r>
        <w:rPr>
          <w:rFonts w:hint="eastAsia" w:ascii="宋体" w:hAnsi="宋体" w:cs="Arial"/>
          <w:color w:val="auto"/>
          <w:szCs w:val="21"/>
          <w:highlight w:val="none"/>
        </w:rPr>
        <w:t xml:space="preserve">   </w:t>
      </w:r>
      <w:r>
        <w:rPr>
          <w:rFonts w:hint="eastAsia" w:ascii="宋体" w:hAnsi="宋体" w:cs="Arial"/>
          <w:color w:val="auto"/>
          <w:szCs w:val="21"/>
          <w:highlight w:val="none"/>
          <w:lang w:eastAsia="zh-CN"/>
        </w:rPr>
        <w:t>2026年  月  日</w:t>
      </w:r>
    </w:p>
    <w:p w14:paraId="1F4816FE">
      <w:pPr>
        <w:pStyle w:val="2"/>
        <w:spacing w:line="600" w:lineRule="exact"/>
        <w:jc w:val="center"/>
        <w:rPr>
          <w:rFonts w:hint="eastAsia"/>
          <w:color w:val="auto"/>
          <w:highlight w:val="none"/>
        </w:rPr>
      </w:pPr>
      <w:r>
        <w:rPr>
          <w:rFonts w:hint="eastAsia"/>
          <w:color w:val="auto"/>
          <w:highlight w:val="none"/>
        </w:rPr>
        <w:br w:type="page"/>
      </w:r>
      <w:bookmarkStart w:id="38" w:name="_Toc22512"/>
      <w:r>
        <w:rPr>
          <w:rFonts w:hint="eastAsia"/>
          <w:color w:val="auto"/>
          <w:highlight w:val="none"/>
        </w:rPr>
        <w:t>第二章  采购需求</w:t>
      </w:r>
      <w:bookmarkEnd w:id="38"/>
    </w:p>
    <w:p w14:paraId="5434B151">
      <w:pPr>
        <w:spacing w:line="360" w:lineRule="auto"/>
        <w:jc w:val="left"/>
        <w:rPr>
          <w:rFonts w:ascii="宋体" w:hAnsi="宋体" w:cs="宋体"/>
          <w:b/>
          <w:color w:val="auto"/>
          <w:szCs w:val="21"/>
          <w:highlight w:val="none"/>
        </w:rPr>
      </w:pPr>
      <w:bookmarkStart w:id="39" w:name="_Toc254970631"/>
      <w:bookmarkStart w:id="40" w:name="_Toc254970490"/>
      <w:r>
        <w:rPr>
          <w:rFonts w:hint="eastAsia" w:ascii="宋体" w:hAnsi="宋体" w:cs="宋体"/>
          <w:b/>
          <w:color w:val="auto"/>
          <w:szCs w:val="21"/>
          <w:highlight w:val="none"/>
        </w:rPr>
        <w:t>说明：</w:t>
      </w:r>
    </w:p>
    <w:p w14:paraId="7E30774C">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1、采购需求中如出现品牌、型号或者生产厂家等均仅起参考作用，不属于指定品牌、型号或者生产厂家的情形，投标人可参照或者选用其他相当的品牌、型号或者生产投标人替代。但投标人的产品实质上应相当于或优于本需求</w:t>
      </w:r>
      <w:r>
        <w:rPr>
          <w:rFonts w:hAnsi="宋体"/>
          <w:color w:val="auto"/>
          <w:highlight w:val="none"/>
        </w:rPr>
        <w:t>中</w:t>
      </w:r>
      <w:r>
        <w:rPr>
          <w:rFonts w:hint="eastAsia" w:hAnsi="宋体"/>
          <w:color w:val="auto"/>
          <w:highlight w:val="none"/>
        </w:rPr>
        <w:t>的技术要求。</w:t>
      </w:r>
    </w:p>
    <w:p w14:paraId="02A95597">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color w:val="auto"/>
          <w:highlight w:val="none"/>
        </w:rPr>
        <w:t>中如有货物产品，且货物</w:t>
      </w:r>
      <w:r>
        <w:rPr>
          <w:rFonts w:hAnsi="宋体"/>
          <w:color w:val="auto"/>
          <w:highlight w:val="none"/>
        </w:rPr>
        <w:t>产品属于节能产品政府采购品目清单内标注“★”的（详见本章后附的节能产品政府采购品目清单），投标人的投标货物必须使用政府强制采购的节能产品，否则投标文件作无效处理。</w:t>
      </w:r>
    </w:p>
    <w:p w14:paraId="15D81993">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3、如投标人投标产品存在侵犯他人的知识产权或者专利成果行为的，由投标人自行承担相应法律责任。</w:t>
      </w:r>
    </w:p>
    <w:p w14:paraId="422F67FD">
      <w:pPr>
        <w:spacing w:line="360" w:lineRule="exact"/>
        <w:ind w:left="-10" w:leftChars="-5" w:right="2" w:rightChars="1" w:firstLine="422" w:firstLineChars="200"/>
        <w:rPr>
          <w:rFonts w:hint="eastAsia" w:hAnsi="宋体"/>
          <w:b/>
          <w:bCs/>
          <w:color w:val="auto"/>
          <w:highlight w:val="none"/>
        </w:rPr>
      </w:pPr>
      <w:r>
        <w:rPr>
          <w:rFonts w:hint="eastAsia" w:hAnsi="宋体"/>
          <w:b/>
          <w:bCs/>
          <w:color w:val="auto"/>
          <w:highlight w:val="none"/>
        </w:rPr>
        <w:t>4、“实质性要求”是指招标文件中标注“</w:t>
      </w:r>
      <w:r>
        <w:rPr>
          <w:rFonts w:hint="eastAsia" w:ascii="宋体" w:hAnsi="宋体" w:cs="宋体"/>
          <w:b/>
          <w:bCs/>
          <w:color w:val="auto"/>
          <w:szCs w:val="21"/>
          <w:highlight w:val="none"/>
        </w:rPr>
        <w:t>▲</w:t>
      </w:r>
      <w:r>
        <w:rPr>
          <w:rFonts w:hint="eastAsia" w:hAnsi="宋体"/>
          <w:b/>
          <w:bCs/>
          <w:color w:val="auto"/>
          <w:highlight w:val="none"/>
        </w:rPr>
        <w:t>”号或已经指明不满足则投标无效的条款，或者不能负偏离的条款。</w:t>
      </w:r>
    </w:p>
    <w:p w14:paraId="3C9F9964">
      <w:pPr>
        <w:spacing w:line="360" w:lineRule="auto"/>
        <w:ind w:firstLine="0" w:firstLineChars="0"/>
        <w:jc w:val="left"/>
        <w:rPr>
          <w:rFonts w:hint="eastAsia" w:ascii="宋体" w:hAnsi="宋体" w:cs="Arial"/>
          <w:bCs/>
          <w:color w:val="auto"/>
          <w:szCs w:val="21"/>
          <w:highlight w:val="none"/>
          <w:u w:val="single"/>
        </w:rPr>
      </w:pPr>
    </w:p>
    <w:bookmarkEnd w:id="39"/>
    <w:bookmarkEnd w:id="40"/>
    <w:tbl>
      <w:tblPr>
        <w:tblStyle w:val="49"/>
        <w:tblW w:w="10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1137"/>
        <w:gridCol w:w="851"/>
        <w:gridCol w:w="691"/>
        <w:gridCol w:w="7060"/>
      </w:tblGrid>
      <w:tr w14:paraId="3DB4B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noWrap w:val="0"/>
            <w:vAlign w:val="center"/>
          </w:tcPr>
          <w:p w14:paraId="6BFA8FFB">
            <w:pPr>
              <w:pageBreakBefore w:val="0"/>
              <w:tabs>
                <w:tab w:val="left" w:pos="180"/>
                <w:tab w:val="left" w:pos="1620"/>
              </w:tabs>
              <w:kinsoku/>
              <w:wordWrap/>
              <w:topLinePunct w:val="0"/>
              <w:autoSpaceDE/>
              <w:autoSpaceDN/>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37" w:type="dxa"/>
            <w:noWrap w:val="0"/>
            <w:vAlign w:val="center"/>
          </w:tcPr>
          <w:p w14:paraId="758F8483">
            <w:pPr>
              <w:pageBreakBefore w:val="0"/>
              <w:tabs>
                <w:tab w:val="left" w:pos="180"/>
                <w:tab w:val="left" w:pos="1620"/>
              </w:tabs>
              <w:kinsoku/>
              <w:wordWrap/>
              <w:topLinePunct w:val="0"/>
              <w:autoSpaceDE/>
              <w:autoSpaceDN/>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851" w:type="dxa"/>
            <w:noWrap w:val="0"/>
            <w:vAlign w:val="top"/>
          </w:tcPr>
          <w:p w14:paraId="669BD2A6">
            <w:pPr>
              <w:pageBreakBefore w:val="0"/>
              <w:tabs>
                <w:tab w:val="left" w:pos="180"/>
                <w:tab w:val="left" w:pos="1620"/>
              </w:tabs>
              <w:kinsoku/>
              <w:wordWrap/>
              <w:topLinePunct w:val="0"/>
              <w:autoSpaceDE/>
              <w:autoSpaceDN/>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w:t>
            </w:r>
          </w:p>
          <w:p w14:paraId="5859C387">
            <w:pPr>
              <w:pageBreakBefore w:val="0"/>
              <w:tabs>
                <w:tab w:val="left" w:pos="180"/>
                <w:tab w:val="left" w:pos="1620"/>
              </w:tabs>
              <w:kinsoku/>
              <w:wordWrap/>
              <w:topLinePunct w:val="0"/>
              <w:autoSpaceDE/>
              <w:autoSpaceDN/>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91" w:type="dxa"/>
            <w:noWrap w:val="0"/>
            <w:vAlign w:val="top"/>
          </w:tcPr>
          <w:p w14:paraId="1C832CF0">
            <w:pPr>
              <w:pageBreakBefore w:val="0"/>
              <w:tabs>
                <w:tab w:val="left" w:pos="180"/>
                <w:tab w:val="left" w:pos="1620"/>
              </w:tabs>
              <w:kinsoku/>
              <w:wordWrap/>
              <w:topLinePunct w:val="0"/>
              <w:autoSpaceDE/>
              <w:autoSpaceDN/>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7060" w:type="dxa"/>
            <w:noWrap w:val="0"/>
            <w:vAlign w:val="center"/>
          </w:tcPr>
          <w:p w14:paraId="644BC3BF">
            <w:pPr>
              <w:pageBreakBefore w:val="0"/>
              <w:tabs>
                <w:tab w:val="left" w:pos="180"/>
                <w:tab w:val="left" w:pos="1620"/>
              </w:tabs>
              <w:kinsoku/>
              <w:wordWrap/>
              <w:topLinePunct w:val="0"/>
              <w:autoSpaceDE/>
              <w:autoSpaceDN/>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技术及服务要求</w:t>
            </w:r>
          </w:p>
        </w:tc>
      </w:tr>
      <w:tr w14:paraId="68EEF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noWrap w:val="0"/>
            <w:vAlign w:val="center"/>
          </w:tcPr>
          <w:p w14:paraId="1398DD37">
            <w:pPr>
              <w:pageBreakBefore w:val="0"/>
              <w:tabs>
                <w:tab w:val="left" w:pos="180"/>
                <w:tab w:val="left" w:pos="1620"/>
              </w:tabs>
              <w:kinsoku/>
              <w:wordWrap/>
              <w:topLinePunct w:val="0"/>
              <w:autoSpaceDE/>
              <w:autoSpaceDN/>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7" w:type="dxa"/>
            <w:noWrap w:val="0"/>
            <w:vAlign w:val="center"/>
          </w:tcPr>
          <w:p w14:paraId="261C3925">
            <w:pPr>
              <w:pageBreakBefore w:val="0"/>
              <w:tabs>
                <w:tab w:val="left" w:pos="180"/>
                <w:tab w:val="left" w:pos="1620"/>
              </w:tabs>
              <w:kinsoku/>
              <w:wordWrap/>
              <w:topLinePunct w:val="0"/>
              <w:autoSpaceDE/>
              <w:autoSpaceDN/>
              <w:bidi w:val="0"/>
              <w:adjustRightInd/>
              <w:spacing w:line="4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医院HIS系统维保服务</w:t>
            </w:r>
          </w:p>
        </w:tc>
        <w:tc>
          <w:tcPr>
            <w:tcW w:w="851" w:type="dxa"/>
            <w:noWrap w:val="0"/>
            <w:vAlign w:val="center"/>
          </w:tcPr>
          <w:p w14:paraId="248396F4">
            <w:pPr>
              <w:pStyle w:val="18"/>
              <w:pageBreakBefore w:val="0"/>
              <w:kinsoku/>
              <w:wordWrap/>
              <w:topLinePunct w:val="0"/>
              <w:autoSpaceDE/>
              <w:autoSpaceDN/>
              <w:bidi w:val="0"/>
              <w:adjustRightInd/>
              <w:spacing w:line="400" w:lineRule="exact"/>
              <w:ind w:left="3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项</w:t>
            </w:r>
          </w:p>
        </w:tc>
        <w:tc>
          <w:tcPr>
            <w:tcW w:w="691" w:type="dxa"/>
            <w:noWrap w:val="0"/>
            <w:vAlign w:val="center"/>
          </w:tcPr>
          <w:p w14:paraId="5BEAF7AB">
            <w:pPr>
              <w:pStyle w:val="18"/>
              <w:pageBreakBefore w:val="0"/>
              <w:kinsoku/>
              <w:wordWrap/>
              <w:topLinePunct w:val="0"/>
              <w:autoSpaceDE/>
              <w:autoSpaceDN/>
              <w:bidi w:val="0"/>
              <w:adjustRightInd/>
              <w:spacing w:line="400" w:lineRule="exact"/>
              <w:ind w:left="3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7060" w:type="dxa"/>
            <w:shd w:val="clear" w:color="auto" w:fill="auto"/>
            <w:noWrap w:val="0"/>
            <w:vAlign w:val="top"/>
          </w:tcPr>
          <w:p w14:paraId="73907C47">
            <w:pPr>
              <w:pStyle w:val="2"/>
              <w:pageBreakBefore w:val="0"/>
              <w:kinsoku/>
              <w:wordWrap/>
              <w:overflowPunct/>
              <w:topLinePunct w:val="0"/>
              <w:autoSpaceDE/>
              <w:autoSpaceDN/>
              <w:bidi w:val="0"/>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建设内容</w:t>
            </w:r>
          </w:p>
          <w:p w14:paraId="6028BBBE">
            <w:pPr>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本项目所</w:t>
            </w:r>
            <w:r>
              <w:rPr>
                <w:rFonts w:hint="eastAsia" w:ascii="宋体" w:hAnsi="宋体" w:eastAsia="宋体" w:cs="宋体"/>
                <w:color w:val="auto"/>
                <w:sz w:val="21"/>
                <w:szCs w:val="21"/>
                <w:highlight w:val="none"/>
                <w:lang w:val="en-US" w:eastAsia="zh-CN"/>
              </w:rPr>
              <w:t>建设的内容为</w:t>
            </w:r>
            <w:r>
              <w:rPr>
                <w:rFonts w:hint="eastAsia" w:ascii="宋体" w:hAnsi="宋体" w:cs="宋体"/>
                <w:color w:val="auto"/>
                <w:sz w:val="21"/>
                <w:szCs w:val="21"/>
                <w:highlight w:val="none"/>
                <w:lang w:eastAsia="zh-CN"/>
              </w:rPr>
              <w:t>医院HIS系统维保服务</w:t>
            </w:r>
            <w:r>
              <w:rPr>
                <w:rFonts w:hint="eastAsia" w:ascii="宋体" w:hAnsi="宋体" w:eastAsia="宋体" w:cs="宋体"/>
                <w:color w:val="auto"/>
                <w:sz w:val="21"/>
                <w:szCs w:val="21"/>
                <w:highlight w:val="none"/>
                <w:lang w:val="en-US" w:eastAsia="zh-CN"/>
              </w:rPr>
              <w:t>2年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服务内容包含现有的东华iMedical HO下所有产品线的许可对采购人开放，采购人可以按实际需要选择具体上线的产品；采购人正在使用和实施的东华医为系统的维保服务；各类评级服务（电子病历六级、智慧服务四级、互联互通五乙、三甲医院绩效指标等评级产品和服务支持）；基于iMedical HO的所有新需求(包括但不限于报表、医保政策、国家省地市的政策等)和接口服务。本项目涉及产品清单</w:t>
            </w:r>
            <w:r>
              <w:rPr>
                <w:rFonts w:hint="eastAsia" w:ascii="宋体" w:hAnsi="宋体" w:eastAsia="宋体" w:cs="宋体"/>
                <w:color w:val="auto"/>
                <w:sz w:val="21"/>
                <w:szCs w:val="21"/>
                <w:highlight w:val="none"/>
              </w:rPr>
              <w:t>如下：</w:t>
            </w:r>
          </w:p>
          <w:p w14:paraId="2CD3A170">
            <w:pPr>
              <w:pStyle w:val="3"/>
              <w:pageBreakBefore w:val="0"/>
              <w:kinsoku/>
              <w:wordWrap/>
              <w:overflowPunct/>
              <w:topLinePunct w:val="0"/>
              <w:autoSpaceDE/>
              <w:autoSpaceDN/>
              <w:bidi w:val="0"/>
              <w:spacing w:before="0" w:beforeAutospacing="0" w:after="0" w:after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升级或增加的功能清单</w:t>
            </w:r>
          </w:p>
          <w:tbl>
            <w:tblPr>
              <w:tblStyle w:val="49"/>
              <w:tblW w:w="5992" w:type="dxa"/>
              <w:jc w:val="center"/>
              <w:tblLayout w:type="fixed"/>
              <w:tblCellMar>
                <w:top w:w="0" w:type="dxa"/>
                <w:left w:w="0" w:type="dxa"/>
                <w:bottom w:w="0" w:type="dxa"/>
                <w:right w:w="0" w:type="dxa"/>
              </w:tblCellMar>
            </w:tblPr>
            <w:tblGrid>
              <w:gridCol w:w="508"/>
              <w:gridCol w:w="930"/>
              <w:gridCol w:w="1310"/>
              <w:gridCol w:w="3244"/>
            </w:tblGrid>
            <w:tr w14:paraId="03D9CA80">
              <w:tblPrEx>
                <w:tblCellMar>
                  <w:top w:w="0" w:type="dxa"/>
                  <w:left w:w="0" w:type="dxa"/>
                  <w:bottom w:w="0" w:type="dxa"/>
                  <w:right w:w="0" w:type="dxa"/>
                </w:tblCellMar>
              </w:tblPrEx>
              <w:trPr>
                <w:trHeight w:val="770"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A1C80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C7F2B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目录</w:t>
                  </w: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71CCE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系统名称</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45D87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子系统名称</w:t>
                  </w:r>
                </w:p>
              </w:tc>
            </w:tr>
            <w:tr w14:paraId="2A6D496E">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B90042">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B511D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基础数据平台</w:t>
                  </w: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20E3F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C68E9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基础数据管理平台</w:t>
                  </w:r>
                </w:p>
              </w:tc>
            </w:tr>
            <w:tr w14:paraId="7794E810">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7BEF27">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135FA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基础平台</w:t>
                  </w: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AE4CB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8E7E5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基础平台</w:t>
                  </w:r>
                </w:p>
              </w:tc>
            </w:tr>
            <w:tr w14:paraId="1FDD3D9F">
              <w:tblPrEx>
                <w:tblCellMar>
                  <w:top w:w="0" w:type="dxa"/>
                  <w:left w:w="0" w:type="dxa"/>
                  <w:bottom w:w="0" w:type="dxa"/>
                  <w:right w:w="0" w:type="dxa"/>
                </w:tblCellMar>
              </w:tblPrEx>
              <w:trPr>
                <w:trHeight w:val="770"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F89809">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A36DF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HIS</w:t>
                  </w: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B8278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患者基本信息管理</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B942F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患者基本信息管理系统</w:t>
                  </w:r>
                </w:p>
              </w:tc>
            </w:tr>
            <w:tr w14:paraId="6BCAA58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76690E">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36D6C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3E581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40D20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门诊预约挂号系统</w:t>
                  </w:r>
                </w:p>
              </w:tc>
            </w:tr>
            <w:tr w14:paraId="31BAE31C">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D2AC7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CFD45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5CF6A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0640F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门诊分诊系统</w:t>
                  </w:r>
                </w:p>
              </w:tc>
            </w:tr>
            <w:tr w14:paraId="72F7360F">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21DCAB">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786BD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E6299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CD257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门诊收费系统</w:t>
                  </w:r>
                </w:p>
              </w:tc>
            </w:tr>
            <w:tr w14:paraId="72F6014C">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19DE13">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FF362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0847E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93568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门诊医生工作站</w:t>
                  </w:r>
                </w:p>
              </w:tc>
            </w:tr>
            <w:tr w14:paraId="579448C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93474C">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7FDB6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AF938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CCD74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门诊护士工作站</w:t>
                  </w:r>
                </w:p>
              </w:tc>
            </w:tr>
            <w:tr w14:paraId="4AC1866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D51F5F">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410E9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BE9B9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E3BD2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门诊中西医药房系统</w:t>
                  </w:r>
                </w:p>
              </w:tc>
            </w:tr>
            <w:tr w14:paraId="30A5DA0F">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172F7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3E94A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7B18F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F3C19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门诊配液管理系统</w:t>
                  </w:r>
                </w:p>
              </w:tc>
            </w:tr>
            <w:tr w14:paraId="12A00C2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929C0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9D64D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267F8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D48C9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门诊应急系统</w:t>
                  </w:r>
                </w:p>
              </w:tc>
            </w:tr>
            <w:tr w14:paraId="5C1E11F2">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B7C95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81FE6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A9291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D4867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多学科会诊（MDT）管理系统</w:t>
                  </w:r>
                </w:p>
              </w:tc>
            </w:tr>
            <w:tr w14:paraId="0A6AA27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4287C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1F796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D1FE1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急诊</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440BD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急诊挂号系统</w:t>
                  </w:r>
                </w:p>
              </w:tc>
            </w:tr>
            <w:tr w14:paraId="3685EA16">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960788">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42FD4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BD7A8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3E954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急诊预检分诊系统</w:t>
                  </w:r>
                </w:p>
              </w:tc>
            </w:tr>
            <w:tr w14:paraId="68B21346">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7A6F4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32BA0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DAA00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DBCE5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急诊收费系统</w:t>
                  </w:r>
                </w:p>
              </w:tc>
            </w:tr>
            <w:tr w14:paraId="1D73C9F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0D9AEB">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9B127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D03BB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E4AE5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急诊医生工作站</w:t>
                  </w:r>
                </w:p>
              </w:tc>
            </w:tr>
            <w:tr w14:paraId="69B13DE7">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DD932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589E4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F5B9E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F0043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急诊护士工作站</w:t>
                  </w:r>
                </w:p>
              </w:tc>
            </w:tr>
            <w:tr w14:paraId="6CA1B3F6">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E0386A">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20F68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385F4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D7530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急诊中西医药房系统</w:t>
                  </w:r>
                </w:p>
              </w:tc>
            </w:tr>
            <w:tr w14:paraId="0ADBD027">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EC54AC">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1CFA8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A0A00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5B391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急诊留观系统</w:t>
                  </w:r>
                </w:p>
              </w:tc>
            </w:tr>
            <w:tr w14:paraId="4FA2A11F">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1C0160">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1D86C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D3D11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65C6B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急诊质控统计</w:t>
                  </w:r>
                </w:p>
              </w:tc>
            </w:tr>
            <w:tr w14:paraId="27B5C1F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FE0860">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D0D0F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DA949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住院</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856C7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住院医生工作站</w:t>
                  </w:r>
                </w:p>
              </w:tc>
            </w:tr>
            <w:tr w14:paraId="0263EF33">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FDC61B">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8506D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11438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3A808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住院护士工作站</w:t>
                  </w:r>
                </w:p>
              </w:tc>
            </w:tr>
            <w:tr w14:paraId="34099867">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5079BA">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474AD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A220E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76F30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住院出入转系统</w:t>
                  </w:r>
                </w:p>
              </w:tc>
            </w:tr>
            <w:tr w14:paraId="236CC47C">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0D5F10">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D36F3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55C12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801DA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住院收费系统</w:t>
                  </w:r>
                </w:p>
              </w:tc>
            </w:tr>
            <w:tr w14:paraId="45D223D0">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F34308">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7DB79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44544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93C6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住院中心药房系统</w:t>
                  </w:r>
                </w:p>
              </w:tc>
            </w:tr>
            <w:tr w14:paraId="1689E55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3D9E5C">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0305D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B3211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44010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住院配液中心系统</w:t>
                  </w:r>
                </w:p>
              </w:tc>
            </w:tr>
            <w:tr w14:paraId="59F16D6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93B89F4">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686B2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DFBBD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22CF7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床位管理中心</w:t>
                  </w:r>
                </w:p>
              </w:tc>
            </w:tr>
            <w:tr w14:paraId="67CBFC62">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BE4B5D">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16CB5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66301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9CC06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会诊管理系统</w:t>
                  </w:r>
                </w:p>
              </w:tc>
            </w:tr>
            <w:tr w14:paraId="0FBEA7A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1C8AA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474E8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4CC4B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DD196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预住院日间手术管理</w:t>
                  </w:r>
                </w:p>
              </w:tc>
            </w:tr>
            <w:tr w14:paraId="0F07C759">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C9949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83191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72B8A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656CE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中药汤剂发放管理系统</w:t>
                  </w:r>
                </w:p>
              </w:tc>
            </w:tr>
            <w:tr w14:paraId="59FB924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EE4865">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1D9CA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528D2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D1D4F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移动医生工作站</w:t>
                  </w:r>
                </w:p>
              </w:tc>
            </w:tr>
            <w:tr w14:paraId="02D8D807">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A7E68F">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D3DEE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FF089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D5482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陪送管理系统</w:t>
                  </w:r>
                </w:p>
              </w:tc>
            </w:tr>
            <w:tr w14:paraId="7F1DC6D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6EC67B">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8217D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D633E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379F5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体温单</w:t>
                  </w:r>
                </w:p>
              </w:tc>
            </w:tr>
            <w:tr w14:paraId="2C255832">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137B8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1397CBF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CIS</w:t>
                  </w: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7B23D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电生理</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C58BC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心电信息管理系统</w:t>
                  </w:r>
                </w:p>
              </w:tc>
            </w:tr>
            <w:tr w14:paraId="558E417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5CA0B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7AEAC8C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FD057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CD711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电生理工作站</w:t>
                  </w:r>
                </w:p>
              </w:tc>
            </w:tr>
            <w:tr w14:paraId="1740C4C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5DABA7">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064F8E6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6C893B7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检验</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1542C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实验室质量管理系统</w:t>
                  </w:r>
                </w:p>
              </w:tc>
            </w:tr>
            <w:tr w14:paraId="7C510CB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B358F7">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649D1BA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44BF670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BC15A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检验信息管理系统</w:t>
                  </w:r>
                </w:p>
              </w:tc>
            </w:tr>
            <w:tr w14:paraId="51E2AACD">
              <w:tblPrEx>
                <w:tblCellMar>
                  <w:top w:w="0" w:type="dxa"/>
                  <w:left w:w="0" w:type="dxa"/>
                  <w:bottom w:w="0" w:type="dxa"/>
                  <w:right w:w="0" w:type="dxa"/>
                </w:tblCellMar>
              </w:tblPrEx>
              <w:trPr>
                <w:trHeight w:val="397"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B7626B">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2A4BF14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4098B1F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right w:val="single" w:color="000000" w:sz="4" w:space="0"/>
                  </w:tcBorders>
                  <w:tcMar>
                    <w:top w:w="10" w:type="dxa"/>
                    <w:left w:w="10" w:type="dxa"/>
                    <w:right w:w="10" w:type="dxa"/>
                  </w:tcMar>
                  <w:vAlign w:val="center"/>
                </w:tcPr>
                <w:p w14:paraId="59852F3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微生物信息管理系统</w:t>
                  </w:r>
                </w:p>
              </w:tc>
            </w:tr>
            <w:tr w14:paraId="3FFCD63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08EA58">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275D44A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221B3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试剂管理</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7DECD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试剂管理系统</w:t>
                  </w:r>
                </w:p>
              </w:tc>
            </w:tr>
            <w:tr w14:paraId="34EDD0B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DC9FB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6788E93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25266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输血</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31ADC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临床用血管理</w:t>
                  </w:r>
                </w:p>
              </w:tc>
            </w:tr>
            <w:tr w14:paraId="235E498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9AEFDE">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145ABC7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79EC3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5AFD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输血科信息管理系统</w:t>
                  </w:r>
                </w:p>
              </w:tc>
            </w:tr>
            <w:tr w14:paraId="763BFCC2">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DF03A5">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F6565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体检</w:t>
                  </w: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630A7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2ECCD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体检系统</w:t>
                  </w:r>
                </w:p>
              </w:tc>
            </w:tr>
            <w:tr w14:paraId="5A85D156">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E1D858">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978BB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综合业务管理</w:t>
                  </w:r>
                </w:p>
              </w:tc>
              <w:tc>
                <w:tcPr>
                  <w:tcW w:w="131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7B388BC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医政管理</w:t>
                  </w: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6DC41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慢病管理</w:t>
                  </w:r>
                </w:p>
              </w:tc>
            </w:tr>
            <w:tr w14:paraId="0CD7B0D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C99570">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7B8C6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559A8EF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A8265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食源性疾病管理</w:t>
                  </w:r>
                </w:p>
              </w:tc>
            </w:tr>
            <w:tr w14:paraId="541BB719">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53274F">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FBFFE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0F126E8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454DF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精神疾病管理</w:t>
                  </w:r>
                </w:p>
              </w:tc>
            </w:tr>
            <w:tr w14:paraId="5AF3AFC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B69357">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F1766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22DFD2F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39FE5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传染病管理</w:t>
                  </w:r>
                </w:p>
              </w:tc>
            </w:tr>
            <w:tr w14:paraId="694DF6A2">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B21DB5">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D468C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2F460A9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B8BB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院内感染管理系统</w:t>
                  </w:r>
                </w:p>
              </w:tc>
            </w:tr>
            <w:tr w14:paraId="093ABBF6">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3D37EF">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1AC47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4C7DAC6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81992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临床路径管理系统</w:t>
                  </w:r>
                </w:p>
              </w:tc>
            </w:tr>
            <w:tr w14:paraId="2D43E3A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6E973E">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51F75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5038AB0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9646A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死亡证明书管理</w:t>
                  </w:r>
                </w:p>
              </w:tc>
            </w:tr>
            <w:tr w14:paraId="2B58000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8A3595">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A394C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3E77034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C8285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医疗安全(不良)事件</w:t>
                  </w:r>
                </w:p>
              </w:tc>
            </w:tr>
            <w:tr w14:paraId="46EBBB84">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E59B00">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B3529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77D39F6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93FE4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流程运营管理</w:t>
                  </w:r>
                </w:p>
              </w:tc>
            </w:tr>
            <w:tr w14:paraId="10CCC27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D32AA0">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8C7C3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234F0BE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62A85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医师资质授权</w:t>
                  </w:r>
                </w:p>
              </w:tc>
            </w:tr>
            <w:tr w14:paraId="34E004B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592F3A">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05340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67B532F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ABE87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危急值管理平台</w:t>
                  </w:r>
                </w:p>
              </w:tc>
            </w:tr>
            <w:tr w14:paraId="76566E44">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3F021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981BF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FDE4E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医政质量</w:t>
                  </w: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BF921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单病种质量管理系统</w:t>
                  </w:r>
                  <w:r>
                    <w:rPr>
                      <w:rFonts w:hint="eastAsia" w:ascii="宋体" w:hAnsi="宋体" w:eastAsia="宋体" w:cs="宋体"/>
                      <w:color w:val="auto"/>
                      <w:kern w:val="0"/>
                      <w:sz w:val="21"/>
                      <w:szCs w:val="21"/>
                      <w:highlight w:val="none"/>
                      <w:lang w:val="en-US" w:eastAsia="zh-CN" w:bidi="ar"/>
                    </w:rPr>
                    <w:t>接口</w:t>
                  </w:r>
                </w:p>
              </w:tc>
            </w:tr>
            <w:tr w14:paraId="4F735DFE">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108D7B">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A93F6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FEABD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E1758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慢性阻塞性肺疾病管理系统</w:t>
                  </w:r>
                </w:p>
              </w:tc>
            </w:tr>
            <w:tr w14:paraId="0E5FC8B9">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D2AC6D">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01B74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74DED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4990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罕见病诊疗服务登记系统</w:t>
                  </w:r>
                </w:p>
              </w:tc>
            </w:tr>
            <w:tr w14:paraId="335A59F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F41443">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91209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电子病历</w:t>
                  </w: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8530A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电子病历</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CF1A6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门（急）诊电子病历</w:t>
                  </w:r>
                </w:p>
              </w:tc>
            </w:tr>
            <w:tr w14:paraId="5F367F13">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5ED58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DAE09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0D704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637DC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住院医生电子病历</w:t>
                  </w:r>
                </w:p>
              </w:tc>
            </w:tr>
            <w:tr w14:paraId="2C329A5C">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E18685">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50CB5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F343C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B67D1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病历质控系统</w:t>
                  </w:r>
                </w:p>
              </w:tc>
            </w:tr>
            <w:tr w14:paraId="427D105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E8F925">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08838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182B7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E5B77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电子病历归档系统</w:t>
                  </w:r>
                </w:p>
              </w:tc>
            </w:tr>
            <w:tr w14:paraId="094F0D7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D9590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0C1DF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62580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C0DD9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电子病历归档全文检索系统</w:t>
                  </w:r>
                </w:p>
              </w:tc>
            </w:tr>
            <w:tr w14:paraId="6189D94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F1D754">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9175B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708B5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218B0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住院病案管理系统</w:t>
                  </w:r>
                </w:p>
              </w:tc>
            </w:tr>
            <w:tr w14:paraId="0A8E9F79">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636857">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1BF9E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3A693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084FE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门诊病案管理系统</w:t>
                  </w:r>
                </w:p>
              </w:tc>
            </w:tr>
            <w:tr w14:paraId="541886E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49AF7C">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9182E4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智能护理</w:t>
                  </w: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28610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智能护理管理</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30DD8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智能护理管理</w:t>
                  </w:r>
                </w:p>
              </w:tc>
            </w:tr>
            <w:tr w14:paraId="453048C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183265">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CFCCF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94416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智能护理病历</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0CE34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智能护理路径引导系统（智能引导）</w:t>
                  </w:r>
                  <w:r>
                    <w:rPr>
                      <w:rFonts w:hint="eastAsia" w:ascii="宋体" w:hAnsi="宋体" w:cs="宋体"/>
                      <w:color w:val="auto"/>
                      <w:kern w:val="0"/>
                      <w:sz w:val="21"/>
                      <w:szCs w:val="21"/>
                      <w:highlight w:val="none"/>
                      <w:lang w:val="en-US" w:eastAsia="zh-CN" w:bidi="ar"/>
                    </w:rPr>
                    <w:t>门急诊护理病历</w:t>
                  </w:r>
                </w:p>
              </w:tc>
            </w:tr>
            <w:tr w14:paraId="6A4AAE93">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9210C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04651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82C6B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智能移动护理</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622F5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智能移动护理</w:t>
                  </w:r>
                </w:p>
              </w:tc>
            </w:tr>
            <w:tr w14:paraId="5F2E614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E6ACF9">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5DB2B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6A787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0F668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门诊移动输液系统</w:t>
                  </w:r>
                </w:p>
              </w:tc>
            </w:tr>
            <w:tr w14:paraId="10EB9C37">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E7E77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EB2F5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DB66E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智能护理白板</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F9461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护理白板</w:t>
                  </w:r>
                  <w:r>
                    <w:rPr>
                      <w:rFonts w:hint="eastAsia" w:ascii="宋体" w:hAnsi="宋体" w:eastAsia="宋体" w:cs="宋体"/>
                      <w:color w:val="auto"/>
                      <w:kern w:val="0"/>
                      <w:sz w:val="21"/>
                      <w:szCs w:val="21"/>
                      <w:highlight w:val="none"/>
                      <w:lang w:val="en-US" w:eastAsia="zh-CN" w:bidi="ar"/>
                    </w:rPr>
                    <w:t>软件</w:t>
                  </w:r>
                </w:p>
              </w:tc>
            </w:tr>
            <w:tr w14:paraId="442705F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10C959">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47F64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集成平台</w:t>
                  </w: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359A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集成平台</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B2541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统一监控平台</w:t>
                  </w:r>
                </w:p>
              </w:tc>
            </w:tr>
            <w:tr w14:paraId="690B4C5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3EB159">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71C6C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CC4F8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1660B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医院服务总线</w:t>
                  </w:r>
                </w:p>
              </w:tc>
            </w:tr>
            <w:tr w14:paraId="03DD000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F32788">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EFD41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特别专科系统</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C3679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治疗室系统</w:t>
                  </w: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B8D52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治疗科室工作站</w:t>
                  </w:r>
                </w:p>
              </w:tc>
            </w:tr>
            <w:tr w14:paraId="0145C66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3A5B8E">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B8153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综合数据</w:t>
                  </w: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01487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综合数据</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9617C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抗菌药物统计查询分析</w:t>
                  </w:r>
                </w:p>
              </w:tc>
            </w:tr>
            <w:tr w14:paraId="519E147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74E4D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72D6E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7209C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0A875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统计室报表系统</w:t>
                  </w:r>
                </w:p>
              </w:tc>
            </w:tr>
            <w:tr w14:paraId="68E166D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D7059C">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955CC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3D550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67C02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院长查询系统</w:t>
                  </w:r>
                </w:p>
              </w:tc>
            </w:tr>
            <w:tr w14:paraId="3EB49972">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5D5CC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AB339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3625A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D336D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阳光用药系统</w:t>
                  </w:r>
                </w:p>
              </w:tc>
            </w:tr>
            <w:tr w14:paraId="30E6D1B2">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F95A0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A83F6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D18F1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AD9D4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指标Cube系统</w:t>
                  </w:r>
                </w:p>
              </w:tc>
            </w:tr>
            <w:tr w14:paraId="0891896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4A8E7A">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B9F55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59654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6107B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基础数据查询</w:t>
                  </w:r>
                </w:p>
              </w:tc>
            </w:tr>
            <w:tr w14:paraId="1DD006D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9B794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8B96F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1C0C6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AF936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统计查询套件</w:t>
                  </w:r>
                </w:p>
              </w:tc>
            </w:tr>
            <w:tr w14:paraId="1D5B826E">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A7F023">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099C3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5F006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A8341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核算报表系统</w:t>
                  </w:r>
                </w:p>
              </w:tc>
            </w:tr>
            <w:tr w14:paraId="05C67973">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EB608D">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97EA5A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D7A76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2282C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财务报表系统</w:t>
                  </w:r>
                </w:p>
              </w:tc>
            </w:tr>
            <w:tr w14:paraId="2465B9C0">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1C9E27">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4DFA2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3F118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04526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病案统计系统</w:t>
                  </w:r>
                </w:p>
              </w:tc>
            </w:tr>
            <w:tr w14:paraId="56386007">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D1DE4A">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F20F5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临床诊断管理平台</w:t>
                  </w: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53BBE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临床诊断管理平台</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C8FB3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医学知识库构建平台</w:t>
                  </w:r>
                </w:p>
              </w:tc>
            </w:tr>
            <w:tr w14:paraId="1CD44E5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B216D8">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833C4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E8E9B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8A8C9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基于知识库的结构化诊断系统</w:t>
                  </w:r>
                </w:p>
              </w:tc>
            </w:tr>
            <w:tr w14:paraId="40FC2330">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85196A">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D36F6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321F6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6301C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临床知识库</w:t>
                  </w:r>
                </w:p>
              </w:tc>
            </w:tr>
            <w:tr w14:paraId="141CBCB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399602">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5FE4B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科教研管理</w:t>
                  </w: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D59FD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科教研管理</w:t>
                  </w: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24EAD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临床药理试验管理系统</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val="en-US" w:eastAsia="zh-CN" w:bidi="ar"/>
                    </w:rPr>
                    <w:t>需提供系统截图</w:t>
                  </w:r>
                  <w:r>
                    <w:rPr>
                      <w:rFonts w:hint="eastAsia" w:ascii="宋体" w:hAnsi="宋体" w:cs="宋体"/>
                      <w:color w:val="auto"/>
                      <w:kern w:val="0"/>
                      <w:sz w:val="21"/>
                      <w:szCs w:val="21"/>
                      <w:highlight w:val="none"/>
                      <w:lang w:eastAsia="zh-CN" w:bidi="ar"/>
                    </w:rPr>
                    <w:t>）</w:t>
                  </w:r>
                </w:p>
              </w:tc>
            </w:tr>
            <w:tr w14:paraId="1F27E8E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C7F67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E520D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06365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D83BE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药理中心信息管理系统</w:t>
                  </w:r>
                </w:p>
              </w:tc>
            </w:tr>
            <w:tr w14:paraId="420E4E24">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566A94">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7DB096D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药事管理</w:t>
                  </w: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3167B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药品供应</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63564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制剂管理系统</w:t>
                  </w:r>
                </w:p>
              </w:tc>
            </w:tr>
            <w:tr w14:paraId="37DE5462">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75E7A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4FDB91E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D91F9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E6F5D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煎药室管理系统</w:t>
                  </w:r>
                </w:p>
              </w:tc>
            </w:tr>
            <w:tr w14:paraId="3E06F08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F3C148">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5736C20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DE0CA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91222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药库管理系统</w:t>
                  </w:r>
                </w:p>
              </w:tc>
            </w:tr>
            <w:tr w14:paraId="551483EC">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A112C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498AC4B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2B70749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药学服务</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E530F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临床药师服务平台</w:t>
                  </w:r>
                </w:p>
              </w:tc>
            </w:tr>
            <w:tr w14:paraId="32C9F8F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EA48DB">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6878219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2E9CA51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8B5F3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电子药历</w:t>
                  </w:r>
                </w:p>
              </w:tc>
            </w:tr>
            <w:tr w14:paraId="5179DC5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5D02C4">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4B8F89A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06DE62D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0EB75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处方点评系统</w:t>
                  </w:r>
                </w:p>
              </w:tc>
            </w:tr>
            <w:tr w14:paraId="672D6C1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731F4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5ADF978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3C7359E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29C42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处方审核</w:t>
                  </w:r>
                </w:p>
              </w:tc>
            </w:tr>
            <w:tr w14:paraId="5C0ED0F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8C50C3">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288E9C1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3D8885B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26323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药品临采管理系统</w:t>
                  </w:r>
                </w:p>
              </w:tc>
            </w:tr>
            <w:tr w14:paraId="28FBF5B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A74884">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6026E2D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6A17C51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C2D91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毒麻管系统</w:t>
                  </w:r>
                </w:p>
              </w:tc>
            </w:tr>
            <w:tr w14:paraId="71C627EE">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F66049">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16E0D8D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医保产品</w:t>
                  </w:r>
                </w:p>
                <w:p w14:paraId="74BEC72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1DF17E3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医保智能审核</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4E189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项目付费管理系统</w:t>
                  </w:r>
                </w:p>
              </w:tc>
            </w:tr>
            <w:tr w14:paraId="3D0F08B3">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A4F20B">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4E4313A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kern w:val="0"/>
                      <w:sz w:val="21"/>
                      <w:szCs w:val="21"/>
                      <w:highlight w:val="none"/>
                      <w:lang w:bidi="ar"/>
                    </w:rPr>
                  </w:pPr>
                </w:p>
              </w:tc>
              <w:tc>
                <w:tcPr>
                  <w:tcW w:w="131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0AFC79E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18382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医保知识库工具</w:t>
                  </w:r>
                </w:p>
              </w:tc>
            </w:tr>
            <w:tr w14:paraId="00078FF3">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E7C593">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2780848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CA908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医保服务</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970A3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医保服务(城镇职工)</w:t>
                  </w:r>
                </w:p>
              </w:tc>
            </w:tr>
            <w:tr w14:paraId="4589930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324489">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59B68DD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8D7BB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F95C7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医保服务(城镇居民)</w:t>
                  </w:r>
                </w:p>
              </w:tc>
            </w:tr>
            <w:tr w14:paraId="40E1550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7C8A9A">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75CEB44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EC930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68C1C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医保服务(城乡居民)</w:t>
                  </w:r>
                </w:p>
              </w:tc>
            </w:tr>
            <w:tr w14:paraId="0F833D4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D0FE40">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74277C4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2660A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医保精细化管理</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51766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人次付费管理系统</w:t>
                  </w:r>
                </w:p>
              </w:tc>
            </w:tr>
            <w:tr w14:paraId="48C98080">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2EE22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77B8CA9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E2E9E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033EB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门诊慢特病管理系统</w:t>
                  </w:r>
                </w:p>
              </w:tc>
            </w:tr>
            <w:tr w14:paraId="72B5257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50057D">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5C700EE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BC634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985EC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项目付费管理系统</w:t>
                  </w:r>
                </w:p>
              </w:tc>
            </w:tr>
            <w:tr w14:paraId="0817C0D9">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8F4163">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14767DE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1DE75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F89A8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总额预付管理系统</w:t>
                  </w:r>
                </w:p>
              </w:tc>
            </w:tr>
            <w:tr w14:paraId="4FDE969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8F0EB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40DFB70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BDC1B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F58E3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医保知识库工具</w:t>
                  </w:r>
                </w:p>
              </w:tc>
            </w:tr>
            <w:tr w14:paraId="621CC68E">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B152B5">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2922B4C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3810D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391A0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单病种付费管理系统</w:t>
                  </w:r>
                </w:p>
              </w:tc>
            </w:tr>
            <w:tr w14:paraId="2340B636">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67DF2A">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5CFA4A4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2938E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医保本地算法</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04C11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院内医保结算</w:t>
                  </w:r>
                </w:p>
              </w:tc>
            </w:tr>
            <w:tr w14:paraId="548A6AA7">
              <w:tblPrEx>
                <w:tblCellMar>
                  <w:top w:w="0" w:type="dxa"/>
                  <w:left w:w="0" w:type="dxa"/>
                  <w:bottom w:w="0" w:type="dxa"/>
                  <w:right w:w="0" w:type="dxa"/>
                </w:tblCellMar>
              </w:tblPrEx>
              <w:trPr>
                <w:trHeight w:val="770"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E184A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07D4BD1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C9398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院端商保转换平台</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D6A4D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院端商保平台转换接口</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val="en-US" w:eastAsia="zh-CN" w:bidi="ar"/>
                    </w:rPr>
                    <w:t>需提供系统截图</w:t>
                  </w:r>
                  <w:r>
                    <w:rPr>
                      <w:rFonts w:hint="eastAsia" w:ascii="宋体" w:hAnsi="宋体" w:cs="宋体"/>
                      <w:color w:val="auto"/>
                      <w:kern w:val="0"/>
                      <w:sz w:val="21"/>
                      <w:szCs w:val="21"/>
                      <w:highlight w:val="none"/>
                      <w:lang w:eastAsia="zh-CN" w:bidi="ar"/>
                    </w:rPr>
                    <w:t>）</w:t>
                  </w:r>
                </w:p>
              </w:tc>
            </w:tr>
            <w:tr w14:paraId="4ED7D026">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E51949">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1E3DCF8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4DCFF60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院端DRG医保付费监控与管理系统</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772E6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临期监测</w:t>
                  </w:r>
                </w:p>
              </w:tc>
            </w:tr>
            <w:tr w14:paraId="2C7D4C70">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C8E455">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616FE34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42768C4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42DD7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DRG付费盈亏分析</w:t>
                  </w:r>
                </w:p>
              </w:tc>
            </w:tr>
            <w:tr w14:paraId="15B38DCC">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77C613">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38912D6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78CA485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8C53E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重点病组监测</w:t>
                  </w:r>
                </w:p>
              </w:tc>
            </w:tr>
            <w:tr w14:paraId="611230C4">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42794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0340530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1FF2831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6BAD8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象限分析</w:t>
                  </w:r>
                </w:p>
              </w:tc>
            </w:tr>
            <w:tr w14:paraId="00C8F77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5FB82C">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0FC5374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5F292AA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4B84B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病例监测</w:t>
                  </w:r>
                </w:p>
              </w:tc>
            </w:tr>
            <w:tr w14:paraId="532CC837">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E036FE">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6FDED2C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46C71EC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4C6AA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指标排名监测</w:t>
                  </w:r>
                </w:p>
              </w:tc>
            </w:tr>
            <w:tr w14:paraId="6985619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FA46A3">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6672C5F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744CC67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1EFF1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局端差异分析</w:t>
                  </w:r>
                </w:p>
              </w:tc>
            </w:tr>
            <w:tr w14:paraId="69C65369">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D36FF4">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1D3FC57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613695F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5780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病例申诉</w:t>
                  </w:r>
                </w:p>
              </w:tc>
            </w:tr>
            <w:tr w14:paraId="33A4250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9EDDF0">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0EFF249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783116A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FEC80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报表统计</w:t>
                  </w:r>
                </w:p>
              </w:tc>
            </w:tr>
            <w:tr w14:paraId="3D296464">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4FD7B7">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6F98CAD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477FA15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52E96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分组服务</w:t>
                  </w:r>
                </w:p>
              </w:tc>
            </w:tr>
            <w:tr w14:paraId="17F4315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F0995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3CC2520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62FF015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F47D4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分组结果数据接口服务</w:t>
                  </w:r>
                </w:p>
              </w:tc>
            </w:tr>
            <w:tr w14:paraId="5233822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9305EB">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5F7E718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6D69ADF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544E4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字典管理</w:t>
                  </w:r>
                </w:p>
              </w:tc>
            </w:tr>
            <w:tr w14:paraId="5B93C15F">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668277">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087A52B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210CEDA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AE150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系统管理</w:t>
                  </w:r>
                </w:p>
              </w:tc>
            </w:tr>
            <w:tr w14:paraId="08E71EDC">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A470FC">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1088D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多媒体</w:t>
                  </w: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21C8F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多媒体</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CEC7E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数字媒体宣教</w:t>
                  </w:r>
                </w:p>
              </w:tc>
            </w:tr>
            <w:tr w14:paraId="660833A6">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49A65D">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DCDC7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D9B71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8F7F0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数字媒体信息发布</w:t>
                  </w:r>
                </w:p>
              </w:tc>
            </w:tr>
            <w:tr w14:paraId="54727F27">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93D89D">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6AC27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0BCB9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排队叫号</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67C21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数字媒体呼叫系统</w:t>
                  </w:r>
                </w:p>
              </w:tc>
            </w:tr>
            <w:tr w14:paraId="35F8983E">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BF459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08B9B2">
                  <w:pPr>
                    <w:keepNext w:val="0"/>
                    <w:keepLines w:val="0"/>
                    <w:pageBreakBefore w:val="0"/>
                    <w:numPr>
                      <w:ilvl w:val="0"/>
                      <w:numId w:val="0"/>
                    </w:numPr>
                    <w:suppressLineNumbers w:val="0"/>
                    <w:kinsoku/>
                    <w:wordWrap/>
                    <w:overflowPunct/>
                    <w:topLinePunct w:val="0"/>
                    <w:autoSpaceDE/>
                    <w:autoSpaceDN/>
                    <w:bidi w:val="0"/>
                    <w:spacing w:beforeAutospacing="0" w:afterAutospacing="0" w:line="400" w:lineRule="exact"/>
                    <w:ind w:right="0" w:righ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其他类</w:t>
                  </w:r>
                </w:p>
                <w:p w14:paraId="43AB95D3">
                  <w:pPr>
                    <w:keepNext w:val="0"/>
                    <w:keepLines w:val="0"/>
                    <w:pageBreakBefore w:val="0"/>
                    <w:numPr>
                      <w:ilvl w:val="0"/>
                      <w:numId w:val="0"/>
                    </w:numPr>
                    <w:suppressLineNumbers w:val="0"/>
                    <w:kinsoku/>
                    <w:wordWrap/>
                    <w:overflowPunct/>
                    <w:topLinePunct w:val="0"/>
                    <w:autoSpaceDE/>
                    <w:autoSpaceDN/>
                    <w:bidi w:val="0"/>
                    <w:spacing w:beforeAutospacing="0" w:afterAutospacing="0" w:line="400" w:lineRule="exact"/>
                    <w:ind w:left="0" w:leftChars="0" w:right="0" w:rightChars="0"/>
                    <w:jc w:val="both"/>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59088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增量开发服务</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A5C8F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原有系统的个性化增量开发，功能拓展</w:t>
                  </w:r>
                </w:p>
              </w:tc>
            </w:tr>
            <w:tr w14:paraId="40740C0F">
              <w:tblPrEx>
                <w:tblCellMar>
                  <w:top w:w="0" w:type="dxa"/>
                  <w:left w:w="0" w:type="dxa"/>
                  <w:bottom w:w="0" w:type="dxa"/>
                  <w:right w:w="0" w:type="dxa"/>
                </w:tblCellMar>
              </w:tblPrEx>
              <w:trPr>
                <w:trHeight w:val="770"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30B543">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900E29">
                  <w:pPr>
                    <w:keepNext w:val="0"/>
                    <w:keepLines w:val="0"/>
                    <w:pageBreakBefore w:val="0"/>
                    <w:numPr>
                      <w:ilvl w:val="0"/>
                      <w:numId w:val="6"/>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91095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政策性必须产品</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9622F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Cs w:val="21"/>
                      <w:highlight w:val="none"/>
                      <w:u w:val="none"/>
                      <w:lang w:bidi="ar"/>
                    </w:rPr>
                    <w:t>▲工作量报价15万以内的政策性必须类产品</w:t>
                  </w:r>
                </w:p>
              </w:tc>
            </w:tr>
            <w:tr w14:paraId="24FCF6B9">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EC373B">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FC403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接口服务</w:t>
                  </w: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24AE2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仪器接口</w:t>
                  </w: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C4C1D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心电设备接口</w:t>
                  </w:r>
                </w:p>
              </w:tc>
            </w:tr>
            <w:tr w14:paraId="44FC6CC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50211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2EEC2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F974E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A17B8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电生理设备接口</w:t>
                  </w:r>
                </w:p>
              </w:tc>
            </w:tr>
            <w:tr w14:paraId="3FD8C47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C01048">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43D79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F57D9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5A13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病理设备接口</w:t>
                  </w:r>
                </w:p>
              </w:tc>
            </w:tr>
            <w:tr w14:paraId="1522D3B0">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4E8069">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5FB03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B623B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10605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检验仪器接口</w:t>
                  </w:r>
                </w:p>
              </w:tc>
            </w:tr>
            <w:tr w14:paraId="47AA8D1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954C9E">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E9859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19E60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EC278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实验室前处理系统接口</w:t>
                  </w:r>
                </w:p>
              </w:tc>
            </w:tr>
            <w:tr w14:paraId="480A3D3F">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C151E7">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C31D4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A96D7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75475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实验室流水线系统接口</w:t>
                  </w:r>
                </w:p>
              </w:tc>
            </w:tr>
            <w:tr w14:paraId="1A0CF3D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1BF91E">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1CDDF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77ACD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3950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智能采血设备接口</w:t>
                  </w:r>
                </w:p>
              </w:tc>
            </w:tr>
            <w:tr w14:paraId="51742759">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C0077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78CC4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DBA18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临床系统接口</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B712E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临床服务类集成接口</w:t>
                  </w:r>
                </w:p>
              </w:tc>
            </w:tr>
            <w:tr w14:paraId="6142BBC0">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8A0A50">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02465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3A7BD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院外平台接口</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0946D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药房药库对外接口</w:t>
                  </w:r>
                </w:p>
              </w:tc>
            </w:tr>
            <w:tr w14:paraId="1B28F7A4">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4244D8">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A395F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4E46F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C25B6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综合查询对外接口服务</w:t>
                  </w:r>
                </w:p>
              </w:tc>
            </w:tr>
            <w:tr w14:paraId="755C071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9B2EE3">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D2844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439A6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BBE8D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医技产品对外接口</w:t>
                  </w:r>
                </w:p>
              </w:tc>
            </w:tr>
            <w:tr w14:paraId="2DF012E9">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6C4705">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F0CF4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53309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74038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医生站对外接口</w:t>
                  </w:r>
                </w:p>
              </w:tc>
            </w:tr>
            <w:tr w14:paraId="0ADE253C">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863214">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7B4B2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3B780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CD29F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第三方互联网医院接口</w:t>
                  </w:r>
                </w:p>
              </w:tc>
            </w:tr>
            <w:tr w14:paraId="2473E1E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C81CD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D9860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AD0C2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93CC3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院外平台类集成接口</w:t>
                  </w:r>
                </w:p>
              </w:tc>
            </w:tr>
            <w:tr w14:paraId="726A70B4">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4DA54F">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D7857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FC0B0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84760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护理组对外接口</w:t>
                  </w:r>
                </w:p>
              </w:tc>
            </w:tr>
            <w:tr w14:paraId="2ABE4154">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B993B7">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DEA23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9BF4C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支付接口</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45DA6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窗口第三方支付服务</w:t>
                  </w:r>
                </w:p>
              </w:tc>
            </w:tr>
            <w:tr w14:paraId="356AA29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D4AC4A">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888EF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A1CBF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1CBC2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医保对外接口服务</w:t>
                  </w:r>
                </w:p>
              </w:tc>
            </w:tr>
            <w:tr w14:paraId="7CB5D05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E9B51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0EB74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FFAE7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D2939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患者第三方支付服务</w:t>
                  </w:r>
                </w:p>
              </w:tc>
            </w:tr>
            <w:tr w14:paraId="797D19C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44B1D9">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BBC57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7B105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CA939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计费接口服务</w:t>
                  </w:r>
                </w:p>
              </w:tc>
            </w:tr>
            <w:tr w14:paraId="1C86FC13">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F5749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8CCDF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AAA43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运营管理接口</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41A00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运营管理类集成接口</w:t>
                  </w:r>
                </w:p>
              </w:tc>
            </w:tr>
            <w:tr w14:paraId="2562F6B0">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7D18CB">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0BC57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E808D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患者管理接口</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BA586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患者服务类集成接口</w:t>
                  </w:r>
                </w:p>
              </w:tc>
            </w:tr>
            <w:tr w14:paraId="52DD96C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57475D">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2DA03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51976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数字签名接口</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424B5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数字签名基础服务系统</w:t>
                  </w:r>
                </w:p>
              </w:tc>
            </w:tr>
            <w:tr w14:paraId="66C97E5D">
              <w:tblPrEx>
                <w:tblCellMar>
                  <w:top w:w="0" w:type="dxa"/>
                  <w:left w:w="0" w:type="dxa"/>
                  <w:bottom w:w="0" w:type="dxa"/>
                  <w:right w:w="0" w:type="dxa"/>
                </w:tblCellMar>
              </w:tblPrEx>
              <w:trPr>
                <w:trHeight w:val="40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A7BEBE">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A0254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6D853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2BA66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电子签名接口服务</w:t>
                  </w:r>
                </w:p>
              </w:tc>
            </w:tr>
            <w:tr w14:paraId="3BD08E02">
              <w:tblPrEx>
                <w:tblCellMar>
                  <w:top w:w="0" w:type="dxa"/>
                  <w:left w:w="0" w:type="dxa"/>
                  <w:bottom w:w="0" w:type="dxa"/>
                  <w:right w:w="0" w:type="dxa"/>
                </w:tblCellMar>
              </w:tblPrEx>
              <w:trPr>
                <w:trHeight w:val="40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D65CE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BDE5E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业务系统</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095D21">
                  <w:pPr>
                    <w:keepNext w:val="0"/>
                    <w:keepLines w:val="0"/>
                    <w:pageBreakBefore w:val="0"/>
                    <w:suppressLineNumbers w:val="0"/>
                    <w:kinsoku/>
                    <w:wordWrap/>
                    <w:overflowPunct/>
                    <w:topLinePunct w:val="0"/>
                    <w:autoSpaceDE/>
                    <w:autoSpaceDN/>
                    <w:bidi w:val="0"/>
                    <w:spacing w:beforeAutospacing="0" w:afterAutospacing="0" w:line="380" w:lineRule="exact"/>
                    <w:ind w:left="0" w:leftChars="0" w:right="0" w:rightChars="0"/>
                    <w:jc w:val="center"/>
                    <w:rPr>
                      <w:rFonts w:hint="eastAsia" w:ascii="宋体" w:hAnsi="宋体" w:eastAsia="宋体" w:cs="宋体"/>
                      <w:color w:val="auto"/>
                      <w:kern w:val="2"/>
                      <w:sz w:val="26"/>
                      <w:szCs w:val="26"/>
                      <w:highlight w:val="none"/>
                      <w:lang w:val="en-US" w:eastAsia="zh-CN" w:bidi="ar-SA"/>
                    </w:rPr>
                  </w:pPr>
                  <w:r>
                    <w:rPr>
                      <w:rFonts w:hint="eastAsia" w:ascii="宋体" w:hAnsi="宋体" w:eastAsia="宋体" w:cs="宋体"/>
                      <w:color w:val="auto"/>
                      <w:kern w:val="0"/>
                      <w:szCs w:val="21"/>
                      <w:highlight w:val="none"/>
                      <w:vertAlign w:val="baseline"/>
                      <w:lang w:val="en-US" w:eastAsia="zh-CN" w:bidi="ar"/>
                    </w:rPr>
                    <w:t>资源计划系统</w:t>
                  </w: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81AE5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全院排班管理（具体参数</w:t>
                  </w:r>
                  <w:r>
                    <w:rPr>
                      <w:rFonts w:hint="eastAsia" w:ascii="宋体" w:hAnsi="宋体" w:cs="宋体"/>
                      <w:color w:val="auto"/>
                      <w:kern w:val="0"/>
                      <w:sz w:val="21"/>
                      <w:szCs w:val="21"/>
                      <w:highlight w:val="none"/>
                      <w:lang w:val="en-US" w:eastAsia="zh-CN" w:bidi="ar"/>
                    </w:rPr>
                    <w:t>要求详见附件1：</w:t>
                  </w:r>
                  <w:r>
                    <w:rPr>
                      <w:rFonts w:hint="eastAsia" w:ascii="宋体" w:hAnsi="宋体" w:eastAsia="宋体" w:cs="宋体"/>
                      <w:color w:val="auto"/>
                      <w:kern w:val="0"/>
                      <w:szCs w:val="21"/>
                      <w:highlight w:val="none"/>
                      <w:vertAlign w:val="baseline"/>
                      <w:lang w:val="en-US" w:eastAsia="zh-CN" w:bidi="ar"/>
                    </w:rPr>
                    <w:t>资源计划系统</w:t>
                  </w:r>
                  <w:r>
                    <w:rPr>
                      <w:rFonts w:hint="eastAsia" w:ascii="宋体" w:hAnsi="宋体" w:cs="宋体"/>
                      <w:color w:val="auto"/>
                      <w:kern w:val="0"/>
                      <w:szCs w:val="21"/>
                      <w:highlight w:val="none"/>
                      <w:vertAlign w:val="baseline"/>
                      <w:lang w:val="en-US" w:eastAsia="zh-CN" w:bidi="ar"/>
                    </w:rPr>
                    <w:t>参数要求</w:t>
                  </w:r>
                  <w:r>
                    <w:rPr>
                      <w:rFonts w:hint="eastAsia" w:ascii="宋体" w:hAnsi="宋体" w:eastAsia="宋体" w:cs="宋体"/>
                      <w:color w:val="auto"/>
                      <w:kern w:val="0"/>
                      <w:sz w:val="21"/>
                      <w:szCs w:val="21"/>
                      <w:highlight w:val="none"/>
                      <w:lang w:val="en-US" w:eastAsia="zh-CN" w:bidi="ar"/>
                    </w:rPr>
                    <w:t>）</w:t>
                  </w:r>
                </w:p>
              </w:tc>
            </w:tr>
            <w:tr w14:paraId="6F718E5B">
              <w:tblPrEx>
                <w:tblCellMar>
                  <w:top w:w="0" w:type="dxa"/>
                  <w:left w:w="0" w:type="dxa"/>
                  <w:bottom w:w="0" w:type="dxa"/>
                  <w:right w:w="0" w:type="dxa"/>
                </w:tblCellMar>
              </w:tblPrEx>
              <w:trPr>
                <w:trHeight w:val="40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977FCC">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41F3B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业务系统</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609C8D">
                  <w:pPr>
                    <w:keepNext w:val="0"/>
                    <w:keepLines w:val="0"/>
                    <w:pageBreakBefore w:val="0"/>
                    <w:suppressLineNumbers w:val="0"/>
                    <w:kinsoku/>
                    <w:wordWrap/>
                    <w:overflowPunct/>
                    <w:topLinePunct w:val="0"/>
                    <w:autoSpaceDE/>
                    <w:autoSpaceDN/>
                    <w:bidi w:val="0"/>
                    <w:spacing w:beforeAutospacing="0" w:afterAutospacing="0" w:line="380" w:lineRule="exact"/>
                    <w:ind w:left="0" w:leftChars="0" w:right="0" w:rightChars="0"/>
                    <w:jc w:val="center"/>
                    <w:rPr>
                      <w:rFonts w:hint="eastAsia" w:ascii="宋体" w:hAnsi="宋体" w:eastAsia="宋体" w:cs="宋体"/>
                      <w:color w:val="auto"/>
                      <w:kern w:val="2"/>
                      <w:sz w:val="26"/>
                      <w:szCs w:val="26"/>
                      <w:highlight w:val="none"/>
                      <w:lang w:val="en-US" w:eastAsia="zh-CN" w:bidi="ar-SA"/>
                    </w:rPr>
                  </w:pPr>
                  <w:r>
                    <w:rPr>
                      <w:rFonts w:hint="eastAsia"/>
                      <w:color w:val="auto"/>
                      <w:highlight w:val="none"/>
                      <w:vertAlign w:val="baseline"/>
                      <w:lang w:val="en-US" w:eastAsia="zh-CN"/>
                    </w:rPr>
                    <w:t>VTE系统</w:t>
                  </w: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2EFC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VTE评估、预警、处置等（具体参数</w:t>
                  </w:r>
                  <w:r>
                    <w:rPr>
                      <w:rFonts w:hint="eastAsia" w:ascii="宋体" w:hAnsi="宋体" w:cs="宋体"/>
                      <w:color w:val="auto"/>
                      <w:kern w:val="0"/>
                      <w:sz w:val="21"/>
                      <w:szCs w:val="21"/>
                      <w:highlight w:val="none"/>
                      <w:lang w:val="en-US" w:eastAsia="zh-CN" w:bidi="ar"/>
                    </w:rPr>
                    <w:t>要求详见附件2：VTE</w:t>
                  </w:r>
                  <w:r>
                    <w:rPr>
                      <w:rFonts w:hint="eastAsia"/>
                      <w:color w:val="auto"/>
                      <w:highlight w:val="none"/>
                      <w:vertAlign w:val="baseline"/>
                      <w:lang w:val="en-US" w:eastAsia="zh-CN"/>
                    </w:rPr>
                    <w:t>系统</w:t>
                  </w:r>
                  <w:r>
                    <w:rPr>
                      <w:rFonts w:hint="eastAsia" w:ascii="宋体" w:hAnsi="宋体" w:cs="宋体"/>
                      <w:color w:val="auto"/>
                      <w:kern w:val="0"/>
                      <w:sz w:val="21"/>
                      <w:szCs w:val="21"/>
                      <w:highlight w:val="none"/>
                      <w:lang w:val="en-US" w:eastAsia="zh-CN" w:bidi="ar"/>
                    </w:rPr>
                    <w:t>软件功能要求</w:t>
                  </w:r>
                  <w:r>
                    <w:rPr>
                      <w:rFonts w:hint="eastAsia" w:ascii="宋体" w:hAnsi="宋体" w:eastAsia="宋体" w:cs="宋体"/>
                      <w:color w:val="auto"/>
                      <w:kern w:val="0"/>
                      <w:sz w:val="21"/>
                      <w:szCs w:val="21"/>
                      <w:highlight w:val="none"/>
                      <w:lang w:val="en-US" w:eastAsia="zh-CN" w:bidi="ar"/>
                    </w:rPr>
                    <w:t>）</w:t>
                  </w:r>
                </w:p>
              </w:tc>
            </w:tr>
          </w:tbl>
          <w:p w14:paraId="22FD0B8F">
            <w:pPr>
              <w:pStyle w:val="3"/>
              <w:pageBreakBefore w:val="0"/>
              <w:kinsoku/>
              <w:wordWrap/>
              <w:overflowPunct/>
              <w:topLinePunct w:val="0"/>
              <w:autoSpaceDE/>
              <w:autoSpaceDN/>
              <w:bidi w:val="0"/>
              <w:spacing w:before="0" w:beforeAutospacing="0" w:after="0" w:after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医院现有HIS系统清单</w:t>
            </w:r>
          </w:p>
          <w:p w14:paraId="2B058562">
            <w:pPr>
              <w:pageBreakBefore w:val="0"/>
              <w:kinsoku/>
              <w:wordWrap/>
              <w:overflowPunct/>
              <w:topLinePunct w:val="0"/>
              <w:autoSpaceDE/>
              <w:autoSpaceDN/>
              <w:bidi w:val="0"/>
              <w:spacing w:beforeAutospacing="0" w:afterAutospacing="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医院现正在使用和实施的系统清单如下，主要分为本院区HIS系统（2019年升级）、国际版HIS系统（2023年采购）两项，都将纳入本次项目的运维内容里。本次项目涉原有产品清单如下：</w:t>
            </w:r>
          </w:p>
          <w:p w14:paraId="3566C801">
            <w:pPr>
              <w:pStyle w:val="4"/>
              <w:pageBreakBefore w:val="0"/>
              <w:kinsoku/>
              <w:wordWrap/>
              <w:overflowPunct/>
              <w:topLinePunct w:val="0"/>
              <w:autoSpaceDE/>
              <w:autoSpaceDN/>
              <w:bidi w:val="0"/>
              <w:spacing w:before="0" w:beforeAutospacing="0" w:after="0" w:afterAutospacing="0" w:line="400" w:lineRule="exact"/>
              <w:ind w:left="720" w:leftChars="0" w:hanging="7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本院区HIS系统产品清单</w:t>
            </w:r>
          </w:p>
          <w:tbl>
            <w:tblPr>
              <w:tblStyle w:val="49"/>
              <w:tblW w:w="5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030"/>
              <w:gridCol w:w="812"/>
              <w:gridCol w:w="1970"/>
              <w:gridCol w:w="850"/>
              <w:gridCol w:w="610"/>
            </w:tblGrid>
            <w:tr w14:paraId="3591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5AFD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030" w:type="dxa"/>
                  <w:tcBorders>
                    <w:top w:val="single" w:color="auto" w:sz="4" w:space="0"/>
                    <w:left w:val="nil"/>
                    <w:bottom w:val="single" w:color="auto" w:sz="4" w:space="0"/>
                    <w:right w:val="single" w:color="auto" w:sz="4" w:space="0"/>
                  </w:tcBorders>
                  <w:shd w:val="clear" w:color="auto" w:fill="auto"/>
                  <w:noWrap/>
                  <w:vAlign w:val="center"/>
                </w:tcPr>
                <w:p w14:paraId="171A3A9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系统</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2895112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子系统</w:t>
                  </w:r>
                </w:p>
              </w:tc>
              <w:tc>
                <w:tcPr>
                  <w:tcW w:w="1970" w:type="dxa"/>
                  <w:tcBorders>
                    <w:top w:val="single" w:color="auto" w:sz="4" w:space="0"/>
                    <w:left w:val="nil"/>
                    <w:bottom w:val="single" w:color="auto" w:sz="4" w:space="0"/>
                    <w:right w:val="single" w:color="auto" w:sz="4" w:space="0"/>
                  </w:tcBorders>
                  <w:shd w:val="clear" w:color="auto" w:fill="auto"/>
                  <w:noWrap/>
                  <w:vAlign w:val="center"/>
                </w:tcPr>
                <w:p w14:paraId="6F43F03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模块</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B5A197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服务方式</w:t>
                  </w:r>
                </w:p>
              </w:tc>
              <w:tc>
                <w:tcPr>
                  <w:tcW w:w="610" w:type="dxa"/>
                  <w:tcBorders>
                    <w:top w:val="single" w:color="auto" w:sz="4" w:space="0"/>
                    <w:left w:val="nil"/>
                    <w:bottom w:val="single" w:color="auto" w:sz="4" w:space="0"/>
                    <w:right w:val="single" w:color="000000" w:sz="4" w:space="0"/>
                  </w:tcBorders>
                  <w:shd w:val="clear" w:color="auto" w:fill="auto"/>
                  <w:noWrap/>
                  <w:vAlign w:val="center"/>
                </w:tcPr>
                <w:p w14:paraId="5498EDB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2879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D6ADAD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30" w:type="dxa"/>
                  <w:tcBorders>
                    <w:top w:val="nil"/>
                    <w:left w:val="nil"/>
                    <w:bottom w:val="single" w:color="auto" w:sz="4" w:space="0"/>
                    <w:right w:val="single" w:color="auto" w:sz="4" w:space="0"/>
                  </w:tcBorders>
                  <w:shd w:val="clear" w:color="auto" w:fill="auto"/>
                  <w:vAlign w:val="center"/>
                </w:tcPr>
                <w:p w14:paraId="5FDD5DA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基础数据平台</w:t>
                  </w:r>
                </w:p>
              </w:tc>
              <w:tc>
                <w:tcPr>
                  <w:tcW w:w="812" w:type="dxa"/>
                  <w:tcBorders>
                    <w:top w:val="nil"/>
                    <w:left w:val="nil"/>
                    <w:bottom w:val="single" w:color="auto" w:sz="4" w:space="0"/>
                    <w:right w:val="single" w:color="auto" w:sz="4" w:space="0"/>
                  </w:tcBorders>
                  <w:shd w:val="clear" w:color="auto" w:fill="auto"/>
                  <w:vAlign w:val="center"/>
                </w:tcPr>
                <w:p w14:paraId="4AC3F19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c>
                <w:tcPr>
                  <w:tcW w:w="1970" w:type="dxa"/>
                  <w:tcBorders>
                    <w:top w:val="nil"/>
                    <w:left w:val="nil"/>
                    <w:bottom w:val="single" w:color="auto" w:sz="4" w:space="0"/>
                    <w:right w:val="single" w:color="auto" w:sz="4" w:space="0"/>
                  </w:tcBorders>
                  <w:shd w:val="clear" w:color="auto" w:fill="auto"/>
                  <w:vAlign w:val="center"/>
                </w:tcPr>
                <w:p w14:paraId="3060CEE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基础数据管理平台</w:t>
                  </w:r>
                </w:p>
              </w:tc>
              <w:tc>
                <w:tcPr>
                  <w:tcW w:w="850" w:type="dxa"/>
                  <w:tcBorders>
                    <w:top w:val="nil"/>
                    <w:left w:val="nil"/>
                    <w:bottom w:val="single" w:color="auto" w:sz="4" w:space="0"/>
                    <w:right w:val="single" w:color="auto" w:sz="4" w:space="0"/>
                  </w:tcBorders>
                  <w:shd w:val="clear" w:color="auto" w:fill="auto"/>
                  <w:vAlign w:val="center"/>
                </w:tcPr>
                <w:p w14:paraId="47DAA23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3F6F5E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A0A1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B12061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30" w:type="dxa"/>
                  <w:tcBorders>
                    <w:top w:val="nil"/>
                    <w:left w:val="nil"/>
                    <w:bottom w:val="single" w:color="auto" w:sz="4" w:space="0"/>
                    <w:right w:val="single" w:color="auto" w:sz="4" w:space="0"/>
                  </w:tcBorders>
                  <w:shd w:val="clear" w:color="auto" w:fill="auto"/>
                  <w:vAlign w:val="center"/>
                </w:tcPr>
                <w:p w14:paraId="00A956C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基础平台</w:t>
                  </w:r>
                </w:p>
              </w:tc>
              <w:tc>
                <w:tcPr>
                  <w:tcW w:w="812" w:type="dxa"/>
                  <w:tcBorders>
                    <w:top w:val="nil"/>
                    <w:left w:val="nil"/>
                    <w:bottom w:val="single" w:color="auto" w:sz="4" w:space="0"/>
                    <w:right w:val="single" w:color="auto" w:sz="4" w:space="0"/>
                  </w:tcBorders>
                  <w:shd w:val="clear" w:color="auto" w:fill="auto"/>
                  <w:vAlign w:val="center"/>
                </w:tcPr>
                <w:p w14:paraId="57DE3F9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c>
                <w:tcPr>
                  <w:tcW w:w="1970" w:type="dxa"/>
                  <w:tcBorders>
                    <w:top w:val="nil"/>
                    <w:left w:val="nil"/>
                    <w:bottom w:val="single" w:color="auto" w:sz="4" w:space="0"/>
                    <w:right w:val="single" w:color="auto" w:sz="4" w:space="0"/>
                  </w:tcBorders>
                  <w:shd w:val="clear" w:color="auto" w:fill="auto"/>
                  <w:vAlign w:val="center"/>
                </w:tcPr>
                <w:p w14:paraId="07323F7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基础平台</w:t>
                  </w:r>
                </w:p>
              </w:tc>
              <w:tc>
                <w:tcPr>
                  <w:tcW w:w="850" w:type="dxa"/>
                  <w:tcBorders>
                    <w:top w:val="nil"/>
                    <w:left w:val="nil"/>
                    <w:bottom w:val="single" w:color="auto" w:sz="4" w:space="0"/>
                    <w:right w:val="single" w:color="auto" w:sz="4" w:space="0"/>
                  </w:tcBorders>
                  <w:shd w:val="clear" w:color="auto" w:fill="auto"/>
                  <w:vAlign w:val="center"/>
                </w:tcPr>
                <w:p w14:paraId="16B6E88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FCF6C4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EBC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C3E9A8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30" w:type="dxa"/>
                  <w:vMerge w:val="restart"/>
                  <w:tcBorders>
                    <w:top w:val="nil"/>
                    <w:left w:val="single" w:color="auto" w:sz="4" w:space="0"/>
                    <w:bottom w:val="nil"/>
                    <w:right w:val="single" w:color="auto" w:sz="4" w:space="0"/>
                  </w:tcBorders>
                  <w:shd w:val="clear" w:color="auto" w:fill="auto"/>
                  <w:vAlign w:val="center"/>
                </w:tcPr>
                <w:p w14:paraId="6DABCAB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HIS</w:t>
                  </w:r>
                </w:p>
              </w:tc>
              <w:tc>
                <w:tcPr>
                  <w:tcW w:w="812" w:type="dxa"/>
                  <w:tcBorders>
                    <w:top w:val="nil"/>
                    <w:left w:val="nil"/>
                    <w:bottom w:val="single" w:color="auto" w:sz="4" w:space="0"/>
                    <w:right w:val="single" w:color="auto" w:sz="4" w:space="0"/>
                  </w:tcBorders>
                  <w:shd w:val="clear" w:color="auto" w:fill="auto"/>
                  <w:vAlign w:val="center"/>
                </w:tcPr>
                <w:p w14:paraId="01C5364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患者基本信息管理</w:t>
                  </w:r>
                </w:p>
              </w:tc>
              <w:tc>
                <w:tcPr>
                  <w:tcW w:w="1970" w:type="dxa"/>
                  <w:tcBorders>
                    <w:top w:val="nil"/>
                    <w:left w:val="nil"/>
                    <w:bottom w:val="single" w:color="auto" w:sz="4" w:space="0"/>
                    <w:right w:val="single" w:color="auto" w:sz="4" w:space="0"/>
                  </w:tcBorders>
                  <w:shd w:val="clear" w:color="auto" w:fill="auto"/>
                  <w:vAlign w:val="center"/>
                </w:tcPr>
                <w:p w14:paraId="289C058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患者基本信息管理系统</w:t>
                  </w:r>
                </w:p>
              </w:tc>
              <w:tc>
                <w:tcPr>
                  <w:tcW w:w="850" w:type="dxa"/>
                  <w:tcBorders>
                    <w:top w:val="nil"/>
                    <w:left w:val="nil"/>
                    <w:bottom w:val="single" w:color="auto" w:sz="4" w:space="0"/>
                    <w:right w:val="single" w:color="auto" w:sz="4" w:space="0"/>
                  </w:tcBorders>
                  <w:shd w:val="clear" w:color="auto" w:fill="auto"/>
                  <w:vAlign w:val="center"/>
                </w:tcPr>
                <w:p w14:paraId="1EB188D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882965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DDD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2D6CC8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30" w:type="dxa"/>
                  <w:vMerge w:val="continue"/>
                  <w:tcBorders>
                    <w:top w:val="nil"/>
                    <w:left w:val="single" w:color="auto" w:sz="4" w:space="0"/>
                    <w:bottom w:val="nil"/>
                    <w:right w:val="single" w:color="auto" w:sz="4" w:space="0"/>
                  </w:tcBorders>
                  <w:shd w:val="clear" w:color="auto" w:fill="auto"/>
                  <w:vAlign w:val="center"/>
                </w:tcPr>
                <w:p w14:paraId="56A99FC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0C294AD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w:t>
                  </w:r>
                </w:p>
              </w:tc>
              <w:tc>
                <w:tcPr>
                  <w:tcW w:w="1970" w:type="dxa"/>
                  <w:tcBorders>
                    <w:top w:val="nil"/>
                    <w:left w:val="nil"/>
                    <w:bottom w:val="single" w:color="auto" w:sz="4" w:space="0"/>
                    <w:right w:val="single" w:color="auto" w:sz="4" w:space="0"/>
                  </w:tcBorders>
                  <w:shd w:val="clear" w:color="auto" w:fill="auto"/>
                  <w:vAlign w:val="center"/>
                </w:tcPr>
                <w:p w14:paraId="55A485A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门诊预约挂号系统</w:t>
                  </w:r>
                </w:p>
              </w:tc>
              <w:tc>
                <w:tcPr>
                  <w:tcW w:w="850" w:type="dxa"/>
                  <w:tcBorders>
                    <w:top w:val="nil"/>
                    <w:left w:val="nil"/>
                    <w:bottom w:val="single" w:color="auto" w:sz="4" w:space="0"/>
                    <w:right w:val="single" w:color="auto" w:sz="4" w:space="0"/>
                  </w:tcBorders>
                  <w:shd w:val="clear" w:color="auto" w:fill="auto"/>
                  <w:vAlign w:val="center"/>
                </w:tcPr>
                <w:p w14:paraId="69FEA0F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7A47F4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55A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CFC07D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30" w:type="dxa"/>
                  <w:vMerge w:val="continue"/>
                  <w:tcBorders>
                    <w:top w:val="nil"/>
                    <w:left w:val="single" w:color="auto" w:sz="4" w:space="0"/>
                    <w:bottom w:val="nil"/>
                    <w:right w:val="single" w:color="auto" w:sz="4" w:space="0"/>
                  </w:tcBorders>
                  <w:shd w:val="clear" w:color="auto" w:fill="auto"/>
                  <w:vAlign w:val="center"/>
                </w:tcPr>
                <w:p w14:paraId="05E2EB7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4B2674E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03D441A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门诊分诊系统</w:t>
                  </w:r>
                </w:p>
              </w:tc>
              <w:tc>
                <w:tcPr>
                  <w:tcW w:w="850" w:type="dxa"/>
                  <w:tcBorders>
                    <w:top w:val="nil"/>
                    <w:left w:val="nil"/>
                    <w:bottom w:val="single" w:color="auto" w:sz="4" w:space="0"/>
                    <w:right w:val="single" w:color="auto" w:sz="4" w:space="0"/>
                  </w:tcBorders>
                  <w:shd w:val="clear" w:color="auto" w:fill="auto"/>
                  <w:vAlign w:val="center"/>
                </w:tcPr>
                <w:p w14:paraId="7F988AB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107015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3EB8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2F45A5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30" w:type="dxa"/>
                  <w:vMerge w:val="continue"/>
                  <w:tcBorders>
                    <w:top w:val="nil"/>
                    <w:left w:val="single" w:color="auto" w:sz="4" w:space="0"/>
                    <w:bottom w:val="nil"/>
                    <w:right w:val="single" w:color="auto" w:sz="4" w:space="0"/>
                  </w:tcBorders>
                  <w:shd w:val="clear" w:color="auto" w:fill="auto"/>
                  <w:vAlign w:val="center"/>
                </w:tcPr>
                <w:p w14:paraId="08099A5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4141C16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473D09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门诊收费系统</w:t>
                  </w:r>
                </w:p>
              </w:tc>
              <w:tc>
                <w:tcPr>
                  <w:tcW w:w="850" w:type="dxa"/>
                  <w:tcBorders>
                    <w:top w:val="nil"/>
                    <w:left w:val="nil"/>
                    <w:bottom w:val="single" w:color="auto" w:sz="4" w:space="0"/>
                    <w:right w:val="single" w:color="auto" w:sz="4" w:space="0"/>
                  </w:tcBorders>
                  <w:shd w:val="clear" w:color="auto" w:fill="auto"/>
                  <w:vAlign w:val="center"/>
                </w:tcPr>
                <w:p w14:paraId="5E40A94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373433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CE25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83A7CB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30" w:type="dxa"/>
                  <w:vMerge w:val="continue"/>
                  <w:tcBorders>
                    <w:top w:val="nil"/>
                    <w:left w:val="single" w:color="auto" w:sz="4" w:space="0"/>
                    <w:bottom w:val="nil"/>
                    <w:right w:val="single" w:color="auto" w:sz="4" w:space="0"/>
                  </w:tcBorders>
                  <w:shd w:val="clear" w:color="auto" w:fill="auto"/>
                  <w:vAlign w:val="center"/>
                </w:tcPr>
                <w:p w14:paraId="258575C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78F34D0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3D6FD6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门诊医生工作站</w:t>
                  </w:r>
                </w:p>
              </w:tc>
              <w:tc>
                <w:tcPr>
                  <w:tcW w:w="850" w:type="dxa"/>
                  <w:tcBorders>
                    <w:top w:val="nil"/>
                    <w:left w:val="nil"/>
                    <w:bottom w:val="single" w:color="auto" w:sz="4" w:space="0"/>
                    <w:right w:val="single" w:color="auto" w:sz="4" w:space="0"/>
                  </w:tcBorders>
                  <w:shd w:val="clear" w:color="auto" w:fill="auto"/>
                  <w:vAlign w:val="center"/>
                </w:tcPr>
                <w:p w14:paraId="63D94C5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A3473B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698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314CF2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30" w:type="dxa"/>
                  <w:vMerge w:val="continue"/>
                  <w:tcBorders>
                    <w:top w:val="nil"/>
                    <w:left w:val="single" w:color="auto" w:sz="4" w:space="0"/>
                    <w:bottom w:val="nil"/>
                    <w:right w:val="single" w:color="auto" w:sz="4" w:space="0"/>
                  </w:tcBorders>
                  <w:shd w:val="clear" w:color="auto" w:fill="auto"/>
                  <w:vAlign w:val="center"/>
                </w:tcPr>
                <w:p w14:paraId="73A3A73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00B94BA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0DB3605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门诊护士工作站</w:t>
                  </w:r>
                </w:p>
              </w:tc>
              <w:tc>
                <w:tcPr>
                  <w:tcW w:w="850" w:type="dxa"/>
                  <w:tcBorders>
                    <w:top w:val="nil"/>
                    <w:left w:val="nil"/>
                    <w:bottom w:val="single" w:color="auto" w:sz="4" w:space="0"/>
                    <w:right w:val="single" w:color="auto" w:sz="4" w:space="0"/>
                  </w:tcBorders>
                  <w:shd w:val="clear" w:color="auto" w:fill="auto"/>
                  <w:vAlign w:val="center"/>
                </w:tcPr>
                <w:p w14:paraId="6309055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8C0E5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37B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C2BC41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030" w:type="dxa"/>
                  <w:vMerge w:val="continue"/>
                  <w:tcBorders>
                    <w:top w:val="nil"/>
                    <w:left w:val="single" w:color="auto" w:sz="4" w:space="0"/>
                    <w:bottom w:val="nil"/>
                    <w:right w:val="single" w:color="auto" w:sz="4" w:space="0"/>
                  </w:tcBorders>
                  <w:shd w:val="clear" w:color="auto" w:fill="auto"/>
                  <w:vAlign w:val="center"/>
                </w:tcPr>
                <w:p w14:paraId="3CCC2DE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2CB555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CFB3E6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门诊中西医药房系统</w:t>
                  </w:r>
                </w:p>
              </w:tc>
              <w:tc>
                <w:tcPr>
                  <w:tcW w:w="850" w:type="dxa"/>
                  <w:tcBorders>
                    <w:top w:val="nil"/>
                    <w:left w:val="nil"/>
                    <w:bottom w:val="single" w:color="auto" w:sz="4" w:space="0"/>
                    <w:right w:val="single" w:color="auto" w:sz="4" w:space="0"/>
                  </w:tcBorders>
                  <w:shd w:val="clear" w:color="auto" w:fill="auto"/>
                  <w:vAlign w:val="center"/>
                </w:tcPr>
                <w:p w14:paraId="3D948E6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5E9E5B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6F7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E27C25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30" w:type="dxa"/>
                  <w:vMerge w:val="continue"/>
                  <w:tcBorders>
                    <w:top w:val="nil"/>
                    <w:left w:val="single" w:color="auto" w:sz="4" w:space="0"/>
                    <w:bottom w:val="nil"/>
                    <w:right w:val="single" w:color="auto" w:sz="4" w:space="0"/>
                  </w:tcBorders>
                  <w:shd w:val="clear" w:color="auto" w:fill="auto"/>
                  <w:vAlign w:val="center"/>
                </w:tcPr>
                <w:p w14:paraId="052B95F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9D79F1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E20502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门诊配液管理系统</w:t>
                  </w:r>
                </w:p>
              </w:tc>
              <w:tc>
                <w:tcPr>
                  <w:tcW w:w="850" w:type="dxa"/>
                  <w:tcBorders>
                    <w:top w:val="nil"/>
                    <w:left w:val="nil"/>
                    <w:bottom w:val="single" w:color="auto" w:sz="4" w:space="0"/>
                    <w:right w:val="single" w:color="auto" w:sz="4" w:space="0"/>
                  </w:tcBorders>
                  <w:shd w:val="clear" w:color="auto" w:fill="auto"/>
                  <w:vAlign w:val="center"/>
                </w:tcPr>
                <w:p w14:paraId="0F4CCC6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0B5E8E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3D2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E29ABD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030" w:type="dxa"/>
                  <w:vMerge w:val="continue"/>
                  <w:tcBorders>
                    <w:top w:val="nil"/>
                    <w:left w:val="single" w:color="auto" w:sz="4" w:space="0"/>
                    <w:bottom w:val="nil"/>
                    <w:right w:val="single" w:color="auto" w:sz="4" w:space="0"/>
                  </w:tcBorders>
                  <w:shd w:val="clear" w:color="auto" w:fill="auto"/>
                  <w:vAlign w:val="center"/>
                </w:tcPr>
                <w:p w14:paraId="3C4B94D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F0C9D7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F542C3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门诊应急系统</w:t>
                  </w:r>
                </w:p>
              </w:tc>
              <w:tc>
                <w:tcPr>
                  <w:tcW w:w="850" w:type="dxa"/>
                  <w:tcBorders>
                    <w:top w:val="nil"/>
                    <w:left w:val="nil"/>
                    <w:bottom w:val="single" w:color="auto" w:sz="4" w:space="0"/>
                    <w:right w:val="single" w:color="auto" w:sz="4" w:space="0"/>
                  </w:tcBorders>
                  <w:shd w:val="clear" w:color="auto" w:fill="auto"/>
                  <w:vAlign w:val="center"/>
                </w:tcPr>
                <w:p w14:paraId="2A57504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5DDD9A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5F7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38FD49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30" w:type="dxa"/>
                  <w:vMerge w:val="continue"/>
                  <w:tcBorders>
                    <w:top w:val="nil"/>
                    <w:left w:val="single" w:color="auto" w:sz="4" w:space="0"/>
                    <w:bottom w:val="nil"/>
                    <w:right w:val="single" w:color="auto" w:sz="4" w:space="0"/>
                  </w:tcBorders>
                  <w:shd w:val="clear" w:color="auto" w:fill="auto"/>
                  <w:vAlign w:val="center"/>
                </w:tcPr>
                <w:p w14:paraId="5583FDE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0412094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37BF7D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多学科会诊（MDT）管理系统</w:t>
                  </w:r>
                </w:p>
              </w:tc>
              <w:tc>
                <w:tcPr>
                  <w:tcW w:w="850" w:type="dxa"/>
                  <w:tcBorders>
                    <w:top w:val="nil"/>
                    <w:left w:val="nil"/>
                    <w:bottom w:val="single" w:color="auto" w:sz="4" w:space="0"/>
                    <w:right w:val="single" w:color="auto" w:sz="4" w:space="0"/>
                  </w:tcBorders>
                  <w:shd w:val="clear" w:color="auto" w:fill="auto"/>
                  <w:vAlign w:val="center"/>
                </w:tcPr>
                <w:p w14:paraId="7A388CF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402984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F24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21C470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030" w:type="dxa"/>
                  <w:vMerge w:val="continue"/>
                  <w:tcBorders>
                    <w:top w:val="nil"/>
                    <w:left w:val="single" w:color="auto" w:sz="4" w:space="0"/>
                    <w:bottom w:val="nil"/>
                    <w:right w:val="single" w:color="auto" w:sz="4" w:space="0"/>
                  </w:tcBorders>
                  <w:shd w:val="clear" w:color="auto" w:fill="auto"/>
                  <w:vAlign w:val="center"/>
                </w:tcPr>
                <w:p w14:paraId="50041AB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26D826E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急诊</w:t>
                  </w:r>
                </w:p>
              </w:tc>
              <w:tc>
                <w:tcPr>
                  <w:tcW w:w="1970" w:type="dxa"/>
                  <w:tcBorders>
                    <w:top w:val="nil"/>
                    <w:left w:val="nil"/>
                    <w:bottom w:val="single" w:color="auto" w:sz="4" w:space="0"/>
                    <w:right w:val="single" w:color="auto" w:sz="4" w:space="0"/>
                  </w:tcBorders>
                  <w:shd w:val="clear" w:color="auto" w:fill="auto"/>
                  <w:vAlign w:val="center"/>
                </w:tcPr>
                <w:p w14:paraId="2757E26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急诊挂号系统</w:t>
                  </w:r>
                </w:p>
              </w:tc>
              <w:tc>
                <w:tcPr>
                  <w:tcW w:w="850" w:type="dxa"/>
                  <w:tcBorders>
                    <w:top w:val="nil"/>
                    <w:left w:val="nil"/>
                    <w:bottom w:val="single" w:color="auto" w:sz="4" w:space="0"/>
                    <w:right w:val="single" w:color="auto" w:sz="4" w:space="0"/>
                  </w:tcBorders>
                  <w:shd w:val="clear" w:color="auto" w:fill="auto"/>
                  <w:vAlign w:val="center"/>
                </w:tcPr>
                <w:p w14:paraId="3502E4C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793266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FC5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705EB5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030" w:type="dxa"/>
                  <w:vMerge w:val="continue"/>
                  <w:tcBorders>
                    <w:top w:val="nil"/>
                    <w:left w:val="single" w:color="auto" w:sz="4" w:space="0"/>
                    <w:bottom w:val="nil"/>
                    <w:right w:val="single" w:color="auto" w:sz="4" w:space="0"/>
                  </w:tcBorders>
                  <w:shd w:val="clear" w:color="auto" w:fill="auto"/>
                  <w:vAlign w:val="center"/>
                </w:tcPr>
                <w:p w14:paraId="5F49A28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34E9E9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E3BC38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急诊预检分诊系统</w:t>
                  </w:r>
                </w:p>
              </w:tc>
              <w:tc>
                <w:tcPr>
                  <w:tcW w:w="850" w:type="dxa"/>
                  <w:tcBorders>
                    <w:top w:val="nil"/>
                    <w:left w:val="nil"/>
                    <w:bottom w:val="single" w:color="auto" w:sz="4" w:space="0"/>
                    <w:right w:val="single" w:color="auto" w:sz="4" w:space="0"/>
                  </w:tcBorders>
                  <w:shd w:val="clear" w:color="auto" w:fill="auto"/>
                  <w:vAlign w:val="center"/>
                </w:tcPr>
                <w:p w14:paraId="3E2B277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B7B991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BEC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7AD43C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30" w:type="dxa"/>
                  <w:vMerge w:val="continue"/>
                  <w:tcBorders>
                    <w:top w:val="nil"/>
                    <w:left w:val="single" w:color="auto" w:sz="4" w:space="0"/>
                    <w:bottom w:val="nil"/>
                    <w:right w:val="single" w:color="auto" w:sz="4" w:space="0"/>
                  </w:tcBorders>
                  <w:shd w:val="clear" w:color="auto" w:fill="auto"/>
                  <w:vAlign w:val="center"/>
                </w:tcPr>
                <w:p w14:paraId="51D5D2A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1C882E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06C7C5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急诊收费系统</w:t>
                  </w:r>
                </w:p>
              </w:tc>
              <w:tc>
                <w:tcPr>
                  <w:tcW w:w="850" w:type="dxa"/>
                  <w:tcBorders>
                    <w:top w:val="nil"/>
                    <w:left w:val="nil"/>
                    <w:bottom w:val="single" w:color="auto" w:sz="4" w:space="0"/>
                    <w:right w:val="single" w:color="auto" w:sz="4" w:space="0"/>
                  </w:tcBorders>
                  <w:shd w:val="clear" w:color="auto" w:fill="auto"/>
                  <w:vAlign w:val="center"/>
                </w:tcPr>
                <w:p w14:paraId="3FD95B6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185CE5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8C5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72A807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30" w:type="dxa"/>
                  <w:vMerge w:val="continue"/>
                  <w:tcBorders>
                    <w:top w:val="nil"/>
                    <w:left w:val="single" w:color="auto" w:sz="4" w:space="0"/>
                    <w:bottom w:val="nil"/>
                    <w:right w:val="single" w:color="auto" w:sz="4" w:space="0"/>
                  </w:tcBorders>
                  <w:shd w:val="clear" w:color="auto" w:fill="auto"/>
                  <w:vAlign w:val="center"/>
                </w:tcPr>
                <w:p w14:paraId="227519C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CB8ABD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A77186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急诊医生工作站</w:t>
                  </w:r>
                </w:p>
              </w:tc>
              <w:tc>
                <w:tcPr>
                  <w:tcW w:w="850" w:type="dxa"/>
                  <w:tcBorders>
                    <w:top w:val="nil"/>
                    <w:left w:val="nil"/>
                    <w:bottom w:val="single" w:color="auto" w:sz="4" w:space="0"/>
                    <w:right w:val="single" w:color="auto" w:sz="4" w:space="0"/>
                  </w:tcBorders>
                  <w:shd w:val="clear" w:color="auto" w:fill="auto"/>
                  <w:vAlign w:val="center"/>
                </w:tcPr>
                <w:p w14:paraId="6E20645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E9785B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515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98E872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030" w:type="dxa"/>
                  <w:vMerge w:val="continue"/>
                  <w:tcBorders>
                    <w:top w:val="nil"/>
                    <w:left w:val="single" w:color="auto" w:sz="4" w:space="0"/>
                    <w:bottom w:val="nil"/>
                    <w:right w:val="single" w:color="auto" w:sz="4" w:space="0"/>
                  </w:tcBorders>
                  <w:shd w:val="clear" w:color="auto" w:fill="auto"/>
                  <w:vAlign w:val="center"/>
                </w:tcPr>
                <w:p w14:paraId="0BD5DD5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2A83721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BBEE3C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急诊护士工作站</w:t>
                  </w:r>
                </w:p>
              </w:tc>
              <w:tc>
                <w:tcPr>
                  <w:tcW w:w="850" w:type="dxa"/>
                  <w:tcBorders>
                    <w:top w:val="nil"/>
                    <w:left w:val="nil"/>
                    <w:bottom w:val="single" w:color="auto" w:sz="4" w:space="0"/>
                    <w:right w:val="single" w:color="auto" w:sz="4" w:space="0"/>
                  </w:tcBorders>
                  <w:shd w:val="clear" w:color="auto" w:fill="auto"/>
                  <w:vAlign w:val="center"/>
                </w:tcPr>
                <w:p w14:paraId="2BEC4BE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6F5A85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C39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D5A87F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030" w:type="dxa"/>
                  <w:vMerge w:val="continue"/>
                  <w:tcBorders>
                    <w:top w:val="nil"/>
                    <w:left w:val="single" w:color="auto" w:sz="4" w:space="0"/>
                    <w:bottom w:val="nil"/>
                    <w:right w:val="single" w:color="auto" w:sz="4" w:space="0"/>
                  </w:tcBorders>
                  <w:shd w:val="clear" w:color="auto" w:fill="auto"/>
                  <w:vAlign w:val="center"/>
                </w:tcPr>
                <w:p w14:paraId="624E1BF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03C5EA1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1CB526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急诊中西医药房系统</w:t>
                  </w:r>
                </w:p>
              </w:tc>
              <w:tc>
                <w:tcPr>
                  <w:tcW w:w="850" w:type="dxa"/>
                  <w:tcBorders>
                    <w:top w:val="nil"/>
                    <w:left w:val="nil"/>
                    <w:bottom w:val="single" w:color="auto" w:sz="4" w:space="0"/>
                    <w:right w:val="single" w:color="auto" w:sz="4" w:space="0"/>
                  </w:tcBorders>
                  <w:shd w:val="clear" w:color="auto" w:fill="auto"/>
                  <w:vAlign w:val="center"/>
                </w:tcPr>
                <w:p w14:paraId="5B990FB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2B287D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AFB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F705B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030" w:type="dxa"/>
                  <w:vMerge w:val="continue"/>
                  <w:tcBorders>
                    <w:top w:val="nil"/>
                    <w:left w:val="single" w:color="auto" w:sz="4" w:space="0"/>
                    <w:bottom w:val="nil"/>
                    <w:right w:val="single" w:color="auto" w:sz="4" w:space="0"/>
                  </w:tcBorders>
                  <w:shd w:val="clear" w:color="auto" w:fill="auto"/>
                  <w:vAlign w:val="center"/>
                </w:tcPr>
                <w:p w14:paraId="058FF35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6E12634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7214BD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急诊留观系统</w:t>
                  </w:r>
                </w:p>
              </w:tc>
              <w:tc>
                <w:tcPr>
                  <w:tcW w:w="850" w:type="dxa"/>
                  <w:tcBorders>
                    <w:top w:val="nil"/>
                    <w:left w:val="nil"/>
                    <w:bottom w:val="single" w:color="auto" w:sz="4" w:space="0"/>
                    <w:right w:val="single" w:color="auto" w:sz="4" w:space="0"/>
                  </w:tcBorders>
                  <w:shd w:val="clear" w:color="auto" w:fill="auto"/>
                  <w:vAlign w:val="center"/>
                </w:tcPr>
                <w:p w14:paraId="01617E7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C6C963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D8E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19DCD5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30" w:type="dxa"/>
                  <w:vMerge w:val="continue"/>
                  <w:tcBorders>
                    <w:top w:val="nil"/>
                    <w:left w:val="single" w:color="auto" w:sz="4" w:space="0"/>
                    <w:bottom w:val="nil"/>
                    <w:right w:val="single" w:color="auto" w:sz="4" w:space="0"/>
                  </w:tcBorders>
                  <w:shd w:val="clear" w:color="auto" w:fill="auto"/>
                  <w:vAlign w:val="center"/>
                </w:tcPr>
                <w:p w14:paraId="7F67A0C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321689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2BD6F7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急诊质控统计</w:t>
                  </w:r>
                </w:p>
              </w:tc>
              <w:tc>
                <w:tcPr>
                  <w:tcW w:w="850" w:type="dxa"/>
                  <w:tcBorders>
                    <w:top w:val="nil"/>
                    <w:left w:val="nil"/>
                    <w:bottom w:val="single" w:color="auto" w:sz="4" w:space="0"/>
                    <w:right w:val="single" w:color="auto" w:sz="4" w:space="0"/>
                  </w:tcBorders>
                  <w:shd w:val="clear" w:color="auto" w:fill="auto"/>
                  <w:vAlign w:val="center"/>
                </w:tcPr>
                <w:p w14:paraId="399E1CE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107621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244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41B446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030" w:type="dxa"/>
                  <w:vMerge w:val="continue"/>
                  <w:tcBorders>
                    <w:top w:val="nil"/>
                    <w:left w:val="single" w:color="auto" w:sz="4" w:space="0"/>
                    <w:bottom w:val="nil"/>
                    <w:right w:val="single" w:color="auto" w:sz="4" w:space="0"/>
                  </w:tcBorders>
                  <w:shd w:val="clear" w:color="auto" w:fill="auto"/>
                  <w:vAlign w:val="center"/>
                </w:tcPr>
                <w:p w14:paraId="7C1F46C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nil"/>
                    <w:right w:val="single" w:color="auto" w:sz="4" w:space="0"/>
                  </w:tcBorders>
                  <w:shd w:val="clear" w:color="auto" w:fill="auto"/>
                  <w:vAlign w:val="center"/>
                </w:tcPr>
                <w:p w14:paraId="0F8CBEB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w:t>
                  </w:r>
                </w:p>
              </w:tc>
              <w:tc>
                <w:tcPr>
                  <w:tcW w:w="1970" w:type="dxa"/>
                  <w:tcBorders>
                    <w:top w:val="nil"/>
                    <w:left w:val="nil"/>
                    <w:bottom w:val="single" w:color="auto" w:sz="4" w:space="0"/>
                    <w:right w:val="single" w:color="auto" w:sz="4" w:space="0"/>
                  </w:tcBorders>
                  <w:shd w:val="clear" w:color="auto" w:fill="auto"/>
                  <w:vAlign w:val="center"/>
                </w:tcPr>
                <w:p w14:paraId="6080BE9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住院医生工作站</w:t>
                  </w:r>
                </w:p>
              </w:tc>
              <w:tc>
                <w:tcPr>
                  <w:tcW w:w="850" w:type="dxa"/>
                  <w:tcBorders>
                    <w:top w:val="nil"/>
                    <w:left w:val="nil"/>
                    <w:bottom w:val="single" w:color="auto" w:sz="4" w:space="0"/>
                    <w:right w:val="single" w:color="auto" w:sz="4" w:space="0"/>
                  </w:tcBorders>
                  <w:shd w:val="clear" w:color="auto" w:fill="auto"/>
                  <w:vAlign w:val="center"/>
                </w:tcPr>
                <w:p w14:paraId="51EE7C2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335D66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626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9CB7F1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030" w:type="dxa"/>
                  <w:vMerge w:val="continue"/>
                  <w:tcBorders>
                    <w:top w:val="nil"/>
                    <w:left w:val="single" w:color="auto" w:sz="4" w:space="0"/>
                    <w:bottom w:val="nil"/>
                    <w:right w:val="single" w:color="auto" w:sz="4" w:space="0"/>
                  </w:tcBorders>
                  <w:shd w:val="clear" w:color="auto" w:fill="auto"/>
                  <w:vAlign w:val="center"/>
                </w:tcPr>
                <w:p w14:paraId="6519499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64C000C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58E709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住院护士工作站</w:t>
                  </w:r>
                </w:p>
              </w:tc>
              <w:tc>
                <w:tcPr>
                  <w:tcW w:w="850" w:type="dxa"/>
                  <w:tcBorders>
                    <w:top w:val="nil"/>
                    <w:left w:val="nil"/>
                    <w:bottom w:val="single" w:color="auto" w:sz="4" w:space="0"/>
                    <w:right w:val="single" w:color="auto" w:sz="4" w:space="0"/>
                  </w:tcBorders>
                  <w:shd w:val="clear" w:color="auto" w:fill="auto"/>
                  <w:vAlign w:val="center"/>
                </w:tcPr>
                <w:p w14:paraId="21C458B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A8E356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4D3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FB80D4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030" w:type="dxa"/>
                  <w:vMerge w:val="continue"/>
                  <w:tcBorders>
                    <w:top w:val="nil"/>
                    <w:left w:val="single" w:color="auto" w:sz="4" w:space="0"/>
                    <w:bottom w:val="nil"/>
                    <w:right w:val="single" w:color="auto" w:sz="4" w:space="0"/>
                  </w:tcBorders>
                  <w:shd w:val="clear" w:color="auto" w:fill="auto"/>
                  <w:vAlign w:val="center"/>
                </w:tcPr>
                <w:p w14:paraId="3B32B08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478DCF0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E1F28F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住院出入转系统</w:t>
                  </w:r>
                </w:p>
              </w:tc>
              <w:tc>
                <w:tcPr>
                  <w:tcW w:w="850" w:type="dxa"/>
                  <w:tcBorders>
                    <w:top w:val="nil"/>
                    <w:left w:val="nil"/>
                    <w:bottom w:val="single" w:color="auto" w:sz="4" w:space="0"/>
                    <w:right w:val="single" w:color="auto" w:sz="4" w:space="0"/>
                  </w:tcBorders>
                  <w:shd w:val="clear" w:color="auto" w:fill="auto"/>
                  <w:vAlign w:val="center"/>
                </w:tcPr>
                <w:p w14:paraId="3B08D48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F9844A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2B5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FA56A8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30" w:type="dxa"/>
                  <w:vMerge w:val="continue"/>
                  <w:tcBorders>
                    <w:top w:val="nil"/>
                    <w:left w:val="single" w:color="auto" w:sz="4" w:space="0"/>
                    <w:bottom w:val="nil"/>
                    <w:right w:val="single" w:color="auto" w:sz="4" w:space="0"/>
                  </w:tcBorders>
                  <w:shd w:val="clear" w:color="auto" w:fill="auto"/>
                  <w:vAlign w:val="center"/>
                </w:tcPr>
                <w:p w14:paraId="3FC1703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62A2DA2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397674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住院收费系统</w:t>
                  </w:r>
                </w:p>
              </w:tc>
              <w:tc>
                <w:tcPr>
                  <w:tcW w:w="850" w:type="dxa"/>
                  <w:tcBorders>
                    <w:top w:val="nil"/>
                    <w:left w:val="nil"/>
                    <w:bottom w:val="single" w:color="auto" w:sz="4" w:space="0"/>
                    <w:right w:val="single" w:color="auto" w:sz="4" w:space="0"/>
                  </w:tcBorders>
                  <w:shd w:val="clear" w:color="auto" w:fill="auto"/>
                  <w:vAlign w:val="center"/>
                </w:tcPr>
                <w:p w14:paraId="6151B60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339ABF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C8B4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E25985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030" w:type="dxa"/>
                  <w:vMerge w:val="continue"/>
                  <w:tcBorders>
                    <w:top w:val="nil"/>
                    <w:left w:val="single" w:color="auto" w:sz="4" w:space="0"/>
                    <w:bottom w:val="nil"/>
                    <w:right w:val="single" w:color="auto" w:sz="4" w:space="0"/>
                  </w:tcBorders>
                  <w:shd w:val="clear" w:color="auto" w:fill="auto"/>
                  <w:vAlign w:val="center"/>
                </w:tcPr>
                <w:p w14:paraId="0825FE3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4C07167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111D70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住院中心药房系统</w:t>
                  </w:r>
                </w:p>
              </w:tc>
              <w:tc>
                <w:tcPr>
                  <w:tcW w:w="850" w:type="dxa"/>
                  <w:tcBorders>
                    <w:top w:val="nil"/>
                    <w:left w:val="nil"/>
                    <w:bottom w:val="single" w:color="auto" w:sz="4" w:space="0"/>
                    <w:right w:val="single" w:color="auto" w:sz="4" w:space="0"/>
                  </w:tcBorders>
                  <w:shd w:val="clear" w:color="auto" w:fill="auto"/>
                  <w:vAlign w:val="center"/>
                </w:tcPr>
                <w:p w14:paraId="59283B4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C9D8F0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089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BB4A29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030" w:type="dxa"/>
                  <w:vMerge w:val="continue"/>
                  <w:tcBorders>
                    <w:top w:val="nil"/>
                    <w:left w:val="single" w:color="auto" w:sz="4" w:space="0"/>
                    <w:bottom w:val="nil"/>
                    <w:right w:val="single" w:color="auto" w:sz="4" w:space="0"/>
                  </w:tcBorders>
                  <w:shd w:val="clear" w:color="auto" w:fill="auto"/>
                  <w:vAlign w:val="center"/>
                </w:tcPr>
                <w:p w14:paraId="0CD8F5D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0D3099C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1B60CA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住院配液中心系统</w:t>
                  </w:r>
                </w:p>
              </w:tc>
              <w:tc>
                <w:tcPr>
                  <w:tcW w:w="850" w:type="dxa"/>
                  <w:tcBorders>
                    <w:top w:val="nil"/>
                    <w:left w:val="nil"/>
                    <w:bottom w:val="single" w:color="auto" w:sz="4" w:space="0"/>
                    <w:right w:val="single" w:color="auto" w:sz="4" w:space="0"/>
                  </w:tcBorders>
                  <w:shd w:val="clear" w:color="auto" w:fill="auto"/>
                  <w:vAlign w:val="center"/>
                </w:tcPr>
                <w:p w14:paraId="6F2469F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A91099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3ADB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F2647F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030" w:type="dxa"/>
                  <w:vMerge w:val="continue"/>
                  <w:tcBorders>
                    <w:top w:val="nil"/>
                    <w:left w:val="single" w:color="auto" w:sz="4" w:space="0"/>
                    <w:bottom w:val="nil"/>
                    <w:right w:val="single" w:color="auto" w:sz="4" w:space="0"/>
                  </w:tcBorders>
                  <w:shd w:val="clear" w:color="auto" w:fill="auto"/>
                  <w:vAlign w:val="center"/>
                </w:tcPr>
                <w:p w14:paraId="4CD835E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288A866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35781B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床位管理中心</w:t>
                  </w:r>
                </w:p>
              </w:tc>
              <w:tc>
                <w:tcPr>
                  <w:tcW w:w="850" w:type="dxa"/>
                  <w:tcBorders>
                    <w:top w:val="nil"/>
                    <w:left w:val="nil"/>
                    <w:bottom w:val="single" w:color="auto" w:sz="4" w:space="0"/>
                    <w:right w:val="single" w:color="auto" w:sz="4" w:space="0"/>
                  </w:tcBorders>
                  <w:shd w:val="clear" w:color="auto" w:fill="auto"/>
                  <w:vAlign w:val="center"/>
                </w:tcPr>
                <w:p w14:paraId="3065550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A24F36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E03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7C5172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030" w:type="dxa"/>
                  <w:vMerge w:val="continue"/>
                  <w:tcBorders>
                    <w:top w:val="nil"/>
                    <w:left w:val="single" w:color="auto" w:sz="4" w:space="0"/>
                    <w:bottom w:val="nil"/>
                    <w:right w:val="single" w:color="auto" w:sz="4" w:space="0"/>
                  </w:tcBorders>
                  <w:shd w:val="clear" w:color="auto" w:fill="auto"/>
                  <w:vAlign w:val="center"/>
                </w:tcPr>
                <w:p w14:paraId="54FF969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334523B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2D9628B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会诊管理系统</w:t>
                  </w:r>
                </w:p>
              </w:tc>
              <w:tc>
                <w:tcPr>
                  <w:tcW w:w="850" w:type="dxa"/>
                  <w:tcBorders>
                    <w:top w:val="nil"/>
                    <w:left w:val="nil"/>
                    <w:bottom w:val="single" w:color="auto" w:sz="4" w:space="0"/>
                    <w:right w:val="single" w:color="auto" w:sz="4" w:space="0"/>
                  </w:tcBorders>
                  <w:shd w:val="clear" w:color="auto" w:fill="auto"/>
                  <w:vAlign w:val="center"/>
                </w:tcPr>
                <w:p w14:paraId="68A98B5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8021A5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D9F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F2381E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030" w:type="dxa"/>
                  <w:vMerge w:val="continue"/>
                  <w:tcBorders>
                    <w:top w:val="nil"/>
                    <w:left w:val="single" w:color="auto" w:sz="4" w:space="0"/>
                    <w:bottom w:val="nil"/>
                    <w:right w:val="single" w:color="auto" w:sz="4" w:space="0"/>
                  </w:tcBorders>
                  <w:shd w:val="clear" w:color="auto" w:fill="auto"/>
                  <w:vAlign w:val="center"/>
                </w:tcPr>
                <w:p w14:paraId="02F3FB7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23F00E7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DA9927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预住院日间手术管理</w:t>
                  </w:r>
                </w:p>
              </w:tc>
              <w:tc>
                <w:tcPr>
                  <w:tcW w:w="850" w:type="dxa"/>
                  <w:tcBorders>
                    <w:top w:val="nil"/>
                    <w:left w:val="nil"/>
                    <w:bottom w:val="single" w:color="auto" w:sz="4" w:space="0"/>
                    <w:right w:val="single" w:color="auto" w:sz="4" w:space="0"/>
                  </w:tcBorders>
                  <w:shd w:val="clear" w:color="auto" w:fill="auto"/>
                  <w:vAlign w:val="center"/>
                </w:tcPr>
                <w:p w14:paraId="6E2938F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6B97BD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06A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88533B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30" w:type="dxa"/>
                  <w:vMerge w:val="continue"/>
                  <w:tcBorders>
                    <w:top w:val="nil"/>
                    <w:left w:val="single" w:color="auto" w:sz="4" w:space="0"/>
                    <w:bottom w:val="nil"/>
                    <w:right w:val="single" w:color="auto" w:sz="4" w:space="0"/>
                  </w:tcBorders>
                  <w:shd w:val="clear" w:color="auto" w:fill="auto"/>
                  <w:vAlign w:val="center"/>
                </w:tcPr>
                <w:p w14:paraId="6C28499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17C4E47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74B22BE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中药汤剂发放管理系统</w:t>
                  </w:r>
                </w:p>
              </w:tc>
              <w:tc>
                <w:tcPr>
                  <w:tcW w:w="850" w:type="dxa"/>
                  <w:tcBorders>
                    <w:top w:val="nil"/>
                    <w:left w:val="nil"/>
                    <w:bottom w:val="single" w:color="auto" w:sz="4" w:space="0"/>
                    <w:right w:val="single" w:color="auto" w:sz="4" w:space="0"/>
                  </w:tcBorders>
                  <w:shd w:val="clear" w:color="auto" w:fill="auto"/>
                  <w:vAlign w:val="center"/>
                </w:tcPr>
                <w:p w14:paraId="4F0F34B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078E8C6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62B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3CA953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030" w:type="dxa"/>
                  <w:vMerge w:val="continue"/>
                  <w:tcBorders>
                    <w:top w:val="nil"/>
                    <w:left w:val="single" w:color="auto" w:sz="4" w:space="0"/>
                    <w:bottom w:val="nil"/>
                    <w:right w:val="single" w:color="auto" w:sz="4" w:space="0"/>
                  </w:tcBorders>
                  <w:shd w:val="clear" w:color="auto" w:fill="auto"/>
                  <w:vAlign w:val="center"/>
                </w:tcPr>
                <w:p w14:paraId="284F14D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3807857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2571C2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移动医生工作站</w:t>
                  </w:r>
                </w:p>
              </w:tc>
              <w:tc>
                <w:tcPr>
                  <w:tcW w:w="850" w:type="dxa"/>
                  <w:tcBorders>
                    <w:top w:val="nil"/>
                    <w:left w:val="nil"/>
                    <w:bottom w:val="single" w:color="auto" w:sz="4" w:space="0"/>
                    <w:right w:val="single" w:color="auto" w:sz="4" w:space="0"/>
                  </w:tcBorders>
                  <w:shd w:val="clear" w:color="auto" w:fill="auto"/>
                  <w:vAlign w:val="center"/>
                </w:tcPr>
                <w:p w14:paraId="3525107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9FF7E7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D79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F1B4EA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030" w:type="dxa"/>
                  <w:vMerge w:val="continue"/>
                  <w:tcBorders>
                    <w:top w:val="nil"/>
                    <w:left w:val="single" w:color="auto" w:sz="4" w:space="0"/>
                    <w:bottom w:val="nil"/>
                    <w:right w:val="single" w:color="auto" w:sz="4" w:space="0"/>
                  </w:tcBorders>
                  <w:shd w:val="clear" w:color="auto" w:fill="auto"/>
                  <w:vAlign w:val="center"/>
                </w:tcPr>
                <w:p w14:paraId="2F6E72A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2472184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029B467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陪送管理系统</w:t>
                  </w:r>
                </w:p>
              </w:tc>
              <w:tc>
                <w:tcPr>
                  <w:tcW w:w="850" w:type="dxa"/>
                  <w:tcBorders>
                    <w:top w:val="nil"/>
                    <w:left w:val="nil"/>
                    <w:bottom w:val="single" w:color="auto" w:sz="4" w:space="0"/>
                    <w:right w:val="single" w:color="auto" w:sz="4" w:space="0"/>
                  </w:tcBorders>
                  <w:shd w:val="clear" w:color="auto" w:fill="auto"/>
                  <w:vAlign w:val="center"/>
                </w:tcPr>
                <w:p w14:paraId="3721ADA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32D6E76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C9C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2426E0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030" w:type="dxa"/>
                  <w:vMerge w:val="continue"/>
                  <w:tcBorders>
                    <w:top w:val="nil"/>
                    <w:left w:val="single" w:color="auto" w:sz="4" w:space="0"/>
                    <w:bottom w:val="nil"/>
                    <w:right w:val="single" w:color="auto" w:sz="4" w:space="0"/>
                  </w:tcBorders>
                  <w:shd w:val="clear" w:color="auto" w:fill="auto"/>
                  <w:vAlign w:val="center"/>
                </w:tcPr>
                <w:p w14:paraId="38E8A6A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404774D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2EC09DF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体温单</w:t>
                  </w:r>
                </w:p>
              </w:tc>
              <w:tc>
                <w:tcPr>
                  <w:tcW w:w="850" w:type="dxa"/>
                  <w:tcBorders>
                    <w:top w:val="nil"/>
                    <w:left w:val="nil"/>
                    <w:bottom w:val="single" w:color="auto" w:sz="4" w:space="0"/>
                    <w:right w:val="single" w:color="auto" w:sz="4" w:space="0"/>
                  </w:tcBorders>
                  <w:shd w:val="clear" w:color="auto" w:fill="auto"/>
                  <w:vAlign w:val="center"/>
                </w:tcPr>
                <w:p w14:paraId="6D7AA99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BB1076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E9C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52B22F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c>
                <w:tcPr>
                  <w:tcW w:w="1030" w:type="dxa"/>
                  <w:vMerge w:val="continue"/>
                  <w:tcBorders>
                    <w:top w:val="nil"/>
                    <w:left w:val="single" w:color="auto" w:sz="4" w:space="0"/>
                    <w:bottom w:val="nil"/>
                    <w:right w:val="single" w:color="auto" w:sz="4" w:space="0"/>
                  </w:tcBorders>
                  <w:shd w:val="clear" w:color="auto" w:fill="auto"/>
                  <w:vAlign w:val="center"/>
                </w:tcPr>
                <w:p w14:paraId="1FB7C5D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4514625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58F7E3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化疗系统（含日间化疗）</w:t>
                  </w:r>
                </w:p>
              </w:tc>
              <w:tc>
                <w:tcPr>
                  <w:tcW w:w="850" w:type="dxa"/>
                  <w:tcBorders>
                    <w:top w:val="nil"/>
                    <w:left w:val="nil"/>
                    <w:bottom w:val="single" w:color="auto" w:sz="4" w:space="0"/>
                    <w:right w:val="single" w:color="auto" w:sz="4" w:space="0"/>
                  </w:tcBorders>
                  <w:shd w:val="clear" w:color="auto" w:fill="auto"/>
                  <w:vAlign w:val="center"/>
                </w:tcPr>
                <w:p w14:paraId="3A25F16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B60987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B0C2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74A102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03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7A2DC9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急救中心</w:t>
                  </w:r>
                </w:p>
              </w:tc>
              <w:tc>
                <w:tcPr>
                  <w:tcW w:w="81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BF167B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急救中心专病管理系统</w:t>
                  </w:r>
                </w:p>
              </w:tc>
              <w:tc>
                <w:tcPr>
                  <w:tcW w:w="1970" w:type="dxa"/>
                  <w:tcBorders>
                    <w:top w:val="nil"/>
                    <w:left w:val="nil"/>
                    <w:bottom w:val="single" w:color="auto" w:sz="4" w:space="0"/>
                    <w:right w:val="single" w:color="auto" w:sz="4" w:space="0"/>
                  </w:tcBorders>
                  <w:shd w:val="clear" w:color="auto" w:fill="auto"/>
                  <w:vAlign w:val="center"/>
                </w:tcPr>
                <w:p w14:paraId="76550FB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创伤工作站</w:t>
                  </w:r>
                </w:p>
              </w:tc>
              <w:tc>
                <w:tcPr>
                  <w:tcW w:w="850" w:type="dxa"/>
                  <w:tcBorders>
                    <w:top w:val="nil"/>
                    <w:left w:val="nil"/>
                    <w:bottom w:val="single" w:color="auto" w:sz="4" w:space="0"/>
                    <w:right w:val="single" w:color="auto" w:sz="4" w:space="0"/>
                  </w:tcBorders>
                  <w:shd w:val="clear" w:color="auto" w:fill="auto"/>
                  <w:vAlign w:val="center"/>
                </w:tcPr>
                <w:p w14:paraId="382B671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46B9C75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D2E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DA0B84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03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490C04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A70781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79B3B55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卒中工作站</w:t>
                  </w:r>
                </w:p>
              </w:tc>
              <w:tc>
                <w:tcPr>
                  <w:tcW w:w="850" w:type="dxa"/>
                  <w:tcBorders>
                    <w:top w:val="nil"/>
                    <w:left w:val="nil"/>
                    <w:bottom w:val="single" w:color="auto" w:sz="4" w:space="0"/>
                    <w:right w:val="single" w:color="auto" w:sz="4" w:space="0"/>
                  </w:tcBorders>
                  <w:shd w:val="clear" w:color="auto" w:fill="auto"/>
                  <w:vAlign w:val="center"/>
                </w:tcPr>
                <w:p w14:paraId="048D003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80F4A5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8F6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6F0FDD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03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BE59C3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064C9F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517A81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胸痛工作站</w:t>
                  </w:r>
                </w:p>
              </w:tc>
              <w:tc>
                <w:tcPr>
                  <w:tcW w:w="850" w:type="dxa"/>
                  <w:tcBorders>
                    <w:top w:val="nil"/>
                    <w:left w:val="nil"/>
                    <w:bottom w:val="single" w:color="auto" w:sz="4" w:space="0"/>
                    <w:right w:val="single" w:color="auto" w:sz="4" w:space="0"/>
                  </w:tcBorders>
                  <w:shd w:val="clear" w:color="auto" w:fill="auto"/>
                  <w:vAlign w:val="center"/>
                </w:tcPr>
                <w:p w14:paraId="2F97033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DCB21D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7CF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46C86D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030" w:type="dxa"/>
                  <w:vMerge w:val="restart"/>
                  <w:tcBorders>
                    <w:top w:val="nil"/>
                    <w:left w:val="single" w:color="auto" w:sz="4" w:space="0"/>
                    <w:bottom w:val="single" w:color="auto" w:sz="4" w:space="0"/>
                    <w:right w:val="single" w:color="auto" w:sz="4" w:space="0"/>
                  </w:tcBorders>
                  <w:shd w:val="clear" w:color="auto" w:fill="auto"/>
                  <w:vAlign w:val="center"/>
                </w:tcPr>
                <w:p w14:paraId="48B3D92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医技</w:t>
                  </w:r>
                </w:p>
              </w:tc>
              <w:tc>
                <w:tcPr>
                  <w:tcW w:w="812" w:type="dxa"/>
                  <w:tcBorders>
                    <w:top w:val="nil"/>
                    <w:left w:val="nil"/>
                    <w:bottom w:val="single" w:color="auto" w:sz="4" w:space="0"/>
                    <w:right w:val="single" w:color="auto" w:sz="4" w:space="0"/>
                  </w:tcBorders>
                  <w:shd w:val="clear" w:color="auto" w:fill="auto"/>
                  <w:vAlign w:val="center"/>
                </w:tcPr>
                <w:p w14:paraId="68B8A9F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医技预约</w:t>
                  </w:r>
                </w:p>
              </w:tc>
              <w:tc>
                <w:tcPr>
                  <w:tcW w:w="1970" w:type="dxa"/>
                  <w:tcBorders>
                    <w:top w:val="nil"/>
                    <w:left w:val="nil"/>
                    <w:bottom w:val="single" w:color="auto" w:sz="4" w:space="0"/>
                    <w:right w:val="single" w:color="auto" w:sz="4" w:space="0"/>
                  </w:tcBorders>
                  <w:shd w:val="clear" w:color="auto" w:fill="auto"/>
                  <w:vAlign w:val="center"/>
                </w:tcPr>
                <w:p w14:paraId="4C8ED14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医技检查预约平台</w:t>
                  </w:r>
                </w:p>
              </w:tc>
              <w:tc>
                <w:tcPr>
                  <w:tcW w:w="850" w:type="dxa"/>
                  <w:tcBorders>
                    <w:top w:val="nil"/>
                    <w:left w:val="nil"/>
                    <w:bottom w:val="single" w:color="auto" w:sz="4" w:space="0"/>
                    <w:right w:val="single" w:color="auto" w:sz="4" w:space="0"/>
                  </w:tcBorders>
                  <w:shd w:val="clear" w:color="auto" w:fill="auto"/>
                  <w:vAlign w:val="center"/>
                </w:tcPr>
                <w:p w14:paraId="4DF071D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D8ED98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04B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DD11F1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144A76A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1E72CE8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检验</w:t>
                  </w:r>
                </w:p>
              </w:tc>
              <w:tc>
                <w:tcPr>
                  <w:tcW w:w="1970" w:type="dxa"/>
                  <w:tcBorders>
                    <w:top w:val="nil"/>
                    <w:left w:val="nil"/>
                    <w:bottom w:val="single" w:color="auto" w:sz="4" w:space="0"/>
                    <w:right w:val="single" w:color="auto" w:sz="4" w:space="0"/>
                  </w:tcBorders>
                  <w:shd w:val="clear" w:color="auto" w:fill="auto"/>
                  <w:vAlign w:val="center"/>
                </w:tcPr>
                <w:p w14:paraId="6C9D9BC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实验室质量管理系统</w:t>
                  </w:r>
                </w:p>
              </w:tc>
              <w:tc>
                <w:tcPr>
                  <w:tcW w:w="850" w:type="dxa"/>
                  <w:tcBorders>
                    <w:top w:val="nil"/>
                    <w:left w:val="nil"/>
                    <w:bottom w:val="single" w:color="auto" w:sz="4" w:space="0"/>
                    <w:right w:val="single" w:color="auto" w:sz="4" w:space="0"/>
                  </w:tcBorders>
                  <w:shd w:val="clear" w:color="auto" w:fill="auto"/>
                  <w:vAlign w:val="center"/>
                </w:tcPr>
                <w:p w14:paraId="44C8E42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05C0AB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640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23047A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554AC4F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4EFC328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98E8B0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检验信息管理系统</w:t>
                  </w:r>
                </w:p>
              </w:tc>
              <w:tc>
                <w:tcPr>
                  <w:tcW w:w="850" w:type="dxa"/>
                  <w:tcBorders>
                    <w:top w:val="nil"/>
                    <w:left w:val="nil"/>
                    <w:bottom w:val="single" w:color="auto" w:sz="4" w:space="0"/>
                    <w:right w:val="single" w:color="auto" w:sz="4" w:space="0"/>
                  </w:tcBorders>
                  <w:shd w:val="clear" w:color="auto" w:fill="auto"/>
                  <w:vAlign w:val="center"/>
                </w:tcPr>
                <w:p w14:paraId="536E12C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5F1D04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561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76D86F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7226FB0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5A23FA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1E54B1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微生物信息管理系统</w:t>
                  </w:r>
                </w:p>
              </w:tc>
              <w:tc>
                <w:tcPr>
                  <w:tcW w:w="850" w:type="dxa"/>
                  <w:tcBorders>
                    <w:top w:val="nil"/>
                    <w:left w:val="nil"/>
                    <w:bottom w:val="single" w:color="auto" w:sz="4" w:space="0"/>
                    <w:right w:val="single" w:color="auto" w:sz="4" w:space="0"/>
                  </w:tcBorders>
                  <w:shd w:val="clear" w:color="auto" w:fill="auto"/>
                  <w:vAlign w:val="center"/>
                </w:tcPr>
                <w:p w14:paraId="6EFD529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4B379A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851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ADE191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08AF511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2FE3C0B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试剂管理</w:t>
                  </w:r>
                </w:p>
              </w:tc>
              <w:tc>
                <w:tcPr>
                  <w:tcW w:w="1970" w:type="dxa"/>
                  <w:tcBorders>
                    <w:top w:val="nil"/>
                    <w:left w:val="nil"/>
                    <w:bottom w:val="single" w:color="auto" w:sz="4" w:space="0"/>
                    <w:right w:val="single" w:color="auto" w:sz="4" w:space="0"/>
                  </w:tcBorders>
                  <w:shd w:val="clear" w:color="auto" w:fill="auto"/>
                  <w:vAlign w:val="center"/>
                </w:tcPr>
                <w:p w14:paraId="0E3A24B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试剂管理系统</w:t>
                  </w:r>
                </w:p>
              </w:tc>
              <w:tc>
                <w:tcPr>
                  <w:tcW w:w="850" w:type="dxa"/>
                  <w:tcBorders>
                    <w:top w:val="nil"/>
                    <w:left w:val="nil"/>
                    <w:bottom w:val="single" w:color="auto" w:sz="4" w:space="0"/>
                    <w:right w:val="single" w:color="auto" w:sz="4" w:space="0"/>
                  </w:tcBorders>
                  <w:shd w:val="clear" w:color="auto" w:fill="auto"/>
                  <w:vAlign w:val="center"/>
                </w:tcPr>
                <w:p w14:paraId="6DA9889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CAFAE4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25E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98D22D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720EA59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3A0942F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输血</w:t>
                  </w:r>
                </w:p>
              </w:tc>
              <w:tc>
                <w:tcPr>
                  <w:tcW w:w="1970" w:type="dxa"/>
                  <w:tcBorders>
                    <w:top w:val="nil"/>
                    <w:left w:val="nil"/>
                    <w:bottom w:val="single" w:color="auto" w:sz="4" w:space="0"/>
                    <w:right w:val="single" w:color="auto" w:sz="4" w:space="0"/>
                  </w:tcBorders>
                  <w:shd w:val="clear" w:color="auto" w:fill="auto"/>
                  <w:vAlign w:val="center"/>
                </w:tcPr>
                <w:p w14:paraId="2D5161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临床用血管理</w:t>
                  </w:r>
                </w:p>
              </w:tc>
              <w:tc>
                <w:tcPr>
                  <w:tcW w:w="850" w:type="dxa"/>
                  <w:tcBorders>
                    <w:top w:val="nil"/>
                    <w:left w:val="nil"/>
                    <w:bottom w:val="single" w:color="auto" w:sz="4" w:space="0"/>
                    <w:right w:val="single" w:color="auto" w:sz="4" w:space="0"/>
                  </w:tcBorders>
                  <w:shd w:val="clear" w:color="auto" w:fill="auto"/>
                  <w:vAlign w:val="center"/>
                </w:tcPr>
                <w:p w14:paraId="3F206FF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14945F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323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17627E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46F0830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7A3FF8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4F35C4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输血科信息管理系统</w:t>
                  </w:r>
                </w:p>
              </w:tc>
              <w:tc>
                <w:tcPr>
                  <w:tcW w:w="850" w:type="dxa"/>
                  <w:tcBorders>
                    <w:top w:val="nil"/>
                    <w:left w:val="nil"/>
                    <w:bottom w:val="single" w:color="auto" w:sz="4" w:space="0"/>
                    <w:right w:val="single" w:color="auto" w:sz="4" w:space="0"/>
                  </w:tcBorders>
                  <w:shd w:val="clear" w:color="auto" w:fill="auto"/>
                  <w:vAlign w:val="center"/>
                </w:tcPr>
                <w:p w14:paraId="4254908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7906F9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BEB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990792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238840F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3BB9041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手麻</w:t>
                  </w:r>
                </w:p>
              </w:tc>
              <w:tc>
                <w:tcPr>
                  <w:tcW w:w="1970" w:type="dxa"/>
                  <w:tcBorders>
                    <w:top w:val="nil"/>
                    <w:left w:val="nil"/>
                    <w:bottom w:val="single" w:color="auto" w:sz="4" w:space="0"/>
                    <w:right w:val="single" w:color="auto" w:sz="4" w:space="0"/>
                  </w:tcBorders>
                  <w:shd w:val="clear" w:color="auto" w:fill="auto"/>
                  <w:vAlign w:val="center"/>
                </w:tcPr>
                <w:p w14:paraId="29C2222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手术申请管理系统</w:t>
                  </w:r>
                </w:p>
              </w:tc>
              <w:tc>
                <w:tcPr>
                  <w:tcW w:w="850" w:type="dxa"/>
                  <w:tcBorders>
                    <w:top w:val="nil"/>
                    <w:left w:val="nil"/>
                    <w:bottom w:val="single" w:color="auto" w:sz="4" w:space="0"/>
                    <w:right w:val="single" w:color="auto" w:sz="4" w:space="0"/>
                  </w:tcBorders>
                  <w:shd w:val="clear" w:color="auto" w:fill="auto"/>
                  <w:vAlign w:val="center"/>
                </w:tcPr>
                <w:p w14:paraId="7579930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2CF9496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8FC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79227E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030" w:type="dxa"/>
                  <w:tcBorders>
                    <w:top w:val="nil"/>
                    <w:left w:val="nil"/>
                    <w:bottom w:val="single" w:color="auto" w:sz="4" w:space="0"/>
                    <w:right w:val="single" w:color="auto" w:sz="4" w:space="0"/>
                  </w:tcBorders>
                  <w:shd w:val="clear" w:color="auto" w:fill="auto"/>
                  <w:vAlign w:val="center"/>
                </w:tcPr>
                <w:p w14:paraId="68D884D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体检</w:t>
                  </w:r>
                </w:p>
              </w:tc>
              <w:tc>
                <w:tcPr>
                  <w:tcW w:w="812" w:type="dxa"/>
                  <w:tcBorders>
                    <w:top w:val="nil"/>
                    <w:left w:val="nil"/>
                    <w:bottom w:val="single" w:color="auto" w:sz="4" w:space="0"/>
                    <w:right w:val="single" w:color="auto" w:sz="4" w:space="0"/>
                  </w:tcBorders>
                  <w:shd w:val="clear" w:color="auto" w:fill="auto"/>
                  <w:vAlign w:val="center"/>
                </w:tcPr>
                <w:p w14:paraId="40B0C59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体检</w:t>
                  </w:r>
                </w:p>
              </w:tc>
              <w:tc>
                <w:tcPr>
                  <w:tcW w:w="1970" w:type="dxa"/>
                  <w:tcBorders>
                    <w:top w:val="nil"/>
                    <w:left w:val="nil"/>
                    <w:bottom w:val="single" w:color="auto" w:sz="4" w:space="0"/>
                    <w:right w:val="single" w:color="auto" w:sz="4" w:space="0"/>
                  </w:tcBorders>
                  <w:shd w:val="clear" w:color="auto" w:fill="auto"/>
                  <w:vAlign w:val="center"/>
                </w:tcPr>
                <w:p w14:paraId="0CB3D2D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体检系统</w:t>
                  </w:r>
                </w:p>
              </w:tc>
              <w:tc>
                <w:tcPr>
                  <w:tcW w:w="850" w:type="dxa"/>
                  <w:tcBorders>
                    <w:top w:val="nil"/>
                    <w:left w:val="nil"/>
                    <w:bottom w:val="single" w:color="auto" w:sz="4" w:space="0"/>
                    <w:right w:val="single" w:color="auto" w:sz="4" w:space="0"/>
                  </w:tcBorders>
                  <w:shd w:val="clear" w:color="auto" w:fill="auto"/>
                  <w:vAlign w:val="center"/>
                </w:tcPr>
                <w:p w14:paraId="75C48DC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F49042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63F1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4DBB16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030" w:type="dxa"/>
                  <w:vMerge w:val="restart"/>
                  <w:tcBorders>
                    <w:top w:val="nil"/>
                    <w:left w:val="single" w:color="auto" w:sz="4" w:space="0"/>
                    <w:bottom w:val="single" w:color="auto" w:sz="4" w:space="0"/>
                    <w:right w:val="single" w:color="auto" w:sz="4" w:space="0"/>
                  </w:tcBorders>
                  <w:shd w:val="clear" w:color="auto" w:fill="auto"/>
                  <w:vAlign w:val="center"/>
                </w:tcPr>
                <w:p w14:paraId="5984A0E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物流</w:t>
                  </w: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7C311D3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耗材管理</w:t>
                  </w:r>
                </w:p>
              </w:tc>
              <w:tc>
                <w:tcPr>
                  <w:tcW w:w="1970" w:type="dxa"/>
                  <w:tcBorders>
                    <w:top w:val="nil"/>
                    <w:left w:val="nil"/>
                    <w:bottom w:val="single" w:color="auto" w:sz="4" w:space="0"/>
                    <w:right w:val="single" w:color="auto" w:sz="4" w:space="0"/>
                  </w:tcBorders>
                  <w:shd w:val="clear" w:color="auto" w:fill="auto"/>
                  <w:vAlign w:val="center"/>
                </w:tcPr>
                <w:p w14:paraId="08D02EC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卫生材料管理系统</w:t>
                  </w:r>
                </w:p>
              </w:tc>
              <w:tc>
                <w:tcPr>
                  <w:tcW w:w="850" w:type="dxa"/>
                  <w:tcBorders>
                    <w:top w:val="nil"/>
                    <w:left w:val="nil"/>
                    <w:bottom w:val="single" w:color="auto" w:sz="4" w:space="0"/>
                    <w:right w:val="single" w:color="auto" w:sz="4" w:space="0"/>
                  </w:tcBorders>
                  <w:shd w:val="clear" w:color="auto" w:fill="auto"/>
                  <w:vAlign w:val="center"/>
                </w:tcPr>
                <w:p w14:paraId="60A11DC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6B2DCC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二级库</w:t>
                  </w:r>
                </w:p>
              </w:tc>
            </w:tr>
            <w:tr w14:paraId="7A86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72DC04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1B16760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097536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CA6018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高值耗材管理系统</w:t>
                  </w:r>
                </w:p>
              </w:tc>
              <w:tc>
                <w:tcPr>
                  <w:tcW w:w="850" w:type="dxa"/>
                  <w:tcBorders>
                    <w:top w:val="nil"/>
                    <w:left w:val="nil"/>
                    <w:bottom w:val="single" w:color="auto" w:sz="4" w:space="0"/>
                    <w:right w:val="single" w:color="auto" w:sz="4" w:space="0"/>
                  </w:tcBorders>
                  <w:shd w:val="clear" w:color="auto" w:fill="auto"/>
                  <w:vAlign w:val="center"/>
                </w:tcPr>
                <w:p w14:paraId="1A0AA53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04D1EF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对接第三方</w:t>
                  </w:r>
                </w:p>
              </w:tc>
            </w:tr>
            <w:tr w14:paraId="4571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6E6118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030" w:type="dxa"/>
                  <w:vMerge w:val="restart"/>
                  <w:tcBorders>
                    <w:top w:val="nil"/>
                    <w:left w:val="single" w:color="auto" w:sz="4" w:space="0"/>
                    <w:bottom w:val="nil"/>
                    <w:right w:val="single" w:color="auto" w:sz="4" w:space="0"/>
                  </w:tcBorders>
                  <w:shd w:val="clear" w:color="auto" w:fill="auto"/>
                  <w:vAlign w:val="center"/>
                </w:tcPr>
                <w:p w14:paraId="4E17A45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医政</w:t>
                  </w:r>
                </w:p>
              </w:tc>
              <w:tc>
                <w:tcPr>
                  <w:tcW w:w="812" w:type="dxa"/>
                  <w:vMerge w:val="restart"/>
                  <w:tcBorders>
                    <w:top w:val="nil"/>
                    <w:left w:val="single" w:color="auto" w:sz="4" w:space="0"/>
                    <w:bottom w:val="single" w:color="000000" w:sz="4" w:space="0"/>
                    <w:right w:val="single" w:color="auto" w:sz="4" w:space="0"/>
                  </w:tcBorders>
                  <w:shd w:val="clear" w:color="auto" w:fill="auto"/>
                  <w:vAlign w:val="center"/>
                </w:tcPr>
                <w:p w14:paraId="053979C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医政管理</w:t>
                  </w:r>
                </w:p>
              </w:tc>
              <w:tc>
                <w:tcPr>
                  <w:tcW w:w="1970" w:type="dxa"/>
                  <w:tcBorders>
                    <w:top w:val="nil"/>
                    <w:left w:val="nil"/>
                    <w:bottom w:val="single" w:color="auto" w:sz="4" w:space="0"/>
                    <w:right w:val="single" w:color="auto" w:sz="4" w:space="0"/>
                  </w:tcBorders>
                  <w:shd w:val="clear" w:color="auto" w:fill="auto"/>
                  <w:vAlign w:val="center"/>
                </w:tcPr>
                <w:p w14:paraId="379139C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抗菌抗肿瘤管理系统</w:t>
                  </w:r>
                </w:p>
              </w:tc>
              <w:tc>
                <w:tcPr>
                  <w:tcW w:w="850" w:type="dxa"/>
                  <w:tcBorders>
                    <w:top w:val="nil"/>
                    <w:left w:val="nil"/>
                    <w:bottom w:val="single" w:color="auto" w:sz="4" w:space="0"/>
                    <w:right w:val="single" w:color="auto" w:sz="4" w:space="0"/>
                  </w:tcBorders>
                  <w:shd w:val="clear" w:color="auto" w:fill="auto"/>
                  <w:vAlign w:val="center"/>
                </w:tcPr>
                <w:p w14:paraId="5D9C8C4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F1EF6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E26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EDD572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030" w:type="dxa"/>
                  <w:vMerge w:val="continue"/>
                  <w:tcBorders>
                    <w:top w:val="nil"/>
                    <w:left w:val="single" w:color="auto" w:sz="4" w:space="0"/>
                    <w:bottom w:val="nil"/>
                    <w:right w:val="single" w:color="auto" w:sz="4" w:space="0"/>
                  </w:tcBorders>
                  <w:shd w:val="clear" w:color="auto" w:fill="auto"/>
                  <w:vAlign w:val="center"/>
                </w:tcPr>
                <w:p w14:paraId="63AC172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695F4A0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DC86DB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慢病管理</w:t>
                  </w:r>
                </w:p>
              </w:tc>
              <w:tc>
                <w:tcPr>
                  <w:tcW w:w="850" w:type="dxa"/>
                  <w:tcBorders>
                    <w:top w:val="nil"/>
                    <w:left w:val="nil"/>
                    <w:bottom w:val="single" w:color="auto" w:sz="4" w:space="0"/>
                    <w:right w:val="single" w:color="auto" w:sz="4" w:space="0"/>
                  </w:tcBorders>
                  <w:shd w:val="clear" w:color="auto" w:fill="auto"/>
                  <w:vAlign w:val="center"/>
                </w:tcPr>
                <w:p w14:paraId="65773BA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8F1DAD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9F4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966322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30" w:type="dxa"/>
                  <w:vMerge w:val="continue"/>
                  <w:tcBorders>
                    <w:top w:val="nil"/>
                    <w:left w:val="single" w:color="auto" w:sz="4" w:space="0"/>
                    <w:bottom w:val="nil"/>
                    <w:right w:val="single" w:color="auto" w:sz="4" w:space="0"/>
                  </w:tcBorders>
                  <w:shd w:val="clear" w:color="auto" w:fill="auto"/>
                  <w:vAlign w:val="center"/>
                </w:tcPr>
                <w:p w14:paraId="55F04F7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796D81D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B6883B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食源性疾病管理</w:t>
                  </w:r>
                </w:p>
              </w:tc>
              <w:tc>
                <w:tcPr>
                  <w:tcW w:w="850" w:type="dxa"/>
                  <w:tcBorders>
                    <w:top w:val="nil"/>
                    <w:left w:val="nil"/>
                    <w:bottom w:val="single" w:color="auto" w:sz="4" w:space="0"/>
                    <w:right w:val="single" w:color="auto" w:sz="4" w:space="0"/>
                  </w:tcBorders>
                  <w:shd w:val="clear" w:color="auto" w:fill="auto"/>
                  <w:vAlign w:val="center"/>
                </w:tcPr>
                <w:p w14:paraId="7ECD9CB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947571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3CC7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229D33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030" w:type="dxa"/>
                  <w:vMerge w:val="continue"/>
                  <w:tcBorders>
                    <w:top w:val="nil"/>
                    <w:left w:val="single" w:color="auto" w:sz="4" w:space="0"/>
                    <w:bottom w:val="nil"/>
                    <w:right w:val="single" w:color="auto" w:sz="4" w:space="0"/>
                  </w:tcBorders>
                  <w:shd w:val="clear" w:color="auto" w:fill="auto"/>
                  <w:vAlign w:val="center"/>
                </w:tcPr>
                <w:p w14:paraId="0F94A15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1232EBC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A47749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精神疾病管理</w:t>
                  </w:r>
                </w:p>
              </w:tc>
              <w:tc>
                <w:tcPr>
                  <w:tcW w:w="850" w:type="dxa"/>
                  <w:tcBorders>
                    <w:top w:val="nil"/>
                    <w:left w:val="nil"/>
                    <w:bottom w:val="single" w:color="auto" w:sz="4" w:space="0"/>
                    <w:right w:val="single" w:color="auto" w:sz="4" w:space="0"/>
                  </w:tcBorders>
                  <w:shd w:val="clear" w:color="auto" w:fill="auto"/>
                  <w:vAlign w:val="center"/>
                </w:tcPr>
                <w:p w14:paraId="4056157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69BD05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CC2A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366BD2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030" w:type="dxa"/>
                  <w:vMerge w:val="continue"/>
                  <w:tcBorders>
                    <w:top w:val="nil"/>
                    <w:left w:val="single" w:color="auto" w:sz="4" w:space="0"/>
                    <w:bottom w:val="nil"/>
                    <w:right w:val="single" w:color="auto" w:sz="4" w:space="0"/>
                  </w:tcBorders>
                  <w:shd w:val="clear" w:color="auto" w:fill="auto"/>
                  <w:vAlign w:val="center"/>
                </w:tcPr>
                <w:p w14:paraId="27571BC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41DCFC8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53D043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传染病管理</w:t>
                  </w:r>
                </w:p>
              </w:tc>
              <w:tc>
                <w:tcPr>
                  <w:tcW w:w="850" w:type="dxa"/>
                  <w:tcBorders>
                    <w:top w:val="nil"/>
                    <w:left w:val="nil"/>
                    <w:bottom w:val="single" w:color="auto" w:sz="4" w:space="0"/>
                    <w:right w:val="single" w:color="auto" w:sz="4" w:space="0"/>
                  </w:tcBorders>
                  <w:shd w:val="clear" w:color="auto" w:fill="auto"/>
                  <w:vAlign w:val="center"/>
                </w:tcPr>
                <w:p w14:paraId="5E2ADA3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294FFB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321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C0C0F0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030" w:type="dxa"/>
                  <w:vMerge w:val="continue"/>
                  <w:tcBorders>
                    <w:top w:val="nil"/>
                    <w:left w:val="single" w:color="auto" w:sz="4" w:space="0"/>
                    <w:bottom w:val="nil"/>
                    <w:right w:val="single" w:color="auto" w:sz="4" w:space="0"/>
                  </w:tcBorders>
                  <w:shd w:val="clear" w:color="auto" w:fill="auto"/>
                  <w:vAlign w:val="center"/>
                </w:tcPr>
                <w:p w14:paraId="26F8CE9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0982DEE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0EE8A14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临床路径管理系统</w:t>
                  </w:r>
                </w:p>
              </w:tc>
              <w:tc>
                <w:tcPr>
                  <w:tcW w:w="850" w:type="dxa"/>
                  <w:tcBorders>
                    <w:top w:val="nil"/>
                    <w:left w:val="nil"/>
                    <w:bottom w:val="single" w:color="auto" w:sz="4" w:space="0"/>
                    <w:right w:val="single" w:color="auto" w:sz="4" w:space="0"/>
                  </w:tcBorders>
                  <w:shd w:val="clear" w:color="auto" w:fill="auto"/>
                  <w:vAlign w:val="center"/>
                </w:tcPr>
                <w:p w14:paraId="3A318AF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B61F83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7B7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CBF6E0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030" w:type="dxa"/>
                  <w:vMerge w:val="continue"/>
                  <w:tcBorders>
                    <w:top w:val="nil"/>
                    <w:left w:val="single" w:color="auto" w:sz="4" w:space="0"/>
                    <w:bottom w:val="nil"/>
                    <w:right w:val="single" w:color="auto" w:sz="4" w:space="0"/>
                  </w:tcBorders>
                  <w:shd w:val="clear" w:color="auto" w:fill="auto"/>
                  <w:vAlign w:val="center"/>
                </w:tcPr>
                <w:p w14:paraId="7F83AF3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45F3BE9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769B803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死亡证明书管理</w:t>
                  </w:r>
                </w:p>
              </w:tc>
              <w:tc>
                <w:tcPr>
                  <w:tcW w:w="850" w:type="dxa"/>
                  <w:tcBorders>
                    <w:top w:val="nil"/>
                    <w:left w:val="nil"/>
                    <w:bottom w:val="single" w:color="auto" w:sz="4" w:space="0"/>
                    <w:right w:val="single" w:color="auto" w:sz="4" w:space="0"/>
                  </w:tcBorders>
                  <w:shd w:val="clear" w:color="auto" w:fill="auto"/>
                  <w:vAlign w:val="center"/>
                </w:tcPr>
                <w:p w14:paraId="6BB17FC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CC9249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073C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D1519B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030" w:type="dxa"/>
                  <w:vMerge w:val="continue"/>
                  <w:tcBorders>
                    <w:top w:val="nil"/>
                    <w:left w:val="single" w:color="auto" w:sz="4" w:space="0"/>
                    <w:bottom w:val="nil"/>
                    <w:right w:val="single" w:color="auto" w:sz="4" w:space="0"/>
                  </w:tcBorders>
                  <w:shd w:val="clear" w:color="auto" w:fill="auto"/>
                  <w:vAlign w:val="center"/>
                </w:tcPr>
                <w:p w14:paraId="1FDC369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27856B6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0E8E42F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医疗安全(不良)事件</w:t>
                  </w:r>
                </w:p>
              </w:tc>
              <w:tc>
                <w:tcPr>
                  <w:tcW w:w="850" w:type="dxa"/>
                  <w:tcBorders>
                    <w:top w:val="nil"/>
                    <w:left w:val="nil"/>
                    <w:bottom w:val="single" w:color="auto" w:sz="4" w:space="0"/>
                    <w:right w:val="single" w:color="auto" w:sz="4" w:space="0"/>
                  </w:tcBorders>
                  <w:shd w:val="clear" w:color="auto" w:fill="auto"/>
                  <w:vAlign w:val="center"/>
                </w:tcPr>
                <w:p w14:paraId="0605F54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6A79CA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190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D25643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030" w:type="dxa"/>
                  <w:vMerge w:val="continue"/>
                  <w:tcBorders>
                    <w:top w:val="nil"/>
                    <w:left w:val="single" w:color="auto" w:sz="4" w:space="0"/>
                    <w:bottom w:val="nil"/>
                    <w:right w:val="single" w:color="auto" w:sz="4" w:space="0"/>
                  </w:tcBorders>
                  <w:shd w:val="clear" w:color="auto" w:fill="auto"/>
                  <w:vAlign w:val="center"/>
                </w:tcPr>
                <w:p w14:paraId="1C2A725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0F2E202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2C9FA07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医师资质授权</w:t>
                  </w:r>
                </w:p>
              </w:tc>
              <w:tc>
                <w:tcPr>
                  <w:tcW w:w="850" w:type="dxa"/>
                  <w:tcBorders>
                    <w:top w:val="nil"/>
                    <w:left w:val="nil"/>
                    <w:bottom w:val="single" w:color="auto" w:sz="4" w:space="0"/>
                    <w:right w:val="single" w:color="auto" w:sz="4" w:space="0"/>
                  </w:tcBorders>
                  <w:shd w:val="clear" w:color="auto" w:fill="auto"/>
                  <w:vAlign w:val="center"/>
                </w:tcPr>
                <w:p w14:paraId="4C2E36A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C9D225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4D1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6EA1A1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030" w:type="dxa"/>
                  <w:vMerge w:val="continue"/>
                  <w:tcBorders>
                    <w:top w:val="nil"/>
                    <w:left w:val="single" w:color="auto" w:sz="4" w:space="0"/>
                    <w:bottom w:val="nil"/>
                    <w:right w:val="single" w:color="auto" w:sz="4" w:space="0"/>
                  </w:tcBorders>
                  <w:shd w:val="clear" w:color="auto" w:fill="auto"/>
                  <w:vAlign w:val="center"/>
                </w:tcPr>
                <w:p w14:paraId="63E7D44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43BE37B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71BA62B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危急值管理平台</w:t>
                  </w:r>
                </w:p>
              </w:tc>
              <w:tc>
                <w:tcPr>
                  <w:tcW w:w="850" w:type="dxa"/>
                  <w:tcBorders>
                    <w:top w:val="nil"/>
                    <w:left w:val="nil"/>
                    <w:bottom w:val="single" w:color="auto" w:sz="4" w:space="0"/>
                    <w:right w:val="single" w:color="auto" w:sz="4" w:space="0"/>
                  </w:tcBorders>
                  <w:shd w:val="clear" w:color="auto" w:fill="auto"/>
                  <w:vAlign w:val="center"/>
                </w:tcPr>
                <w:p w14:paraId="18D59D0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88F318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0A7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494362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030" w:type="dxa"/>
                  <w:vMerge w:val="continue"/>
                  <w:tcBorders>
                    <w:top w:val="nil"/>
                    <w:left w:val="single" w:color="auto" w:sz="4" w:space="0"/>
                    <w:bottom w:val="nil"/>
                    <w:right w:val="single" w:color="auto" w:sz="4" w:space="0"/>
                  </w:tcBorders>
                  <w:shd w:val="clear" w:color="auto" w:fill="auto"/>
                  <w:vAlign w:val="center"/>
                </w:tcPr>
                <w:p w14:paraId="33B76BE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61349E0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5EE886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单病种质量管理系统</w:t>
                  </w:r>
                </w:p>
              </w:tc>
              <w:tc>
                <w:tcPr>
                  <w:tcW w:w="850" w:type="dxa"/>
                  <w:tcBorders>
                    <w:top w:val="nil"/>
                    <w:left w:val="nil"/>
                    <w:bottom w:val="single" w:color="auto" w:sz="4" w:space="0"/>
                    <w:right w:val="single" w:color="auto" w:sz="4" w:space="0"/>
                  </w:tcBorders>
                  <w:shd w:val="clear" w:color="auto" w:fill="auto"/>
                  <w:vAlign w:val="center"/>
                </w:tcPr>
                <w:p w14:paraId="4D4F628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0407C9C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CC4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E0680B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030" w:type="dxa"/>
                  <w:vMerge w:val="continue"/>
                  <w:tcBorders>
                    <w:top w:val="nil"/>
                    <w:left w:val="single" w:color="auto" w:sz="4" w:space="0"/>
                    <w:bottom w:val="nil"/>
                    <w:right w:val="single" w:color="auto" w:sz="4" w:space="0"/>
                  </w:tcBorders>
                  <w:shd w:val="clear" w:color="auto" w:fill="auto"/>
                  <w:vAlign w:val="center"/>
                </w:tcPr>
                <w:p w14:paraId="0260B57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23C91F4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8404E2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慢性阻塞性肺疾病管理系统</w:t>
                  </w:r>
                </w:p>
              </w:tc>
              <w:tc>
                <w:tcPr>
                  <w:tcW w:w="850" w:type="dxa"/>
                  <w:tcBorders>
                    <w:top w:val="nil"/>
                    <w:left w:val="nil"/>
                    <w:bottom w:val="single" w:color="auto" w:sz="4" w:space="0"/>
                    <w:right w:val="single" w:color="auto" w:sz="4" w:space="0"/>
                  </w:tcBorders>
                  <w:shd w:val="clear" w:color="auto" w:fill="auto"/>
                  <w:vAlign w:val="center"/>
                </w:tcPr>
                <w:p w14:paraId="0651D23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76AD98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0AD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00DECE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30" w:type="dxa"/>
                  <w:vMerge w:val="continue"/>
                  <w:tcBorders>
                    <w:top w:val="nil"/>
                    <w:left w:val="single" w:color="auto" w:sz="4" w:space="0"/>
                    <w:bottom w:val="nil"/>
                    <w:right w:val="single" w:color="auto" w:sz="4" w:space="0"/>
                  </w:tcBorders>
                  <w:shd w:val="clear" w:color="auto" w:fill="auto"/>
                  <w:vAlign w:val="center"/>
                </w:tcPr>
                <w:p w14:paraId="2C32DB7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4913C97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021F4D4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罕见病诊疗服务登记系统</w:t>
                  </w:r>
                </w:p>
              </w:tc>
              <w:tc>
                <w:tcPr>
                  <w:tcW w:w="850" w:type="dxa"/>
                  <w:tcBorders>
                    <w:top w:val="nil"/>
                    <w:left w:val="nil"/>
                    <w:bottom w:val="single" w:color="auto" w:sz="4" w:space="0"/>
                    <w:right w:val="single" w:color="auto" w:sz="4" w:space="0"/>
                  </w:tcBorders>
                  <w:shd w:val="clear" w:color="auto" w:fill="auto"/>
                  <w:vAlign w:val="center"/>
                </w:tcPr>
                <w:p w14:paraId="39809CA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F790B7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6A94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812357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030" w:type="dxa"/>
                  <w:vMerge w:val="continue"/>
                  <w:tcBorders>
                    <w:top w:val="nil"/>
                    <w:left w:val="single" w:color="auto" w:sz="4" w:space="0"/>
                    <w:bottom w:val="nil"/>
                    <w:right w:val="single" w:color="auto" w:sz="4" w:space="0"/>
                  </w:tcBorders>
                  <w:shd w:val="clear" w:color="auto" w:fill="auto"/>
                  <w:vAlign w:val="center"/>
                </w:tcPr>
                <w:p w14:paraId="2FF6EF3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05535D8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30F661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医疗质量综合监控与管理平台</w:t>
                  </w:r>
                </w:p>
              </w:tc>
              <w:tc>
                <w:tcPr>
                  <w:tcW w:w="850" w:type="dxa"/>
                  <w:tcBorders>
                    <w:top w:val="nil"/>
                    <w:left w:val="nil"/>
                    <w:bottom w:val="single" w:color="auto" w:sz="4" w:space="0"/>
                    <w:right w:val="single" w:color="auto" w:sz="4" w:space="0"/>
                  </w:tcBorders>
                  <w:shd w:val="clear" w:color="auto" w:fill="auto"/>
                  <w:vAlign w:val="center"/>
                </w:tcPr>
                <w:p w14:paraId="09CBBC6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3A70A8D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C00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E81BDA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46187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电子病历</w:t>
                  </w: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009C9C9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电子病历</w:t>
                  </w:r>
                </w:p>
              </w:tc>
              <w:tc>
                <w:tcPr>
                  <w:tcW w:w="1970" w:type="dxa"/>
                  <w:tcBorders>
                    <w:top w:val="nil"/>
                    <w:left w:val="nil"/>
                    <w:bottom w:val="single" w:color="auto" w:sz="4" w:space="0"/>
                    <w:right w:val="single" w:color="auto" w:sz="4" w:space="0"/>
                  </w:tcBorders>
                  <w:shd w:val="clear" w:color="auto" w:fill="auto"/>
                  <w:vAlign w:val="center"/>
                </w:tcPr>
                <w:p w14:paraId="2497460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门（急）诊电子病历</w:t>
                  </w:r>
                </w:p>
              </w:tc>
              <w:tc>
                <w:tcPr>
                  <w:tcW w:w="850" w:type="dxa"/>
                  <w:tcBorders>
                    <w:top w:val="nil"/>
                    <w:left w:val="nil"/>
                    <w:bottom w:val="single" w:color="auto" w:sz="4" w:space="0"/>
                    <w:right w:val="single" w:color="auto" w:sz="4" w:space="0"/>
                  </w:tcBorders>
                  <w:shd w:val="clear" w:color="auto" w:fill="auto"/>
                  <w:vAlign w:val="center"/>
                </w:tcPr>
                <w:p w14:paraId="3FA37B5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3B5CC9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652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2ADDB6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880EE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0356F63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1D13E8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住院医生电子病历</w:t>
                  </w:r>
                </w:p>
              </w:tc>
              <w:tc>
                <w:tcPr>
                  <w:tcW w:w="850" w:type="dxa"/>
                  <w:tcBorders>
                    <w:top w:val="nil"/>
                    <w:left w:val="nil"/>
                    <w:bottom w:val="single" w:color="auto" w:sz="4" w:space="0"/>
                    <w:right w:val="single" w:color="auto" w:sz="4" w:space="0"/>
                  </w:tcBorders>
                  <w:shd w:val="clear" w:color="auto" w:fill="auto"/>
                  <w:vAlign w:val="center"/>
                </w:tcPr>
                <w:p w14:paraId="489B442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0007E8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825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4E080E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D5B78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DE7D2D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CCB932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病历质控系统</w:t>
                  </w:r>
                </w:p>
              </w:tc>
              <w:tc>
                <w:tcPr>
                  <w:tcW w:w="850" w:type="dxa"/>
                  <w:tcBorders>
                    <w:top w:val="nil"/>
                    <w:left w:val="nil"/>
                    <w:bottom w:val="single" w:color="auto" w:sz="4" w:space="0"/>
                    <w:right w:val="single" w:color="auto" w:sz="4" w:space="0"/>
                  </w:tcBorders>
                  <w:shd w:val="clear" w:color="auto" w:fill="auto"/>
                  <w:vAlign w:val="center"/>
                </w:tcPr>
                <w:p w14:paraId="2D48C2B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EF7662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8571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24F32D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4B639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BC76EA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79E9BE1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电子病历归档系统</w:t>
                  </w:r>
                </w:p>
              </w:tc>
              <w:tc>
                <w:tcPr>
                  <w:tcW w:w="850" w:type="dxa"/>
                  <w:tcBorders>
                    <w:top w:val="nil"/>
                    <w:left w:val="nil"/>
                    <w:bottom w:val="single" w:color="auto" w:sz="4" w:space="0"/>
                    <w:right w:val="single" w:color="auto" w:sz="4" w:space="0"/>
                  </w:tcBorders>
                  <w:shd w:val="clear" w:color="auto" w:fill="auto"/>
                  <w:vAlign w:val="center"/>
                </w:tcPr>
                <w:p w14:paraId="553AD92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363E47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FF3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F1B290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66CEC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4060068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0870DDF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电子病历归档全文检索系统</w:t>
                  </w:r>
                </w:p>
              </w:tc>
              <w:tc>
                <w:tcPr>
                  <w:tcW w:w="850" w:type="dxa"/>
                  <w:tcBorders>
                    <w:top w:val="nil"/>
                    <w:left w:val="nil"/>
                    <w:bottom w:val="single" w:color="auto" w:sz="4" w:space="0"/>
                    <w:right w:val="single" w:color="auto" w:sz="4" w:space="0"/>
                  </w:tcBorders>
                  <w:shd w:val="clear" w:color="auto" w:fill="auto"/>
                  <w:vAlign w:val="center"/>
                </w:tcPr>
                <w:p w14:paraId="4A2FC22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81DAA3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899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38115F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9D8A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402B151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2B6AF68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住院病案管理系统</w:t>
                  </w:r>
                </w:p>
              </w:tc>
              <w:tc>
                <w:tcPr>
                  <w:tcW w:w="850" w:type="dxa"/>
                  <w:tcBorders>
                    <w:top w:val="nil"/>
                    <w:left w:val="nil"/>
                    <w:bottom w:val="single" w:color="auto" w:sz="4" w:space="0"/>
                    <w:right w:val="single" w:color="auto" w:sz="4" w:space="0"/>
                  </w:tcBorders>
                  <w:shd w:val="clear" w:color="auto" w:fill="auto"/>
                  <w:vAlign w:val="center"/>
                </w:tcPr>
                <w:p w14:paraId="17E55CC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860438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3D0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1F5096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E5BA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1D5B64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F11101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门诊病案管理系统</w:t>
                  </w:r>
                </w:p>
              </w:tc>
              <w:tc>
                <w:tcPr>
                  <w:tcW w:w="850" w:type="dxa"/>
                  <w:tcBorders>
                    <w:top w:val="nil"/>
                    <w:left w:val="nil"/>
                    <w:bottom w:val="single" w:color="auto" w:sz="4" w:space="0"/>
                    <w:right w:val="single" w:color="auto" w:sz="4" w:space="0"/>
                  </w:tcBorders>
                  <w:shd w:val="clear" w:color="auto" w:fill="auto"/>
                  <w:vAlign w:val="center"/>
                </w:tcPr>
                <w:p w14:paraId="7EC6E3E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7914E76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E4D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0A9443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030" w:type="dxa"/>
                  <w:vMerge w:val="restart"/>
                  <w:tcBorders>
                    <w:top w:val="nil"/>
                    <w:left w:val="single" w:color="auto" w:sz="4" w:space="0"/>
                    <w:bottom w:val="single" w:color="000000" w:sz="4" w:space="0"/>
                    <w:right w:val="single" w:color="auto" w:sz="4" w:space="0"/>
                  </w:tcBorders>
                  <w:shd w:val="clear" w:color="auto" w:fill="auto"/>
                  <w:vAlign w:val="center"/>
                </w:tcPr>
                <w:p w14:paraId="1B57A00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智能护理</w:t>
                  </w:r>
                </w:p>
              </w:tc>
              <w:tc>
                <w:tcPr>
                  <w:tcW w:w="812" w:type="dxa"/>
                  <w:tcBorders>
                    <w:top w:val="nil"/>
                    <w:left w:val="nil"/>
                    <w:bottom w:val="single" w:color="auto" w:sz="4" w:space="0"/>
                    <w:right w:val="single" w:color="auto" w:sz="4" w:space="0"/>
                  </w:tcBorders>
                  <w:shd w:val="clear" w:color="auto" w:fill="auto"/>
                  <w:vAlign w:val="center"/>
                </w:tcPr>
                <w:p w14:paraId="783C698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智能护理管理</w:t>
                  </w:r>
                </w:p>
              </w:tc>
              <w:tc>
                <w:tcPr>
                  <w:tcW w:w="1970" w:type="dxa"/>
                  <w:tcBorders>
                    <w:top w:val="nil"/>
                    <w:left w:val="nil"/>
                    <w:bottom w:val="single" w:color="auto" w:sz="4" w:space="0"/>
                    <w:right w:val="single" w:color="auto" w:sz="4" w:space="0"/>
                  </w:tcBorders>
                  <w:shd w:val="clear" w:color="auto" w:fill="auto"/>
                  <w:vAlign w:val="center"/>
                </w:tcPr>
                <w:p w14:paraId="054FD2F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智能护理管理</w:t>
                  </w:r>
                </w:p>
              </w:tc>
              <w:tc>
                <w:tcPr>
                  <w:tcW w:w="850" w:type="dxa"/>
                  <w:tcBorders>
                    <w:top w:val="nil"/>
                    <w:left w:val="nil"/>
                    <w:bottom w:val="single" w:color="auto" w:sz="4" w:space="0"/>
                    <w:right w:val="single" w:color="auto" w:sz="4" w:space="0"/>
                  </w:tcBorders>
                  <w:shd w:val="clear" w:color="auto" w:fill="auto"/>
                  <w:vAlign w:val="center"/>
                </w:tcPr>
                <w:p w14:paraId="3B5698D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92C208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65A6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75EE3B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3E988F2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3FC69BF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智能护理病历</w:t>
                  </w:r>
                </w:p>
              </w:tc>
              <w:tc>
                <w:tcPr>
                  <w:tcW w:w="1970" w:type="dxa"/>
                  <w:tcBorders>
                    <w:top w:val="nil"/>
                    <w:left w:val="nil"/>
                    <w:bottom w:val="single" w:color="auto" w:sz="4" w:space="0"/>
                    <w:right w:val="single" w:color="auto" w:sz="4" w:space="0"/>
                  </w:tcBorders>
                  <w:shd w:val="clear" w:color="auto" w:fill="auto"/>
                  <w:vAlign w:val="center"/>
                </w:tcPr>
                <w:p w14:paraId="769A489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智能护理病历</w:t>
                  </w:r>
                </w:p>
              </w:tc>
              <w:tc>
                <w:tcPr>
                  <w:tcW w:w="850" w:type="dxa"/>
                  <w:tcBorders>
                    <w:top w:val="nil"/>
                    <w:left w:val="nil"/>
                    <w:bottom w:val="single" w:color="auto" w:sz="4" w:space="0"/>
                    <w:right w:val="single" w:color="auto" w:sz="4" w:space="0"/>
                  </w:tcBorders>
                  <w:shd w:val="clear" w:color="auto" w:fill="auto"/>
                  <w:vAlign w:val="center"/>
                </w:tcPr>
                <w:p w14:paraId="084CF79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c>
                <w:tcPr>
                  <w:tcW w:w="610" w:type="dxa"/>
                  <w:tcBorders>
                    <w:top w:val="nil"/>
                    <w:left w:val="nil"/>
                    <w:bottom w:val="single" w:color="auto" w:sz="4" w:space="0"/>
                    <w:right w:val="single" w:color="000000" w:sz="4" w:space="0"/>
                  </w:tcBorders>
                  <w:shd w:val="clear" w:color="auto" w:fill="auto"/>
                  <w:vAlign w:val="center"/>
                </w:tcPr>
                <w:p w14:paraId="4F514D1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BE6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1102C0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42561BF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450CD38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智能引导</w:t>
                  </w:r>
                </w:p>
              </w:tc>
              <w:tc>
                <w:tcPr>
                  <w:tcW w:w="1970" w:type="dxa"/>
                  <w:tcBorders>
                    <w:top w:val="nil"/>
                    <w:left w:val="nil"/>
                    <w:bottom w:val="single" w:color="auto" w:sz="4" w:space="0"/>
                    <w:right w:val="single" w:color="auto" w:sz="4" w:space="0"/>
                  </w:tcBorders>
                  <w:shd w:val="clear" w:color="auto" w:fill="auto"/>
                  <w:vAlign w:val="center"/>
                </w:tcPr>
                <w:p w14:paraId="2560A1E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智能护理路径引导系统（智能引导）</w:t>
                  </w:r>
                </w:p>
              </w:tc>
              <w:tc>
                <w:tcPr>
                  <w:tcW w:w="850" w:type="dxa"/>
                  <w:tcBorders>
                    <w:top w:val="nil"/>
                    <w:left w:val="nil"/>
                    <w:bottom w:val="single" w:color="auto" w:sz="4" w:space="0"/>
                    <w:right w:val="single" w:color="auto" w:sz="4" w:space="0"/>
                  </w:tcBorders>
                  <w:shd w:val="clear" w:color="auto" w:fill="auto"/>
                  <w:vAlign w:val="center"/>
                </w:tcPr>
                <w:p w14:paraId="14A4807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75E454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0A4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2166CB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48A63B1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541E345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智能移动护理</w:t>
                  </w:r>
                </w:p>
              </w:tc>
              <w:tc>
                <w:tcPr>
                  <w:tcW w:w="1970" w:type="dxa"/>
                  <w:tcBorders>
                    <w:top w:val="nil"/>
                    <w:left w:val="nil"/>
                    <w:bottom w:val="single" w:color="auto" w:sz="4" w:space="0"/>
                    <w:right w:val="single" w:color="auto" w:sz="4" w:space="0"/>
                  </w:tcBorders>
                  <w:shd w:val="clear" w:color="auto" w:fill="auto"/>
                  <w:vAlign w:val="center"/>
                </w:tcPr>
                <w:p w14:paraId="415E760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智能移动护理</w:t>
                  </w:r>
                </w:p>
              </w:tc>
              <w:tc>
                <w:tcPr>
                  <w:tcW w:w="850" w:type="dxa"/>
                  <w:tcBorders>
                    <w:top w:val="nil"/>
                    <w:left w:val="nil"/>
                    <w:bottom w:val="single" w:color="auto" w:sz="4" w:space="0"/>
                    <w:right w:val="single" w:color="auto" w:sz="4" w:space="0"/>
                  </w:tcBorders>
                  <w:shd w:val="clear" w:color="auto" w:fill="auto"/>
                  <w:vAlign w:val="center"/>
                </w:tcPr>
                <w:p w14:paraId="293D45F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4D1FB5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B69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2E41FD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25E9120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0145249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7638BA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门诊移动输液系统</w:t>
                  </w:r>
                </w:p>
              </w:tc>
              <w:tc>
                <w:tcPr>
                  <w:tcW w:w="850" w:type="dxa"/>
                  <w:tcBorders>
                    <w:top w:val="nil"/>
                    <w:left w:val="nil"/>
                    <w:bottom w:val="single" w:color="auto" w:sz="4" w:space="0"/>
                    <w:right w:val="single" w:color="auto" w:sz="4" w:space="0"/>
                  </w:tcBorders>
                  <w:shd w:val="clear" w:color="auto" w:fill="auto"/>
                  <w:vAlign w:val="center"/>
                </w:tcPr>
                <w:p w14:paraId="1B0A220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453F7A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C48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389E69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72EC4AB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21611F4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智能护理白板</w:t>
                  </w:r>
                </w:p>
              </w:tc>
              <w:tc>
                <w:tcPr>
                  <w:tcW w:w="1970" w:type="dxa"/>
                  <w:tcBorders>
                    <w:top w:val="nil"/>
                    <w:left w:val="nil"/>
                    <w:bottom w:val="single" w:color="auto" w:sz="4" w:space="0"/>
                    <w:right w:val="single" w:color="auto" w:sz="4" w:space="0"/>
                  </w:tcBorders>
                  <w:shd w:val="clear" w:color="auto" w:fill="auto"/>
                  <w:vAlign w:val="center"/>
                </w:tcPr>
                <w:p w14:paraId="4B99F8A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c>
                <w:tcPr>
                  <w:tcW w:w="850" w:type="dxa"/>
                  <w:tcBorders>
                    <w:top w:val="nil"/>
                    <w:left w:val="nil"/>
                    <w:bottom w:val="single" w:color="auto" w:sz="4" w:space="0"/>
                    <w:right w:val="single" w:color="auto" w:sz="4" w:space="0"/>
                  </w:tcBorders>
                  <w:shd w:val="clear" w:color="auto" w:fill="auto"/>
                  <w:vAlign w:val="center"/>
                </w:tcPr>
                <w:p w14:paraId="49961D1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4F84F8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C7E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32DBC2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7641A9A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000000" w:sz="4" w:space="0"/>
                    <w:right w:val="single" w:color="auto" w:sz="4" w:space="0"/>
                  </w:tcBorders>
                  <w:shd w:val="clear" w:color="auto" w:fill="auto"/>
                  <w:vAlign w:val="center"/>
                </w:tcPr>
                <w:p w14:paraId="44E24AA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智能护理管理系统</w:t>
                  </w:r>
                </w:p>
              </w:tc>
              <w:tc>
                <w:tcPr>
                  <w:tcW w:w="1970" w:type="dxa"/>
                  <w:tcBorders>
                    <w:top w:val="nil"/>
                    <w:left w:val="nil"/>
                    <w:bottom w:val="single" w:color="auto" w:sz="4" w:space="0"/>
                    <w:right w:val="single" w:color="auto" w:sz="4" w:space="0"/>
                  </w:tcBorders>
                  <w:shd w:val="clear" w:color="auto" w:fill="auto"/>
                  <w:vAlign w:val="center"/>
                </w:tcPr>
                <w:p w14:paraId="06825F6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护理排班系统</w:t>
                  </w:r>
                </w:p>
              </w:tc>
              <w:tc>
                <w:tcPr>
                  <w:tcW w:w="850" w:type="dxa"/>
                  <w:tcBorders>
                    <w:top w:val="nil"/>
                    <w:left w:val="nil"/>
                    <w:bottom w:val="single" w:color="auto" w:sz="4" w:space="0"/>
                    <w:right w:val="single" w:color="auto" w:sz="4" w:space="0"/>
                  </w:tcBorders>
                  <w:shd w:val="clear" w:color="auto" w:fill="auto"/>
                  <w:vAlign w:val="center"/>
                </w:tcPr>
                <w:p w14:paraId="1E78DD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499EBA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ED06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FAB8F9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34C4524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654C795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78132A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护理质控系统</w:t>
                  </w:r>
                </w:p>
              </w:tc>
              <w:tc>
                <w:tcPr>
                  <w:tcW w:w="850" w:type="dxa"/>
                  <w:tcBorders>
                    <w:top w:val="nil"/>
                    <w:left w:val="nil"/>
                    <w:bottom w:val="single" w:color="auto" w:sz="4" w:space="0"/>
                    <w:right w:val="single" w:color="auto" w:sz="4" w:space="0"/>
                  </w:tcBorders>
                  <w:shd w:val="clear" w:color="auto" w:fill="auto"/>
                  <w:vAlign w:val="center"/>
                </w:tcPr>
                <w:p w14:paraId="05655EE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7FE2B0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5E01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2E3726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1E996DF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7225618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A1E73C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护理绩效系统</w:t>
                  </w:r>
                </w:p>
              </w:tc>
              <w:tc>
                <w:tcPr>
                  <w:tcW w:w="850" w:type="dxa"/>
                  <w:tcBorders>
                    <w:top w:val="nil"/>
                    <w:left w:val="nil"/>
                    <w:bottom w:val="single" w:color="auto" w:sz="4" w:space="0"/>
                    <w:right w:val="single" w:color="auto" w:sz="4" w:space="0"/>
                  </w:tcBorders>
                  <w:shd w:val="clear" w:color="auto" w:fill="auto"/>
                  <w:vAlign w:val="center"/>
                </w:tcPr>
                <w:p w14:paraId="6FED7CF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3F5391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39E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ACE49D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5C8352D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7041027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敏感指标系统</w:t>
                  </w:r>
                </w:p>
              </w:tc>
              <w:tc>
                <w:tcPr>
                  <w:tcW w:w="1970" w:type="dxa"/>
                  <w:tcBorders>
                    <w:top w:val="nil"/>
                    <w:left w:val="nil"/>
                    <w:bottom w:val="single" w:color="auto" w:sz="4" w:space="0"/>
                    <w:right w:val="single" w:color="auto" w:sz="4" w:space="0"/>
                  </w:tcBorders>
                  <w:shd w:val="clear" w:color="auto" w:fill="auto"/>
                  <w:vAlign w:val="center"/>
                </w:tcPr>
                <w:p w14:paraId="3CD150F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敏感指标系统</w:t>
                  </w:r>
                </w:p>
              </w:tc>
              <w:tc>
                <w:tcPr>
                  <w:tcW w:w="850" w:type="dxa"/>
                  <w:tcBorders>
                    <w:top w:val="nil"/>
                    <w:left w:val="nil"/>
                    <w:bottom w:val="single" w:color="auto" w:sz="4" w:space="0"/>
                    <w:right w:val="single" w:color="auto" w:sz="4" w:space="0"/>
                  </w:tcBorders>
                  <w:shd w:val="clear" w:color="auto" w:fill="auto"/>
                  <w:vAlign w:val="center"/>
                </w:tcPr>
                <w:p w14:paraId="143A54E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77D4A2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99C8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EF95DF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1030" w:type="dxa"/>
                  <w:vMerge w:val="restart"/>
                  <w:tcBorders>
                    <w:top w:val="nil"/>
                    <w:left w:val="single" w:color="auto" w:sz="4" w:space="0"/>
                    <w:bottom w:val="single" w:color="auto" w:sz="4" w:space="0"/>
                    <w:right w:val="single" w:color="auto" w:sz="4" w:space="0"/>
                  </w:tcBorders>
                  <w:shd w:val="clear" w:color="auto" w:fill="auto"/>
                  <w:vAlign w:val="center"/>
                </w:tcPr>
                <w:p w14:paraId="32AD4B8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集成平台</w:t>
                  </w: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0EC8D26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集成平台</w:t>
                  </w:r>
                </w:p>
              </w:tc>
              <w:tc>
                <w:tcPr>
                  <w:tcW w:w="1970" w:type="dxa"/>
                  <w:tcBorders>
                    <w:top w:val="nil"/>
                    <w:left w:val="nil"/>
                    <w:bottom w:val="single" w:color="auto" w:sz="4" w:space="0"/>
                    <w:right w:val="single" w:color="auto" w:sz="4" w:space="0"/>
                  </w:tcBorders>
                  <w:shd w:val="clear" w:color="auto" w:fill="auto"/>
                  <w:vAlign w:val="center"/>
                </w:tcPr>
                <w:p w14:paraId="7020571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统一用户管理</w:t>
                  </w:r>
                </w:p>
              </w:tc>
              <w:tc>
                <w:tcPr>
                  <w:tcW w:w="850" w:type="dxa"/>
                  <w:tcBorders>
                    <w:top w:val="nil"/>
                    <w:left w:val="nil"/>
                    <w:bottom w:val="single" w:color="auto" w:sz="4" w:space="0"/>
                    <w:right w:val="single" w:color="auto" w:sz="4" w:space="0"/>
                  </w:tcBorders>
                  <w:shd w:val="clear" w:color="auto" w:fill="auto"/>
                  <w:vAlign w:val="center"/>
                </w:tcPr>
                <w:p w14:paraId="3EA07B8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253D9D9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4FC8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A732BC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2119CF9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8698E3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5AEA62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医院服务总线</w:t>
                  </w:r>
                </w:p>
              </w:tc>
              <w:tc>
                <w:tcPr>
                  <w:tcW w:w="850" w:type="dxa"/>
                  <w:tcBorders>
                    <w:top w:val="nil"/>
                    <w:left w:val="nil"/>
                    <w:bottom w:val="single" w:color="auto" w:sz="4" w:space="0"/>
                    <w:right w:val="single" w:color="auto" w:sz="4" w:space="0"/>
                  </w:tcBorders>
                  <w:shd w:val="clear" w:color="auto" w:fill="auto"/>
                  <w:vAlign w:val="center"/>
                </w:tcPr>
                <w:p w14:paraId="1574091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4B93B6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18B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AB52EB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1030" w:type="dxa"/>
                  <w:tcBorders>
                    <w:top w:val="nil"/>
                    <w:left w:val="nil"/>
                    <w:bottom w:val="single" w:color="auto" w:sz="4" w:space="0"/>
                    <w:right w:val="single" w:color="auto" w:sz="4" w:space="0"/>
                  </w:tcBorders>
                  <w:shd w:val="clear" w:color="auto" w:fill="auto"/>
                  <w:vAlign w:val="center"/>
                </w:tcPr>
                <w:p w14:paraId="23C7D42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治疗</w:t>
                  </w:r>
                </w:p>
              </w:tc>
              <w:tc>
                <w:tcPr>
                  <w:tcW w:w="812" w:type="dxa"/>
                  <w:tcBorders>
                    <w:top w:val="nil"/>
                    <w:left w:val="nil"/>
                    <w:bottom w:val="single" w:color="auto" w:sz="4" w:space="0"/>
                    <w:right w:val="single" w:color="auto" w:sz="4" w:space="0"/>
                  </w:tcBorders>
                  <w:shd w:val="clear" w:color="auto" w:fill="auto"/>
                  <w:vAlign w:val="center"/>
                </w:tcPr>
                <w:p w14:paraId="70CF81B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治疗室系统</w:t>
                  </w:r>
                </w:p>
              </w:tc>
              <w:tc>
                <w:tcPr>
                  <w:tcW w:w="1970" w:type="dxa"/>
                  <w:tcBorders>
                    <w:top w:val="nil"/>
                    <w:left w:val="nil"/>
                    <w:bottom w:val="single" w:color="auto" w:sz="4" w:space="0"/>
                    <w:right w:val="single" w:color="auto" w:sz="4" w:space="0"/>
                  </w:tcBorders>
                  <w:shd w:val="clear" w:color="auto" w:fill="auto"/>
                  <w:vAlign w:val="center"/>
                </w:tcPr>
                <w:p w14:paraId="6E5C9A5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治疗科室工作站</w:t>
                  </w:r>
                </w:p>
              </w:tc>
              <w:tc>
                <w:tcPr>
                  <w:tcW w:w="850" w:type="dxa"/>
                  <w:tcBorders>
                    <w:top w:val="nil"/>
                    <w:left w:val="nil"/>
                    <w:bottom w:val="single" w:color="auto" w:sz="4" w:space="0"/>
                    <w:right w:val="single" w:color="auto" w:sz="4" w:space="0"/>
                  </w:tcBorders>
                  <w:shd w:val="clear" w:color="auto" w:fill="auto"/>
                  <w:vAlign w:val="center"/>
                </w:tcPr>
                <w:p w14:paraId="599263D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C6DB53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3E8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2A6845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1030" w:type="dxa"/>
                  <w:vMerge w:val="restart"/>
                  <w:tcBorders>
                    <w:top w:val="nil"/>
                    <w:left w:val="single" w:color="auto" w:sz="4" w:space="0"/>
                    <w:bottom w:val="single" w:color="auto" w:sz="4" w:space="0"/>
                    <w:right w:val="single" w:color="auto" w:sz="4" w:space="0"/>
                  </w:tcBorders>
                  <w:shd w:val="clear" w:color="auto" w:fill="auto"/>
                  <w:vAlign w:val="center"/>
                </w:tcPr>
                <w:p w14:paraId="73060D3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综合数据</w:t>
                  </w: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3505E89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综合数据</w:t>
                  </w:r>
                </w:p>
              </w:tc>
              <w:tc>
                <w:tcPr>
                  <w:tcW w:w="1970" w:type="dxa"/>
                  <w:tcBorders>
                    <w:top w:val="nil"/>
                    <w:left w:val="nil"/>
                    <w:bottom w:val="single" w:color="auto" w:sz="4" w:space="0"/>
                    <w:right w:val="single" w:color="auto" w:sz="4" w:space="0"/>
                  </w:tcBorders>
                  <w:shd w:val="clear" w:color="auto" w:fill="auto"/>
                  <w:vAlign w:val="center"/>
                </w:tcPr>
                <w:p w14:paraId="262D332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抗菌药物统计查询分析</w:t>
                  </w:r>
                </w:p>
              </w:tc>
              <w:tc>
                <w:tcPr>
                  <w:tcW w:w="850" w:type="dxa"/>
                  <w:tcBorders>
                    <w:top w:val="nil"/>
                    <w:left w:val="nil"/>
                    <w:bottom w:val="single" w:color="auto" w:sz="4" w:space="0"/>
                    <w:right w:val="single" w:color="auto" w:sz="4" w:space="0"/>
                  </w:tcBorders>
                  <w:shd w:val="clear" w:color="auto" w:fill="auto"/>
                  <w:vAlign w:val="center"/>
                </w:tcPr>
                <w:p w14:paraId="13CF145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194992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1E2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056D08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15B0A9A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4CA77DB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23B6C4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统计室报表系统</w:t>
                  </w:r>
                </w:p>
              </w:tc>
              <w:tc>
                <w:tcPr>
                  <w:tcW w:w="850" w:type="dxa"/>
                  <w:tcBorders>
                    <w:top w:val="nil"/>
                    <w:left w:val="nil"/>
                    <w:bottom w:val="single" w:color="auto" w:sz="4" w:space="0"/>
                    <w:right w:val="single" w:color="auto" w:sz="4" w:space="0"/>
                  </w:tcBorders>
                  <w:shd w:val="clear" w:color="auto" w:fill="auto"/>
                  <w:vAlign w:val="center"/>
                </w:tcPr>
                <w:p w14:paraId="2581D38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710294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922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E1AD4B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6B52833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F4FE18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BF09A0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院长查询系统</w:t>
                  </w:r>
                </w:p>
              </w:tc>
              <w:tc>
                <w:tcPr>
                  <w:tcW w:w="850" w:type="dxa"/>
                  <w:tcBorders>
                    <w:top w:val="nil"/>
                    <w:left w:val="nil"/>
                    <w:bottom w:val="single" w:color="auto" w:sz="4" w:space="0"/>
                    <w:right w:val="single" w:color="auto" w:sz="4" w:space="0"/>
                  </w:tcBorders>
                  <w:shd w:val="clear" w:color="auto" w:fill="auto"/>
                  <w:vAlign w:val="center"/>
                </w:tcPr>
                <w:p w14:paraId="4C936BE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205974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B3BD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53F8E0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75A9593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1B97A9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2A85FD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阳光用药系统</w:t>
                  </w:r>
                </w:p>
              </w:tc>
              <w:tc>
                <w:tcPr>
                  <w:tcW w:w="850" w:type="dxa"/>
                  <w:tcBorders>
                    <w:top w:val="nil"/>
                    <w:left w:val="nil"/>
                    <w:bottom w:val="single" w:color="auto" w:sz="4" w:space="0"/>
                    <w:right w:val="single" w:color="auto" w:sz="4" w:space="0"/>
                  </w:tcBorders>
                  <w:shd w:val="clear" w:color="auto" w:fill="auto"/>
                  <w:vAlign w:val="center"/>
                </w:tcPr>
                <w:p w14:paraId="24375BE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98C5D1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338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B250CC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709A324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27CAE2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221731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指标Cube系统</w:t>
                  </w:r>
                </w:p>
              </w:tc>
              <w:tc>
                <w:tcPr>
                  <w:tcW w:w="850" w:type="dxa"/>
                  <w:tcBorders>
                    <w:top w:val="nil"/>
                    <w:left w:val="nil"/>
                    <w:bottom w:val="single" w:color="auto" w:sz="4" w:space="0"/>
                    <w:right w:val="single" w:color="auto" w:sz="4" w:space="0"/>
                  </w:tcBorders>
                  <w:shd w:val="clear" w:color="auto" w:fill="auto"/>
                  <w:vAlign w:val="center"/>
                </w:tcPr>
                <w:p w14:paraId="1F70ACA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E49BFD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413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F77CB4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61B1A10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02060BB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70949BA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基础数据查询</w:t>
                  </w:r>
                </w:p>
              </w:tc>
              <w:tc>
                <w:tcPr>
                  <w:tcW w:w="850" w:type="dxa"/>
                  <w:tcBorders>
                    <w:top w:val="nil"/>
                    <w:left w:val="nil"/>
                    <w:bottom w:val="single" w:color="auto" w:sz="4" w:space="0"/>
                    <w:right w:val="single" w:color="auto" w:sz="4" w:space="0"/>
                  </w:tcBorders>
                  <w:shd w:val="clear" w:color="auto" w:fill="auto"/>
                  <w:vAlign w:val="center"/>
                </w:tcPr>
                <w:p w14:paraId="171C3A0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63B463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269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50F8B1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1706CC4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561CCB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ED23DC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统计查询套件</w:t>
                  </w:r>
                </w:p>
              </w:tc>
              <w:tc>
                <w:tcPr>
                  <w:tcW w:w="850" w:type="dxa"/>
                  <w:tcBorders>
                    <w:top w:val="nil"/>
                    <w:left w:val="nil"/>
                    <w:bottom w:val="single" w:color="auto" w:sz="4" w:space="0"/>
                    <w:right w:val="single" w:color="auto" w:sz="4" w:space="0"/>
                  </w:tcBorders>
                  <w:shd w:val="clear" w:color="auto" w:fill="auto"/>
                  <w:vAlign w:val="center"/>
                </w:tcPr>
                <w:p w14:paraId="256949A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3BC752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26C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E25F1C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19DB4CB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8565EF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36704A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核算报表系统</w:t>
                  </w:r>
                </w:p>
              </w:tc>
              <w:tc>
                <w:tcPr>
                  <w:tcW w:w="850" w:type="dxa"/>
                  <w:tcBorders>
                    <w:top w:val="nil"/>
                    <w:left w:val="nil"/>
                    <w:bottom w:val="single" w:color="auto" w:sz="4" w:space="0"/>
                    <w:right w:val="single" w:color="auto" w:sz="4" w:space="0"/>
                  </w:tcBorders>
                  <w:shd w:val="clear" w:color="auto" w:fill="auto"/>
                  <w:vAlign w:val="center"/>
                </w:tcPr>
                <w:p w14:paraId="4D0F08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BCC909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A94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89857A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68FE08E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8B75D3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EB037B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财务报表系统</w:t>
                  </w:r>
                </w:p>
              </w:tc>
              <w:tc>
                <w:tcPr>
                  <w:tcW w:w="850" w:type="dxa"/>
                  <w:tcBorders>
                    <w:top w:val="nil"/>
                    <w:left w:val="nil"/>
                    <w:bottom w:val="single" w:color="auto" w:sz="4" w:space="0"/>
                    <w:right w:val="single" w:color="auto" w:sz="4" w:space="0"/>
                  </w:tcBorders>
                  <w:shd w:val="clear" w:color="auto" w:fill="auto"/>
                  <w:vAlign w:val="center"/>
                </w:tcPr>
                <w:p w14:paraId="6F06922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38B521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6A2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BC5147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3717EE8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20287FB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8068C3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病案统计系统</w:t>
                  </w:r>
                </w:p>
              </w:tc>
              <w:tc>
                <w:tcPr>
                  <w:tcW w:w="850" w:type="dxa"/>
                  <w:tcBorders>
                    <w:top w:val="nil"/>
                    <w:left w:val="nil"/>
                    <w:bottom w:val="single" w:color="auto" w:sz="4" w:space="0"/>
                    <w:right w:val="single" w:color="auto" w:sz="4" w:space="0"/>
                  </w:tcBorders>
                  <w:shd w:val="clear" w:color="auto" w:fill="auto"/>
                  <w:vAlign w:val="center"/>
                </w:tcPr>
                <w:p w14:paraId="1B729F5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314C61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5AF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5E0510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1030" w:type="dxa"/>
                  <w:vMerge w:val="restart"/>
                  <w:tcBorders>
                    <w:top w:val="nil"/>
                    <w:left w:val="single" w:color="auto" w:sz="4" w:space="0"/>
                    <w:bottom w:val="single" w:color="auto" w:sz="4" w:space="0"/>
                    <w:right w:val="single" w:color="auto" w:sz="4" w:space="0"/>
                  </w:tcBorders>
                  <w:shd w:val="clear" w:color="auto" w:fill="auto"/>
                  <w:vAlign w:val="center"/>
                </w:tcPr>
                <w:p w14:paraId="4146002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临床诊断管理平台</w:t>
                  </w: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207B1F3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临床诊断管理平台</w:t>
                  </w:r>
                </w:p>
              </w:tc>
              <w:tc>
                <w:tcPr>
                  <w:tcW w:w="1970" w:type="dxa"/>
                  <w:tcBorders>
                    <w:top w:val="nil"/>
                    <w:left w:val="nil"/>
                    <w:bottom w:val="single" w:color="auto" w:sz="4" w:space="0"/>
                    <w:right w:val="single" w:color="auto" w:sz="4" w:space="0"/>
                  </w:tcBorders>
                  <w:shd w:val="clear" w:color="auto" w:fill="auto"/>
                  <w:vAlign w:val="center"/>
                </w:tcPr>
                <w:p w14:paraId="05E2BDA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医学知识库构建平台</w:t>
                  </w:r>
                </w:p>
              </w:tc>
              <w:tc>
                <w:tcPr>
                  <w:tcW w:w="850" w:type="dxa"/>
                  <w:tcBorders>
                    <w:top w:val="nil"/>
                    <w:left w:val="nil"/>
                    <w:bottom w:val="single" w:color="auto" w:sz="4" w:space="0"/>
                    <w:right w:val="single" w:color="auto" w:sz="4" w:space="0"/>
                  </w:tcBorders>
                  <w:shd w:val="clear" w:color="auto" w:fill="auto"/>
                  <w:vAlign w:val="center"/>
                </w:tcPr>
                <w:p w14:paraId="31F9275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74A62C0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820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9929C4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1227126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00960B7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3881F4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基于知识库的结构化诊断系统</w:t>
                  </w:r>
                </w:p>
              </w:tc>
              <w:tc>
                <w:tcPr>
                  <w:tcW w:w="850" w:type="dxa"/>
                  <w:tcBorders>
                    <w:top w:val="nil"/>
                    <w:left w:val="nil"/>
                    <w:bottom w:val="single" w:color="auto" w:sz="4" w:space="0"/>
                    <w:right w:val="single" w:color="auto" w:sz="4" w:space="0"/>
                  </w:tcBorders>
                  <w:shd w:val="clear" w:color="auto" w:fill="auto"/>
                  <w:vAlign w:val="center"/>
                </w:tcPr>
                <w:p w14:paraId="54D37C0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3AEF9E7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C9F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C181BE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1DA3704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0C6CBE2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E46AF3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临床知识库</w:t>
                  </w:r>
                </w:p>
              </w:tc>
              <w:tc>
                <w:tcPr>
                  <w:tcW w:w="850" w:type="dxa"/>
                  <w:tcBorders>
                    <w:top w:val="nil"/>
                    <w:left w:val="nil"/>
                    <w:bottom w:val="single" w:color="auto" w:sz="4" w:space="0"/>
                    <w:right w:val="single" w:color="auto" w:sz="4" w:space="0"/>
                  </w:tcBorders>
                  <w:shd w:val="clear" w:color="auto" w:fill="auto"/>
                  <w:vAlign w:val="center"/>
                </w:tcPr>
                <w:p w14:paraId="0664024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3DDBAD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91A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FF44AB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030" w:type="dxa"/>
                  <w:tcBorders>
                    <w:top w:val="nil"/>
                    <w:left w:val="nil"/>
                    <w:bottom w:val="single" w:color="auto" w:sz="4" w:space="0"/>
                    <w:right w:val="single" w:color="auto" w:sz="4" w:space="0"/>
                  </w:tcBorders>
                  <w:shd w:val="clear" w:color="auto" w:fill="auto"/>
                  <w:vAlign w:val="center"/>
                </w:tcPr>
                <w:p w14:paraId="4E94AB0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药理学</w:t>
                  </w:r>
                </w:p>
              </w:tc>
              <w:tc>
                <w:tcPr>
                  <w:tcW w:w="812" w:type="dxa"/>
                  <w:tcBorders>
                    <w:top w:val="nil"/>
                    <w:left w:val="nil"/>
                    <w:bottom w:val="single" w:color="auto" w:sz="4" w:space="0"/>
                    <w:right w:val="single" w:color="auto" w:sz="4" w:space="0"/>
                  </w:tcBorders>
                  <w:shd w:val="clear" w:color="auto" w:fill="auto"/>
                  <w:vAlign w:val="center"/>
                </w:tcPr>
                <w:p w14:paraId="3C0839F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药理学</w:t>
                  </w:r>
                </w:p>
              </w:tc>
              <w:tc>
                <w:tcPr>
                  <w:tcW w:w="1970" w:type="dxa"/>
                  <w:tcBorders>
                    <w:top w:val="nil"/>
                    <w:left w:val="nil"/>
                    <w:bottom w:val="single" w:color="auto" w:sz="4" w:space="0"/>
                    <w:right w:val="single" w:color="auto" w:sz="4" w:space="0"/>
                  </w:tcBorders>
                  <w:shd w:val="clear" w:color="auto" w:fill="auto"/>
                  <w:vAlign w:val="center"/>
                </w:tcPr>
                <w:p w14:paraId="30A6878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临床药理试验管理系统</w:t>
                  </w:r>
                </w:p>
              </w:tc>
              <w:tc>
                <w:tcPr>
                  <w:tcW w:w="850" w:type="dxa"/>
                  <w:tcBorders>
                    <w:top w:val="nil"/>
                    <w:left w:val="nil"/>
                    <w:bottom w:val="single" w:color="auto" w:sz="4" w:space="0"/>
                    <w:right w:val="single" w:color="auto" w:sz="4" w:space="0"/>
                  </w:tcBorders>
                  <w:shd w:val="clear" w:color="auto" w:fill="auto"/>
                  <w:vAlign w:val="center"/>
                </w:tcPr>
                <w:p w14:paraId="6B2C4FE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1F45BF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F54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E50E27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1030" w:type="dxa"/>
                  <w:vMerge w:val="restart"/>
                  <w:tcBorders>
                    <w:top w:val="nil"/>
                    <w:left w:val="single" w:color="auto" w:sz="4" w:space="0"/>
                    <w:bottom w:val="single" w:color="auto" w:sz="4" w:space="0"/>
                    <w:right w:val="single" w:color="auto" w:sz="4" w:space="0"/>
                  </w:tcBorders>
                  <w:shd w:val="clear" w:color="auto" w:fill="auto"/>
                  <w:vAlign w:val="center"/>
                </w:tcPr>
                <w:p w14:paraId="1EDC696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药事管理</w:t>
                  </w: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0C1F64E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药品供应</w:t>
                  </w:r>
                </w:p>
              </w:tc>
              <w:tc>
                <w:tcPr>
                  <w:tcW w:w="1970" w:type="dxa"/>
                  <w:tcBorders>
                    <w:top w:val="nil"/>
                    <w:left w:val="nil"/>
                    <w:bottom w:val="single" w:color="auto" w:sz="4" w:space="0"/>
                    <w:right w:val="single" w:color="auto" w:sz="4" w:space="0"/>
                  </w:tcBorders>
                  <w:shd w:val="clear" w:color="auto" w:fill="auto"/>
                  <w:vAlign w:val="center"/>
                </w:tcPr>
                <w:p w14:paraId="79F8118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制剂管理系统</w:t>
                  </w:r>
                </w:p>
              </w:tc>
              <w:tc>
                <w:tcPr>
                  <w:tcW w:w="850" w:type="dxa"/>
                  <w:tcBorders>
                    <w:top w:val="nil"/>
                    <w:left w:val="nil"/>
                    <w:bottom w:val="single" w:color="auto" w:sz="4" w:space="0"/>
                    <w:right w:val="single" w:color="auto" w:sz="4" w:space="0"/>
                  </w:tcBorders>
                  <w:shd w:val="clear" w:color="auto" w:fill="auto"/>
                  <w:vAlign w:val="center"/>
                </w:tcPr>
                <w:p w14:paraId="1A14BA5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7702060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BC1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2094FF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3E94B99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C649C8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697489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煎药室管理系统</w:t>
                  </w:r>
                </w:p>
              </w:tc>
              <w:tc>
                <w:tcPr>
                  <w:tcW w:w="850" w:type="dxa"/>
                  <w:tcBorders>
                    <w:top w:val="nil"/>
                    <w:left w:val="nil"/>
                    <w:bottom w:val="single" w:color="auto" w:sz="4" w:space="0"/>
                    <w:right w:val="single" w:color="auto" w:sz="4" w:space="0"/>
                  </w:tcBorders>
                  <w:shd w:val="clear" w:color="auto" w:fill="auto"/>
                  <w:vAlign w:val="center"/>
                </w:tcPr>
                <w:p w14:paraId="43AE4A8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1E75005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601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99DE97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11DA16B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761CF71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2D0B9FC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药库管理系统</w:t>
                  </w:r>
                </w:p>
              </w:tc>
              <w:tc>
                <w:tcPr>
                  <w:tcW w:w="850" w:type="dxa"/>
                  <w:tcBorders>
                    <w:top w:val="nil"/>
                    <w:left w:val="nil"/>
                    <w:bottom w:val="single" w:color="auto" w:sz="4" w:space="0"/>
                    <w:right w:val="single" w:color="auto" w:sz="4" w:space="0"/>
                  </w:tcBorders>
                  <w:shd w:val="clear" w:color="auto" w:fill="auto"/>
                  <w:vAlign w:val="center"/>
                </w:tcPr>
                <w:p w14:paraId="290B47C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C412C4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DD5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2A5D56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2628DD8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6789D25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药学服务</w:t>
                  </w:r>
                </w:p>
              </w:tc>
              <w:tc>
                <w:tcPr>
                  <w:tcW w:w="1970" w:type="dxa"/>
                  <w:tcBorders>
                    <w:top w:val="nil"/>
                    <w:left w:val="nil"/>
                    <w:bottom w:val="single" w:color="auto" w:sz="4" w:space="0"/>
                    <w:right w:val="single" w:color="auto" w:sz="4" w:space="0"/>
                  </w:tcBorders>
                  <w:shd w:val="clear" w:color="auto" w:fill="auto"/>
                  <w:vAlign w:val="center"/>
                </w:tcPr>
                <w:p w14:paraId="7AE5941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临床药师服务平台</w:t>
                  </w:r>
                </w:p>
              </w:tc>
              <w:tc>
                <w:tcPr>
                  <w:tcW w:w="850" w:type="dxa"/>
                  <w:tcBorders>
                    <w:top w:val="nil"/>
                    <w:left w:val="nil"/>
                    <w:bottom w:val="single" w:color="auto" w:sz="4" w:space="0"/>
                    <w:right w:val="single" w:color="auto" w:sz="4" w:space="0"/>
                  </w:tcBorders>
                  <w:shd w:val="clear" w:color="auto" w:fill="auto"/>
                  <w:vAlign w:val="center"/>
                </w:tcPr>
                <w:p w14:paraId="7277BE7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3C29F4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D8B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431CDC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20B47AA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79DFF33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9BB0B3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电子药历</w:t>
                  </w:r>
                </w:p>
              </w:tc>
              <w:tc>
                <w:tcPr>
                  <w:tcW w:w="850" w:type="dxa"/>
                  <w:tcBorders>
                    <w:top w:val="nil"/>
                    <w:left w:val="nil"/>
                    <w:bottom w:val="single" w:color="auto" w:sz="4" w:space="0"/>
                    <w:right w:val="single" w:color="auto" w:sz="4" w:space="0"/>
                  </w:tcBorders>
                  <w:shd w:val="clear" w:color="auto" w:fill="auto"/>
                  <w:vAlign w:val="center"/>
                </w:tcPr>
                <w:p w14:paraId="34831D0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F26957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1A0E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983F18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6E46329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AA2E4F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F418BB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处方点评系统</w:t>
                  </w:r>
                </w:p>
              </w:tc>
              <w:tc>
                <w:tcPr>
                  <w:tcW w:w="850" w:type="dxa"/>
                  <w:tcBorders>
                    <w:top w:val="nil"/>
                    <w:left w:val="nil"/>
                    <w:bottom w:val="single" w:color="auto" w:sz="4" w:space="0"/>
                    <w:right w:val="single" w:color="auto" w:sz="4" w:space="0"/>
                  </w:tcBorders>
                  <w:shd w:val="clear" w:color="auto" w:fill="auto"/>
                  <w:vAlign w:val="center"/>
                </w:tcPr>
                <w:p w14:paraId="0EB824F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6F30B5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31F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B28EE8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4D54FD0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398292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C0B11D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智能处方审核</w:t>
                  </w:r>
                </w:p>
              </w:tc>
              <w:tc>
                <w:tcPr>
                  <w:tcW w:w="850" w:type="dxa"/>
                  <w:tcBorders>
                    <w:top w:val="nil"/>
                    <w:left w:val="nil"/>
                    <w:bottom w:val="single" w:color="auto" w:sz="4" w:space="0"/>
                    <w:right w:val="single" w:color="auto" w:sz="4" w:space="0"/>
                  </w:tcBorders>
                  <w:shd w:val="clear" w:color="auto" w:fill="auto"/>
                  <w:vAlign w:val="center"/>
                </w:tcPr>
                <w:p w14:paraId="57DD78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6356EB2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07C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64E37B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1030" w:type="dxa"/>
                  <w:vMerge w:val="restart"/>
                  <w:tcBorders>
                    <w:top w:val="nil"/>
                    <w:left w:val="single" w:color="auto" w:sz="4" w:space="0"/>
                    <w:bottom w:val="single" w:color="auto" w:sz="4" w:space="0"/>
                    <w:right w:val="single" w:color="auto" w:sz="4" w:space="0"/>
                  </w:tcBorders>
                  <w:shd w:val="clear" w:color="auto" w:fill="auto"/>
                  <w:vAlign w:val="center"/>
                </w:tcPr>
                <w:p w14:paraId="7E95540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w:t>
                  </w: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464ACFF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医保智能审核</w:t>
                  </w:r>
                </w:p>
              </w:tc>
              <w:tc>
                <w:tcPr>
                  <w:tcW w:w="1970" w:type="dxa"/>
                  <w:tcBorders>
                    <w:top w:val="nil"/>
                    <w:left w:val="nil"/>
                    <w:bottom w:val="single" w:color="auto" w:sz="4" w:space="0"/>
                    <w:right w:val="single" w:color="auto" w:sz="4" w:space="0"/>
                  </w:tcBorders>
                  <w:shd w:val="clear" w:color="auto" w:fill="auto"/>
                  <w:vAlign w:val="center"/>
                </w:tcPr>
                <w:p w14:paraId="7649289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项目付费管理系统</w:t>
                  </w:r>
                </w:p>
              </w:tc>
              <w:tc>
                <w:tcPr>
                  <w:tcW w:w="850" w:type="dxa"/>
                  <w:tcBorders>
                    <w:top w:val="nil"/>
                    <w:left w:val="nil"/>
                    <w:bottom w:val="single" w:color="auto" w:sz="4" w:space="0"/>
                    <w:right w:val="single" w:color="auto" w:sz="4" w:space="0"/>
                  </w:tcBorders>
                  <w:shd w:val="clear" w:color="auto" w:fill="auto"/>
                  <w:vAlign w:val="center"/>
                </w:tcPr>
                <w:p w14:paraId="06B64C9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AFEC94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257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FBC81A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5383172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45FF032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7CC198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医保知识库工具</w:t>
                  </w:r>
                </w:p>
              </w:tc>
              <w:tc>
                <w:tcPr>
                  <w:tcW w:w="850" w:type="dxa"/>
                  <w:tcBorders>
                    <w:top w:val="nil"/>
                    <w:left w:val="nil"/>
                    <w:bottom w:val="single" w:color="auto" w:sz="4" w:space="0"/>
                    <w:right w:val="single" w:color="auto" w:sz="4" w:space="0"/>
                  </w:tcBorders>
                  <w:shd w:val="clear" w:color="auto" w:fill="auto"/>
                  <w:vAlign w:val="center"/>
                </w:tcPr>
                <w:p w14:paraId="5BDD512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5F7625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17D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1B5C38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6D9FC6D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01A1763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医保服务</w:t>
                  </w:r>
                </w:p>
              </w:tc>
              <w:tc>
                <w:tcPr>
                  <w:tcW w:w="1970" w:type="dxa"/>
                  <w:tcBorders>
                    <w:top w:val="nil"/>
                    <w:left w:val="nil"/>
                    <w:bottom w:val="single" w:color="auto" w:sz="4" w:space="0"/>
                    <w:right w:val="single" w:color="auto" w:sz="4" w:space="0"/>
                  </w:tcBorders>
                  <w:shd w:val="clear" w:color="auto" w:fill="auto"/>
                  <w:vAlign w:val="center"/>
                </w:tcPr>
                <w:p w14:paraId="1C02134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医保服务(城镇职工)</w:t>
                  </w:r>
                </w:p>
              </w:tc>
              <w:tc>
                <w:tcPr>
                  <w:tcW w:w="850" w:type="dxa"/>
                  <w:tcBorders>
                    <w:top w:val="nil"/>
                    <w:left w:val="nil"/>
                    <w:bottom w:val="single" w:color="auto" w:sz="4" w:space="0"/>
                    <w:right w:val="single" w:color="auto" w:sz="4" w:space="0"/>
                  </w:tcBorders>
                  <w:shd w:val="clear" w:color="auto" w:fill="auto"/>
                  <w:vAlign w:val="center"/>
                </w:tcPr>
                <w:p w14:paraId="0DB6A17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E630B9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7F2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4FCBC9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558F2F8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7C6B4C5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F7241B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医保服务(城镇居民)</w:t>
                  </w:r>
                </w:p>
              </w:tc>
              <w:tc>
                <w:tcPr>
                  <w:tcW w:w="850" w:type="dxa"/>
                  <w:tcBorders>
                    <w:top w:val="nil"/>
                    <w:left w:val="nil"/>
                    <w:bottom w:val="single" w:color="auto" w:sz="4" w:space="0"/>
                    <w:right w:val="single" w:color="auto" w:sz="4" w:space="0"/>
                  </w:tcBorders>
                  <w:shd w:val="clear" w:color="auto" w:fill="auto"/>
                  <w:vAlign w:val="center"/>
                </w:tcPr>
                <w:p w14:paraId="5C8FF7A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F3EC8C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625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095103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5DCB1C6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03A0E5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7F2F352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医保服务(城乡居民)</w:t>
                  </w:r>
                </w:p>
              </w:tc>
              <w:tc>
                <w:tcPr>
                  <w:tcW w:w="850" w:type="dxa"/>
                  <w:tcBorders>
                    <w:top w:val="nil"/>
                    <w:left w:val="nil"/>
                    <w:bottom w:val="single" w:color="auto" w:sz="4" w:space="0"/>
                    <w:right w:val="single" w:color="auto" w:sz="4" w:space="0"/>
                  </w:tcBorders>
                  <w:shd w:val="clear" w:color="auto" w:fill="auto"/>
                  <w:vAlign w:val="center"/>
                </w:tcPr>
                <w:p w14:paraId="21FDCFA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F6A887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C77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4B3801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37695D1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4FF02FB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医保精细化管理</w:t>
                  </w:r>
                </w:p>
              </w:tc>
              <w:tc>
                <w:tcPr>
                  <w:tcW w:w="1970" w:type="dxa"/>
                  <w:tcBorders>
                    <w:top w:val="nil"/>
                    <w:left w:val="nil"/>
                    <w:bottom w:val="single" w:color="auto" w:sz="4" w:space="0"/>
                    <w:right w:val="single" w:color="auto" w:sz="4" w:space="0"/>
                  </w:tcBorders>
                  <w:shd w:val="clear" w:color="auto" w:fill="auto"/>
                  <w:vAlign w:val="center"/>
                </w:tcPr>
                <w:p w14:paraId="1EA4E38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人次付费管理系统</w:t>
                  </w:r>
                </w:p>
              </w:tc>
              <w:tc>
                <w:tcPr>
                  <w:tcW w:w="850" w:type="dxa"/>
                  <w:tcBorders>
                    <w:top w:val="nil"/>
                    <w:left w:val="nil"/>
                    <w:bottom w:val="single" w:color="auto" w:sz="4" w:space="0"/>
                    <w:right w:val="single" w:color="auto" w:sz="4" w:space="0"/>
                  </w:tcBorders>
                  <w:shd w:val="clear" w:color="auto" w:fill="auto"/>
                  <w:vAlign w:val="center"/>
                </w:tcPr>
                <w:p w14:paraId="0432215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B79E92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B83D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7D38B0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49A7284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733CAB6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78F261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门诊慢特病管理系统</w:t>
                  </w:r>
                </w:p>
              </w:tc>
              <w:tc>
                <w:tcPr>
                  <w:tcW w:w="850" w:type="dxa"/>
                  <w:tcBorders>
                    <w:top w:val="nil"/>
                    <w:left w:val="nil"/>
                    <w:bottom w:val="single" w:color="auto" w:sz="4" w:space="0"/>
                    <w:right w:val="single" w:color="auto" w:sz="4" w:space="0"/>
                  </w:tcBorders>
                  <w:shd w:val="clear" w:color="auto" w:fill="auto"/>
                  <w:vAlign w:val="center"/>
                </w:tcPr>
                <w:p w14:paraId="56A5064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0AE2C9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59D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434ED5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03C5D80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2ADDF01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48442F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项目付费管理系统</w:t>
                  </w:r>
                </w:p>
              </w:tc>
              <w:tc>
                <w:tcPr>
                  <w:tcW w:w="850" w:type="dxa"/>
                  <w:tcBorders>
                    <w:top w:val="nil"/>
                    <w:left w:val="nil"/>
                    <w:bottom w:val="single" w:color="auto" w:sz="4" w:space="0"/>
                    <w:right w:val="single" w:color="auto" w:sz="4" w:space="0"/>
                  </w:tcBorders>
                  <w:shd w:val="clear" w:color="auto" w:fill="auto"/>
                  <w:vAlign w:val="center"/>
                </w:tcPr>
                <w:p w14:paraId="5A3151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39D3B5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790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D14E5E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43CCBEE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65AA0DA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2804E58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总额预付管理系统</w:t>
                  </w:r>
                </w:p>
              </w:tc>
              <w:tc>
                <w:tcPr>
                  <w:tcW w:w="850" w:type="dxa"/>
                  <w:tcBorders>
                    <w:top w:val="nil"/>
                    <w:left w:val="nil"/>
                    <w:bottom w:val="single" w:color="auto" w:sz="4" w:space="0"/>
                    <w:right w:val="single" w:color="auto" w:sz="4" w:space="0"/>
                  </w:tcBorders>
                  <w:shd w:val="clear" w:color="auto" w:fill="auto"/>
                  <w:vAlign w:val="center"/>
                </w:tcPr>
                <w:p w14:paraId="69F4A05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C92DA3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7EC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317E33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53B204B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76BBF40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81B4C5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医保知识库工具</w:t>
                  </w:r>
                </w:p>
              </w:tc>
              <w:tc>
                <w:tcPr>
                  <w:tcW w:w="850" w:type="dxa"/>
                  <w:tcBorders>
                    <w:top w:val="nil"/>
                    <w:left w:val="nil"/>
                    <w:bottom w:val="single" w:color="auto" w:sz="4" w:space="0"/>
                    <w:right w:val="single" w:color="auto" w:sz="4" w:space="0"/>
                  </w:tcBorders>
                  <w:shd w:val="clear" w:color="auto" w:fill="auto"/>
                  <w:vAlign w:val="center"/>
                </w:tcPr>
                <w:p w14:paraId="1039F6D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23E00A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04C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67D1A8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01753A0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236E7FC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15D2BA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单病种付费管理系统</w:t>
                  </w:r>
                </w:p>
              </w:tc>
              <w:tc>
                <w:tcPr>
                  <w:tcW w:w="850" w:type="dxa"/>
                  <w:tcBorders>
                    <w:top w:val="nil"/>
                    <w:left w:val="nil"/>
                    <w:bottom w:val="single" w:color="auto" w:sz="4" w:space="0"/>
                    <w:right w:val="single" w:color="auto" w:sz="4" w:space="0"/>
                  </w:tcBorders>
                  <w:shd w:val="clear" w:color="auto" w:fill="auto"/>
                  <w:vAlign w:val="center"/>
                </w:tcPr>
                <w:p w14:paraId="63277C4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B94198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89FE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D871CC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7F90CAE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6B28A09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医保本地算法</w:t>
                  </w:r>
                </w:p>
              </w:tc>
              <w:tc>
                <w:tcPr>
                  <w:tcW w:w="1970" w:type="dxa"/>
                  <w:tcBorders>
                    <w:top w:val="nil"/>
                    <w:left w:val="nil"/>
                    <w:bottom w:val="single" w:color="auto" w:sz="4" w:space="0"/>
                    <w:right w:val="single" w:color="auto" w:sz="4" w:space="0"/>
                  </w:tcBorders>
                  <w:shd w:val="clear" w:color="auto" w:fill="auto"/>
                  <w:vAlign w:val="center"/>
                </w:tcPr>
                <w:p w14:paraId="3EA010F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院内医保结算</w:t>
                  </w:r>
                </w:p>
              </w:tc>
              <w:tc>
                <w:tcPr>
                  <w:tcW w:w="850" w:type="dxa"/>
                  <w:tcBorders>
                    <w:top w:val="nil"/>
                    <w:left w:val="nil"/>
                    <w:bottom w:val="single" w:color="auto" w:sz="4" w:space="0"/>
                    <w:right w:val="single" w:color="auto" w:sz="4" w:space="0"/>
                  </w:tcBorders>
                  <w:shd w:val="clear" w:color="auto" w:fill="auto"/>
                  <w:vAlign w:val="center"/>
                </w:tcPr>
                <w:p w14:paraId="7DD72C8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B28FFC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E63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16A752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37BD59A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60E6B4C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院端商保转换平台</w:t>
                  </w:r>
                </w:p>
              </w:tc>
              <w:tc>
                <w:tcPr>
                  <w:tcW w:w="1970" w:type="dxa"/>
                  <w:tcBorders>
                    <w:top w:val="nil"/>
                    <w:left w:val="nil"/>
                    <w:bottom w:val="single" w:color="auto" w:sz="4" w:space="0"/>
                    <w:right w:val="single" w:color="auto" w:sz="4" w:space="0"/>
                  </w:tcBorders>
                  <w:shd w:val="clear" w:color="auto" w:fill="auto"/>
                  <w:vAlign w:val="center"/>
                </w:tcPr>
                <w:p w14:paraId="2ED623C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院端商保平台转换接口</w:t>
                  </w:r>
                </w:p>
              </w:tc>
              <w:tc>
                <w:tcPr>
                  <w:tcW w:w="850" w:type="dxa"/>
                  <w:tcBorders>
                    <w:top w:val="nil"/>
                    <w:left w:val="nil"/>
                    <w:bottom w:val="single" w:color="auto" w:sz="4" w:space="0"/>
                    <w:right w:val="single" w:color="auto" w:sz="4" w:space="0"/>
                  </w:tcBorders>
                  <w:shd w:val="clear" w:color="auto" w:fill="auto"/>
                  <w:vAlign w:val="center"/>
                </w:tcPr>
                <w:p w14:paraId="63E3E0B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0FB5809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A07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9E227F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1030" w:type="dxa"/>
                  <w:tcBorders>
                    <w:top w:val="nil"/>
                    <w:left w:val="nil"/>
                    <w:bottom w:val="single" w:color="auto" w:sz="4" w:space="0"/>
                    <w:right w:val="single" w:color="auto" w:sz="4" w:space="0"/>
                  </w:tcBorders>
                  <w:shd w:val="clear" w:color="auto" w:fill="auto"/>
                  <w:vAlign w:val="center"/>
                </w:tcPr>
                <w:p w14:paraId="36A84C7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多渠道对账管理系统</w:t>
                  </w:r>
                </w:p>
              </w:tc>
              <w:tc>
                <w:tcPr>
                  <w:tcW w:w="812" w:type="dxa"/>
                  <w:tcBorders>
                    <w:top w:val="nil"/>
                    <w:left w:val="nil"/>
                    <w:bottom w:val="single" w:color="auto" w:sz="4" w:space="0"/>
                    <w:right w:val="single" w:color="auto" w:sz="4" w:space="0"/>
                  </w:tcBorders>
                  <w:shd w:val="clear" w:color="auto" w:fill="auto"/>
                  <w:vAlign w:val="center"/>
                </w:tcPr>
                <w:p w14:paraId="0D971D5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多渠道对账管理系统</w:t>
                  </w:r>
                </w:p>
              </w:tc>
              <w:tc>
                <w:tcPr>
                  <w:tcW w:w="1970" w:type="dxa"/>
                  <w:tcBorders>
                    <w:top w:val="nil"/>
                    <w:left w:val="nil"/>
                    <w:bottom w:val="single" w:color="auto" w:sz="4" w:space="0"/>
                    <w:right w:val="single" w:color="auto" w:sz="4" w:space="0"/>
                  </w:tcBorders>
                  <w:shd w:val="clear" w:color="auto" w:fill="auto"/>
                  <w:vAlign w:val="center"/>
                </w:tcPr>
                <w:p w14:paraId="20304BC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多渠道对账管理系统</w:t>
                  </w:r>
                </w:p>
              </w:tc>
              <w:tc>
                <w:tcPr>
                  <w:tcW w:w="850" w:type="dxa"/>
                  <w:tcBorders>
                    <w:top w:val="nil"/>
                    <w:left w:val="nil"/>
                    <w:bottom w:val="single" w:color="auto" w:sz="4" w:space="0"/>
                    <w:right w:val="single" w:color="auto" w:sz="4" w:space="0"/>
                  </w:tcBorders>
                  <w:shd w:val="clear" w:color="auto" w:fill="auto"/>
                  <w:vAlign w:val="center"/>
                </w:tcPr>
                <w:p w14:paraId="697B06D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8DA523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86C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EF1DBE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1030" w:type="dxa"/>
                  <w:vMerge w:val="restart"/>
                  <w:tcBorders>
                    <w:top w:val="nil"/>
                    <w:left w:val="single" w:color="auto" w:sz="4" w:space="0"/>
                    <w:bottom w:val="single" w:color="auto" w:sz="4" w:space="0"/>
                    <w:right w:val="single" w:color="auto" w:sz="4" w:space="0"/>
                  </w:tcBorders>
                  <w:shd w:val="clear" w:color="auto" w:fill="auto"/>
                  <w:vAlign w:val="center"/>
                </w:tcPr>
                <w:p w14:paraId="0A3EA4B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多媒体</w:t>
                  </w: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6A007B6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多媒体</w:t>
                  </w:r>
                </w:p>
              </w:tc>
              <w:tc>
                <w:tcPr>
                  <w:tcW w:w="1970" w:type="dxa"/>
                  <w:tcBorders>
                    <w:top w:val="nil"/>
                    <w:left w:val="nil"/>
                    <w:bottom w:val="single" w:color="auto" w:sz="4" w:space="0"/>
                    <w:right w:val="single" w:color="auto" w:sz="4" w:space="0"/>
                  </w:tcBorders>
                  <w:shd w:val="clear" w:color="auto" w:fill="auto"/>
                  <w:vAlign w:val="center"/>
                </w:tcPr>
                <w:p w14:paraId="0B3B632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数字媒体宣教</w:t>
                  </w:r>
                </w:p>
              </w:tc>
              <w:tc>
                <w:tcPr>
                  <w:tcW w:w="850" w:type="dxa"/>
                  <w:tcBorders>
                    <w:top w:val="nil"/>
                    <w:left w:val="nil"/>
                    <w:bottom w:val="single" w:color="auto" w:sz="4" w:space="0"/>
                    <w:right w:val="single" w:color="auto" w:sz="4" w:space="0"/>
                  </w:tcBorders>
                  <w:shd w:val="clear" w:color="auto" w:fill="auto"/>
                  <w:vAlign w:val="center"/>
                </w:tcPr>
                <w:p w14:paraId="4CB2943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ACC64B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FDF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ADFC28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4DD6456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61FE9CC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75DC7A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数字媒体信息发布</w:t>
                  </w:r>
                </w:p>
              </w:tc>
              <w:tc>
                <w:tcPr>
                  <w:tcW w:w="850" w:type="dxa"/>
                  <w:tcBorders>
                    <w:top w:val="nil"/>
                    <w:left w:val="nil"/>
                    <w:bottom w:val="single" w:color="auto" w:sz="4" w:space="0"/>
                    <w:right w:val="single" w:color="auto" w:sz="4" w:space="0"/>
                  </w:tcBorders>
                  <w:shd w:val="clear" w:color="auto" w:fill="auto"/>
                  <w:vAlign w:val="center"/>
                </w:tcPr>
                <w:p w14:paraId="6D6B244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C1EBBB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189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97C6FF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55C6F73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0B588D3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排队叫号</w:t>
                  </w:r>
                </w:p>
              </w:tc>
              <w:tc>
                <w:tcPr>
                  <w:tcW w:w="1970" w:type="dxa"/>
                  <w:tcBorders>
                    <w:top w:val="nil"/>
                    <w:left w:val="nil"/>
                    <w:bottom w:val="single" w:color="auto" w:sz="4" w:space="0"/>
                    <w:right w:val="single" w:color="auto" w:sz="4" w:space="0"/>
                  </w:tcBorders>
                  <w:shd w:val="clear" w:color="auto" w:fill="auto"/>
                  <w:vAlign w:val="center"/>
                </w:tcPr>
                <w:p w14:paraId="31B9F18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数字媒体呼叫系统</w:t>
                  </w:r>
                </w:p>
              </w:tc>
              <w:tc>
                <w:tcPr>
                  <w:tcW w:w="850" w:type="dxa"/>
                  <w:tcBorders>
                    <w:top w:val="nil"/>
                    <w:left w:val="nil"/>
                    <w:bottom w:val="single" w:color="auto" w:sz="4" w:space="0"/>
                    <w:right w:val="single" w:color="auto" w:sz="4" w:space="0"/>
                  </w:tcBorders>
                  <w:shd w:val="clear" w:color="auto" w:fill="auto"/>
                  <w:vAlign w:val="center"/>
                </w:tcPr>
                <w:p w14:paraId="773D6C1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04496E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55D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7B4442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030" w:type="dxa"/>
                  <w:vMerge w:val="restart"/>
                  <w:tcBorders>
                    <w:top w:val="nil"/>
                    <w:left w:val="single" w:color="auto" w:sz="4" w:space="0"/>
                    <w:bottom w:val="single" w:color="000000" w:sz="4" w:space="0"/>
                    <w:right w:val="single" w:color="auto" w:sz="4" w:space="0"/>
                  </w:tcBorders>
                  <w:shd w:val="clear" w:color="auto" w:fill="auto"/>
                  <w:vAlign w:val="center"/>
                </w:tcPr>
                <w:p w14:paraId="7140ABA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医院营养信息系统</w:t>
                  </w:r>
                </w:p>
              </w:tc>
              <w:tc>
                <w:tcPr>
                  <w:tcW w:w="812" w:type="dxa"/>
                  <w:vMerge w:val="restart"/>
                  <w:tcBorders>
                    <w:top w:val="nil"/>
                    <w:left w:val="single" w:color="auto" w:sz="4" w:space="0"/>
                    <w:bottom w:val="single" w:color="000000" w:sz="4" w:space="0"/>
                    <w:right w:val="single" w:color="auto" w:sz="4" w:space="0"/>
                  </w:tcBorders>
                  <w:shd w:val="clear" w:color="auto" w:fill="auto"/>
                  <w:vAlign w:val="center"/>
                </w:tcPr>
                <w:p w14:paraId="415509B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医院营养信息系统</w:t>
                  </w:r>
                </w:p>
              </w:tc>
              <w:tc>
                <w:tcPr>
                  <w:tcW w:w="1970" w:type="dxa"/>
                  <w:tcBorders>
                    <w:top w:val="nil"/>
                    <w:left w:val="nil"/>
                    <w:bottom w:val="single" w:color="auto" w:sz="4" w:space="0"/>
                    <w:right w:val="single" w:color="auto" w:sz="4" w:space="0"/>
                  </w:tcBorders>
                  <w:shd w:val="clear" w:color="auto" w:fill="auto"/>
                  <w:noWrap/>
                  <w:vAlign w:val="center"/>
                </w:tcPr>
                <w:p w14:paraId="2D96CC5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住院营养诊疗</w:t>
                  </w:r>
                </w:p>
              </w:tc>
              <w:tc>
                <w:tcPr>
                  <w:tcW w:w="850" w:type="dxa"/>
                  <w:tcBorders>
                    <w:top w:val="nil"/>
                    <w:left w:val="nil"/>
                    <w:bottom w:val="single" w:color="auto" w:sz="4" w:space="0"/>
                    <w:right w:val="single" w:color="auto" w:sz="4" w:space="0"/>
                  </w:tcBorders>
                  <w:shd w:val="clear" w:color="auto" w:fill="auto"/>
                  <w:vAlign w:val="center"/>
                </w:tcPr>
                <w:p w14:paraId="146E29B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FC2A70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20F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61A47B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347C4E8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10642A2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noWrap/>
                  <w:vAlign w:val="center"/>
                </w:tcPr>
                <w:p w14:paraId="3AD3B0F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门诊营养系统</w:t>
                  </w:r>
                </w:p>
              </w:tc>
              <w:tc>
                <w:tcPr>
                  <w:tcW w:w="850" w:type="dxa"/>
                  <w:tcBorders>
                    <w:top w:val="nil"/>
                    <w:left w:val="nil"/>
                    <w:bottom w:val="single" w:color="auto" w:sz="4" w:space="0"/>
                    <w:right w:val="single" w:color="auto" w:sz="4" w:space="0"/>
                  </w:tcBorders>
                  <w:shd w:val="clear" w:color="auto" w:fill="auto"/>
                  <w:vAlign w:val="center"/>
                </w:tcPr>
                <w:p w14:paraId="25FE617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07808F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44C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D38D1E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1030" w:type="dxa"/>
                  <w:vMerge w:val="restart"/>
                  <w:tcBorders>
                    <w:top w:val="nil"/>
                    <w:left w:val="single" w:color="auto" w:sz="4" w:space="0"/>
                    <w:bottom w:val="nil"/>
                    <w:right w:val="single" w:color="auto" w:sz="4" w:space="0"/>
                  </w:tcBorders>
                  <w:shd w:val="clear" w:color="auto" w:fill="auto"/>
                  <w:vAlign w:val="center"/>
                </w:tcPr>
                <w:p w14:paraId="5BE1077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接口</w:t>
                  </w: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4251CED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c>
                <w:tcPr>
                  <w:tcW w:w="1970" w:type="dxa"/>
                  <w:tcBorders>
                    <w:top w:val="nil"/>
                    <w:left w:val="nil"/>
                    <w:bottom w:val="single" w:color="auto" w:sz="4" w:space="0"/>
                    <w:right w:val="single" w:color="auto" w:sz="4" w:space="0"/>
                  </w:tcBorders>
                  <w:shd w:val="clear" w:color="auto" w:fill="auto"/>
                  <w:vAlign w:val="center"/>
                </w:tcPr>
                <w:p w14:paraId="08B2F7F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检验仪器接口</w:t>
                  </w:r>
                </w:p>
              </w:tc>
              <w:tc>
                <w:tcPr>
                  <w:tcW w:w="850" w:type="dxa"/>
                  <w:tcBorders>
                    <w:top w:val="nil"/>
                    <w:left w:val="nil"/>
                    <w:bottom w:val="single" w:color="auto" w:sz="4" w:space="0"/>
                    <w:right w:val="single" w:color="auto" w:sz="4" w:space="0"/>
                  </w:tcBorders>
                  <w:shd w:val="clear" w:color="auto" w:fill="auto"/>
                  <w:vAlign w:val="center"/>
                </w:tcPr>
                <w:p w14:paraId="05F7525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E4BEC9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86A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20CF83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1030" w:type="dxa"/>
                  <w:vMerge w:val="continue"/>
                  <w:tcBorders>
                    <w:top w:val="nil"/>
                    <w:left w:val="single" w:color="auto" w:sz="4" w:space="0"/>
                    <w:bottom w:val="nil"/>
                    <w:right w:val="single" w:color="auto" w:sz="4" w:space="0"/>
                  </w:tcBorders>
                  <w:shd w:val="clear" w:color="auto" w:fill="auto"/>
                  <w:vAlign w:val="center"/>
                </w:tcPr>
                <w:p w14:paraId="179EAB8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8DB5AB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292566D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实验室前处理系统接口</w:t>
                  </w:r>
                </w:p>
              </w:tc>
              <w:tc>
                <w:tcPr>
                  <w:tcW w:w="850" w:type="dxa"/>
                  <w:tcBorders>
                    <w:top w:val="nil"/>
                    <w:left w:val="nil"/>
                    <w:bottom w:val="single" w:color="auto" w:sz="4" w:space="0"/>
                    <w:right w:val="single" w:color="auto" w:sz="4" w:space="0"/>
                  </w:tcBorders>
                  <w:shd w:val="clear" w:color="auto" w:fill="auto"/>
                  <w:vAlign w:val="center"/>
                </w:tcPr>
                <w:p w14:paraId="645BE18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11F7C5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4D6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36D63E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1030" w:type="dxa"/>
                  <w:vMerge w:val="continue"/>
                  <w:tcBorders>
                    <w:top w:val="nil"/>
                    <w:left w:val="single" w:color="auto" w:sz="4" w:space="0"/>
                    <w:bottom w:val="nil"/>
                    <w:right w:val="single" w:color="auto" w:sz="4" w:space="0"/>
                  </w:tcBorders>
                  <w:shd w:val="clear" w:color="auto" w:fill="auto"/>
                  <w:vAlign w:val="center"/>
                </w:tcPr>
                <w:p w14:paraId="70B0564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FCCED0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7C22F3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实验室流水线系统接口</w:t>
                  </w:r>
                </w:p>
              </w:tc>
              <w:tc>
                <w:tcPr>
                  <w:tcW w:w="850" w:type="dxa"/>
                  <w:tcBorders>
                    <w:top w:val="nil"/>
                    <w:left w:val="nil"/>
                    <w:bottom w:val="single" w:color="auto" w:sz="4" w:space="0"/>
                    <w:right w:val="single" w:color="auto" w:sz="4" w:space="0"/>
                  </w:tcBorders>
                  <w:shd w:val="clear" w:color="auto" w:fill="auto"/>
                  <w:vAlign w:val="center"/>
                </w:tcPr>
                <w:p w14:paraId="31D9314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928723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2770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7C1AAE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030" w:type="dxa"/>
                  <w:vMerge w:val="continue"/>
                  <w:tcBorders>
                    <w:top w:val="nil"/>
                    <w:left w:val="single" w:color="auto" w:sz="4" w:space="0"/>
                    <w:bottom w:val="nil"/>
                    <w:right w:val="single" w:color="auto" w:sz="4" w:space="0"/>
                  </w:tcBorders>
                  <w:shd w:val="clear" w:color="auto" w:fill="auto"/>
                  <w:vAlign w:val="center"/>
                </w:tcPr>
                <w:p w14:paraId="0458E2F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6034ED9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70AA5F3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智能采血设备接口</w:t>
                  </w:r>
                </w:p>
              </w:tc>
              <w:tc>
                <w:tcPr>
                  <w:tcW w:w="850" w:type="dxa"/>
                  <w:tcBorders>
                    <w:top w:val="nil"/>
                    <w:left w:val="nil"/>
                    <w:bottom w:val="single" w:color="auto" w:sz="4" w:space="0"/>
                    <w:right w:val="single" w:color="auto" w:sz="4" w:space="0"/>
                  </w:tcBorders>
                  <w:shd w:val="clear" w:color="auto" w:fill="auto"/>
                  <w:vAlign w:val="center"/>
                </w:tcPr>
                <w:p w14:paraId="543640C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C09548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9876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A6FE63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1030" w:type="dxa"/>
                  <w:vMerge w:val="continue"/>
                  <w:tcBorders>
                    <w:top w:val="nil"/>
                    <w:left w:val="single" w:color="auto" w:sz="4" w:space="0"/>
                    <w:bottom w:val="nil"/>
                    <w:right w:val="single" w:color="auto" w:sz="4" w:space="0"/>
                  </w:tcBorders>
                  <w:shd w:val="clear" w:color="auto" w:fill="auto"/>
                  <w:vAlign w:val="center"/>
                </w:tcPr>
                <w:p w14:paraId="70B03FE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2715C0E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临床系统接口</w:t>
                  </w:r>
                </w:p>
              </w:tc>
              <w:tc>
                <w:tcPr>
                  <w:tcW w:w="1970" w:type="dxa"/>
                  <w:tcBorders>
                    <w:top w:val="nil"/>
                    <w:left w:val="nil"/>
                    <w:bottom w:val="single" w:color="auto" w:sz="4" w:space="0"/>
                    <w:right w:val="single" w:color="auto" w:sz="4" w:space="0"/>
                  </w:tcBorders>
                  <w:shd w:val="clear" w:color="auto" w:fill="auto"/>
                  <w:vAlign w:val="center"/>
                </w:tcPr>
                <w:p w14:paraId="1C2096E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临床服务类集成接口</w:t>
                  </w:r>
                </w:p>
              </w:tc>
              <w:tc>
                <w:tcPr>
                  <w:tcW w:w="850" w:type="dxa"/>
                  <w:tcBorders>
                    <w:top w:val="nil"/>
                    <w:left w:val="nil"/>
                    <w:bottom w:val="single" w:color="auto" w:sz="4" w:space="0"/>
                    <w:right w:val="single" w:color="auto" w:sz="4" w:space="0"/>
                  </w:tcBorders>
                  <w:shd w:val="clear" w:color="auto" w:fill="auto"/>
                  <w:vAlign w:val="center"/>
                </w:tcPr>
                <w:p w14:paraId="1B95F15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10BEF0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513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F24729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1030" w:type="dxa"/>
                  <w:vMerge w:val="continue"/>
                  <w:tcBorders>
                    <w:top w:val="nil"/>
                    <w:left w:val="single" w:color="auto" w:sz="4" w:space="0"/>
                    <w:bottom w:val="nil"/>
                    <w:right w:val="single" w:color="auto" w:sz="4" w:space="0"/>
                  </w:tcBorders>
                  <w:shd w:val="clear" w:color="auto" w:fill="auto"/>
                  <w:vAlign w:val="center"/>
                </w:tcPr>
                <w:p w14:paraId="4A2F687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0E03DBF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院外平台接口</w:t>
                  </w:r>
                </w:p>
              </w:tc>
              <w:tc>
                <w:tcPr>
                  <w:tcW w:w="1970" w:type="dxa"/>
                  <w:tcBorders>
                    <w:top w:val="nil"/>
                    <w:left w:val="nil"/>
                    <w:bottom w:val="single" w:color="auto" w:sz="4" w:space="0"/>
                    <w:right w:val="single" w:color="auto" w:sz="4" w:space="0"/>
                  </w:tcBorders>
                  <w:shd w:val="clear" w:color="auto" w:fill="auto"/>
                  <w:vAlign w:val="center"/>
                </w:tcPr>
                <w:p w14:paraId="48D7FC7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药房药库对外接口</w:t>
                  </w:r>
                </w:p>
              </w:tc>
              <w:tc>
                <w:tcPr>
                  <w:tcW w:w="850" w:type="dxa"/>
                  <w:tcBorders>
                    <w:top w:val="nil"/>
                    <w:left w:val="nil"/>
                    <w:bottom w:val="single" w:color="auto" w:sz="4" w:space="0"/>
                    <w:right w:val="single" w:color="auto" w:sz="4" w:space="0"/>
                  </w:tcBorders>
                  <w:shd w:val="clear" w:color="auto" w:fill="auto"/>
                  <w:vAlign w:val="center"/>
                </w:tcPr>
                <w:p w14:paraId="1BEA643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91C0B6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D4E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9847BA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1030" w:type="dxa"/>
                  <w:vMerge w:val="continue"/>
                  <w:tcBorders>
                    <w:top w:val="nil"/>
                    <w:left w:val="single" w:color="auto" w:sz="4" w:space="0"/>
                    <w:bottom w:val="nil"/>
                    <w:right w:val="single" w:color="auto" w:sz="4" w:space="0"/>
                  </w:tcBorders>
                  <w:shd w:val="clear" w:color="auto" w:fill="auto"/>
                  <w:vAlign w:val="center"/>
                </w:tcPr>
                <w:p w14:paraId="74359F9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729530E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E34EBF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综合查询对外接口服务</w:t>
                  </w:r>
                </w:p>
              </w:tc>
              <w:tc>
                <w:tcPr>
                  <w:tcW w:w="850" w:type="dxa"/>
                  <w:tcBorders>
                    <w:top w:val="nil"/>
                    <w:left w:val="nil"/>
                    <w:bottom w:val="single" w:color="auto" w:sz="4" w:space="0"/>
                    <w:right w:val="single" w:color="auto" w:sz="4" w:space="0"/>
                  </w:tcBorders>
                  <w:shd w:val="clear" w:color="auto" w:fill="auto"/>
                  <w:vAlign w:val="center"/>
                </w:tcPr>
                <w:p w14:paraId="77E6D97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8727AC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89A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4CFD52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1030" w:type="dxa"/>
                  <w:vMerge w:val="continue"/>
                  <w:tcBorders>
                    <w:top w:val="nil"/>
                    <w:left w:val="single" w:color="auto" w:sz="4" w:space="0"/>
                    <w:bottom w:val="nil"/>
                    <w:right w:val="single" w:color="auto" w:sz="4" w:space="0"/>
                  </w:tcBorders>
                  <w:shd w:val="clear" w:color="auto" w:fill="auto"/>
                  <w:vAlign w:val="center"/>
                </w:tcPr>
                <w:p w14:paraId="3C4D851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044DC55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2BF869D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医技产品对外接口</w:t>
                  </w:r>
                </w:p>
              </w:tc>
              <w:tc>
                <w:tcPr>
                  <w:tcW w:w="850" w:type="dxa"/>
                  <w:tcBorders>
                    <w:top w:val="nil"/>
                    <w:left w:val="nil"/>
                    <w:bottom w:val="single" w:color="auto" w:sz="4" w:space="0"/>
                    <w:right w:val="single" w:color="auto" w:sz="4" w:space="0"/>
                  </w:tcBorders>
                  <w:shd w:val="clear" w:color="auto" w:fill="auto"/>
                  <w:vAlign w:val="center"/>
                </w:tcPr>
                <w:p w14:paraId="3AF9199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DA7B87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372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2411CA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030" w:type="dxa"/>
                  <w:vMerge w:val="continue"/>
                  <w:tcBorders>
                    <w:top w:val="nil"/>
                    <w:left w:val="single" w:color="auto" w:sz="4" w:space="0"/>
                    <w:bottom w:val="nil"/>
                    <w:right w:val="single" w:color="auto" w:sz="4" w:space="0"/>
                  </w:tcBorders>
                  <w:shd w:val="clear" w:color="auto" w:fill="auto"/>
                  <w:vAlign w:val="center"/>
                </w:tcPr>
                <w:p w14:paraId="5E1A19D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40E6E21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5F7D1A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医生站对外接口</w:t>
                  </w:r>
                </w:p>
              </w:tc>
              <w:tc>
                <w:tcPr>
                  <w:tcW w:w="850" w:type="dxa"/>
                  <w:tcBorders>
                    <w:top w:val="nil"/>
                    <w:left w:val="nil"/>
                    <w:bottom w:val="single" w:color="auto" w:sz="4" w:space="0"/>
                    <w:right w:val="single" w:color="auto" w:sz="4" w:space="0"/>
                  </w:tcBorders>
                  <w:shd w:val="clear" w:color="auto" w:fill="auto"/>
                  <w:vAlign w:val="center"/>
                </w:tcPr>
                <w:p w14:paraId="6B73B4E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194C86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0BB6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3849E9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1030" w:type="dxa"/>
                  <w:vMerge w:val="continue"/>
                  <w:tcBorders>
                    <w:top w:val="nil"/>
                    <w:left w:val="single" w:color="auto" w:sz="4" w:space="0"/>
                    <w:bottom w:val="nil"/>
                    <w:right w:val="single" w:color="auto" w:sz="4" w:space="0"/>
                  </w:tcBorders>
                  <w:shd w:val="clear" w:color="auto" w:fill="auto"/>
                  <w:vAlign w:val="center"/>
                </w:tcPr>
                <w:p w14:paraId="5A99C98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5032E8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388B84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第三方互联网医院接口</w:t>
                  </w:r>
                </w:p>
              </w:tc>
              <w:tc>
                <w:tcPr>
                  <w:tcW w:w="850" w:type="dxa"/>
                  <w:tcBorders>
                    <w:top w:val="nil"/>
                    <w:left w:val="nil"/>
                    <w:bottom w:val="single" w:color="auto" w:sz="4" w:space="0"/>
                    <w:right w:val="single" w:color="auto" w:sz="4" w:space="0"/>
                  </w:tcBorders>
                  <w:shd w:val="clear" w:color="auto" w:fill="auto"/>
                  <w:vAlign w:val="center"/>
                </w:tcPr>
                <w:p w14:paraId="7F1223B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6446BD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BBC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5C1EFA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1030" w:type="dxa"/>
                  <w:vMerge w:val="continue"/>
                  <w:tcBorders>
                    <w:top w:val="nil"/>
                    <w:left w:val="single" w:color="auto" w:sz="4" w:space="0"/>
                    <w:bottom w:val="nil"/>
                    <w:right w:val="single" w:color="auto" w:sz="4" w:space="0"/>
                  </w:tcBorders>
                  <w:shd w:val="clear" w:color="auto" w:fill="auto"/>
                  <w:vAlign w:val="center"/>
                </w:tcPr>
                <w:p w14:paraId="3A5A790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4BE7410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4CC1FE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院外平台类集成接口</w:t>
                  </w:r>
                </w:p>
              </w:tc>
              <w:tc>
                <w:tcPr>
                  <w:tcW w:w="850" w:type="dxa"/>
                  <w:tcBorders>
                    <w:top w:val="nil"/>
                    <w:left w:val="nil"/>
                    <w:bottom w:val="single" w:color="auto" w:sz="4" w:space="0"/>
                    <w:right w:val="single" w:color="auto" w:sz="4" w:space="0"/>
                  </w:tcBorders>
                  <w:shd w:val="clear" w:color="auto" w:fill="auto"/>
                  <w:vAlign w:val="center"/>
                </w:tcPr>
                <w:p w14:paraId="1D967B1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4321F9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8BA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739D0E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1030" w:type="dxa"/>
                  <w:vMerge w:val="continue"/>
                  <w:tcBorders>
                    <w:top w:val="nil"/>
                    <w:left w:val="single" w:color="auto" w:sz="4" w:space="0"/>
                    <w:bottom w:val="nil"/>
                    <w:right w:val="single" w:color="auto" w:sz="4" w:space="0"/>
                  </w:tcBorders>
                  <w:shd w:val="clear" w:color="auto" w:fill="auto"/>
                  <w:vAlign w:val="center"/>
                </w:tcPr>
                <w:p w14:paraId="663C606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7970CFA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2E5DD7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护理组对外接口</w:t>
                  </w:r>
                </w:p>
              </w:tc>
              <w:tc>
                <w:tcPr>
                  <w:tcW w:w="850" w:type="dxa"/>
                  <w:tcBorders>
                    <w:top w:val="nil"/>
                    <w:left w:val="nil"/>
                    <w:bottom w:val="single" w:color="auto" w:sz="4" w:space="0"/>
                    <w:right w:val="single" w:color="auto" w:sz="4" w:space="0"/>
                  </w:tcBorders>
                  <w:shd w:val="clear" w:color="auto" w:fill="auto"/>
                  <w:vAlign w:val="center"/>
                </w:tcPr>
                <w:p w14:paraId="74EFC5C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3B7ED7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37B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FA4C81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1030" w:type="dxa"/>
                  <w:vMerge w:val="continue"/>
                  <w:tcBorders>
                    <w:top w:val="nil"/>
                    <w:left w:val="single" w:color="auto" w:sz="4" w:space="0"/>
                    <w:bottom w:val="nil"/>
                    <w:right w:val="single" w:color="auto" w:sz="4" w:space="0"/>
                  </w:tcBorders>
                  <w:shd w:val="clear" w:color="auto" w:fill="auto"/>
                  <w:vAlign w:val="center"/>
                </w:tcPr>
                <w:p w14:paraId="57C194E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2D3E559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支付接口</w:t>
                  </w:r>
                </w:p>
              </w:tc>
              <w:tc>
                <w:tcPr>
                  <w:tcW w:w="1970" w:type="dxa"/>
                  <w:tcBorders>
                    <w:top w:val="nil"/>
                    <w:left w:val="nil"/>
                    <w:bottom w:val="single" w:color="auto" w:sz="4" w:space="0"/>
                    <w:right w:val="single" w:color="auto" w:sz="4" w:space="0"/>
                  </w:tcBorders>
                  <w:shd w:val="clear" w:color="auto" w:fill="auto"/>
                  <w:vAlign w:val="center"/>
                </w:tcPr>
                <w:p w14:paraId="53AF2EC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窗口第三方支付服务</w:t>
                  </w:r>
                </w:p>
              </w:tc>
              <w:tc>
                <w:tcPr>
                  <w:tcW w:w="850" w:type="dxa"/>
                  <w:tcBorders>
                    <w:top w:val="nil"/>
                    <w:left w:val="nil"/>
                    <w:bottom w:val="single" w:color="auto" w:sz="4" w:space="0"/>
                    <w:right w:val="single" w:color="auto" w:sz="4" w:space="0"/>
                  </w:tcBorders>
                  <w:shd w:val="clear" w:color="auto" w:fill="auto"/>
                  <w:vAlign w:val="center"/>
                </w:tcPr>
                <w:p w14:paraId="7794CB9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1C31F8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3A8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B2BE85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1030" w:type="dxa"/>
                  <w:vMerge w:val="continue"/>
                  <w:tcBorders>
                    <w:top w:val="nil"/>
                    <w:left w:val="single" w:color="auto" w:sz="4" w:space="0"/>
                    <w:bottom w:val="nil"/>
                    <w:right w:val="single" w:color="auto" w:sz="4" w:space="0"/>
                  </w:tcBorders>
                  <w:shd w:val="clear" w:color="auto" w:fill="auto"/>
                  <w:vAlign w:val="center"/>
                </w:tcPr>
                <w:p w14:paraId="1F7DD04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626606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3CD9D5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医保对外接口服务</w:t>
                  </w:r>
                </w:p>
              </w:tc>
              <w:tc>
                <w:tcPr>
                  <w:tcW w:w="850" w:type="dxa"/>
                  <w:tcBorders>
                    <w:top w:val="nil"/>
                    <w:left w:val="nil"/>
                    <w:bottom w:val="single" w:color="auto" w:sz="4" w:space="0"/>
                    <w:right w:val="single" w:color="auto" w:sz="4" w:space="0"/>
                  </w:tcBorders>
                  <w:shd w:val="clear" w:color="auto" w:fill="auto"/>
                  <w:vAlign w:val="center"/>
                </w:tcPr>
                <w:p w14:paraId="2E3250B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9A33E8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3302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DF06F8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1030" w:type="dxa"/>
                  <w:vMerge w:val="continue"/>
                  <w:tcBorders>
                    <w:top w:val="nil"/>
                    <w:left w:val="single" w:color="auto" w:sz="4" w:space="0"/>
                    <w:bottom w:val="nil"/>
                    <w:right w:val="single" w:color="auto" w:sz="4" w:space="0"/>
                  </w:tcBorders>
                  <w:shd w:val="clear" w:color="auto" w:fill="auto"/>
                  <w:vAlign w:val="center"/>
                </w:tcPr>
                <w:p w14:paraId="2B23563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7C8921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0CA6BE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患者第三方支付服务</w:t>
                  </w:r>
                </w:p>
              </w:tc>
              <w:tc>
                <w:tcPr>
                  <w:tcW w:w="850" w:type="dxa"/>
                  <w:tcBorders>
                    <w:top w:val="nil"/>
                    <w:left w:val="nil"/>
                    <w:bottom w:val="single" w:color="auto" w:sz="4" w:space="0"/>
                    <w:right w:val="single" w:color="auto" w:sz="4" w:space="0"/>
                  </w:tcBorders>
                  <w:shd w:val="clear" w:color="auto" w:fill="auto"/>
                  <w:vAlign w:val="center"/>
                </w:tcPr>
                <w:p w14:paraId="19AAB0F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390A99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A82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C5B8F5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1030" w:type="dxa"/>
                  <w:vMerge w:val="continue"/>
                  <w:tcBorders>
                    <w:top w:val="nil"/>
                    <w:left w:val="single" w:color="auto" w:sz="4" w:space="0"/>
                    <w:bottom w:val="nil"/>
                    <w:right w:val="single" w:color="auto" w:sz="4" w:space="0"/>
                  </w:tcBorders>
                  <w:shd w:val="clear" w:color="auto" w:fill="auto"/>
                  <w:vAlign w:val="center"/>
                </w:tcPr>
                <w:p w14:paraId="6E04F4D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B24C91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30113E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计费接口服务</w:t>
                  </w:r>
                </w:p>
              </w:tc>
              <w:tc>
                <w:tcPr>
                  <w:tcW w:w="850" w:type="dxa"/>
                  <w:tcBorders>
                    <w:top w:val="nil"/>
                    <w:left w:val="nil"/>
                    <w:bottom w:val="single" w:color="auto" w:sz="4" w:space="0"/>
                    <w:right w:val="single" w:color="auto" w:sz="4" w:space="0"/>
                  </w:tcBorders>
                  <w:shd w:val="clear" w:color="auto" w:fill="auto"/>
                  <w:vAlign w:val="center"/>
                </w:tcPr>
                <w:p w14:paraId="33F1F0C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789F32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656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287CB9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1030" w:type="dxa"/>
                  <w:vMerge w:val="continue"/>
                  <w:tcBorders>
                    <w:top w:val="nil"/>
                    <w:left w:val="single" w:color="auto" w:sz="4" w:space="0"/>
                    <w:bottom w:val="nil"/>
                    <w:right w:val="single" w:color="auto" w:sz="4" w:space="0"/>
                  </w:tcBorders>
                  <w:shd w:val="clear" w:color="auto" w:fill="auto"/>
                  <w:vAlign w:val="center"/>
                </w:tcPr>
                <w:p w14:paraId="78E92AB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560832E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运营管理接口</w:t>
                  </w:r>
                </w:p>
              </w:tc>
              <w:tc>
                <w:tcPr>
                  <w:tcW w:w="1970" w:type="dxa"/>
                  <w:tcBorders>
                    <w:top w:val="nil"/>
                    <w:left w:val="nil"/>
                    <w:bottom w:val="single" w:color="auto" w:sz="4" w:space="0"/>
                    <w:right w:val="single" w:color="auto" w:sz="4" w:space="0"/>
                  </w:tcBorders>
                  <w:shd w:val="clear" w:color="auto" w:fill="auto"/>
                  <w:vAlign w:val="center"/>
                </w:tcPr>
                <w:p w14:paraId="052C89F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运营管理类集成接口</w:t>
                  </w:r>
                </w:p>
              </w:tc>
              <w:tc>
                <w:tcPr>
                  <w:tcW w:w="850" w:type="dxa"/>
                  <w:tcBorders>
                    <w:top w:val="nil"/>
                    <w:left w:val="nil"/>
                    <w:bottom w:val="single" w:color="auto" w:sz="4" w:space="0"/>
                    <w:right w:val="single" w:color="auto" w:sz="4" w:space="0"/>
                  </w:tcBorders>
                  <w:shd w:val="clear" w:color="auto" w:fill="auto"/>
                  <w:vAlign w:val="center"/>
                </w:tcPr>
                <w:p w14:paraId="28BE4FF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A3CAA5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1AB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4BC155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1030" w:type="dxa"/>
                  <w:vMerge w:val="continue"/>
                  <w:tcBorders>
                    <w:top w:val="nil"/>
                    <w:left w:val="single" w:color="auto" w:sz="4" w:space="0"/>
                    <w:bottom w:val="nil"/>
                    <w:right w:val="single" w:color="auto" w:sz="4" w:space="0"/>
                  </w:tcBorders>
                  <w:shd w:val="clear" w:color="auto" w:fill="auto"/>
                  <w:vAlign w:val="center"/>
                </w:tcPr>
                <w:p w14:paraId="147EA1C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326200B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患者管理接口</w:t>
                  </w:r>
                </w:p>
              </w:tc>
              <w:tc>
                <w:tcPr>
                  <w:tcW w:w="1970" w:type="dxa"/>
                  <w:tcBorders>
                    <w:top w:val="nil"/>
                    <w:left w:val="nil"/>
                    <w:bottom w:val="single" w:color="auto" w:sz="4" w:space="0"/>
                    <w:right w:val="single" w:color="auto" w:sz="4" w:space="0"/>
                  </w:tcBorders>
                  <w:shd w:val="clear" w:color="auto" w:fill="auto"/>
                  <w:vAlign w:val="center"/>
                </w:tcPr>
                <w:p w14:paraId="63BF921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患者服务类集成接口</w:t>
                  </w:r>
                </w:p>
              </w:tc>
              <w:tc>
                <w:tcPr>
                  <w:tcW w:w="850" w:type="dxa"/>
                  <w:tcBorders>
                    <w:top w:val="nil"/>
                    <w:left w:val="nil"/>
                    <w:bottom w:val="single" w:color="auto" w:sz="4" w:space="0"/>
                    <w:right w:val="single" w:color="auto" w:sz="4" w:space="0"/>
                  </w:tcBorders>
                  <w:shd w:val="clear" w:color="auto" w:fill="auto"/>
                  <w:vAlign w:val="center"/>
                </w:tcPr>
                <w:p w14:paraId="33A84A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ED3B9D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E04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E81991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1030" w:type="dxa"/>
                  <w:vMerge w:val="continue"/>
                  <w:tcBorders>
                    <w:top w:val="nil"/>
                    <w:left w:val="single" w:color="auto" w:sz="4" w:space="0"/>
                    <w:bottom w:val="nil"/>
                    <w:right w:val="single" w:color="auto" w:sz="4" w:space="0"/>
                  </w:tcBorders>
                  <w:shd w:val="clear" w:color="auto" w:fill="auto"/>
                  <w:vAlign w:val="center"/>
                </w:tcPr>
                <w:p w14:paraId="61D7797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4730033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数字签名接口</w:t>
                  </w:r>
                </w:p>
              </w:tc>
              <w:tc>
                <w:tcPr>
                  <w:tcW w:w="1970" w:type="dxa"/>
                  <w:tcBorders>
                    <w:top w:val="nil"/>
                    <w:left w:val="nil"/>
                    <w:bottom w:val="single" w:color="auto" w:sz="4" w:space="0"/>
                    <w:right w:val="single" w:color="auto" w:sz="4" w:space="0"/>
                  </w:tcBorders>
                  <w:shd w:val="clear" w:color="auto" w:fill="auto"/>
                  <w:vAlign w:val="center"/>
                </w:tcPr>
                <w:p w14:paraId="5755FEE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数字签名基础服务系统</w:t>
                  </w:r>
                </w:p>
              </w:tc>
              <w:tc>
                <w:tcPr>
                  <w:tcW w:w="850" w:type="dxa"/>
                  <w:tcBorders>
                    <w:top w:val="nil"/>
                    <w:left w:val="nil"/>
                    <w:bottom w:val="single" w:color="auto" w:sz="4" w:space="0"/>
                    <w:right w:val="single" w:color="auto" w:sz="4" w:space="0"/>
                  </w:tcBorders>
                  <w:shd w:val="clear" w:color="auto" w:fill="auto"/>
                  <w:vAlign w:val="center"/>
                </w:tcPr>
                <w:p w14:paraId="6987429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3BE9DD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B22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9C7803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w:t>
                  </w:r>
                </w:p>
              </w:tc>
              <w:tc>
                <w:tcPr>
                  <w:tcW w:w="1030" w:type="dxa"/>
                  <w:vMerge w:val="continue"/>
                  <w:tcBorders>
                    <w:top w:val="nil"/>
                    <w:left w:val="single" w:color="auto" w:sz="4" w:space="0"/>
                    <w:bottom w:val="nil"/>
                    <w:right w:val="single" w:color="auto" w:sz="4" w:space="0"/>
                  </w:tcBorders>
                  <w:shd w:val="clear" w:color="auto" w:fill="auto"/>
                  <w:vAlign w:val="center"/>
                </w:tcPr>
                <w:p w14:paraId="329914D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9A09C0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nil"/>
                    <w:right w:val="single" w:color="auto" w:sz="4" w:space="0"/>
                  </w:tcBorders>
                  <w:shd w:val="clear" w:color="auto" w:fill="auto"/>
                  <w:vAlign w:val="center"/>
                </w:tcPr>
                <w:p w14:paraId="12F50B8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电子签名接口服务</w:t>
                  </w:r>
                </w:p>
              </w:tc>
              <w:tc>
                <w:tcPr>
                  <w:tcW w:w="850" w:type="dxa"/>
                  <w:tcBorders>
                    <w:top w:val="nil"/>
                    <w:left w:val="nil"/>
                    <w:bottom w:val="single" w:color="auto" w:sz="4" w:space="0"/>
                    <w:right w:val="single" w:color="auto" w:sz="4" w:space="0"/>
                  </w:tcBorders>
                  <w:shd w:val="clear" w:color="auto" w:fill="auto"/>
                  <w:vAlign w:val="center"/>
                </w:tcPr>
                <w:p w14:paraId="328979A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nil"/>
                    <w:right w:val="single" w:color="000000" w:sz="4" w:space="0"/>
                  </w:tcBorders>
                  <w:shd w:val="clear" w:color="auto" w:fill="auto"/>
                  <w:noWrap/>
                  <w:vAlign w:val="center"/>
                </w:tcPr>
                <w:p w14:paraId="09C7437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8CB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B76682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1030" w:type="dxa"/>
                  <w:vMerge w:val="continue"/>
                  <w:tcBorders>
                    <w:top w:val="nil"/>
                    <w:left w:val="single" w:color="auto" w:sz="4" w:space="0"/>
                    <w:bottom w:val="nil"/>
                    <w:right w:val="single" w:color="auto" w:sz="4" w:space="0"/>
                  </w:tcBorders>
                  <w:shd w:val="clear" w:color="auto" w:fill="auto"/>
                  <w:vAlign w:val="center"/>
                </w:tcPr>
                <w:p w14:paraId="2A196D1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single" w:color="auto" w:sz="4" w:space="0"/>
                    <w:left w:val="nil"/>
                    <w:bottom w:val="nil"/>
                    <w:right w:val="single" w:color="auto" w:sz="4" w:space="0"/>
                  </w:tcBorders>
                  <w:shd w:val="clear" w:color="auto" w:fill="auto"/>
                  <w:vAlign w:val="center"/>
                </w:tcPr>
                <w:p w14:paraId="0175971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互联互通接口</w:t>
                  </w:r>
                </w:p>
              </w:tc>
              <w:tc>
                <w:tcPr>
                  <w:tcW w:w="1970" w:type="dxa"/>
                  <w:tcBorders>
                    <w:top w:val="single" w:color="auto" w:sz="4" w:space="0"/>
                    <w:left w:val="nil"/>
                    <w:bottom w:val="nil"/>
                    <w:right w:val="single" w:color="auto" w:sz="4" w:space="0"/>
                  </w:tcBorders>
                  <w:shd w:val="clear" w:color="auto" w:fill="auto"/>
                  <w:vAlign w:val="center"/>
                </w:tcPr>
                <w:p w14:paraId="2466C9A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互联互通共享文档相关接口</w:t>
                  </w:r>
                </w:p>
              </w:tc>
              <w:tc>
                <w:tcPr>
                  <w:tcW w:w="850" w:type="dxa"/>
                  <w:tcBorders>
                    <w:top w:val="nil"/>
                    <w:left w:val="nil"/>
                    <w:bottom w:val="single" w:color="auto" w:sz="4" w:space="0"/>
                    <w:right w:val="single" w:color="auto" w:sz="4" w:space="0"/>
                  </w:tcBorders>
                  <w:shd w:val="clear" w:color="auto" w:fill="auto"/>
                  <w:vAlign w:val="center"/>
                </w:tcPr>
                <w:p w14:paraId="65FBAD6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single" w:color="auto" w:sz="4" w:space="0"/>
                    <w:left w:val="nil"/>
                    <w:bottom w:val="nil"/>
                    <w:right w:val="single" w:color="000000" w:sz="4" w:space="0"/>
                  </w:tcBorders>
                  <w:shd w:val="clear" w:color="auto" w:fill="auto"/>
                  <w:noWrap/>
                  <w:vAlign w:val="center"/>
                </w:tcPr>
                <w:p w14:paraId="205E3E6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4F7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66335E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1030" w:type="dxa"/>
                  <w:vMerge w:val="continue"/>
                  <w:tcBorders>
                    <w:top w:val="nil"/>
                    <w:left w:val="single" w:color="auto" w:sz="4" w:space="0"/>
                    <w:bottom w:val="nil"/>
                    <w:right w:val="single" w:color="auto" w:sz="4" w:space="0"/>
                  </w:tcBorders>
                  <w:shd w:val="clear" w:color="auto" w:fill="auto"/>
                  <w:vAlign w:val="center"/>
                </w:tcPr>
                <w:p w14:paraId="0220236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single" w:color="auto" w:sz="4" w:space="0"/>
                    <w:left w:val="nil"/>
                    <w:bottom w:val="nil"/>
                    <w:right w:val="single" w:color="auto" w:sz="4" w:space="0"/>
                  </w:tcBorders>
                  <w:shd w:val="clear" w:color="auto" w:fill="auto"/>
                  <w:vAlign w:val="center"/>
                </w:tcPr>
                <w:p w14:paraId="1C9046E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中台接口</w:t>
                  </w:r>
                </w:p>
              </w:tc>
              <w:tc>
                <w:tcPr>
                  <w:tcW w:w="1970" w:type="dxa"/>
                  <w:tcBorders>
                    <w:top w:val="single" w:color="auto" w:sz="4" w:space="0"/>
                    <w:left w:val="nil"/>
                    <w:bottom w:val="nil"/>
                    <w:right w:val="single" w:color="auto" w:sz="4" w:space="0"/>
                  </w:tcBorders>
                  <w:shd w:val="clear" w:color="auto" w:fill="auto"/>
                  <w:vAlign w:val="center"/>
                </w:tcPr>
                <w:p w14:paraId="3BD2A59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中台所需相关接口</w:t>
                  </w:r>
                </w:p>
              </w:tc>
              <w:tc>
                <w:tcPr>
                  <w:tcW w:w="850" w:type="dxa"/>
                  <w:tcBorders>
                    <w:top w:val="nil"/>
                    <w:left w:val="nil"/>
                    <w:bottom w:val="single" w:color="auto" w:sz="4" w:space="0"/>
                    <w:right w:val="single" w:color="auto" w:sz="4" w:space="0"/>
                  </w:tcBorders>
                  <w:shd w:val="clear" w:color="auto" w:fill="auto"/>
                  <w:vAlign w:val="center"/>
                </w:tcPr>
                <w:p w14:paraId="1CDD82C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single" w:color="auto" w:sz="4" w:space="0"/>
                    <w:left w:val="nil"/>
                    <w:bottom w:val="nil"/>
                    <w:right w:val="single" w:color="000000" w:sz="4" w:space="0"/>
                  </w:tcBorders>
                  <w:shd w:val="clear" w:color="auto" w:fill="auto"/>
                  <w:noWrap/>
                  <w:vAlign w:val="center"/>
                </w:tcPr>
                <w:p w14:paraId="2EB441D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16B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46EBE0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1030" w:type="dxa"/>
                  <w:tcBorders>
                    <w:top w:val="single" w:color="auto" w:sz="4" w:space="0"/>
                    <w:left w:val="nil"/>
                    <w:bottom w:val="single" w:color="auto" w:sz="4" w:space="0"/>
                    <w:right w:val="single" w:color="auto" w:sz="4" w:space="0"/>
                  </w:tcBorders>
                  <w:shd w:val="clear" w:color="auto" w:fill="auto"/>
                  <w:noWrap/>
                  <w:vAlign w:val="center"/>
                </w:tcPr>
                <w:p w14:paraId="12F0A44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接口服务</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3988CFE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接口服务</w:t>
                  </w:r>
                </w:p>
              </w:tc>
              <w:tc>
                <w:tcPr>
                  <w:tcW w:w="1970" w:type="dxa"/>
                  <w:tcBorders>
                    <w:top w:val="single" w:color="auto" w:sz="4" w:space="0"/>
                    <w:left w:val="nil"/>
                    <w:bottom w:val="single" w:color="auto" w:sz="4" w:space="0"/>
                    <w:right w:val="single" w:color="auto" w:sz="4" w:space="0"/>
                  </w:tcBorders>
                  <w:shd w:val="clear" w:color="auto" w:fill="auto"/>
                  <w:noWrap/>
                  <w:vAlign w:val="center"/>
                </w:tcPr>
                <w:p w14:paraId="0862C33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除已列出来接口清单，医院已存在的，或医院将自行购买第三方产品，</w:t>
                  </w:r>
                  <w:r>
                    <w:rPr>
                      <w:rFonts w:hint="eastAsia" w:ascii="宋体" w:hAnsi="宋体" w:cs="宋体"/>
                      <w:i w:val="0"/>
                      <w:iCs w:val="0"/>
                      <w:color w:val="auto"/>
                      <w:kern w:val="0"/>
                      <w:sz w:val="21"/>
                      <w:szCs w:val="21"/>
                      <w:highlight w:val="none"/>
                      <w:u w:val="none"/>
                      <w:lang w:val="en-US" w:eastAsia="zh-CN" w:bidi="ar"/>
                    </w:rPr>
                    <w:t>HIS系统</w:t>
                  </w:r>
                  <w:r>
                    <w:rPr>
                      <w:rFonts w:hint="eastAsia" w:ascii="宋体" w:hAnsi="宋体" w:eastAsia="宋体" w:cs="宋体"/>
                      <w:i w:val="0"/>
                      <w:iCs w:val="0"/>
                      <w:color w:val="auto"/>
                      <w:kern w:val="0"/>
                      <w:sz w:val="21"/>
                      <w:szCs w:val="21"/>
                      <w:highlight w:val="none"/>
                      <w:u w:val="none"/>
                      <w:lang w:val="en-US" w:eastAsia="zh-CN" w:bidi="ar"/>
                    </w:rPr>
                    <w:t>将免费提供自身系统的接口服务。</w:t>
                  </w:r>
                </w:p>
              </w:tc>
              <w:tc>
                <w:tcPr>
                  <w:tcW w:w="850" w:type="dxa"/>
                  <w:tcBorders>
                    <w:top w:val="nil"/>
                    <w:left w:val="nil"/>
                    <w:bottom w:val="single" w:color="auto" w:sz="4" w:space="0"/>
                    <w:right w:val="single" w:color="auto" w:sz="4" w:space="0"/>
                  </w:tcBorders>
                  <w:shd w:val="clear" w:color="auto" w:fill="auto"/>
                  <w:vAlign w:val="center"/>
                </w:tcPr>
                <w:p w14:paraId="1B19F23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single" w:color="auto" w:sz="4" w:space="0"/>
                    <w:left w:val="nil"/>
                    <w:bottom w:val="single" w:color="auto" w:sz="4" w:space="0"/>
                    <w:right w:val="single" w:color="000000" w:sz="4" w:space="0"/>
                  </w:tcBorders>
                  <w:shd w:val="clear" w:color="auto" w:fill="auto"/>
                  <w:noWrap/>
                  <w:vAlign w:val="center"/>
                </w:tcPr>
                <w:p w14:paraId="12AC4A5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EE8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E3167C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1030" w:type="dxa"/>
                  <w:vMerge w:val="restart"/>
                  <w:tcBorders>
                    <w:top w:val="nil"/>
                    <w:left w:val="single" w:color="auto" w:sz="4" w:space="0"/>
                    <w:bottom w:val="single" w:color="000000" w:sz="4" w:space="0"/>
                    <w:right w:val="single" w:color="auto" w:sz="4" w:space="0"/>
                  </w:tcBorders>
                  <w:shd w:val="clear" w:color="auto" w:fill="auto"/>
                  <w:noWrap/>
                  <w:vAlign w:val="center"/>
                </w:tcPr>
                <w:p w14:paraId="27659B4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评级服务</w:t>
                  </w:r>
                </w:p>
              </w:tc>
              <w:tc>
                <w:tcPr>
                  <w:tcW w:w="812" w:type="dxa"/>
                  <w:tcBorders>
                    <w:top w:val="nil"/>
                    <w:left w:val="nil"/>
                    <w:bottom w:val="single" w:color="auto" w:sz="4" w:space="0"/>
                    <w:right w:val="single" w:color="auto" w:sz="4" w:space="0"/>
                  </w:tcBorders>
                  <w:shd w:val="clear" w:color="auto" w:fill="auto"/>
                  <w:noWrap/>
                  <w:vAlign w:val="center"/>
                </w:tcPr>
                <w:p w14:paraId="46BC772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电子病历六级</w:t>
                  </w:r>
                </w:p>
              </w:tc>
              <w:tc>
                <w:tcPr>
                  <w:tcW w:w="1970" w:type="dxa"/>
                  <w:tcBorders>
                    <w:top w:val="nil"/>
                    <w:left w:val="nil"/>
                    <w:bottom w:val="single" w:color="auto" w:sz="4" w:space="0"/>
                    <w:right w:val="single" w:color="auto" w:sz="4" w:space="0"/>
                  </w:tcBorders>
                  <w:shd w:val="clear" w:color="auto" w:fill="auto"/>
                  <w:noWrap/>
                  <w:vAlign w:val="center"/>
                </w:tcPr>
                <w:p w14:paraId="2371F00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评级服务及满足电子病历六级的自身系统改造和接口对接</w:t>
                  </w:r>
                </w:p>
              </w:tc>
              <w:tc>
                <w:tcPr>
                  <w:tcW w:w="850" w:type="dxa"/>
                  <w:tcBorders>
                    <w:top w:val="nil"/>
                    <w:left w:val="nil"/>
                    <w:bottom w:val="single" w:color="auto" w:sz="4" w:space="0"/>
                    <w:right w:val="single" w:color="auto" w:sz="4" w:space="0"/>
                  </w:tcBorders>
                  <w:shd w:val="clear" w:color="auto" w:fill="auto"/>
                  <w:vAlign w:val="center"/>
                </w:tcPr>
                <w:p w14:paraId="42750E6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noWrap/>
                  <w:vAlign w:val="center"/>
                </w:tcPr>
                <w:p w14:paraId="2B366B9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D84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3355C7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w:t>
                  </w:r>
                </w:p>
              </w:tc>
              <w:tc>
                <w:tcPr>
                  <w:tcW w:w="1030" w:type="dxa"/>
                  <w:vMerge w:val="continue"/>
                  <w:tcBorders>
                    <w:top w:val="nil"/>
                    <w:left w:val="single" w:color="auto" w:sz="4" w:space="0"/>
                    <w:bottom w:val="single" w:color="000000" w:sz="4" w:space="0"/>
                    <w:right w:val="single" w:color="auto" w:sz="4" w:space="0"/>
                  </w:tcBorders>
                  <w:shd w:val="clear" w:color="auto" w:fill="auto"/>
                  <w:noWrap/>
                  <w:vAlign w:val="center"/>
                </w:tcPr>
                <w:p w14:paraId="5D785ED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noWrap/>
                  <w:vAlign w:val="center"/>
                </w:tcPr>
                <w:p w14:paraId="73F29C3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互联互通五乙</w:t>
                  </w:r>
                </w:p>
              </w:tc>
              <w:tc>
                <w:tcPr>
                  <w:tcW w:w="1970" w:type="dxa"/>
                  <w:tcBorders>
                    <w:top w:val="nil"/>
                    <w:left w:val="nil"/>
                    <w:bottom w:val="single" w:color="auto" w:sz="4" w:space="0"/>
                    <w:right w:val="single" w:color="auto" w:sz="4" w:space="0"/>
                  </w:tcBorders>
                  <w:shd w:val="clear" w:color="auto" w:fill="auto"/>
                  <w:noWrap/>
                  <w:vAlign w:val="center"/>
                </w:tcPr>
                <w:p w14:paraId="65ED6A3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满足互联互通五乙的自身系统改造及接口对接</w:t>
                  </w:r>
                </w:p>
              </w:tc>
              <w:tc>
                <w:tcPr>
                  <w:tcW w:w="850" w:type="dxa"/>
                  <w:tcBorders>
                    <w:top w:val="nil"/>
                    <w:left w:val="nil"/>
                    <w:bottom w:val="single" w:color="auto" w:sz="4" w:space="0"/>
                    <w:right w:val="single" w:color="auto" w:sz="4" w:space="0"/>
                  </w:tcBorders>
                  <w:shd w:val="clear" w:color="auto" w:fill="auto"/>
                  <w:vAlign w:val="center"/>
                </w:tcPr>
                <w:p w14:paraId="6018AE9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noWrap/>
                  <w:vAlign w:val="center"/>
                </w:tcPr>
                <w:p w14:paraId="1F908ED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66B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7DEB03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w:t>
                  </w:r>
                </w:p>
              </w:tc>
              <w:tc>
                <w:tcPr>
                  <w:tcW w:w="1030" w:type="dxa"/>
                  <w:vMerge w:val="continue"/>
                  <w:tcBorders>
                    <w:top w:val="nil"/>
                    <w:left w:val="single" w:color="auto" w:sz="4" w:space="0"/>
                    <w:bottom w:val="single" w:color="000000" w:sz="4" w:space="0"/>
                    <w:right w:val="single" w:color="auto" w:sz="4" w:space="0"/>
                  </w:tcBorders>
                  <w:shd w:val="clear" w:color="auto" w:fill="auto"/>
                  <w:noWrap/>
                  <w:vAlign w:val="center"/>
                </w:tcPr>
                <w:p w14:paraId="4CDBD59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noWrap/>
                  <w:vAlign w:val="center"/>
                </w:tcPr>
                <w:p w14:paraId="0447737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智慧医院三级</w:t>
                  </w:r>
                </w:p>
              </w:tc>
              <w:tc>
                <w:tcPr>
                  <w:tcW w:w="1970" w:type="dxa"/>
                  <w:tcBorders>
                    <w:top w:val="nil"/>
                    <w:left w:val="nil"/>
                    <w:bottom w:val="single" w:color="auto" w:sz="4" w:space="0"/>
                    <w:right w:val="single" w:color="auto" w:sz="4" w:space="0"/>
                  </w:tcBorders>
                  <w:shd w:val="clear" w:color="auto" w:fill="auto"/>
                  <w:noWrap/>
                  <w:vAlign w:val="center"/>
                </w:tcPr>
                <w:p w14:paraId="630B2E5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满足智慧医院三级的自身系统改造及接口对接</w:t>
                  </w:r>
                </w:p>
              </w:tc>
              <w:tc>
                <w:tcPr>
                  <w:tcW w:w="850" w:type="dxa"/>
                  <w:tcBorders>
                    <w:top w:val="nil"/>
                    <w:left w:val="nil"/>
                    <w:bottom w:val="single" w:color="auto" w:sz="4" w:space="0"/>
                    <w:right w:val="single" w:color="auto" w:sz="4" w:space="0"/>
                  </w:tcBorders>
                  <w:shd w:val="clear" w:color="auto" w:fill="auto"/>
                  <w:vAlign w:val="center"/>
                </w:tcPr>
                <w:p w14:paraId="4A6685C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noWrap/>
                  <w:vAlign w:val="center"/>
                </w:tcPr>
                <w:p w14:paraId="036B730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C24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BA5EB7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w:t>
                  </w:r>
                </w:p>
              </w:tc>
              <w:tc>
                <w:tcPr>
                  <w:tcW w:w="1030" w:type="dxa"/>
                  <w:vMerge w:val="restart"/>
                  <w:tcBorders>
                    <w:top w:val="nil"/>
                    <w:left w:val="single" w:color="auto" w:sz="4" w:space="0"/>
                    <w:bottom w:val="single" w:color="000000" w:sz="4" w:space="0"/>
                    <w:right w:val="single" w:color="auto" w:sz="4" w:space="0"/>
                  </w:tcBorders>
                  <w:shd w:val="clear" w:color="auto" w:fill="auto"/>
                  <w:noWrap/>
                  <w:vAlign w:val="center"/>
                </w:tcPr>
                <w:p w14:paraId="08FE8AA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第三方工具</w:t>
                  </w:r>
                </w:p>
              </w:tc>
              <w:tc>
                <w:tcPr>
                  <w:tcW w:w="812" w:type="dxa"/>
                  <w:tcBorders>
                    <w:top w:val="nil"/>
                    <w:left w:val="nil"/>
                    <w:bottom w:val="single" w:color="auto" w:sz="4" w:space="0"/>
                    <w:right w:val="single" w:color="auto" w:sz="4" w:space="0"/>
                  </w:tcBorders>
                  <w:shd w:val="clear" w:color="auto" w:fill="auto"/>
                  <w:noWrap/>
                  <w:vAlign w:val="center"/>
                </w:tcPr>
                <w:p w14:paraId="5E3822B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w:t>
                  </w:r>
                </w:p>
              </w:tc>
              <w:tc>
                <w:tcPr>
                  <w:tcW w:w="1970" w:type="dxa"/>
                  <w:tcBorders>
                    <w:top w:val="nil"/>
                    <w:left w:val="nil"/>
                    <w:bottom w:val="single" w:color="auto" w:sz="4" w:space="0"/>
                    <w:right w:val="single" w:color="auto" w:sz="4" w:space="0"/>
                  </w:tcBorders>
                  <w:shd w:val="clear" w:color="auto" w:fill="auto"/>
                  <w:noWrap/>
                  <w:vAlign w:val="center"/>
                </w:tcPr>
                <w:p w14:paraId="6A0D6C2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Cache2016</w:t>
                  </w:r>
                </w:p>
              </w:tc>
              <w:tc>
                <w:tcPr>
                  <w:tcW w:w="850" w:type="dxa"/>
                  <w:tcBorders>
                    <w:top w:val="nil"/>
                    <w:left w:val="nil"/>
                    <w:bottom w:val="single" w:color="auto" w:sz="4" w:space="0"/>
                    <w:right w:val="single" w:color="auto" w:sz="4" w:space="0"/>
                  </w:tcBorders>
                  <w:shd w:val="clear" w:color="auto" w:fill="auto"/>
                  <w:vAlign w:val="center"/>
                </w:tcPr>
                <w:p w14:paraId="03DF6D6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noWrap/>
                  <w:vAlign w:val="center"/>
                </w:tcPr>
                <w:p w14:paraId="09B691A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2BA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8512C1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149</w:t>
                  </w:r>
                </w:p>
              </w:tc>
              <w:tc>
                <w:tcPr>
                  <w:tcW w:w="1030" w:type="dxa"/>
                  <w:vMerge w:val="continue"/>
                  <w:tcBorders>
                    <w:top w:val="nil"/>
                    <w:left w:val="single" w:color="auto" w:sz="4" w:space="0"/>
                    <w:bottom w:val="single" w:color="000000" w:sz="4" w:space="0"/>
                    <w:right w:val="single" w:color="auto" w:sz="4" w:space="0"/>
                  </w:tcBorders>
                  <w:shd w:val="clear" w:color="auto" w:fill="auto"/>
                  <w:noWrap/>
                  <w:vAlign w:val="center"/>
                </w:tcPr>
                <w:p w14:paraId="5CA2F74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noWrap/>
                  <w:vAlign w:val="center"/>
                </w:tcPr>
                <w:p w14:paraId="32CA39A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报表工具</w:t>
                  </w:r>
                </w:p>
              </w:tc>
              <w:tc>
                <w:tcPr>
                  <w:tcW w:w="1970" w:type="dxa"/>
                  <w:tcBorders>
                    <w:top w:val="nil"/>
                    <w:left w:val="nil"/>
                    <w:bottom w:val="single" w:color="auto" w:sz="4" w:space="0"/>
                    <w:right w:val="single" w:color="auto" w:sz="4" w:space="0"/>
                  </w:tcBorders>
                  <w:shd w:val="clear" w:color="auto" w:fill="auto"/>
                  <w:noWrap/>
                  <w:vAlign w:val="center"/>
                </w:tcPr>
                <w:p w14:paraId="36E1BF9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智能报表工具</w:t>
                  </w:r>
                </w:p>
              </w:tc>
              <w:tc>
                <w:tcPr>
                  <w:tcW w:w="850" w:type="dxa"/>
                  <w:tcBorders>
                    <w:top w:val="nil"/>
                    <w:left w:val="nil"/>
                    <w:bottom w:val="single" w:color="auto" w:sz="4" w:space="0"/>
                    <w:right w:val="single" w:color="auto" w:sz="4" w:space="0"/>
                  </w:tcBorders>
                  <w:shd w:val="clear" w:color="auto" w:fill="auto"/>
                  <w:vAlign w:val="center"/>
                </w:tcPr>
                <w:p w14:paraId="5E51E8E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noWrap/>
                  <w:vAlign w:val="center"/>
                </w:tcPr>
                <w:p w14:paraId="0250D17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955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63184D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030" w:type="dxa"/>
                  <w:vMerge w:val="continue"/>
                  <w:tcBorders>
                    <w:top w:val="nil"/>
                    <w:left w:val="single" w:color="auto" w:sz="4" w:space="0"/>
                    <w:bottom w:val="single" w:color="000000" w:sz="4" w:space="0"/>
                    <w:right w:val="single" w:color="auto" w:sz="4" w:space="0"/>
                  </w:tcBorders>
                  <w:shd w:val="clear" w:color="auto" w:fill="auto"/>
                  <w:noWrap/>
                  <w:vAlign w:val="center"/>
                </w:tcPr>
                <w:p w14:paraId="1DDDA29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noWrap/>
                  <w:vAlign w:val="center"/>
                </w:tcPr>
                <w:p w14:paraId="69951AB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集成平台工具</w:t>
                  </w:r>
                </w:p>
              </w:tc>
              <w:tc>
                <w:tcPr>
                  <w:tcW w:w="1970" w:type="dxa"/>
                  <w:tcBorders>
                    <w:top w:val="nil"/>
                    <w:left w:val="nil"/>
                    <w:bottom w:val="single" w:color="auto" w:sz="4" w:space="0"/>
                    <w:right w:val="single" w:color="auto" w:sz="4" w:space="0"/>
                  </w:tcBorders>
                  <w:shd w:val="clear" w:color="auto" w:fill="auto"/>
                  <w:noWrap/>
                  <w:vAlign w:val="center"/>
                </w:tcPr>
                <w:p w14:paraId="4E18648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Ensemble2016</w:t>
                  </w:r>
                </w:p>
              </w:tc>
              <w:tc>
                <w:tcPr>
                  <w:tcW w:w="850" w:type="dxa"/>
                  <w:tcBorders>
                    <w:top w:val="nil"/>
                    <w:left w:val="nil"/>
                    <w:bottom w:val="single" w:color="auto" w:sz="4" w:space="0"/>
                    <w:right w:val="single" w:color="auto" w:sz="4" w:space="0"/>
                  </w:tcBorders>
                  <w:shd w:val="clear" w:color="auto" w:fill="auto"/>
                  <w:vAlign w:val="center"/>
                </w:tcPr>
                <w:p w14:paraId="3EB63D0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noWrap/>
                  <w:vAlign w:val="center"/>
                </w:tcPr>
                <w:p w14:paraId="2C3C21D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557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68BF19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151</w:t>
                  </w:r>
                </w:p>
              </w:tc>
              <w:tc>
                <w:tcPr>
                  <w:tcW w:w="1030" w:type="dxa"/>
                  <w:tcBorders>
                    <w:top w:val="single" w:color="auto" w:sz="4" w:space="0"/>
                    <w:left w:val="nil"/>
                    <w:bottom w:val="single" w:color="000000" w:sz="4" w:space="0"/>
                    <w:right w:val="single" w:color="auto" w:sz="4" w:space="0"/>
                  </w:tcBorders>
                  <w:shd w:val="clear" w:color="auto" w:fill="auto"/>
                  <w:noWrap/>
                  <w:vAlign w:val="center"/>
                </w:tcPr>
                <w:p w14:paraId="6FBF330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驻场服务</w:t>
                  </w:r>
                </w:p>
              </w:tc>
              <w:tc>
                <w:tcPr>
                  <w:tcW w:w="812" w:type="dxa"/>
                  <w:tcBorders>
                    <w:top w:val="single" w:color="auto" w:sz="4" w:space="0"/>
                    <w:left w:val="nil"/>
                    <w:bottom w:val="single" w:color="000000" w:sz="4" w:space="0"/>
                    <w:right w:val="single" w:color="auto" w:sz="4" w:space="0"/>
                  </w:tcBorders>
                  <w:shd w:val="clear" w:color="auto" w:fill="auto"/>
                  <w:noWrap/>
                  <w:vAlign w:val="center"/>
                </w:tcPr>
                <w:p w14:paraId="352B60E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项目人员驻场</w:t>
                  </w:r>
                </w:p>
              </w:tc>
              <w:tc>
                <w:tcPr>
                  <w:tcW w:w="1970" w:type="dxa"/>
                  <w:tcBorders>
                    <w:top w:val="single" w:color="auto" w:sz="4" w:space="0"/>
                    <w:left w:val="nil"/>
                    <w:bottom w:val="single" w:color="000000" w:sz="4" w:space="0"/>
                    <w:right w:val="single" w:color="auto" w:sz="4" w:space="0"/>
                  </w:tcBorders>
                  <w:shd w:val="clear" w:color="auto" w:fill="auto"/>
                  <w:noWrap/>
                  <w:vAlign w:val="center"/>
                </w:tcPr>
                <w:p w14:paraId="47C5AC8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不少于</w:t>
                  </w:r>
                  <w:r>
                    <w:rPr>
                      <w:rFonts w:hint="eastAsia" w:ascii="宋体" w:hAnsi="宋体" w:eastAsia="宋体" w:cs="宋体"/>
                      <w:i w:val="0"/>
                      <w:iCs w:val="0"/>
                      <w:strike w:val="0"/>
                      <w:dstrike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人的人员驻场服务</w:t>
                  </w:r>
                </w:p>
              </w:tc>
              <w:tc>
                <w:tcPr>
                  <w:tcW w:w="850" w:type="dxa"/>
                  <w:tcBorders>
                    <w:top w:val="nil"/>
                    <w:left w:val="nil"/>
                    <w:bottom w:val="single" w:color="auto" w:sz="4" w:space="0"/>
                    <w:right w:val="single" w:color="auto" w:sz="4" w:space="0"/>
                  </w:tcBorders>
                  <w:shd w:val="clear" w:color="auto" w:fill="auto"/>
                  <w:vAlign w:val="center"/>
                </w:tcPr>
                <w:p w14:paraId="0BA165B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single" w:color="auto" w:sz="4" w:space="0"/>
                    <w:left w:val="nil"/>
                    <w:bottom w:val="single" w:color="000000" w:sz="4" w:space="0"/>
                    <w:right w:val="single" w:color="000000" w:sz="4" w:space="0"/>
                  </w:tcBorders>
                  <w:shd w:val="clear" w:color="auto" w:fill="auto"/>
                  <w:noWrap/>
                  <w:vAlign w:val="center"/>
                </w:tcPr>
                <w:p w14:paraId="36642DF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bl>
          <w:p w14:paraId="612A5369">
            <w:pPr>
              <w:pStyle w:val="4"/>
              <w:pageBreakBefore w:val="0"/>
              <w:kinsoku/>
              <w:wordWrap/>
              <w:overflowPunct/>
              <w:topLinePunct w:val="0"/>
              <w:autoSpaceDE/>
              <w:autoSpaceDN/>
              <w:bidi w:val="0"/>
              <w:spacing w:before="0" w:beforeAutospacing="0" w:after="0" w:afterAutospacing="0" w:line="400" w:lineRule="exact"/>
              <w:ind w:left="720" w:leftChars="0" w:hanging="7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国际版HIS系统</w:t>
            </w:r>
          </w:p>
          <w:tbl>
            <w:tblPr>
              <w:tblStyle w:val="49"/>
              <w:tblW w:w="6117" w:type="dxa"/>
              <w:jc w:val="center"/>
              <w:tblLayout w:type="fixed"/>
              <w:tblCellMar>
                <w:top w:w="0" w:type="dxa"/>
                <w:left w:w="108" w:type="dxa"/>
                <w:bottom w:w="0" w:type="dxa"/>
                <w:right w:w="108" w:type="dxa"/>
              </w:tblCellMar>
            </w:tblPr>
            <w:tblGrid>
              <w:gridCol w:w="573"/>
              <w:gridCol w:w="1541"/>
              <w:gridCol w:w="3248"/>
              <w:gridCol w:w="755"/>
            </w:tblGrid>
            <w:tr w14:paraId="7C7AAEF5">
              <w:tblPrEx>
                <w:tblCellMar>
                  <w:top w:w="0" w:type="dxa"/>
                  <w:left w:w="108" w:type="dxa"/>
                  <w:bottom w:w="0" w:type="dxa"/>
                  <w:right w:w="108" w:type="dxa"/>
                </w:tblCellMar>
              </w:tblPrEx>
              <w:trPr>
                <w:trHeight w:val="285"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14:paraId="6DA91A5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59" w:type="pct"/>
                  <w:tcBorders>
                    <w:top w:val="single" w:color="auto" w:sz="4" w:space="0"/>
                    <w:left w:val="nil"/>
                    <w:bottom w:val="single" w:color="auto" w:sz="4" w:space="0"/>
                    <w:right w:val="single" w:color="auto" w:sz="4" w:space="0"/>
                  </w:tcBorders>
                  <w:vAlign w:val="center"/>
                </w:tcPr>
                <w:p w14:paraId="425853F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服务名称</w:t>
                  </w:r>
                </w:p>
              </w:tc>
              <w:tc>
                <w:tcPr>
                  <w:tcW w:w="2654" w:type="pct"/>
                  <w:tcBorders>
                    <w:top w:val="single" w:color="auto" w:sz="4" w:space="0"/>
                    <w:left w:val="nil"/>
                    <w:bottom w:val="single" w:color="auto" w:sz="4" w:space="0"/>
                    <w:right w:val="single" w:color="auto" w:sz="4" w:space="0"/>
                  </w:tcBorders>
                  <w:vAlign w:val="center"/>
                </w:tcPr>
                <w:p w14:paraId="55D071D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服务的具体内容</w:t>
                  </w:r>
                </w:p>
              </w:tc>
              <w:tc>
                <w:tcPr>
                  <w:tcW w:w="617" w:type="pct"/>
                  <w:tcBorders>
                    <w:top w:val="single" w:color="auto" w:sz="4" w:space="0"/>
                    <w:left w:val="nil"/>
                    <w:bottom w:val="single" w:color="auto" w:sz="4" w:space="0"/>
                    <w:right w:val="single" w:color="auto" w:sz="4" w:space="0"/>
                  </w:tcBorders>
                  <w:vAlign w:val="center"/>
                </w:tcPr>
                <w:p w14:paraId="68EE3AB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r>
            <w:tr w14:paraId="074B60AD">
              <w:tblPrEx>
                <w:tblCellMar>
                  <w:top w:w="0" w:type="dxa"/>
                  <w:left w:w="108" w:type="dxa"/>
                  <w:bottom w:w="0" w:type="dxa"/>
                  <w:right w:w="108" w:type="dxa"/>
                </w:tblCellMar>
              </w:tblPrEx>
              <w:trPr>
                <w:trHeight w:val="1080" w:hRule="atLeast"/>
                <w:jc w:val="center"/>
              </w:trPr>
              <w:tc>
                <w:tcPr>
                  <w:tcW w:w="468" w:type="pct"/>
                  <w:tcBorders>
                    <w:top w:val="nil"/>
                    <w:left w:val="single" w:color="auto" w:sz="4" w:space="0"/>
                    <w:bottom w:val="single" w:color="auto" w:sz="4" w:space="0"/>
                    <w:right w:val="single" w:color="auto" w:sz="4" w:space="0"/>
                  </w:tcBorders>
                  <w:vAlign w:val="center"/>
                </w:tcPr>
                <w:p w14:paraId="7FC9A0E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59" w:type="pct"/>
                  <w:tcBorders>
                    <w:top w:val="nil"/>
                    <w:left w:val="nil"/>
                    <w:bottom w:val="single" w:color="auto" w:sz="4" w:space="0"/>
                    <w:right w:val="single" w:color="auto" w:sz="4" w:space="0"/>
                  </w:tcBorders>
                  <w:vAlign w:val="center"/>
                </w:tcPr>
                <w:p w14:paraId="4B2D570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国际HIS特需医疗版系统开发</w:t>
                  </w:r>
                </w:p>
              </w:tc>
              <w:tc>
                <w:tcPr>
                  <w:tcW w:w="2654" w:type="pct"/>
                  <w:tcBorders>
                    <w:top w:val="nil"/>
                    <w:left w:val="nil"/>
                    <w:bottom w:val="single" w:color="auto" w:sz="4" w:space="0"/>
                    <w:right w:val="single" w:color="auto" w:sz="4" w:space="0"/>
                  </w:tcBorders>
                  <w:vAlign w:val="center"/>
                </w:tcPr>
                <w:p w14:paraId="0171B770">
                  <w:pPr>
                    <w:keepNext w:val="0"/>
                    <w:keepLines w:val="0"/>
                    <w:pageBreakBefore w:val="0"/>
                    <w:suppressLineNumbers w:val="0"/>
                    <w:kinsoku/>
                    <w:wordWrap/>
                    <w:overflowPunct/>
                    <w:topLinePunct w:val="0"/>
                    <w:autoSpaceDE/>
                    <w:autoSpaceDN/>
                    <w:bidi w:val="0"/>
                    <w:spacing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系统基础管理、门诊诊疗服务、门诊应急系统、住院诊疗服务、电子病历、药库管理系统、合理用药接口、VIP患者管理</w:t>
                  </w:r>
                </w:p>
              </w:tc>
              <w:tc>
                <w:tcPr>
                  <w:tcW w:w="617" w:type="pct"/>
                  <w:tcBorders>
                    <w:top w:val="nil"/>
                    <w:left w:val="nil"/>
                    <w:bottom w:val="single" w:color="auto" w:sz="4" w:space="0"/>
                    <w:right w:val="single" w:color="auto" w:sz="4" w:space="0"/>
                  </w:tcBorders>
                  <w:vAlign w:val="center"/>
                </w:tcPr>
                <w:p w14:paraId="35E5E4D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14:paraId="35743AD1">
              <w:tblPrEx>
                <w:tblCellMar>
                  <w:top w:w="0" w:type="dxa"/>
                  <w:left w:w="108" w:type="dxa"/>
                  <w:bottom w:w="0" w:type="dxa"/>
                  <w:right w:w="108" w:type="dxa"/>
                </w:tblCellMar>
              </w:tblPrEx>
              <w:trPr>
                <w:trHeight w:val="810" w:hRule="atLeast"/>
                <w:jc w:val="center"/>
              </w:trPr>
              <w:tc>
                <w:tcPr>
                  <w:tcW w:w="468" w:type="pct"/>
                  <w:tcBorders>
                    <w:top w:val="nil"/>
                    <w:left w:val="single" w:color="auto" w:sz="4" w:space="0"/>
                    <w:bottom w:val="single" w:color="auto" w:sz="4" w:space="0"/>
                    <w:right w:val="single" w:color="auto" w:sz="4" w:space="0"/>
                  </w:tcBorders>
                  <w:vAlign w:val="center"/>
                </w:tcPr>
                <w:p w14:paraId="446E24C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59" w:type="pct"/>
                  <w:tcBorders>
                    <w:top w:val="nil"/>
                    <w:left w:val="nil"/>
                    <w:bottom w:val="single" w:color="auto" w:sz="4" w:space="0"/>
                    <w:right w:val="single" w:color="auto" w:sz="4" w:space="0"/>
                  </w:tcBorders>
                  <w:vAlign w:val="center"/>
                </w:tcPr>
                <w:p w14:paraId="1DFEE54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医院现用HIS系统改造</w:t>
                  </w:r>
                </w:p>
              </w:tc>
              <w:tc>
                <w:tcPr>
                  <w:tcW w:w="2654" w:type="pct"/>
                  <w:tcBorders>
                    <w:top w:val="nil"/>
                    <w:left w:val="nil"/>
                    <w:bottom w:val="single" w:color="auto" w:sz="4" w:space="0"/>
                    <w:right w:val="single" w:color="auto" w:sz="4" w:space="0"/>
                  </w:tcBorders>
                  <w:vAlign w:val="center"/>
                </w:tcPr>
                <w:p w14:paraId="19A1FDF9">
                  <w:pPr>
                    <w:keepNext w:val="0"/>
                    <w:keepLines w:val="0"/>
                    <w:pageBreakBefore w:val="0"/>
                    <w:suppressLineNumbers w:val="0"/>
                    <w:kinsoku/>
                    <w:wordWrap/>
                    <w:overflowPunct/>
                    <w:topLinePunct w:val="0"/>
                    <w:autoSpaceDE/>
                    <w:autoSpaceDN/>
                    <w:bidi w:val="0"/>
                    <w:spacing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基础数据改造、门诊系统改造、住院系统改造、报告系统改造、自助系统改造、其他改造</w:t>
                  </w:r>
                </w:p>
              </w:tc>
              <w:tc>
                <w:tcPr>
                  <w:tcW w:w="617" w:type="pct"/>
                  <w:tcBorders>
                    <w:top w:val="nil"/>
                    <w:left w:val="nil"/>
                    <w:bottom w:val="single" w:color="auto" w:sz="4" w:space="0"/>
                    <w:right w:val="single" w:color="auto" w:sz="4" w:space="0"/>
                  </w:tcBorders>
                  <w:vAlign w:val="center"/>
                </w:tcPr>
                <w:p w14:paraId="4E3C9A4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r>
            <w:tr w14:paraId="7B74D769">
              <w:tblPrEx>
                <w:tblCellMar>
                  <w:top w:w="0" w:type="dxa"/>
                  <w:left w:w="108" w:type="dxa"/>
                  <w:bottom w:w="0" w:type="dxa"/>
                  <w:right w:w="108" w:type="dxa"/>
                </w:tblCellMar>
              </w:tblPrEx>
              <w:trPr>
                <w:trHeight w:val="540" w:hRule="atLeast"/>
                <w:jc w:val="center"/>
              </w:trPr>
              <w:tc>
                <w:tcPr>
                  <w:tcW w:w="468" w:type="pct"/>
                  <w:tcBorders>
                    <w:top w:val="nil"/>
                    <w:left w:val="single" w:color="auto" w:sz="4" w:space="0"/>
                    <w:bottom w:val="single" w:color="auto" w:sz="4" w:space="0"/>
                    <w:right w:val="single" w:color="auto" w:sz="4" w:space="0"/>
                  </w:tcBorders>
                  <w:vAlign w:val="center"/>
                </w:tcPr>
                <w:p w14:paraId="0A28C7F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59" w:type="pct"/>
                  <w:tcBorders>
                    <w:top w:val="nil"/>
                    <w:left w:val="nil"/>
                    <w:bottom w:val="single" w:color="auto" w:sz="4" w:space="0"/>
                    <w:right w:val="single" w:color="auto" w:sz="4" w:space="0"/>
                  </w:tcBorders>
                  <w:vAlign w:val="center"/>
                </w:tcPr>
                <w:p w14:paraId="5E1CCC5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医院医生资质管理系统开发</w:t>
                  </w:r>
                </w:p>
              </w:tc>
              <w:tc>
                <w:tcPr>
                  <w:tcW w:w="2654" w:type="pct"/>
                  <w:tcBorders>
                    <w:top w:val="nil"/>
                    <w:left w:val="nil"/>
                    <w:bottom w:val="single" w:color="auto" w:sz="4" w:space="0"/>
                    <w:right w:val="single" w:color="auto" w:sz="4" w:space="0"/>
                  </w:tcBorders>
                  <w:vAlign w:val="center"/>
                </w:tcPr>
                <w:p w14:paraId="4B93A58B">
                  <w:pPr>
                    <w:keepNext w:val="0"/>
                    <w:keepLines w:val="0"/>
                    <w:pageBreakBefore w:val="0"/>
                    <w:suppressLineNumbers w:val="0"/>
                    <w:kinsoku/>
                    <w:wordWrap/>
                    <w:overflowPunct/>
                    <w:topLinePunct w:val="0"/>
                    <w:autoSpaceDE/>
                    <w:autoSpaceDN/>
                    <w:bidi w:val="0"/>
                    <w:spacing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信息管理、授权管理、综合查询、医疗能力提升、个人办公</w:t>
                  </w:r>
                </w:p>
              </w:tc>
              <w:tc>
                <w:tcPr>
                  <w:tcW w:w="617" w:type="pct"/>
                  <w:tcBorders>
                    <w:top w:val="nil"/>
                    <w:left w:val="nil"/>
                    <w:bottom w:val="single" w:color="auto" w:sz="4" w:space="0"/>
                    <w:right w:val="single" w:color="auto" w:sz="4" w:space="0"/>
                  </w:tcBorders>
                  <w:vAlign w:val="center"/>
                </w:tcPr>
                <w:p w14:paraId="079C3AC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14:paraId="404F1F87">
              <w:tblPrEx>
                <w:tblCellMar>
                  <w:top w:w="0" w:type="dxa"/>
                  <w:left w:w="108" w:type="dxa"/>
                  <w:bottom w:w="0" w:type="dxa"/>
                  <w:right w:w="108" w:type="dxa"/>
                </w:tblCellMar>
              </w:tblPrEx>
              <w:trPr>
                <w:trHeight w:val="1890" w:hRule="atLeast"/>
                <w:jc w:val="center"/>
              </w:trPr>
              <w:tc>
                <w:tcPr>
                  <w:tcW w:w="468" w:type="pct"/>
                  <w:tcBorders>
                    <w:top w:val="nil"/>
                    <w:left w:val="single" w:color="auto" w:sz="4" w:space="0"/>
                    <w:bottom w:val="single" w:color="auto" w:sz="4" w:space="0"/>
                    <w:right w:val="single" w:color="auto" w:sz="4" w:space="0"/>
                  </w:tcBorders>
                  <w:vAlign w:val="center"/>
                </w:tcPr>
                <w:p w14:paraId="4D06B94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59" w:type="pct"/>
                  <w:tcBorders>
                    <w:top w:val="nil"/>
                    <w:left w:val="nil"/>
                    <w:bottom w:val="single" w:color="auto" w:sz="4" w:space="0"/>
                    <w:right w:val="single" w:color="auto" w:sz="4" w:space="0"/>
                  </w:tcBorders>
                  <w:vAlign w:val="center"/>
                </w:tcPr>
                <w:p w14:paraId="686EC87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医院智能护理管理系统开发</w:t>
                  </w:r>
                </w:p>
              </w:tc>
              <w:tc>
                <w:tcPr>
                  <w:tcW w:w="2654" w:type="pct"/>
                  <w:tcBorders>
                    <w:top w:val="nil"/>
                    <w:left w:val="nil"/>
                    <w:bottom w:val="single" w:color="auto" w:sz="4" w:space="0"/>
                    <w:right w:val="single" w:color="auto" w:sz="4" w:space="0"/>
                  </w:tcBorders>
                  <w:vAlign w:val="center"/>
                </w:tcPr>
                <w:p w14:paraId="791C5F57">
                  <w:pPr>
                    <w:keepNext w:val="0"/>
                    <w:keepLines w:val="0"/>
                    <w:pageBreakBefore w:val="0"/>
                    <w:suppressLineNumbers w:val="0"/>
                    <w:kinsoku/>
                    <w:wordWrap/>
                    <w:overflowPunct/>
                    <w:topLinePunct w:val="0"/>
                    <w:autoSpaceDE/>
                    <w:autoSpaceDN/>
                    <w:bidi w:val="0"/>
                    <w:spacing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理档案管理、科室事务管理、护理工作量管理、护理质量控制、人员动态、组织管理、护士长手册、护理教学、护理调查、科研管理、专业组管理、学习进修、护理指标分析、基础数据维护、智能护理路径引导系统、智能移动护理系统</w:t>
                  </w:r>
                </w:p>
              </w:tc>
              <w:tc>
                <w:tcPr>
                  <w:tcW w:w="617" w:type="pct"/>
                  <w:tcBorders>
                    <w:top w:val="nil"/>
                    <w:left w:val="nil"/>
                    <w:bottom w:val="single" w:color="auto" w:sz="4" w:space="0"/>
                    <w:right w:val="single" w:color="auto" w:sz="4" w:space="0"/>
                  </w:tcBorders>
                  <w:vAlign w:val="center"/>
                </w:tcPr>
                <w:p w14:paraId="7E70348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14:paraId="7C32F05C">
              <w:tblPrEx>
                <w:tblCellMar>
                  <w:top w:w="0" w:type="dxa"/>
                  <w:left w:w="108" w:type="dxa"/>
                  <w:bottom w:w="0" w:type="dxa"/>
                  <w:right w:w="108" w:type="dxa"/>
                </w:tblCellMar>
              </w:tblPrEx>
              <w:trPr>
                <w:trHeight w:val="810" w:hRule="atLeast"/>
                <w:jc w:val="center"/>
              </w:trPr>
              <w:tc>
                <w:tcPr>
                  <w:tcW w:w="468" w:type="pct"/>
                  <w:tcBorders>
                    <w:top w:val="nil"/>
                    <w:left w:val="single" w:color="auto" w:sz="4" w:space="0"/>
                    <w:bottom w:val="single" w:color="auto" w:sz="4" w:space="0"/>
                    <w:right w:val="single" w:color="auto" w:sz="4" w:space="0"/>
                  </w:tcBorders>
                  <w:vAlign w:val="center"/>
                </w:tcPr>
                <w:p w14:paraId="2255137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59" w:type="pct"/>
                  <w:tcBorders>
                    <w:top w:val="nil"/>
                    <w:left w:val="nil"/>
                    <w:bottom w:val="single" w:color="auto" w:sz="4" w:space="0"/>
                    <w:right w:val="single" w:color="auto" w:sz="4" w:space="0"/>
                  </w:tcBorders>
                  <w:vAlign w:val="center"/>
                </w:tcPr>
                <w:p w14:paraId="60FB4F8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医院多渠道对账管理系统开发</w:t>
                  </w:r>
                </w:p>
              </w:tc>
              <w:tc>
                <w:tcPr>
                  <w:tcW w:w="2654" w:type="pct"/>
                  <w:tcBorders>
                    <w:top w:val="nil"/>
                    <w:left w:val="nil"/>
                    <w:bottom w:val="single" w:color="auto" w:sz="4" w:space="0"/>
                    <w:right w:val="single" w:color="auto" w:sz="4" w:space="0"/>
                  </w:tcBorders>
                  <w:vAlign w:val="center"/>
                </w:tcPr>
                <w:p w14:paraId="4C0CFA92">
                  <w:pPr>
                    <w:keepNext w:val="0"/>
                    <w:keepLines w:val="0"/>
                    <w:pageBreakBefore w:val="0"/>
                    <w:suppressLineNumbers w:val="0"/>
                    <w:kinsoku/>
                    <w:wordWrap/>
                    <w:overflowPunct/>
                    <w:topLinePunct w:val="0"/>
                    <w:autoSpaceDE/>
                    <w:autoSpaceDN/>
                    <w:bidi w:val="0"/>
                    <w:spacing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支付通道交易记录获取、对账数据表与对账批次表获取、自动对账管理、对账情况统计、统一对外接口</w:t>
                  </w:r>
                </w:p>
              </w:tc>
              <w:tc>
                <w:tcPr>
                  <w:tcW w:w="617" w:type="pct"/>
                  <w:tcBorders>
                    <w:top w:val="nil"/>
                    <w:left w:val="nil"/>
                    <w:bottom w:val="single" w:color="auto" w:sz="4" w:space="0"/>
                    <w:right w:val="single" w:color="auto" w:sz="4" w:space="0"/>
                  </w:tcBorders>
                  <w:vAlign w:val="center"/>
                </w:tcPr>
                <w:p w14:paraId="196BE29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14:paraId="41603D46">
              <w:tblPrEx>
                <w:tblCellMar>
                  <w:top w:w="0" w:type="dxa"/>
                  <w:left w:w="108" w:type="dxa"/>
                  <w:bottom w:w="0" w:type="dxa"/>
                  <w:right w:w="108" w:type="dxa"/>
                </w:tblCellMar>
              </w:tblPrEx>
              <w:trPr>
                <w:trHeight w:val="540" w:hRule="atLeast"/>
                <w:jc w:val="center"/>
              </w:trPr>
              <w:tc>
                <w:tcPr>
                  <w:tcW w:w="468" w:type="pct"/>
                  <w:tcBorders>
                    <w:top w:val="nil"/>
                    <w:left w:val="single" w:color="auto" w:sz="4" w:space="0"/>
                    <w:bottom w:val="single" w:color="auto" w:sz="4" w:space="0"/>
                    <w:right w:val="single" w:color="auto" w:sz="4" w:space="0"/>
                  </w:tcBorders>
                  <w:vAlign w:val="center"/>
                </w:tcPr>
                <w:p w14:paraId="2A752ED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59" w:type="pct"/>
                  <w:tcBorders>
                    <w:top w:val="nil"/>
                    <w:left w:val="nil"/>
                    <w:bottom w:val="single" w:color="auto" w:sz="4" w:space="0"/>
                    <w:right w:val="single" w:color="auto" w:sz="4" w:space="0"/>
                  </w:tcBorders>
                  <w:vAlign w:val="center"/>
                </w:tcPr>
                <w:p w14:paraId="14C7461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医院抗菌抗肿瘤药物管理系统开发</w:t>
                  </w:r>
                </w:p>
              </w:tc>
              <w:tc>
                <w:tcPr>
                  <w:tcW w:w="2654" w:type="pct"/>
                  <w:tcBorders>
                    <w:top w:val="nil"/>
                    <w:left w:val="nil"/>
                    <w:bottom w:val="single" w:color="auto" w:sz="4" w:space="0"/>
                    <w:right w:val="single" w:color="auto" w:sz="4" w:space="0"/>
                  </w:tcBorders>
                  <w:vAlign w:val="center"/>
                </w:tcPr>
                <w:p w14:paraId="75CC814C">
                  <w:pPr>
                    <w:keepNext w:val="0"/>
                    <w:keepLines w:val="0"/>
                    <w:pageBreakBefore w:val="0"/>
                    <w:suppressLineNumbers w:val="0"/>
                    <w:kinsoku/>
                    <w:wordWrap/>
                    <w:overflowPunct/>
                    <w:topLinePunct w:val="0"/>
                    <w:autoSpaceDE/>
                    <w:autoSpaceDN/>
                    <w:bidi w:val="0"/>
                    <w:spacing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抗菌抗肿瘤药物分级管理系统与抗菌抗肿瘤药物统计查询分析</w:t>
                  </w:r>
                </w:p>
              </w:tc>
              <w:tc>
                <w:tcPr>
                  <w:tcW w:w="617" w:type="pct"/>
                  <w:tcBorders>
                    <w:top w:val="nil"/>
                    <w:left w:val="nil"/>
                    <w:bottom w:val="single" w:color="auto" w:sz="4" w:space="0"/>
                    <w:right w:val="single" w:color="auto" w:sz="4" w:space="0"/>
                  </w:tcBorders>
                  <w:vAlign w:val="center"/>
                </w:tcPr>
                <w:p w14:paraId="63D6854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14:paraId="3A0E3165">
              <w:tblPrEx>
                <w:tblCellMar>
                  <w:top w:w="0" w:type="dxa"/>
                  <w:left w:w="108" w:type="dxa"/>
                  <w:bottom w:w="0" w:type="dxa"/>
                  <w:right w:w="108" w:type="dxa"/>
                </w:tblCellMar>
              </w:tblPrEx>
              <w:trPr>
                <w:trHeight w:val="810" w:hRule="atLeast"/>
                <w:jc w:val="center"/>
              </w:trPr>
              <w:tc>
                <w:tcPr>
                  <w:tcW w:w="468" w:type="pct"/>
                  <w:tcBorders>
                    <w:top w:val="nil"/>
                    <w:left w:val="single" w:color="auto" w:sz="4" w:space="0"/>
                    <w:bottom w:val="single" w:color="auto" w:sz="4" w:space="0"/>
                    <w:right w:val="single" w:color="auto" w:sz="4" w:space="0"/>
                  </w:tcBorders>
                  <w:vAlign w:val="center"/>
                </w:tcPr>
                <w:p w14:paraId="4596B76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59" w:type="pct"/>
                  <w:tcBorders>
                    <w:top w:val="nil"/>
                    <w:left w:val="nil"/>
                    <w:bottom w:val="single" w:color="auto" w:sz="4" w:space="0"/>
                    <w:right w:val="single" w:color="auto" w:sz="4" w:space="0"/>
                  </w:tcBorders>
                  <w:vAlign w:val="center"/>
                </w:tcPr>
                <w:p w14:paraId="709719D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医院处方点评系统开发</w:t>
                  </w:r>
                </w:p>
              </w:tc>
              <w:tc>
                <w:tcPr>
                  <w:tcW w:w="2654" w:type="pct"/>
                  <w:tcBorders>
                    <w:top w:val="nil"/>
                    <w:left w:val="nil"/>
                    <w:bottom w:val="single" w:color="auto" w:sz="4" w:space="0"/>
                    <w:right w:val="single" w:color="auto" w:sz="4" w:space="0"/>
                  </w:tcBorders>
                  <w:vAlign w:val="center"/>
                </w:tcPr>
                <w:p w14:paraId="540D6389">
                  <w:pPr>
                    <w:keepNext w:val="0"/>
                    <w:keepLines w:val="0"/>
                    <w:pageBreakBefore w:val="0"/>
                    <w:suppressLineNumbers w:val="0"/>
                    <w:kinsoku/>
                    <w:wordWrap/>
                    <w:overflowPunct/>
                    <w:topLinePunct w:val="0"/>
                    <w:autoSpaceDE/>
                    <w:autoSpaceDN/>
                    <w:bidi w:val="0"/>
                    <w:spacing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生成点评单、分配点评任务、点评处方、点评医嘱、查询统计、参数配置</w:t>
                  </w:r>
                </w:p>
              </w:tc>
              <w:tc>
                <w:tcPr>
                  <w:tcW w:w="617" w:type="pct"/>
                  <w:tcBorders>
                    <w:top w:val="nil"/>
                    <w:left w:val="nil"/>
                    <w:bottom w:val="single" w:color="auto" w:sz="4" w:space="0"/>
                    <w:right w:val="single" w:color="auto" w:sz="4" w:space="0"/>
                  </w:tcBorders>
                  <w:vAlign w:val="center"/>
                </w:tcPr>
                <w:p w14:paraId="5F30E03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14:paraId="08FEFC42">
              <w:tblPrEx>
                <w:tblCellMar>
                  <w:top w:w="0" w:type="dxa"/>
                  <w:left w:w="108" w:type="dxa"/>
                  <w:bottom w:w="0" w:type="dxa"/>
                  <w:right w:w="108" w:type="dxa"/>
                </w:tblCellMar>
              </w:tblPrEx>
              <w:trPr>
                <w:trHeight w:val="1620" w:hRule="atLeast"/>
                <w:jc w:val="center"/>
              </w:trPr>
              <w:tc>
                <w:tcPr>
                  <w:tcW w:w="468" w:type="pct"/>
                  <w:tcBorders>
                    <w:top w:val="nil"/>
                    <w:left w:val="single" w:color="auto" w:sz="4" w:space="0"/>
                    <w:bottom w:val="single" w:color="auto" w:sz="4" w:space="0"/>
                    <w:right w:val="single" w:color="auto" w:sz="4" w:space="0"/>
                  </w:tcBorders>
                  <w:vAlign w:val="center"/>
                </w:tcPr>
                <w:p w14:paraId="0FAD9BE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59" w:type="pct"/>
                  <w:tcBorders>
                    <w:top w:val="nil"/>
                    <w:left w:val="nil"/>
                    <w:bottom w:val="single" w:color="auto" w:sz="4" w:space="0"/>
                    <w:right w:val="single" w:color="auto" w:sz="4" w:space="0"/>
                  </w:tcBorders>
                  <w:vAlign w:val="center"/>
                </w:tcPr>
                <w:p w14:paraId="412DC0F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医院营养信息系统开发</w:t>
                  </w:r>
                </w:p>
              </w:tc>
              <w:tc>
                <w:tcPr>
                  <w:tcW w:w="2654" w:type="pct"/>
                  <w:tcBorders>
                    <w:top w:val="nil"/>
                    <w:left w:val="nil"/>
                    <w:bottom w:val="single" w:color="auto" w:sz="4" w:space="0"/>
                    <w:right w:val="single" w:color="auto" w:sz="4" w:space="0"/>
                  </w:tcBorders>
                  <w:vAlign w:val="center"/>
                </w:tcPr>
                <w:p w14:paraId="1451B018">
                  <w:pPr>
                    <w:keepNext w:val="0"/>
                    <w:keepLines w:val="0"/>
                    <w:pageBreakBefore w:val="0"/>
                    <w:suppressLineNumbers w:val="0"/>
                    <w:kinsoku/>
                    <w:wordWrap/>
                    <w:overflowPunct/>
                    <w:topLinePunct w:val="0"/>
                    <w:autoSpaceDE/>
                    <w:autoSpaceDN/>
                    <w:bidi w:val="0"/>
                    <w:spacing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营养筛查、营养评估、膳食调查、风险预警、统计、住院营养诊疗、肠内医嘱、基础管理、HIS医嘱、营养医嘱、食物库管理、检验项目、诊断管理、病种管理、系统管理、营养诊疗APP</w:t>
                  </w:r>
                </w:p>
              </w:tc>
              <w:tc>
                <w:tcPr>
                  <w:tcW w:w="617" w:type="pct"/>
                  <w:tcBorders>
                    <w:top w:val="nil"/>
                    <w:left w:val="nil"/>
                    <w:bottom w:val="single" w:color="auto" w:sz="4" w:space="0"/>
                    <w:right w:val="single" w:color="auto" w:sz="4" w:space="0"/>
                  </w:tcBorders>
                  <w:vAlign w:val="center"/>
                </w:tcPr>
                <w:p w14:paraId="4E0417F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bl>
          <w:p w14:paraId="05FF6E5B">
            <w:pPr>
              <w:pStyle w:val="2"/>
              <w:pageBreakBefore w:val="0"/>
              <w:kinsoku/>
              <w:wordWrap/>
              <w:overflowPunct/>
              <w:topLinePunct w:val="0"/>
              <w:autoSpaceDE/>
              <w:autoSpaceDN/>
              <w:bidi w:val="0"/>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产品技术能力要求</w:t>
            </w:r>
          </w:p>
          <w:p w14:paraId="12AE4D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系统在院内部署，所有数据均存储在院内；</w:t>
            </w:r>
          </w:p>
          <w:p w14:paraId="70FC9F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具备完善应用部署能力，提供应用部署管理平台的界面和部署方案；</w:t>
            </w:r>
          </w:p>
          <w:p w14:paraId="5A6D0A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信息系统数据的实时同步，需提供技术方案；</w:t>
            </w:r>
          </w:p>
          <w:p w14:paraId="5EBA08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4、具</w:t>
            </w:r>
            <w:r>
              <w:rPr>
                <w:rFonts w:hint="eastAsia" w:ascii="宋体" w:hAnsi="宋体" w:eastAsia="宋体" w:cs="宋体"/>
                <w:color w:val="auto"/>
                <w:sz w:val="21"/>
                <w:szCs w:val="21"/>
                <w:highlight w:val="none"/>
              </w:rPr>
              <w:t>有完备的数据安全方案，对隐私数据等进行高强度加密存储，数据自动备份全面采用速度快、成功率高的物理备份；系统可通过各种渗透检测，并以软件等级保护</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级要求进行编写；</w:t>
            </w:r>
          </w:p>
          <w:p w14:paraId="14C921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产品稳定性要求：系统支持7*24小时不间断运行。</w:t>
            </w:r>
          </w:p>
          <w:p w14:paraId="69531E63">
            <w:pPr>
              <w:pStyle w:val="2"/>
              <w:pageBreakBefore w:val="0"/>
              <w:kinsoku/>
              <w:wordWrap/>
              <w:overflowPunct/>
              <w:topLinePunct w:val="0"/>
              <w:autoSpaceDE/>
              <w:autoSpaceDN/>
              <w:bidi w:val="0"/>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三、项目服务</w:t>
            </w:r>
            <w:r>
              <w:rPr>
                <w:rFonts w:hint="eastAsia" w:ascii="宋体" w:hAnsi="宋体" w:eastAsia="宋体" w:cs="宋体"/>
                <w:color w:val="auto"/>
                <w:sz w:val="21"/>
                <w:szCs w:val="21"/>
                <w:highlight w:val="none"/>
              </w:rPr>
              <w:t>要求</w:t>
            </w:r>
          </w:p>
          <w:p w14:paraId="261F4C68">
            <w:pPr>
              <w:pStyle w:val="3"/>
              <w:pageBreakBefore w:val="0"/>
              <w:tabs>
                <w:tab w:val="left" w:pos="567"/>
              </w:tabs>
              <w:kinsoku/>
              <w:wordWrap/>
              <w:overflowPunct/>
              <w:topLinePunct w:val="0"/>
              <w:autoSpaceDE/>
              <w:autoSpaceDN/>
              <w:bidi w:val="0"/>
              <w:adjustRightInd w:val="0"/>
              <w:snapToGrid w:val="0"/>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应用系统的日常维护</w:t>
            </w:r>
          </w:p>
          <w:p w14:paraId="7EDC1C4F">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维护要求为：通过对应用系统的维护，分析用户的不断更新的需求，分析应用系统对服务平台性能的要求，提出系统优化扩容解决方案，保障应用系统的处理服务性能。</w:t>
            </w:r>
          </w:p>
          <w:p w14:paraId="7DDDFC24">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主要维护内容包括：</w:t>
            </w:r>
          </w:p>
          <w:p w14:paraId="11E1298B">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（1）业务数据维护；</w:t>
            </w:r>
          </w:p>
          <w:p w14:paraId="4BFDFA1D">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（2）业务数据备份；</w:t>
            </w:r>
          </w:p>
          <w:p w14:paraId="1D52A5B3">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（3）业务系统日常维护；</w:t>
            </w:r>
          </w:p>
          <w:p w14:paraId="4C2D3CD1">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（4）软件更新服务；</w:t>
            </w:r>
          </w:p>
          <w:p w14:paraId="3D4F3072">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（5）对业务管理系统健康状态检查与分析报告；</w:t>
            </w:r>
          </w:p>
          <w:p w14:paraId="685107F7">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（6）对系统用户信息进行维护和修改，添加系统用户、更改系统用户信息、权限，负责系统中管理人员、操作人员、监督人员名单的调整，以及数据同步。</w:t>
            </w:r>
          </w:p>
          <w:p w14:paraId="70B45F9A">
            <w:pPr>
              <w:pStyle w:val="3"/>
              <w:pageBreakBefore w:val="0"/>
              <w:tabs>
                <w:tab w:val="left" w:pos="567"/>
              </w:tabs>
              <w:kinsoku/>
              <w:wordWrap/>
              <w:overflowPunct/>
              <w:topLinePunct w:val="0"/>
              <w:autoSpaceDE/>
              <w:autoSpaceDN/>
              <w:bidi w:val="0"/>
              <w:adjustRightInd w:val="0"/>
              <w:snapToGrid w:val="0"/>
              <w:spacing w:before="0" w:beforeAutospacing="0" w:after="0" w:after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2、信息系统安全服务</w:t>
            </w:r>
          </w:p>
          <w:p w14:paraId="1ADF07F3">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风险评估和安全加固工作贯穿于信息系统的整个生命周期的各阶段。在运行维护阶段，要不断地实施风险评估以识别系统面临的不断变化的风险和脆弱性，并通过安全加固进行有效的安全措施干预，确保安全目标得以实现。</w:t>
            </w:r>
          </w:p>
          <w:p w14:paraId="2D1E43EE">
            <w:pPr>
              <w:pStyle w:val="4"/>
              <w:pageBreakBefore w:val="0"/>
              <w:kinsoku/>
              <w:wordWrap/>
              <w:overflowPunct/>
              <w:topLinePunct w:val="0"/>
              <w:autoSpaceDE/>
              <w:autoSpaceDN/>
              <w:bidi w:val="0"/>
              <w:spacing w:before="0" w:beforeAutospacing="0" w:after="0" w:afterAutospacing="0" w:line="400" w:lineRule="exact"/>
              <w:ind w:left="720" w:leftChars="0" w:hanging="7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w:t>
            </w:r>
          </w:p>
          <w:p w14:paraId="5037D7FC">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风险评估的目的是了解和控制运行过程中的信息系统安全风险，运维阶段的风险评估是一种较为全面的风险评估。评估内容包括对真实运行的信息系统、资产、威胁、脆弱性等各方面。</w:t>
            </w:r>
          </w:p>
          <w:p w14:paraId="64A5C335">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（1）资产评估：对真实环境下较为细致的评估，包括实施阶段采购的软硬件资产、系统运行过程中生成的信息资产、相关的人员与服务等。本阶段资产识别是前期资产识别的补充与增加；</w:t>
            </w:r>
          </w:p>
          <w:p w14:paraId="162C3F51">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威胁评估：真实环境中的威胁分析，应全面地评估威胁的可能性和影响程度。对非故意威胁产生安全事件的评估可以参照事故发生率；对故意威胁主要由评估人员就威胁的各个影响因素做出专业判断；同时考虑已有控制措施；</w:t>
            </w:r>
          </w:p>
          <w:p w14:paraId="3FFF2BA6">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脆弱性评估：全面的脆弱性评估。包括运行环境下物理、网络、系统、应用、安全保障设备、管理的脆弱性。对于技术的脆弱性评估采取核查、扫描、案例验证、渗透性测试的方式验证脆弱性；对安全保障设备脆弱性评估时考虑安全功能的实现情况和安全措施本身的脆弱性。对于管理脆弱性采取文档、记录核查进行验证；</w:t>
            </w:r>
          </w:p>
          <w:p w14:paraId="46207AB7">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（4）风险计算：根据相关标准，对主要资产的风险进行定性或定量的风险分析，描述不同资产的风险高低状况。</w:t>
            </w:r>
          </w:p>
          <w:p w14:paraId="0737D5E0">
            <w:pPr>
              <w:pStyle w:val="4"/>
              <w:pageBreakBefore w:val="0"/>
              <w:kinsoku/>
              <w:wordWrap/>
              <w:overflowPunct/>
              <w:topLinePunct w:val="0"/>
              <w:autoSpaceDE/>
              <w:autoSpaceDN/>
              <w:bidi w:val="0"/>
              <w:spacing w:before="0" w:beforeAutospacing="0" w:after="0" w:afterAutospacing="0" w:line="400" w:lineRule="exact"/>
              <w:ind w:left="720" w:leftChars="0" w:hanging="7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4、安全加固</w:t>
            </w:r>
          </w:p>
          <w:p w14:paraId="2A29394F">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安全加固是指对在风险评估中发现的系统安全风险进行处理，按照级别不同，应该在相应时间内完成。安全加固的内容主要包括：</w:t>
            </w:r>
          </w:p>
          <w:p w14:paraId="0CCC09A8">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（1）日常安全加固工作，主要是根据风险评估结果进行系统安全调优服务，根据系统运行需要适时调整各类设备及系统配置、合理规划系统资源、消除系统漏洞，提高系统稳定性和可靠性；</w:t>
            </w:r>
          </w:p>
          <w:p w14:paraId="4BCF7860">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（2）主动安全加固，在未出现安全事故之前就对已经通报或者暴露出来的软件漏洞或最新病毒库更新，就主动进计划的升级和改进，从而避免出现安全事故。</w:t>
            </w:r>
          </w:p>
          <w:p w14:paraId="21E113D9">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具体加固内容包括但不限于：账户策略、账户锁定策略、审核策略、NTFS、用户权限分配、系统服务策略、补丁管理、事件日志、应用软件的更新等。</w:t>
            </w:r>
          </w:p>
          <w:p w14:paraId="0F6F5E87">
            <w:pPr>
              <w:pStyle w:val="4"/>
              <w:pageBreakBefore w:val="0"/>
              <w:kinsoku/>
              <w:wordWrap/>
              <w:overflowPunct/>
              <w:topLinePunct w:val="0"/>
              <w:autoSpaceDE/>
              <w:autoSpaceDN/>
              <w:bidi w:val="0"/>
              <w:spacing w:before="0" w:beforeAutospacing="0" w:after="0" w:afterAutospacing="0" w:line="400" w:lineRule="exact"/>
              <w:ind w:left="720" w:leftChars="0" w:hanging="7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5、应急响应</w:t>
            </w:r>
          </w:p>
          <w:p w14:paraId="48C4DAB7">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应急状态的安全值守、响应工作，主要是系统应急响应、重大安全故障处理，确保系统出现安全事件时快速反应、及时处理，降低系统安全问题对院内内工作的影响。</w:t>
            </w:r>
          </w:p>
          <w:p w14:paraId="694EF00B">
            <w:pPr>
              <w:pStyle w:val="4"/>
              <w:pageBreakBefore w:val="0"/>
              <w:kinsoku/>
              <w:wordWrap/>
              <w:overflowPunct/>
              <w:topLinePunct w:val="0"/>
              <w:autoSpaceDE/>
              <w:autoSpaceDN/>
              <w:bidi w:val="0"/>
              <w:spacing w:before="0" w:beforeAutospacing="0" w:after="0" w:afterAutospacing="0" w:line="400" w:lineRule="exact"/>
              <w:ind w:left="720" w:leftChars="0" w:hanging="7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6、安全巡检 </w:t>
            </w:r>
          </w:p>
          <w:p w14:paraId="0AC7BBA5">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安全巡检主要是指深入现场，了解情况：质检服务内容中的各类安全设备，了解安全设备运行情况，仔细观察各个安全节点的可靠性，并综合安全巡检情况，定制安全策略。</w:t>
            </w:r>
          </w:p>
          <w:p w14:paraId="0B5E1AEE">
            <w:pPr>
              <w:pStyle w:val="4"/>
              <w:pageBreakBefore w:val="0"/>
              <w:kinsoku/>
              <w:wordWrap/>
              <w:overflowPunct/>
              <w:topLinePunct w:val="0"/>
              <w:autoSpaceDE/>
              <w:autoSpaceDN/>
              <w:bidi w:val="0"/>
              <w:spacing w:before="0" w:beforeAutospacing="0" w:after="0" w:afterAutospacing="0" w:line="400" w:lineRule="exact"/>
              <w:ind w:left="720" w:leftChars="0" w:hanging="7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7、安全监控</w:t>
            </w:r>
          </w:p>
          <w:p w14:paraId="478ABBCB">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对服务内容进行监控，在安全环境产生变化时，及时更新安全策略，在现有设备和网络情况有改变的时候，快速制定，针对更新后设备环境的安全策略，并实施部署。避免因设备变更而带来的安全风险。</w:t>
            </w:r>
          </w:p>
          <w:p w14:paraId="5085567D">
            <w:pPr>
              <w:pStyle w:val="4"/>
              <w:pageBreakBefore w:val="0"/>
              <w:kinsoku/>
              <w:wordWrap/>
              <w:overflowPunct/>
              <w:topLinePunct w:val="0"/>
              <w:autoSpaceDE/>
              <w:autoSpaceDN/>
              <w:bidi w:val="0"/>
              <w:spacing w:before="0" w:beforeAutospacing="0" w:after="0" w:afterAutospacing="0" w:line="400" w:lineRule="exact"/>
              <w:ind w:left="720" w:leftChars="0" w:hanging="7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8、安全通告</w:t>
            </w:r>
          </w:p>
          <w:p w14:paraId="003C5333">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定期安全通告，在互联网上出现新型病毒或者新出现漏洞并且部分修补的情况下，制作安全通告及时告知相关运维人员，增强对于新型病毒和漏洞的防御力。</w:t>
            </w:r>
          </w:p>
          <w:p w14:paraId="655BB7B1">
            <w:pPr>
              <w:pStyle w:val="3"/>
              <w:pageBreakBefore w:val="0"/>
              <w:tabs>
                <w:tab w:val="left" w:pos="567"/>
              </w:tabs>
              <w:kinsoku/>
              <w:wordWrap/>
              <w:overflowPunct/>
              <w:topLinePunct w:val="0"/>
              <w:autoSpaceDE/>
              <w:autoSpaceDN/>
              <w:bidi w:val="0"/>
              <w:adjustRightInd w:val="0"/>
              <w:snapToGrid w:val="0"/>
              <w:spacing w:before="0" w:beforeAutospacing="0" w:after="0" w:after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9、软件系统升级及其他软件产品服务</w:t>
            </w:r>
          </w:p>
          <w:p w14:paraId="2C56D0BE">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在合同有效期内，系统厂家（或服务商）承诺免费升级合同所约定的订阅模式服务范围内的双方约定的自主软件产品至合同有效期结束之日前</w:t>
            </w:r>
            <w:r>
              <w:rPr>
                <w:rFonts w:hint="eastAsia" w:ascii="宋体" w:hAnsi="宋体" w:cs="宋体"/>
                <w:color w:val="auto"/>
                <w:kern w:val="2"/>
                <w:sz w:val="21"/>
                <w:szCs w:val="21"/>
                <w:highlight w:val="none"/>
                <w:lang w:val="en-US" w:eastAsia="zh-CN"/>
              </w:rPr>
              <w:t>HIS系统</w:t>
            </w:r>
            <w:r>
              <w:rPr>
                <w:rFonts w:hint="eastAsia" w:ascii="宋体" w:hAnsi="宋体" w:eastAsia="宋体" w:cs="宋体"/>
                <w:color w:val="auto"/>
                <w:kern w:val="2"/>
                <w:sz w:val="21"/>
                <w:szCs w:val="21"/>
                <w:highlight w:val="none"/>
                <w:lang w:val="en-US" w:eastAsia="zh-CN"/>
              </w:rPr>
              <w:t>所发布的最新版本。</w:t>
            </w:r>
          </w:p>
          <w:p w14:paraId="6811290A">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合同期内</w:t>
            </w:r>
            <w:r>
              <w:rPr>
                <w:rFonts w:hint="eastAsia" w:ascii="宋体" w:hAnsi="宋体" w:cs="宋体"/>
                <w:color w:val="auto"/>
                <w:kern w:val="2"/>
                <w:sz w:val="21"/>
                <w:szCs w:val="21"/>
                <w:highlight w:val="none"/>
              </w:rPr>
              <w:t>双方约定</w:t>
            </w:r>
            <w:r>
              <w:rPr>
                <w:rFonts w:hint="eastAsia" w:ascii="宋体" w:hAnsi="宋体" w:eastAsia="宋体" w:cs="宋体"/>
                <w:color w:val="auto"/>
                <w:kern w:val="2"/>
                <w:sz w:val="21"/>
                <w:szCs w:val="21"/>
                <w:highlight w:val="none"/>
                <w:lang w:val="en-US" w:eastAsia="zh-CN"/>
              </w:rPr>
              <w:t>对应的软件产品提供医院业务所需的所有许可，需求，接口服务。其他费用不再收取，如人员驻场费用，需求改动费和接口免费等。</w:t>
            </w:r>
          </w:p>
          <w:p w14:paraId="451AB661">
            <w:pPr>
              <w:pStyle w:val="3"/>
              <w:pageBreakBefore w:val="0"/>
              <w:tabs>
                <w:tab w:val="left" w:pos="567"/>
              </w:tabs>
              <w:kinsoku/>
              <w:wordWrap/>
              <w:overflowPunct/>
              <w:topLinePunct w:val="0"/>
              <w:autoSpaceDE/>
              <w:autoSpaceDN/>
              <w:bidi w:val="0"/>
              <w:adjustRightInd w:val="0"/>
              <w:snapToGrid w:val="0"/>
              <w:spacing w:before="0" w:beforeAutospacing="0" w:after="0" w:after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10、评级改造服务</w:t>
            </w:r>
          </w:p>
          <w:p w14:paraId="03FBB45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rPr>
              <w:t>根据医院电子病历6级、互联互通五乙、智慧服务4级、三甲医院绩效指标等评级要求，提供相应的咨询、改造服务，满足“四+五+六“信息化评审要求。</w:t>
            </w:r>
          </w:p>
        </w:tc>
      </w:tr>
      <w:tr w14:paraId="7A9B6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406" w:type="dxa"/>
            <w:gridSpan w:val="5"/>
            <w:tcBorders>
              <w:top w:val="single" w:color="auto" w:sz="4" w:space="0"/>
              <w:left w:val="single" w:color="auto" w:sz="4" w:space="0"/>
              <w:bottom w:val="single" w:color="auto" w:sz="4" w:space="0"/>
              <w:right w:val="single" w:color="auto" w:sz="4" w:space="0"/>
            </w:tcBorders>
            <w:noWrap w:val="0"/>
            <w:vAlign w:val="top"/>
          </w:tcPr>
          <w:p w14:paraId="35DA6CBD">
            <w:pPr>
              <w:pageBreakBefore w:val="0"/>
              <w:kinsoku/>
              <w:wordWrap/>
              <w:topLinePunct w:val="0"/>
              <w:autoSpaceDE/>
              <w:autoSpaceDN/>
              <w:bidi w:val="0"/>
              <w:adjustRightInd/>
              <w:spacing w:line="40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商务要求</w:t>
            </w:r>
          </w:p>
        </w:tc>
      </w:tr>
      <w:tr w14:paraId="5250A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A8791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合同签订期</w:t>
            </w:r>
          </w:p>
        </w:tc>
        <w:tc>
          <w:tcPr>
            <w:tcW w:w="860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65BD8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自中标通知书发出之日起 25 日内。</w:t>
            </w:r>
          </w:p>
        </w:tc>
      </w:tr>
      <w:tr w14:paraId="3D1955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50C7CD7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二、服务期限及地点</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669082C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1、服务期限：自合同签订之日起两年。</w:t>
            </w:r>
          </w:p>
          <w:p w14:paraId="465E2FD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2、服务地点：广西医科大学第一附属医院指定地点，南宁市内。</w:t>
            </w:r>
          </w:p>
        </w:tc>
      </w:tr>
      <w:tr w14:paraId="2531E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0E2A10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三、报价要求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7888E31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本项目实行包干总价；投标报价包含完成本项目所有服务内容、所涉及的配件、备品备件、工具、材料、实施、调试、验收、培训等各种费用和售后服务、税金及其它所有成本费用的总和。</w:t>
            </w:r>
          </w:p>
        </w:tc>
      </w:tr>
      <w:tr w14:paraId="55EC6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01B0ED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四、付款条件</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4AB8DE5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1、本合同全额款分八次支付：采购人按季度支付合同价款，成交供应商应当于下季度首月前5个工作日内开具发票申请采购人支付上季度的合同价款，采购人</w:t>
            </w:r>
            <w:r>
              <w:rPr>
                <w:rFonts w:hint="eastAsia" w:ascii="宋体" w:hAnsi="宋体" w:cs="宋体"/>
                <w:color w:val="auto"/>
                <w:sz w:val="21"/>
                <w:szCs w:val="21"/>
                <w:highlight w:val="none"/>
                <w:lang w:val="en-US" w:eastAsia="zh-CN"/>
              </w:rPr>
              <w:t>自材料审核完成之日起</w:t>
            </w:r>
            <w:r>
              <w:rPr>
                <w:rFonts w:hint="eastAsia" w:ascii="宋体" w:hAnsi="宋体" w:eastAsia="宋体" w:cs="宋体"/>
                <w:color w:val="auto"/>
                <w:sz w:val="21"/>
                <w:szCs w:val="21"/>
                <w:highlight w:val="none"/>
                <w:lang w:val="en-US" w:eastAsia="zh-CN"/>
              </w:rPr>
              <w:t>十个工作日内支付该季度的合同款，具体金额根据上季度服务考评结果及奖惩办法等情况</w:t>
            </w:r>
            <w:r>
              <w:rPr>
                <w:rFonts w:hint="eastAsia" w:ascii="宋体" w:hAnsi="宋体" w:cs="宋体"/>
                <w:color w:val="auto"/>
                <w:szCs w:val="21"/>
                <w:highlight w:val="none"/>
              </w:rPr>
              <w:t>（详见附件三）</w:t>
            </w:r>
            <w:r>
              <w:rPr>
                <w:rFonts w:hint="eastAsia" w:ascii="宋体" w:hAnsi="宋体" w:eastAsia="宋体" w:cs="宋体"/>
                <w:color w:val="auto"/>
                <w:sz w:val="21"/>
                <w:szCs w:val="21"/>
                <w:highlight w:val="none"/>
                <w:lang w:val="en-US" w:eastAsia="zh-CN"/>
              </w:rPr>
              <w:t>进行核算进行支付，服务周期的第一季度按100%支付。</w:t>
            </w:r>
          </w:p>
          <w:p w14:paraId="11EA8EA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Cs w:val="21"/>
                <w:highlight w:val="none"/>
              </w:rPr>
              <w:t>付款前</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必须提供真实、有效、合法的正式发票，如</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提供虚假发票，除须向</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补开合法发票外，须赔偿</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发票票面金额一倍的违约金，且</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有权终止合同，</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不得提出异议，因终止合同而产生的一切损失均由</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承担。</w:t>
            </w:r>
          </w:p>
        </w:tc>
      </w:tr>
      <w:tr w14:paraId="22DA4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253921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五、售后服务要求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461F084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日常运维服务</w:t>
            </w:r>
          </w:p>
          <w:p w14:paraId="4C7BD0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针对医院24小时工作制度，为客户提供系统级的</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常维护、定期巡检、性能测试、故障排查等服务。</w:t>
            </w:r>
            <w:r>
              <w:rPr>
                <w:rFonts w:hint="eastAsia" w:ascii="宋体" w:hAnsi="宋体" w:eastAsia="宋体" w:cs="宋体"/>
                <w:color w:val="auto"/>
                <w:sz w:val="21"/>
                <w:szCs w:val="21"/>
                <w:highlight w:val="none"/>
                <w:lang w:val="en-US" w:eastAsia="zh-CN"/>
              </w:rPr>
              <w:t>具体内</w:t>
            </w:r>
            <w:r>
              <w:rPr>
                <w:rFonts w:hint="eastAsia" w:ascii="宋体" w:hAnsi="宋体" w:eastAsia="宋体" w:cs="宋体"/>
                <w:color w:val="auto"/>
                <w:sz w:val="21"/>
                <w:szCs w:val="21"/>
                <w:highlight w:val="none"/>
              </w:rPr>
              <w:t>容包括</w:t>
            </w:r>
            <w:r>
              <w:rPr>
                <w:rFonts w:hint="eastAsia" w:ascii="宋体" w:hAnsi="宋体" w:eastAsia="宋体" w:cs="宋体"/>
                <w:color w:val="auto"/>
                <w:sz w:val="21"/>
                <w:szCs w:val="21"/>
                <w:highlight w:val="none"/>
                <w:lang w:eastAsia="zh-CN"/>
              </w:rPr>
              <w:t>：</w:t>
            </w:r>
          </w:p>
          <w:p w14:paraId="7F06A9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驻场服务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主要指现场值守服务，维护团队需要指派资深服务技术服务工程师长期值守在现场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责对现场设备运行状态进行监视、管理和维护以及工作织端的管理和维护，通过对系统运行日志的分析提前发现并排除可能发生的潜在故障，并在全部维护服务团队支持下，在1小时内排除普通故障，2小时内排除较大故障，4小时内排除重大故障，24小时内排除特大故障。</w:t>
            </w:r>
          </w:p>
          <w:p w14:paraId="68F076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故障响应服务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除了现场值守服务方式外，同时，提供 7</w:t>
            </w:r>
            <w:r>
              <w:rPr>
                <w:rFonts w:hint="default" w:ascii="Arial" w:hAnsi="Arial" w:eastAsia="宋体" w:cs="Arial"/>
                <w:color w:val="auto"/>
                <w:sz w:val="21"/>
                <w:szCs w:val="21"/>
                <w:highlight w:val="none"/>
              </w:rPr>
              <w:t>×</w:t>
            </w:r>
            <w:r>
              <w:rPr>
                <w:rFonts w:hint="eastAsia" w:ascii="宋体" w:hAnsi="宋体" w:eastAsia="宋体" w:cs="宋体"/>
                <w:color w:val="auto"/>
                <w:sz w:val="21"/>
                <w:szCs w:val="21"/>
                <w:highlight w:val="none"/>
              </w:rPr>
              <w:t>24小时故障响应服务具体包括</w:t>
            </w:r>
            <w:r>
              <w:rPr>
                <w:rFonts w:hint="eastAsia" w:ascii="宋体" w:hAnsi="宋体" w:eastAsia="宋体" w:cs="宋体"/>
                <w:color w:val="auto"/>
                <w:sz w:val="21"/>
                <w:szCs w:val="21"/>
                <w:highlight w:val="none"/>
                <w:lang w:eastAsia="zh-CN"/>
              </w:rPr>
              <w:t>：</w:t>
            </w:r>
          </w:p>
          <w:p w14:paraId="41A4616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(1)维护期内提供电话、传真、电子邮件等方式的咨询和支持服务</w:t>
            </w:r>
            <w:r>
              <w:rPr>
                <w:rFonts w:hint="eastAsia" w:ascii="宋体" w:hAnsi="宋体" w:eastAsia="宋体" w:cs="宋体"/>
                <w:color w:val="auto"/>
                <w:sz w:val="21"/>
                <w:szCs w:val="21"/>
                <w:highlight w:val="none"/>
                <w:lang w:eastAsia="zh-CN"/>
              </w:rPr>
              <w:t>；</w:t>
            </w:r>
          </w:p>
          <w:p w14:paraId="28B40E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(2)主要系统设备出现故障时，15分钟内响应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当现场维护工程师或节假日值班维护工程师无法排除故障时，1小时内中心派专业工程师赶赴现场进行故障诊断及处理，在1小时内排除普通故障，2小时内排除较大故障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4小时内排除重大故障，24小时内排除特大故障</w:t>
            </w:r>
            <w:r>
              <w:rPr>
                <w:rFonts w:hint="eastAsia" w:ascii="宋体" w:hAnsi="宋体" w:eastAsia="宋体" w:cs="宋体"/>
                <w:color w:val="auto"/>
                <w:sz w:val="21"/>
                <w:szCs w:val="21"/>
                <w:highlight w:val="none"/>
                <w:lang w:eastAsia="zh-CN"/>
              </w:rPr>
              <w:t>；</w:t>
            </w:r>
          </w:p>
          <w:p w14:paraId="5B98A4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(3)一般故障，正常工作日内响应。</w:t>
            </w:r>
          </w:p>
          <w:p w14:paraId="1E14831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其他时间及夜间服务</w:t>
            </w:r>
          </w:p>
          <w:p w14:paraId="70C022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当系统在非工作日出现异常时，维护团队现场人员将在1小时内赶赴现场并排除系统普通故障，特大故障将在24小时内处理完毕</w:t>
            </w:r>
            <w:r>
              <w:rPr>
                <w:rFonts w:hint="eastAsia" w:ascii="宋体" w:hAnsi="宋体" w:eastAsia="宋体" w:cs="宋体"/>
                <w:color w:val="auto"/>
                <w:sz w:val="21"/>
                <w:szCs w:val="21"/>
                <w:highlight w:val="none"/>
                <w:lang w:eastAsia="zh-CN"/>
              </w:rPr>
              <w:t>。</w:t>
            </w:r>
          </w:p>
          <w:p w14:paraId="1D030DF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临时保障服务</w:t>
            </w:r>
          </w:p>
          <w:p w14:paraId="5ADCD37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当遇到需要提供临时保障服务时，维护团队须在需要保障服务的前三天进驻现场，并对所有设备进行临时性安全检查，排除安全隐患，以做到万无一失。</w:t>
            </w:r>
          </w:p>
          <w:p w14:paraId="64AD5EE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月度检查</w:t>
            </w:r>
          </w:p>
          <w:p w14:paraId="794631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每月对各系统及设备进行检查，进行安全系统、防病毒系统检查，进行漏洞扫描，并对检查中存在的故障及安全隐患进行处理。每月第一周向用户单位提交上月的《月度巡检报告》，报请用户单位审批签署</w:t>
            </w:r>
            <w:r>
              <w:rPr>
                <w:rFonts w:hint="eastAsia" w:ascii="宋体" w:hAnsi="宋体" w:eastAsia="宋体" w:cs="宋体"/>
                <w:color w:val="auto"/>
                <w:sz w:val="21"/>
                <w:szCs w:val="21"/>
                <w:highlight w:val="none"/>
                <w:lang w:eastAsia="zh-CN"/>
              </w:rPr>
              <w:t>。</w:t>
            </w:r>
          </w:p>
          <w:p w14:paraId="03B0A92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季度检查</w:t>
            </w:r>
          </w:p>
          <w:p w14:paraId="748E2EC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每季度对由维护团队的专业维护</w:t>
            </w:r>
            <w:r>
              <w:rPr>
                <w:rFonts w:hint="eastAsia" w:ascii="宋体" w:hAnsi="宋体" w:eastAsia="宋体" w:cs="宋体"/>
                <w:color w:val="auto"/>
                <w:sz w:val="21"/>
                <w:szCs w:val="21"/>
                <w:highlight w:val="none"/>
                <w:lang w:val="en-US" w:eastAsia="zh-CN"/>
              </w:rPr>
              <w:t>队伍</w:t>
            </w:r>
            <w:r>
              <w:rPr>
                <w:rFonts w:hint="eastAsia" w:ascii="宋体" w:hAnsi="宋体" w:eastAsia="宋体" w:cs="宋体"/>
                <w:color w:val="auto"/>
                <w:sz w:val="21"/>
                <w:szCs w:val="21"/>
                <w:highlight w:val="none"/>
              </w:rPr>
              <w:t>对所有设备进行安全评估和风险分析，提交完整的</w:t>
            </w:r>
            <w:r>
              <w:rPr>
                <w:rFonts w:hint="eastAsia" w:ascii="宋体" w:hAnsi="宋体" w:eastAsia="宋体" w:cs="宋体"/>
                <w:color w:val="auto"/>
                <w:sz w:val="21"/>
                <w:szCs w:val="21"/>
                <w:highlight w:val="none"/>
                <w:lang w:val="en-US" w:eastAsia="zh-CN"/>
              </w:rPr>
              <w:t>安全状况评估报告，</w:t>
            </w:r>
            <w:r>
              <w:rPr>
                <w:rFonts w:hint="eastAsia" w:ascii="宋体" w:hAnsi="宋体" w:eastAsia="宋体" w:cs="宋体"/>
                <w:color w:val="auto"/>
                <w:sz w:val="21"/>
                <w:szCs w:val="21"/>
                <w:highlight w:val="none"/>
              </w:rPr>
              <w:t>分析存在的安全漏洞情况，提出《整改方案和建议》</w:t>
            </w:r>
            <w:r>
              <w:rPr>
                <w:rFonts w:hint="eastAsia" w:ascii="宋体" w:hAnsi="宋体" w:eastAsia="宋体" w:cs="宋体"/>
                <w:color w:val="auto"/>
                <w:sz w:val="21"/>
                <w:szCs w:val="21"/>
                <w:highlight w:val="none"/>
                <w:lang w:eastAsia="zh-CN"/>
              </w:rPr>
              <w:t>。</w:t>
            </w:r>
          </w:p>
          <w:p w14:paraId="3E18510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年度检查</w:t>
            </w:r>
          </w:p>
          <w:p w14:paraId="58A257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每年由维护团队组织相关的专家对整个系统进行安全检查，对每个硬件设备使用状态进行风险评估，并对下</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年可能存在的问题进行风险预测。</w:t>
            </w:r>
          </w:p>
        </w:tc>
      </w:tr>
      <w:tr w14:paraId="16C73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6F0906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六、验收要求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413711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应用软件由成交人与采购人一起验收，同时就系统的安全性、完整性、易用性、适用性等进行验收。</w:t>
            </w:r>
          </w:p>
          <w:p w14:paraId="58C382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(1)采取分阶段验收模式，验收各年度交付计划方案下的各子项目，及每个总体开工报告下的所有项目和子项目。</w:t>
            </w:r>
          </w:p>
          <w:p w14:paraId="5933D7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验收工作由成交人与采购人双方共同组成的联合组负责组织和开展验收具体工作。</w:t>
            </w:r>
          </w:p>
          <w:p w14:paraId="7165D1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(3)验收依据和标准包括：</w:t>
            </w:r>
          </w:p>
          <w:p w14:paraId="736CCD2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功能和需求满足度：按照实施报告中的产品功能清单、子项目计划书、需求报告、差异化调研情况等进行评估。</w:t>
            </w:r>
          </w:p>
          <w:p w14:paraId="1F8373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运行状态：确认项目或子项目是否处于无故障运行状</w:t>
            </w:r>
            <w:r>
              <w:rPr>
                <w:rFonts w:hint="eastAsia" w:ascii="宋体" w:hAnsi="宋体" w:eastAsia="宋体" w:cs="宋体"/>
                <w:color w:val="auto"/>
                <w:sz w:val="21"/>
                <w:szCs w:val="21"/>
                <w:highlight w:val="none"/>
                <w:lang w:val="en-US" w:eastAsia="zh-CN"/>
              </w:rPr>
              <w:t>态，</w:t>
            </w:r>
            <w:r>
              <w:rPr>
                <w:rFonts w:hint="eastAsia" w:ascii="宋体" w:hAnsi="宋体" w:eastAsia="宋体" w:cs="宋体"/>
                <w:color w:val="auto"/>
                <w:sz w:val="21"/>
                <w:szCs w:val="21"/>
                <w:highlight w:val="none"/>
                <w:lang w:eastAsia="zh-CN"/>
              </w:rPr>
              <w:t>且持续时间是否达到约定的时长。</w:t>
            </w:r>
          </w:p>
          <w:p w14:paraId="008E327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技术文档包括：产品功能清单；产品使用说明书；产品配置说明书；二次开发技术文档；接口及综合统计系统的数据源的技术说明书；所涉及的数据库的数据字典和知识图谱、cache 数据库管理及运维手册、cache 数据库开发手册、常见问题检索及故障处理手册。</w:t>
            </w:r>
          </w:p>
          <w:p w14:paraId="107236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系统用户使用报告：交付小组按项目或系项目涉及的子系统或模块的直接使用用户类别收集其对系统或模块使用情况的报告。</w:t>
            </w:r>
          </w:p>
          <w:p w14:paraId="1FD8A5B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年度及总体使用情况评估报告：总体开工报告及各年度交付计划方案中各子项目的里程碑完成情况报告；项目小组对项目或子项目所涉及子系统或模块的总体使用情况进行评估并出具相关报告。</w:t>
            </w:r>
          </w:p>
          <w:p w14:paraId="3B1157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(4)验收交付报告的签署：各阶段</w:t>
            </w:r>
            <w:r>
              <w:rPr>
                <w:rFonts w:hint="eastAsia" w:ascii="宋体" w:hAnsi="宋体" w:eastAsia="宋体" w:cs="宋体"/>
                <w:color w:val="auto"/>
                <w:sz w:val="21"/>
                <w:szCs w:val="21"/>
                <w:highlight w:val="none"/>
                <w:lang w:val="en-US" w:eastAsia="zh-CN"/>
              </w:rPr>
              <w:t>交付验收后，</w:t>
            </w:r>
            <w:r>
              <w:rPr>
                <w:rFonts w:hint="eastAsia" w:ascii="宋体" w:hAnsi="宋体" w:eastAsia="宋体" w:cs="宋体"/>
                <w:color w:val="auto"/>
                <w:sz w:val="21"/>
                <w:szCs w:val="21"/>
                <w:highlight w:val="none"/>
                <w:lang w:eastAsia="zh-CN"/>
              </w:rPr>
              <w:t>双方授权代表在验收报告上签字盖章，确认验收通过。未能验收的各阶段的交付方案或总体方</w:t>
            </w:r>
            <w:r>
              <w:rPr>
                <w:rFonts w:hint="eastAsia" w:ascii="宋体" w:hAnsi="宋体" w:eastAsia="宋体" w:cs="宋体"/>
                <w:color w:val="auto"/>
                <w:sz w:val="21"/>
                <w:szCs w:val="21"/>
                <w:highlight w:val="none"/>
                <w:lang w:val="en-US" w:eastAsia="zh-CN"/>
              </w:rPr>
              <w:t>案，联合组应出具未能</w:t>
            </w:r>
            <w:r>
              <w:rPr>
                <w:rFonts w:hint="eastAsia" w:ascii="宋体" w:hAnsi="宋体" w:eastAsia="宋体" w:cs="宋体"/>
                <w:color w:val="auto"/>
                <w:sz w:val="21"/>
                <w:szCs w:val="21"/>
                <w:highlight w:val="none"/>
                <w:lang w:eastAsia="zh-CN"/>
              </w:rPr>
              <w:t>验收的文件，成交人与采购人各自</w:t>
            </w:r>
            <w:r>
              <w:rPr>
                <w:rFonts w:hint="eastAsia" w:ascii="宋体" w:hAnsi="宋体" w:eastAsia="宋体" w:cs="宋体"/>
                <w:color w:val="auto"/>
                <w:sz w:val="21"/>
                <w:szCs w:val="21"/>
                <w:highlight w:val="none"/>
                <w:lang w:val="en-US" w:eastAsia="zh-CN"/>
              </w:rPr>
              <w:t>解决验收文件</w:t>
            </w:r>
            <w:r>
              <w:rPr>
                <w:rFonts w:hint="eastAsia" w:ascii="宋体" w:hAnsi="宋体" w:eastAsia="宋体" w:cs="宋体"/>
                <w:color w:val="auto"/>
                <w:sz w:val="21"/>
                <w:szCs w:val="21"/>
                <w:highlight w:val="none"/>
                <w:lang w:eastAsia="zh-CN"/>
              </w:rPr>
              <w:t>确定</w:t>
            </w:r>
            <w:r>
              <w:rPr>
                <w:rFonts w:hint="eastAsia" w:ascii="宋体" w:hAnsi="宋体" w:eastAsia="宋体" w:cs="宋体"/>
                <w:color w:val="auto"/>
                <w:sz w:val="21"/>
                <w:szCs w:val="21"/>
                <w:highlight w:val="none"/>
                <w:lang w:val="en-US" w:eastAsia="zh-CN"/>
              </w:rPr>
              <w:t>的各</w:t>
            </w:r>
            <w:r>
              <w:rPr>
                <w:rFonts w:hint="eastAsia" w:ascii="宋体" w:hAnsi="宋体" w:eastAsia="宋体" w:cs="宋体"/>
                <w:color w:val="auto"/>
                <w:sz w:val="21"/>
                <w:szCs w:val="21"/>
                <w:highlight w:val="none"/>
                <w:lang w:eastAsia="zh-CN"/>
              </w:rPr>
              <w:t>方问题，遵有关里程碑要求完成各项</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lang w:eastAsia="zh-CN"/>
              </w:rPr>
              <w:t>再次</w:t>
            </w:r>
            <w:r>
              <w:rPr>
                <w:rFonts w:hint="eastAsia" w:ascii="宋体" w:hAnsi="宋体" w:eastAsia="宋体" w:cs="宋体"/>
                <w:color w:val="auto"/>
                <w:sz w:val="21"/>
                <w:szCs w:val="21"/>
                <w:highlight w:val="none"/>
                <w:lang w:val="en-US" w:eastAsia="zh-CN"/>
              </w:rPr>
              <w:t>验收如仍</w:t>
            </w:r>
            <w:r>
              <w:rPr>
                <w:rFonts w:hint="eastAsia" w:ascii="宋体" w:hAnsi="宋体" w:eastAsia="宋体" w:cs="宋体"/>
                <w:color w:val="auto"/>
                <w:sz w:val="21"/>
                <w:szCs w:val="21"/>
                <w:highlight w:val="none"/>
                <w:lang w:eastAsia="zh-CN"/>
              </w:rPr>
              <w:t>未能通过，成交人与采购人双方评估核减当年的服务费。</w:t>
            </w:r>
          </w:p>
        </w:tc>
      </w:tr>
    </w:tbl>
    <w:p w14:paraId="3EDE196D">
      <w:pPr>
        <w:spacing w:before="56" w:line="219" w:lineRule="auto"/>
        <w:ind w:left="112"/>
        <w:rPr>
          <w:rFonts w:hint="eastAsia" w:ascii="宋体" w:hAnsi="宋体" w:cs="宋体"/>
          <w:b/>
          <w:color w:val="auto"/>
          <w:sz w:val="24"/>
          <w:highlight w:val="none"/>
        </w:rPr>
      </w:pPr>
    </w:p>
    <w:p w14:paraId="762CEEB8">
      <w:pPr>
        <w:rPr>
          <w:rFonts w:hint="eastAsia" w:ascii="宋体" w:hAnsi="宋体" w:cs="宋体"/>
          <w:b/>
          <w:color w:val="auto"/>
          <w:sz w:val="24"/>
          <w:highlight w:val="none"/>
        </w:rPr>
      </w:pPr>
      <w:r>
        <w:rPr>
          <w:rFonts w:hint="eastAsia" w:ascii="宋体" w:hAnsi="宋体" w:cs="宋体"/>
          <w:b/>
          <w:color w:val="auto"/>
          <w:sz w:val="24"/>
          <w:highlight w:val="none"/>
        </w:rPr>
        <w:br w:type="page"/>
      </w:r>
    </w:p>
    <w:p w14:paraId="2E977E5D">
      <w:pPr>
        <w:rPr>
          <w:rFonts w:hint="eastAsia" w:ascii="宋体" w:hAnsi="宋体" w:cs="宋体"/>
          <w:color w:val="auto"/>
          <w:kern w:val="0"/>
          <w:sz w:val="36"/>
          <w:szCs w:val="36"/>
          <w:highlight w:val="none"/>
          <w:vertAlign w:val="baseline"/>
          <w:lang w:val="en-US" w:eastAsia="zh-CN" w:bidi="ar"/>
        </w:rPr>
      </w:pPr>
      <w:r>
        <w:rPr>
          <w:rFonts w:hint="eastAsia" w:ascii="宋体" w:hAnsi="宋体" w:cs="宋体"/>
          <w:color w:val="auto"/>
          <w:kern w:val="0"/>
          <w:sz w:val="36"/>
          <w:szCs w:val="36"/>
          <w:highlight w:val="none"/>
          <w:lang w:val="en-US" w:eastAsia="zh-CN" w:bidi="ar"/>
        </w:rPr>
        <w:t>附件1：</w:t>
      </w:r>
      <w:r>
        <w:rPr>
          <w:rFonts w:hint="eastAsia" w:ascii="宋体" w:hAnsi="宋体" w:eastAsia="宋体" w:cs="宋体"/>
          <w:color w:val="auto"/>
          <w:kern w:val="0"/>
          <w:sz w:val="36"/>
          <w:szCs w:val="36"/>
          <w:highlight w:val="none"/>
          <w:vertAlign w:val="baseline"/>
          <w:lang w:val="en-US" w:eastAsia="zh-CN" w:bidi="ar"/>
        </w:rPr>
        <w:t>资源计划系统</w:t>
      </w:r>
      <w:r>
        <w:rPr>
          <w:rFonts w:hint="eastAsia" w:ascii="宋体" w:hAnsi="宋体" w:cs="宋体"/>
          <w:color w:val="auto"/>
          <w:kern w:val="0"/>
          <w:sz w:val="36"/>
          <w:szCs w:val="36"/>
          <w:highlight w:val="none"/>
          <w:vertAlign w:val="baseline"/>
          <w:lang w:val="en-US" w:eastAsia="zh-CN" w:bidi="ar"/>
        </w:rPr>
        <w:t>参数要求</w:t>
      </w:r>
    </w:p>
    <w:p w14:paraId="45BEEC5E">
      <w:pPr>
        <w:rPr>
          <w:rFonts w:hint="eastAsia" w:ascii="宋体" w:hAnsi="宋体" w:cs="宋体"/>
          <w:color w:val="auto"/>
          <w:kern w:val="0"/>
          <w:sz w:val="36"/>
          <w:szCs w:val="36"/>
          <w:highlight w:val="none"/>
          <w:vertAlign w:val="baseline"/>
          <w:lang w:val="en-US" w:eastAsia="zh-CN" w:bidi="ar"/>
        </w:rPr>
      </w:pPr>
    </w:p>
    <w:tbl>
      <w:tblPr>
        <w:tblStyle w:val="118"/>
        <w:tblW w:w="95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149"/>
        <w:gridCol w:w="7644"/>
      </w:tblGrid>
      <w:tr w14:paraId="11E65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402E729B">
            <w:pPr>
              <w:pStyle w:val="132"/>
              <w:keepNext w:val="0"/>
              <w:keepLines w:val="0"/>
              <w:pageBreakBefore w:val="0"/>
              <w:widowControl/>
              <w:kinsoku w:val="0"/>
              <w:wordWrap/>
              <w:overflowPunct/>
              <w:topLinePunct w:val="0"/>
              <w:autoSpaceDE w:val="0"/>
              <w:autoSpaceDN w:val="0"/>
              <w:bidi w:val="0"/>
              <w:adjustRightInd w:val="0"/>
              <w:snapToGrid w:val="0"/>
              <w:spacing w:before="71" w:line="400" w:lineRule="exact"/>
              <w:ind w:left="88"/>
              <w:jc w:val="center"/>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5"/>
                <w:sz w:val="21"/>
                <w:szCs w:val="21"/>
                <w:highlight w:val="none"/>
              </w:rPr>
              <w:t>模块</w:t>
            </w:r>
          </w:p>
        </w:tc>
        <w:tc>
          <w:tcPr>
            <w:tcW w:w="7644" w:type="dxa"/>
            <w:vAlign w:val="top"/>
          </w:tcPr>
          <w:p w14:paraId="627A6A7C">
            <w:pPr>
              <w:pStyle w:val="132"/>
              <w:keepNext w:val="0"/>
              <w:keepLines w:val="0"/>
              <w:pageBreakBefore w:val="0"/>
              <w:widowControl/>
              <w:kinsoku w:val="0"/>
              <w:wordWrap/>
              <w:overflowPunct/>
              <w:topLinePunct w:val="0"/>
              <w:autoSpaceDE w:val="0"/>
              <w:autoSpaceDN w:val="0"/>
              <w:bidi w:val="0"/>
              <w:adjustRightInd w:val="0"/>
              <w:snapToGrid w:val="0"/>
              <w:spacing w:before="72" w:line="400" w:lineRule="exact"/>
              <w:ind w:left="95"/>
              <w:jc w:val="center"/>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5"/>
                <w:sz w:val="21"/>
                <w:szCs w:val="21"/>
                <w:highlight w:val="none"/>
              </w:rPr>
              <w:t>功能描述</w:t>
            </w:r>
          </w:p>
        </w:tc>
      </w:tr>
      <w:tr w14:paraId="76EE2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Merge w:val="restart"/>
            <w:tcBorders>
              <w:bottom w:val="nil"/>
            </w:tcBorders>
            <w:vAlign w:val="top"/>
          </w:tcPr>
          <w:p w14:paraId="71B6B46F">
            <w:pPr>
              <w:pStyle w:val="132"/>
              <w:keepNext w:val="0"/>
              <w:keepLines w:val="0"/>
              <w:pageBreakBefore w:val="0"/>
              <w:widowControl/>
              <w:kinsoku w:val="0"/>
              <w:wordWrap/>
              <w:overflowPunct/>
              <w:topLinePunct w:val="0"/>
              <w:autoSpaceDE w:val="0"/>
              <w:autoSpaceDN w:val="0"/>
              <w:bidi w:val="0"/>
              <w:adjustRightInd w:val="0"/>
              <w:snapToGrid w:val="0"/>
              <w:spacing w:before="31" w:line="400" w:lineRule="exact"/>
              <w:ind w:left="8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总体要求</w:t>
            </w:r>
          </w:p>
        </w:tc>
        <w:tc>
          <w:tcPr>
            <w:tcW w:w="7644" w:type="dxa"/>
            <w:vAlign w:val="top"/>
          </w:tcPr>
          <w:p w14:paraId="15C9853A">
            <w:pPr>
              <w:pStyle w:val="132"/>
              <w:keepNext w:val="0"/>
              <w:keepLines w:val="0"/>
              <w:pageBreakBefore w:val="0"/>
              <w:widowControl/>
              <w:kinsoku w:val="0"/>
              <w:wordWrap/>
              <w:overflowPunct/>
              <w:topLinePunct w:val="0"/>
              <w:autoSpaceDE w:val="0"/>
              <w:autoSpaceDN w:val="0"/>
              <w:bidi w:val="0"/>
              <w:adjustRightInd w:val="0"/>
              <w:snapToGrid w:val="0"/>
              <w:spacing w:before="20" w:line="400" w:lineRule="exact"/>
              <w:ind w:left="12"/>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lang w:eastAsia="zh-CN"/>
              </w:rPr>
              <w:t>1）</w:t>
            </w:r>
            <w:r>
              <w:rPr>
                <w:rFonts w:hint="eastAsia" w:ascii="宋体" w:hAnsi="宋体" w:eastAsia="宋体" w:cs="宋体"/>
                <w:b w:val="0"/>
                <w:bCs w:val="0"/>
                <w:color w:val="auto"/>
                <w:spacing w:val="-4"/>
                <w:sz w:val="21"/>
                <w:szCs w:val="21"/>
                <w:highlight w:val="none"/>
              </w:rPr>
              <w:t>系统要以医疗业务工作及排班合理性、稳定性为基础，兼顾临床科室需求与医院整体管理规划两条主线，满足医院日常医疗服务运</w:t>
            </w:r>
            <w:r>
              <w:rPr>
                <w:rFonts w:hint="eastAsia" w:ascii="宋体" w:hAnsi="宋体" w:eastAsia="宋体" w:cs="宋体"/>
                <w:b w:val="0"/>
                <w:bCs w:val="0"/>
                <w:color w:val="auto"/>
                <w:spacing w:val="17"/>
                <w:sz w:val="21"/>
                <w:szCs w:val="21"/>
                <w:highlight w:val="none"/>
              </w:rPr>
              <w:t>转要求。</w:t>
            </w:r>
          </w:p>
        </w:tc>
      </w:tr>
      <w:tr w14:paraId="3EC60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Merge w:val="continue"/>
            <w:tcBorders>
              <w:top w:val="nil"/>
              <w:bottom w:val="nil"/>
            </w:tcBorders>
            <w:vAlign w:val="top"/>
          </w:tcPr>
          <w:p w14:paraId="4E87F10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7644" w:type="dxa"/>
            <w:vAlign w:val="top"/>
          </w:tcPr>
          <w:p w14:paraId="078DAF7D">
            <w:pPr>
              <w:pStyle w:val="132"/>
              <w:keepNext w:val="0"/>
              <w:keepLines w:val="0"/>
              <w:pageBreakBefore w:val="0"/>
              <w:widowControl/>
              <w:kinsoku w:val="0"/>
              <w:wordWrap/>
              <w:overflowPunct/>
              <w:topLinePunct w:val="0"/>
              <w:autoSpaceDE w:val="0"/>
              <w:autoSpaceDN w:val="0"/>
              <w:bidi w:val="0"/>
              <w:adjustRightInd w:val="0"/>
              <w:snapToGrid w:val="0"/>
              <w:spacing w:before="20" w:line="400" w:lineRule="exact"/>
              <w:ind w:left="12"/>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lang w:eastAsia="zh-CN"/>
              </w:rPr>
              <w:t>2）</w:t>
            </w:r>
            <w:r>
              <w:rPr>
                <w:rFonts w:hint="eastAsia" w:ascii="宋体" w:hAnsi="宋体" w:eastAsia="宋体" w:cs="宋体"/>
                <w:b w:val="0"/>
                <w:bCs w:val="0"/>
                <w:color w:val="auto"/>
                <w:spacing w:val="-4"/>
                <w:sz w:val="21"/>
                <w:szCs w:val="21"/>
                <w:highlight w:val="none"/>
              </w:rPr>
              <w:t>拥有灵活的排班规则设置模块，可根据不同业务单元需要维护排班模板，同时具备应急排班预案功能，在突发医疗状况下能迅速响</w:t>
            </w:r>
            <w:r>
              <w:rPr>
                <w:rFonts w:hint="eastAsia" w:ascii="宋体" w:hAnsi="宋体" w:eastAsia="宋体" w:cs="宋体"/>
                <w:b w:val="0"/>
                <w:bCs w:val="0"/>
                <w:color w:val="auto"/>
                <w:spacing w:val="3"/>
                <w:sz w:val="21"/>
                <w:szCs w:val="21"/>
                <w:highlight w:val="none"/>
              </w:rPr>
              <w:t>应，保障医疗服务不间断。</w:t>
            </w:r>
          </w:p>
        </w:tc>
      </w:tr>
      <w:tr w14:paraId="1ACD6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Merge w:val="continue"/>
            <w:tcBorders>
              <w:top w:val="nil"/>
              <w:bottom w:val="nil"/>
            </w:tcBorders>
            <w:vAlign w:val="top"/>
          </w:tcPr>
          <w:p w14:paraId="5C9B181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7644" w:type="dxa"/>
            <w:vAlign w:val="top"/>
          </w:tcPr>
          <w:p w14:paraId="2EFF75F5">
            <w:pPr>
              <w:pStyle w:val="132"/>
              <w:keepNext w:val="0"/>
              <w:keepLines w:val="0"/>
              <w:pageBreakBefore w:val="0"/>
              <w:widowControl/>
              <w:kinsoku w:val="0"/>
              <w:wordWrap/>
              <w:overflowPunct/>
              <w:topLinePunct w:val="0"/>
              <w:autoSpaceDE w:val="0"/>
              <w:autoSpaceDN w:val="0"/>
              <w:bidi w:val="0"/>
              <w:adjustRightInd w:val="0"/>
              <w:snapToGrid w:val="0"/>
              <w:spacing w:before="23" w:line="400" w:lineRule="exact"/>
              <w:ind w:left="12"/>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lang w:val="en-US" w:eastAsia="zh-CN"/>
              </w:rPr>
              <w:t>3</w:t>
            </w:r>
            <w:r>
              <w:rPr>
                <w:rFonts w:hint="eastAsia" w:ascii="宋体" w:hAnsi="宋体" w:eastAsia="宋体" w:cs="宋体"/>
                <w:b w:val="0"/>
                <w:bCs w:val="0"/>
                <w:color w:val="auto"/>
                <w:spacing w:val="-7"/>
                <w:sz w:val="21"/>
                <w:szCs w:val="21"/>
                <w:highlight w:val="none"/>
                <w:lang w:eastAsia="zh-CN"/>
              </w:rPr>
              <w:t>）</w:t>
            </w:r>
            <w:r>
              <w:rPr>
                <w:rFonts w:hint="eastAsia" w:ascii="宋体" w:hAnsi="宋体" w:eastAsia="宋体" w:cs="宋体"/>
                <w:b w:val="0"/>
                <w:bCs w:val="0"/>
                <w:color w:val="auto"/>
                <w:spacing w:val="-7"/>
                <w:sz w:val="21"/>
                <w:szCs w:val="21"/>
                <w:highlight w:val="none"/>
              </w:rPr>
              <w:t>通过智能化算法与可视化操作界面实现全院医生排班</w:t>
            </w:r>
            <w:r>
              <w:rPr>
                <w:rFonts w:hint="eastAsia" w:ascii="宋体" w:hAnsi="宋体" w:eastAsia="宋体" w:cs="宋体"/>
                <w:b w:val="0"/>
                <w:bCs w:val="0"/>
                <w:color w:val="auto"/>
                <w:spacing w:val="-8"/>
                <w:sz w:val="21"/>
                <w:szCs w:val="21"/>
                <w:highlight w:val="none"/>
              </w:rPr>
              <w:t>工作的高效</w:t>
            </w:r>
            <w:r>
              <w:rPr>
                <w:rFonts w:hint="eastAsia" w:ascii="宋体" w:hAnsi="宋体" w:eastAsia="宋体" w:cs="宋体"/>
                <w:b w:val="0"/>
                <w:bCs w:val="0"/>
                <w:color w:val="auto"/>
                <w:spacing w:val="-12"/>
                <w:sz w:val="21"/>
                <w:szCs w:val="21"/>
                <w:highlight w:val="none"/>
              </w:rPr>
              <w:t>化与精准化，依据医生专业技能、工作经验、既往排班记录等信息，</w:t>
            </w:r>
            <w:r>
              <w:rPr>
                <w:rFonts w:hint="eastAsia" w:ascii="宋体" w:hAnsi="宋体" w:eastAsia="宋体" w:cs="宋体"/>
                <w:b w:val="0"/>
                <w:bCs w:val="0"/>
                <w:color w:val="auto"/>
                <w:spacing w:val="-7"/>
                <w:sz w:val="21"/>
                <w:szCs w:val="21"/>
                <w:highlight w:val="none"/>
              </w:rPr>
              <w:t>确保排班结果科学合理，减少因排班不当导致的医疗</w:t>
            </w:r>
            <w:r>
              <w:rPr>
                <w:rFonts w:hint="eastAsia" w:ascii="宋体" w:hAnsi="宋体" w:eastAsia="宋体" w:cs="宋体"/>
                <w:b w:val="0"/>
                <w:bCs w:val="0"/>
                <w:color w:val="auto"/>
                <w:spacing w:val="-8"/>
                <w:sz w:val="21"/>
                <w:szCs w:val="21"/>
                <w:highlight w:val="none"/>
              </w:rPr>
              <w:t>服务效率降低</w:t>
            </w:r>
            <w:r>
              <w:rPr>
                <w:rFonts w:hint="eastAsia" w:ascii="宋体" w:hAnsi="宋体" w:eastAsia="宋体" w:cs="宋体"/>
                <w:b w:val="0"/>
                <w:bCs w:val="0"/>
                <w:color w:val="auto"/>
                <w:spacing w:val="1"/>
                <w:sz w:val="21"/>
                <w:szCs w:val="21"/>
                <w:highlight w:val="none"/>
              </w:rPr>
              <w:t>问题，提升医疗团队协作流畅性。</w:t>
            </w:r>
          </w:p>
        </w:tc>
      </w:tr>
      <w:tr w14:paraId="1AE41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Merge w:val="continue"/>
            <w:tcBorders>
              <w:top w:val="nil"/>
              <w:bottom w:val="nil"/>
            </w:tcBorders>
            <w:vAlign w:val="top"/>
          </w:tcPr>
          <w:p w14:paraId="3E1A335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7644" w:type="dxa"/>
            <w:vAlign w:val="top"/>
          </w:tcPr>
          <w:p w14:paraId="79D43A9F">
            <w:pPr>
              <w:pStyle w:val="132"/>
              <w:keepNext w:val="0"/>
              <w:keepLines w:val="0"/>
              <w:pageBreakBefore w:val="0"/>
              <w:widowControl/>
              <w:kinsoku w:val="0"/>
              <w:wordWrap/>
              <w:overflowPunct/>
              <w:topLinePunct w:val="0"/>
              <w:autoSpaceDE w:val="0"/>
              <w:autoSpaceDN w:val="0"/>
              <w:bidi w:val="0"/>
              <w:adjustRightInd w:val="0"/>
              <w:snapToGrid w:val="0"/>
              <w:spacing w:before="13" w:line="400" w:lineRule="exact"/>
              <w:ind w:left="12"/>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lang w:val="en-US" w:eastAsia="zh-CN"/>
              </w:rPr>
              <w:t>4</w:t>
            </w:r>
            <w:r>
              <w:rPr>
                <w:rFonts w:hint="eastAsia" w:ascii="宋体" w:hAnsi="宋体" w:eastAsia="宋体" w:cs="宋体"/>
                <w:b w:val="0"/>
                <w:bCs w:val="0"/>
                <w:color w:val="auto"/>
                <w:spacing w:val="-4"/>
                <w:sz w:val="21"/>
                <w:szCs w:val="21"/>
                <w:highlight w:val="none"/>
                <w:lang w:eastAsia="zh-CN"/>
              </w:rPr>
              <w:t>）</w:t>
            </w:r>
            <w:r>
              <w:rPr>
                <w:rFonts w:hint="eastAsia" w:ascii="宋体" w:hAnsi="宋体" w:eastAsia="宋体" w:cs="宋体"/>
                <w:b w:val="0"/>
                <w:bCs w:val="0"/>
                <w:color w:val="auto"/>
                <w:spacing w:val="-4"/>
                <w:sz w:val="21"/>
                <w:szCs w:val="21"/>
                <w:highlight w:val="none"/>
              </w:rPr>
              <w:t>基于医疗行业最佳实践与医院实际运营数据构建的排班优化决策系统，满足《医院医疗质量管理规范》中对人力资源合理配置的要</w:t>
            </w:r>
            <w:r>
              <w:rPr>
                <w:rFonts w:hint="eastAsia" w:ascii="宋体" w:hAnsi="宋体" w:eastAsia="宋体" w:cs="宋体"/>
                <w:b w:val="0"/>
                <w:bCs w:val="0"/>
                <w:color w:val="auto"/>
                <w:spacing w:val="3"/>
                <w:sz w:val="21"/>
                <w:szCs w:val="21"/>
                <w:highlight w:val="none"/>
              </w:rPr>
              <w:t>求，助力医院提升整体医疗服务质量与管理效能。</w:t>
            </w:r>
          </w:p>
        </w:tc>
      </w:tr>
      <w:tr w14:paraId="527E5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Merge w:val="continue"/>
            <w:tcBorders>
              <w:top w:val="nil"/>
            </w:tcBorders>
            <w:vAlign w:val="top"/>
          </w:tcPr>
          <w:p w14:paraId="51A7392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7644" w:type="dxa"/>
            <w:vAlign w:val="top"/>
          </w:tcPr>
          <w:p w14:paraId="5C2C1A5D">
            <w:pPr>
              <w:pStyle w:val="132"/>
              <w:keepNext w:val="0"/>
              <w:keepLines w:val="0"/>
              <w:pageBreakBefore w:val="0"/>
              <w:widowControl/>
              <w:kinsoku w:val="0"/>
              <w:wordWrap/>
              <w:overflowPunct/>
              <w:topLinePunct w:val="0"/>
              <w:autoSpaceDE w:val="0"/>
              <w:autoSpaceDN w:val="0"/>
              <w:bidi w:val="0"/>
              <w:adjustRightInd w:val="0"/>
              <w:snapToGrid w:val="0"/>
              <w:spacing w:before="12" w:line="400" w:lineRule="exact"/>
              <w:ind w:left="101" w:hanging="89"/>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lang w:val="en-US" w:eastAsia="zh-CN"/>
              </w:rPr>
              <w:t>5</w:t>
            </w:r>
            <w:r>
              <w:rPr>
                <w:rFonts w:hint="eastAsia" w:ascii="宋体" w:hAnsi="宋体" w:eastAsia="宋体" w:cs="宋体"/>
                <w:b w:val="0"/>
                <w:bCs w:val="0"/>
                <w:color w:val="auto"/>
                <w:spacing w:val="-4"/>
                <w:sz w:val="21"/>
                <w:szCs w:val="21"/>
                <w:highlight w:val="none"/>
                <w:lang w:eastAsia="zh-CN"/>
              </w:rPr>
              <w:t>）</w:t>
            </w:r>
            <w:r>
              <w:rPr>
                <w:rFonts w:hint="eastAsia" w:ascii="宋体" w:hAnsi="宋体" w:eastAsia="宋体" w:cs="宋体"/>
                <w:b w:val="0"/>
                <w:bCs w:val="0"/>
                <w:color w:val="auto"/>
                <w:spacing w:val="-4"/>
                <w:sz w:val="21"/>
                <w:szCs w:val="21"/>
                <w:highlight w:val="none"/>
              </w:rPr>
              <w:t>系统运行环境适配医院现有信息化基础架构，兼容常用操作系统</w:t>
            </w:r>
            <w:r>
              <w:rPr>
                <w:rFonts w:hint="eastAsia" w:ascii="宋体" w:hAnsi="宋体" w:eastAsia="宋体" w:cs="宋体"/>
                <w:b w:val="0"/>
                <w:bCs w:val="0"/>
                <w:color w:val="auto"/>
                <w:spacing w:val="13"/>
                <w:sz w:val="21"/>
                <w:szCs w:val="21"/>
                <w:highlight w:val="none"/>
                <w:lang w:eastAsia="zh-CN"/>
              </w:rPr>
              <w:t>（</w:t>
            </w:r>
            <w:r>
              <w:rPr>
                <w:rFonts w:hint="eastAsia" w:ascii="宋体" w:hAnsi="宋体" w:eastAsia="宋体" w:cs="宋体"/>
                <w:b w:val="0"/>
                <w:bCs w:val="0"/>
                <w:color w:val="auto"/>
                <w:spacing w:val="1"/>
                <w:sz w:val="21"/>
                <w:szCs w:val="21"/>
                <w:highlight w:val="none"/>
              </w:rPr>
              <w:t>如</w:t>
            </w:r>
            <w:r>
              <w:rPr>
                <w:rFonts w:hint="eastAsia" w:ascii="宋体" w:hAnsi="宋体" w:eastAsia="宋体" w:cs="宋体"/>
                <w:b w:val="0"/>
                <w:bCs w:val="0"/>
                <w:color w:val="auto"/>
                <w:sz w:val="21"/>
                <w:szCs w:val="21"/>
                <w:highlight w:val="none"/>
              </w:rPr>
              <w:t>Windows</w:t>
            </w:r>
            <w:r>
              <w:rPr>
                <w:rFonts w:hint="eastAsia" w:ascii="宋体" w:hAnsi="宋体" w:eastAsia="宋体" w:cs="宋体"/>
                <w:b w:val="0"/>
                <w:bCs w:val="0"/>
                <w:color w:val="auto"/>
                <w:spacing w:val="1"/>
                <w:sz w:val="21"/>
                <w:szCs w:val="21"/>
                <w:highlight w:val="none"/>
              </w:rPr>
              <w:t>、</w:t>
            </w:r>
            <w:r>
              <w:rPr>
                <w:rFonts w:hint="eastAsia" w:ascii="宋体" w:hAnsi="宋体" w:eastAsia="宋体" w:cs="宋体"/>
                <w:b w:val="0"/>
                <w:bCs w:val="0"/>
                <w:color w:val="auto"/>
                <w:sz w:val="21"/>
                <w:szCs w:val="21"/>
                <w:highlight w:val="none"/>
              </w:rPr>
              <w:t>Linux</w:t>
            </w:r>
            <w:r>
              <w:rPr>
                <w:rFonts w:hint="eastAsia" w:ascii="宋体" w:hAnsi="宋体" w:eastAsia="宋体" w:cs="宋体"/>
                <w:b w:val="0"/>
                <w:bCs w:val="0"/>
                <w:color w:val="auto"/>
                <w:spacing w:val="1"/>
                <w:sz w:val="21"/>
                <w:szCs w:val="21"/>
                <w:highlight w:val="none"/>
              </w:rPr>
              <w:t>等</w:t>
            </w:r>
            <w:r>
              <w:rPr>
                <w:rFonts w:hint="eastAsia" w:ascii="宋体" w:hAnsi="宋体" w:eastAsia="宋体" w:cs="宋体"/>
                <w:b w:val="0"/>
                <w:bCs w:val="0"/>
                <w:color w:val="auto"/>
                <w:spacing w:val="1"/>
                <w:sz w:val="21"/>
                <w:szCs w:val="21"/>
                <w:highlight w:val="none"/>
                <w:lang w:eastAsia="zh-CN"/>
              </w:rPr>
              <w:t>），</w:t>
            </w:r>
            <w:r>
              <w:rPr>
                <w:rFonts w:hint="eastAsia" w:ascii="宋体" w:hAnsi="宋体" w:eastAsia="宋体" w:cs="宋体"/>
                <w:b w:val="0"/>
                <w:bCs w:val="0"/>
                <w:color w:val="auto"/>
                <w:spacing w:val="1"/>
                <w:sz w:val="21"/>
                <w:szCs w:val="21"/>
                <w:highlight w:val="none"/>
              </w:rPr>
              <w:t>同时确保在移动端设备上运行，方便医</w:t>
            </w:r>
            <w:r>
              <w:rPr>
                <w:rFonts w:hint="eastAsia" w:ascii="宋体" w:hAnsi="宋体" w:eastAsia="宋体" w:cs="宋体"/>
                <w:b w:val="0"/>
                <w:bCs w:val="0"/>
                <w:color w:val="auto"/>
                <w:spacing w:val="-1"/>
                <w:sz w:val="21"/>
                <w:szCs w:val="21"/>
                <w:highlight w:val="none"/>
              </w:rPr>
              <w:t>院管理人员及科室负责人便捷操作。</w:t>
            </w:r>
          </w:p>
        </w:tc>
      </w:tr>
      <w:tr w14:paraId="2F936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restart"/>
            <w:tcBorders>
              <w:bottom w:val="nil"/>
            </w:tcBorders>
            <w:vAlign w:val="top"/>
          </w:tcPr>
          <w:p w14:paraId="6C4DB8E5">
            <w:pPr>
              <w:pStyle w:val="132"/>
              <w:keepNext w:val="0"/>
              <w:keepLines w:val="0"/>
              <w:pageBreakBefore w:val="0"/>
              <w:widowControl/>
              <w:kinsoku w:val="0"/>
              <w:wordWrap/>
              <w:overflowPunct/>
              <w:topLinePunct w:val="0"/>
              <w:autoSpaceDE w:val="0"/>
              <w:autoSpaceDN w:val="0"/>
              <w:bidi w:val="0"/>
              <w:adjustRightInd w:val="0"/>
              <w:snapToGrid w:val="0"/>
              <w:spacing w:before="36" w:line="400" w:lineRule="exact"/>
              <w:ind w:left="8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5"/>
                <w:sz w:val="21"/>
                <w:szCs w:val="21"/>
                <w:highlight w:val="none"/>
              </w:rPr>
              <w:t>排班</w:t>
            </w:r>
          </w:p>
          <w:p w14:paraId="5F93115E">
            <w:pPr>
              <w:pStyle w:val="132"/>
              <w:keepNext w:val="0"/>
              <w:keepLines w:val="0"/>
              <w:pageBreakBefore w:val="0"/>
              <w:widowControl/>
              <w:kinsoku w:val="0"/>
              <w:wordWrap/>
              <w:overflowPunct/>
              <w:topLinePunct w:val="0"/>
              <w:autoSpaceDE w:val="0"/>
              <w:autoSpaceDN w:val="0"/>
              <w:bidi w:val="0"/>
              <w:adjustRightInd w:val="0"/>
              <w:snapToGrid w:val="0"/>
              <w:spacing w:before="62" w:line="400" w:lineRule="exact"/>
              <w:ind w:left="8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0"/>
                <w:sz w:val="21"/>
                <w:szCs w:val="21"/>
                <w:highlight w:val="none"/>
              </w:rPr>
              <w:t>首页</w:t>
            </w:r>
          </w:p>
        </w:tc>
        <w:tc>
          <w:tcPr>
            <w:tcW w:w="1149" w:type="dxa"/>
            <w:vAlign w:val="top"/>
          </w:tcPr>
          <w:p w14:paraId="48067DC2">
            <w:pPr>
              <w:pStyle w:val="132"/>
              <w:keepNext w:val="0"/>
              <w:keepLines w:val="0"/>
              <w:pageBreakBefore w:val="0"/>
              <w:widowControl/>
              <w:kinsoku w:val="0"/>
              <w:wordWrap/>
              <w:overflowPunct/>
              <w:topLinePunct w:val="0"/>
              <w:autoSpaceDE w:val="0"/>
              <w:autoSpaceDN w:val="0"/>
              <w:bidi w:val="0"/>
              <w:adjustRightInd w:val="0"/>
              <w:snapToGrid w:val="0"/>
              <w:spacing w:before="35" w:line="400" w:lineRule="exact"/>
              <w:ind w:left="9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5"/>
                <w:sz w:val="21"/>
                <w:szCs w:val="21"/>
                <w:highlight w:val="none"/>
              </w:rPr>
              <w:t>排班首页</w:t>
            </w:r>
          </w:p>
        </w:tc>
        <w:tc>
          <w:tcPr>
            <w:tcW w:w="7644" w:type="dxa"/>
            <w:vAlign w:val="top"/>
          </w:tcPr>
          <w:p w14:paraId="10062AD1">
            <w:pPr>
              <w:pStyle w:val="132"/>
              <w:keepNext w:val="0"/>
              <w:keepLines w:val="0"/>
              <w:pageBreakBefore w:val="0"/>
              <w:widowControl/>
              <w:kinsoku w:val="0"/>
              <w:wordWrap/>
              <w:overflowPunct/>
              <w:topLinePunct w:val="0"/>
              <w:autoSpaceDE w:val="0"/>
              <w:autoSpaceDN w:val="0"/>
              <w:bidi w:val="0"/>
              <w:adjustRightInd w:val="0"/>
              <w:snapToGrid w:val="0"/>
              <w:spacing w:before="11" w:line="400" w:lineRule="exact"/>
              <w:ind w:left="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以日历形式展示当前登录用户的排班信息，点</w:t>
            </w:r>
            <w:r>
              <w:rPr>
                <w:rFonts w:hint="eastAsia" w:ascii="宋体" w:hAnsi="宋体" w:eastAsia="宋体" w:cs="宋体"/>
                <w:b w:val="0"/>
                <w:bCs w:val="0"/>
                <w:color w:val="auto"/>
                <w:spacing w:val="-7"/>
                <w:sz w:val="21"/>
                <w:szCs w:val="21"/>
                <w:highlight w:val="none"/>
              </w:rPr>
              <w:t>击对应的排班可以查</w:t>
            </w:r>
            <w:r>
              <w:rPr>
                <w:rFonts w:hint="eastAsia" w:ascii="宋体" w:hAnsi="宋体" w:eastAsia="宋体" w:cs="宋体"/>
                <w:b w:val="0"/>
                <w:bCs w:val="0"/>
                <w:color w:val="auto"/>
                <w:sz w:val="21"/>
                <w:szCs w:val="21"/>
                <w:highlight w:val="none"/>
              </w:rPr>
              <w:t>看排班详情。日历上允许填写个人日程进行登记，并显</w:t>
            </w:r>
            <w:r>
              <w:rPr>
                <w:rFonts w:hint="eastAsia" w:ascii="宋体" w:hAnsi="宋体" w:eastAsia="宋体" w:cs="宋体"/>
                <w:b w:val="0"/>
                <w:bCs w:val="0"/>
                <w:color w:val="auto"/>
                <w:spacing w:val="-1"/>
                <w:sz w:val="21"/>
                <w:szCs w:val="21"/>
                <w:highlight w:val="none"/>
              </w:rPr>
              <w:t>示。</w:t>
            </w:r>
          </w:p>
          <w:p w14:paraId="476F3028">
            <w:pPr>
              <w:pStyle w:val="132"/>
              <w:keepNext w:val="0"/>
              <w:keepLines w:val="0"/>
              <w:pageBreakBefore w:val="0"/>
              <w:widowControl/>
              <w:kinsoku w:val="0"/>
              <w:wordWrap/>
              <w:overflowPunct/>
              <w:topLinePunct w:val="0"/>
              <w:autoSpaceDE w:val="0"/>
              <w:autoSpaceDN w:val="0"/>
              <w:bidi w:val="0"/>
              <w:adjustRightInd w:val="0"/>
              <w:snapToGrid w:val="0"/>
              <w:spacing w:before="81" w:line="400" w:lineRule="exact"/>
              <w:ind w:left="91" w:hanging="79"/>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展示个人待办事项、已处理事项、请假休假汇总信息以及周</w:t>
            </w:r>
            <w:r>
              <w:rPr>
                <w:rFonts w:hint="eastAsia" w:ascii="宋体" w:hAnsi="宋体" w:eastAsia="宋体" w:cs="宋体"/>
                <w:b w:val="0"/>
                <w:bCs w:val="0"/>
                <w:color w:val="auto"/>
                <w:spacing w:val="-7"/>
                <w:sz w:val="21"/>
                <w:szCs w:val="21"/>
                <w:highlight w:val="none"/>
              </w:rPr>
              <w:t>期内工</w:t>
            </w:r>
            <w:r>
              <w:rPr>
                <w:rFonts w:hint="eastAsia" w:ascii="宋体" w:hAnsi="宋体" w:eastAsia="宋体" w:cs="宋体"/>
                <w:b w:val="0"/>
                <w:bCs w:val="0"/>
                <w:color w:val="auto"/>
                <w:spacing w:val="-1"/>
                <w:sz w:val="21"/>
                <w:szCs w:val="21"/>
                <w:highlight w:val="none"/>
              </w:rPr>
              <w:t>时汇总信息。</w:t>
            </w:r>
          </w:p>
        </w:tc>
      </w:tr>
      <w:tr w14:paraId="4E955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tcBorders>
              <w:top w:val="nil"/>
            </w:tcBorders>
            <w:vAlign w:val="top"/>
          </w:tcPr>
          <w:p w14:paraId="6F5B227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66148CA0">
            <w:pPr>
              <w:pStyle w:val="132"/>
              <w:keepNext w:val="0"/>
              <w:keepLines w:val="0"/>
              <w:pageBreakBefore w:val="0"/>
              <w:widowControl/>
              <w:kinsoku w:val="0"/>
              <w:wordWrap/>
              <w:overflowPunct/>
              <w:topLinePunct w:val="0"/>
              <w:autoSpaceDE w:val="0"/>
              <w:autoSpaceDN w:val="0"/>
              <w:bidi w:val="0"/>
              <w:adjustRightInd w:val="0"/>
              <w:snapToGrid w:val="0"/>
              <w:spacing w:before="25" w:line="400" w:lineRule="exact"/>
              <w:ind w:left="9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排班看板</w:t>
            </w:r>
          </w:p>
        </w:tc>
        <w:tc>
          <w:tcPr>
            <w:tcW w:w="7644" w:type="dxa"/>
            <w:vAlign w:val="top"/>
          </w:tcPr>
          <w:p w14:paraId="6270C3D5">
            <w:pPr>
              <w:pStyle w:val="132"/>
              <w:keepNext w:val="0"/>
              <w:keepLines w:val="0"/>
              <w:pageBreakBefore w:val="0"/>
              <w:widowControl/>
              <w:kinsoku w:val="0"/>
              <w:wordWrap/>
              <w:overflowPunct/>
              <w:topLinePunct w:val="0"/>
              <w:autoSpaceDE w:val="0"/>
              <w:autoSpaceDN w:val="0"/>
              <w:bidi w:val="0"/>
              <w:adjustRightInd w:val="0"/>
              <w:snapToGrid w:val="0"/>
              <w:spacing w:before="22" w:line="400" w:lineRule="exact"/>
              <w:ind w:left="15"/>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0"/>
                <w:sz w:val="21"/>
                <w:szCs w:val="21"/>
                <w:highlight w:val="none"/>
              </w:rPr>
              <w:t>提供排班管理员查看一定周期内排班的发布情况：包括已发布、应</w:t>
            </w:r>
            <w:r>
              <w:rPr>
                <w:rFonts w:hint="eastAsia" w:ascii="宋体" w:hAnsi="宋体" w:eastAsia="宋体" w:cs="宋体"/>
                <w:b w:val="0"/>
                <w:bCs w:val="0"/>
                <w:color w:val="auto"/>
                <w:spacing w:val="-14"/>
                <w:sz w:val="21"/>
                <w:szCs w:val="21"/>
                <w:highlight w:val="none"/>
              </w:rPr>
              <w:t>发布、延时发布、未发布；周期内考勤信息：白班人次、</w:t>
            </w:r>
            <w:r>
              <w:rPr>
                <w:rFonts w:hint="eastAsia" w:ascii="宋体" w:hAnsi="宋体" w:eastAsia="宋体" w:cs="宋体"/>
                <w:b w:val="0"/>
                <w:bCs w:val="0"/>
                <w:color w:val="auto"/>
                <w:spacing w:val="-15"/>
                <w:sz w:val="21"/>
                <w:szCs w:val="21"/>
                <w:highlight w:val="none"/>
              </w:rPr>
              <w:t>夜班人次；</w:t>
            </w:r>
            <w:r>
              <w:rPr>
                <w:rFonts w:hint="eastAsia" w:ascii="宋体" w:hAnsi="宋体" w:eastAsia="宋体" w:cs="宋体"/>
                <w:b w:val="0"/>
                <w:bCs w:val="0"/>
                <w:color w:val="auto"/>
                <w:spacing w:val="-10"/>
                <w:sz w:val="21"/>
                <w:szCs w:val="21"/>
                <w:highlight w:val="none"/>
              </w:rPr>
              <w:t>请假情况：各请假类型天数；夜班情况：各年龄段夜班人次；岗位</w:t>
            </w:r>
            <w:r>
              <w:rPr>
                <w:rFonts w:hint="eastAsia" w:ascii="宋体" w:hAnsi="宋体" w:eastAsia="宋体" w:cs="宋体"/>
                <w:b w:val="0"/>
                <w:bCs w:val="0"/>
                <w:color w:val="auto"/>
                <w:spacing w:val="-6"/>
                <w:sz w:val="21"/>
                <w:szCs w:val="21"/>
                <w:highlight w:val="none"/>
              </w:rPr>
              <w:t>情况：各排班岗排班数量；工时情况：总工时</w:t>
            </w:r>
            <w:r>
              <w:rPr>
                <w:rFonts w:hint="eastAsia" w:ascii="宋体" w:hAnsi="宋体" w:eastAsia="宋体" w:cs="宋体"/>
                <w:b w:val="0"/>
                <w:bCs w:val="0"/>
                <w:color w:val="auto"/>
                <w:spacing w:val="-7"/>
                <w:sz w:val="21"/>
                <w:szCs w:val="21"/>
                <w:highlight w:val="none"/>
              </w:rPr>
              <w:t>、人均工时、人均工</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pacing w:val="-1"/>
                <w:sz w:val="21"/>
                <w:szCs w:val="21"/>
                <w:highlight w:val="none"/>
              </w:rPr>
              <w:t>时中位数。</w:t>
            </w:r>
          </w:p>
        </w:tc>
      </w:tr>
      <w:tr w14:paraId="280DF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restart"/>
            <w:vAlign w:val="top"/>
          </w:tcPr>
          <w:p w14:paraId="19E42A79">
            <w:pPr>
              <w:pStyle w:val="132"/>
              <w:keepNext w:val="0"/>
              <w:keepLines w:val="0"/>
              <w:pageBreakBefore w:val="0"/>
              <w:widowControl/>
              <w:kinsoku w:val="0"/>
              <w:wordWrap/>
              <w:overflowPunct/>
              <w:topLinePunct w:val="0"/>
              <w:autoSpaceDE w:val="0"/>
              <w:autoSpaceDN w:val="0"/>
              <w:bidi w:val="0"/>
              <w:adjustRightInd w:val="0"/>
              <w:snapToGrid w:val="0"/>
              <w:spacing w:before="30" w:line="400" w:lineRule="exact"/>
              <w:ind w:left="8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5"/>
                <w:sz w:val="21"/>
                <w:szCs w:val="21"/>
                <w:highlight w:val="none"/>
              </w:rPr>
              <w:t>排班</w:t>
            </w:r>
          </w:p>
        </w:tc>
        <w:tc>
          <w:tcPr>
            <w:tcW w:w="1149" w:type="dxa"/>
            <w:vAlign w:val="top"/>
          </w:tcPr>
          <w:p w14:paraId="5E0EC570">
            <w:pPr>
              <w:pStyle w:val="132"/>
              <w:keepNext w:val="0"/>
              <w:keepLines w:val="0"/>
              <w:pageBreakBefore w:val="0"/>
              <w:widowControl/>
              <w:kinsoku w:val="0"/>
              <w:wordWrap/>
              <w:overflowPunct/>
              <w:topLinePunct w:val="0"/>
              <w:autoSpaceDE w:val="0"/>
              <w:autoSpaceDN w:val="0"/>
              <w:bidi w:val="0"/>
              <w:adjustRightInd w:val="0"/>
              <w:snapToGrid w:val="0"/>
              <w:spacing w:before="18" w:line="400" w:lineRule="exact"/>
              <w:ind w:left="9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排班操作</w:t>
            </w:r>
          </w:p>
        </w:tc>
        <w:tc>
          <w:tcPr>
            <w:tcW w:w="7644" w:type="dxa"/>
            <w:vAlign w:val="top"/>
          </w:tcPr>
          <w:p w14:paraId="505B44DF">
            <w:pPr>
              <w:pStyle w:val="132"/>
              <w:keepNext w:val="0"/>
              <w:keepLines w:val="0"/>
              <w:pageBreakBefore w:val="0"/>
              <w:widowControl/>
              <w:kinsoku w:val="0"/>
              <w:wordWrap/>
              <w:overflowPunct/>
              <w:topLinePunct w:val="0"/>
              <w:autoSpaceDE w:val="0"/>
              <w:autoSpaceDN w:val="0"/>
              <w:bidi w:val="0"/>
              <w:adjustRightInd w:val="0"/>
              <w:snapToGrid w:val="0"/>
              <w:spacing w:before="13" w:line="400" w:lineRule="exact"/>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快速排班：排班右侧展示快排面板，支持点击</w:t>
            </w:r>
            <w:r>
              <w:rPr>
                <w:rFonts w:hint="eastAsia" w:ascii="宋体" w:hAnsi="宋体" w:eastAsia="宋体" w:cs="宋体"/>
                <w:b w:val="0"/>
                <w:bCs w:val="0"/>
                <w:color w:val="auto"/>
                <w:spacing w:val="-7"/>
                <w:sz w:val="21"/>
                <w:szCs w:val="21"/>
                <w:highlight w:val="none"/>
              </w:rPr>
              <w:t>多个人员并直接点击</w:t>
            </w:r>
            <w:r>
              <w:rPr>
                <w:rFonts w:hint="eastAsia" w:ascii="宋体" w:hAnsi="宋体" w:eastAsia="宋体" w:cs="宋体"/>
                <w:b w:val="0"/>
                <w:bCs w:val="0"/>
                <w:color w:val="auto"/>
                <w:sz w:val="21"/>
                <w:szCs w:val="21"/>
                <w:highlight w:val="none"/>
              </w:rPr>
              <w:t>单元进行快速排班。</w:t>
            </w:r>
          </w:p>
          <w:p w14:paraId="18282E0C">
            <w:pPr>
              <w:pStyle w:val="132"/>
              <w:keepNext w:val="0"/>
              <w:keepLines w:val="0"/>
              <w:pageBreakBefore w:val="0"/>
              <w:widowControl/>
              <w:kinsoku w:val="0"/>
              <w:wordWrap/>
              <w:overflowPunct/>
              <w:topLinePunct w:val="0"/>
              <w:autoSpaceDE w:val="0"/>
              <w:autoSpaceDN w:val="0"/>
              <w:bidi w:val="0"/>
              <w:adjustRightInd w:val="0"/>
              <w:snapToGrid w:val="0"/>
              <w:spacing w:before="55" w:line="400" w:lineRule="exac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4"/>
                <w:sz w:val="21"/>
                <w:szCs w:val="21"/>
                <w:highlight w:val="none"/>
              </w:rPr>
              <w:t>历史排班：可将复制任意周期排班数据复制到当前周期并</w:t>
            </w:r>
            <w:r>
              <w:rPr>
                <w:rFonts w:hint="eastAsia" w:ascii="宋体" w:hAnsi="宋体" w:eastAsia="宋体" w:cs="宋体"/>
                <w:b w:val="0"/>
                <w:bCs w:val="0"/>
                <w:color w:val="auto"/>
                <w:spacing w:val="-15"/>
                <w:sz w:val="21"/>
                <w:szCs w:val="21"/>
                <w:highlight w:val="none"/>
              </w:rPr>
              <w:t>调整使用。</w:t>
            </w:r>
            <w:r>
              <w:rPr>
                <w:rFonts w:hint="eastAsia" w:ascii="宋体" w:hAnsi="宋体" w:eastAsia="宋体" w:cs="宋体"/>
                <w:b w:val="0"/>
                <w:bCs w:val="0"/>
                <w:color w:val="auto"/>
                <w:sz w:val="21"/>
                <w:szCs w:val="21"/>
                <w:highlight w:val="none"/>
              </w:rPr>
              <w:t xml:space="preserve"> </w:t>
            </w:r>
          </w:p>
          <w:p w14:paraId="3F19D8CD">
            <w:pPr>
              <w:pStyle w:val="132"/>
              <w:keepNext w:val="0"/>
              <w:keepLines w:val="0"/>
              <w:pageBreakBefore w:val="0"/>
              <w:widowControl/>
              <w:kinsoku w:val="0"/>
              <w:wordWrap/>
              <w:overflowPunct/>
              <w:topLinePunct w:val="0"/>
              <w:autoSpaceDE w:val="0"/>
              <w:autoSpaceDN w:val="0"/>
              <w:bidi w:val="0"/>
              <w:adjustRightInd w:val="0"/>
              <w:snapToGrid w:val="0"/>
              <w:spacing w:before="55" w:line="400" w:lineRule="exac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9"/>
                <w:sz w:val="21"/>
                <w:szCs w:val="21"/>
                <w:highlight w:val="none"/>
              </w:rPr>
              <w:t>循环排班：按照排班约束中设置</w:t>
            </w:r>
            <w:r>
              <w:rPr>
                <w:rFonts w:hint="eastAsia" w:ascii="宋体" w:hAnsi="宋体" w:eastAsia="宋体" w:cs="宋体"/>
                <w:b w:val="0"/>
                <w:bCs w:val="0"/>
                <w:color w:val="auto"/>
                <w:spacing w:val="-9"/>
                <w:sz w:val="21"/>
                <w:szCs w:val="21"/>
                <w:highlight w:val="none"/>
                <w:lang w:eastAsia="zh-CN"/>
              </w:rPr>
              <w:t>的循</w:t>
            </w:r>
            <w:r>
              <w:rPr>
                <w:rFonts w:hint="eastAsia" w:ascii="宋体" w:hAnsi="宋体" w:eastAsia="宋体" w:cs="宋体"/>
                <w:b w:val="0"/>
                <w:bCs w:val="0"/>
                <w:color w:val="auto"/>
                <w:spacing w:val="-9"/>
                <w:sz w:val="21"/>
                <w:szCs w:val="21"/>
                <w:highlight w:val="none"/>
              </w:rPr>
              <w:t>环规则及排班岗人员上限下限自</w:t>
            </w:r>
            <w:r>
              <w:rPr>
                <w:rFonts w:hint="eastAsia" w:ascii="宋体" w:hAnsi="宋体" w:eastAsia="宋体" w:cs="宋体"/>
                <w:b w:val="0"/>
                <w:bCs w:val="0"/>
                <w:color w:val="auto"/>
                <w:sz w:val="21"/>
                <w:szCs w:val="21"/>
                <w:highlight w:val="none"/>
              </w:rPr>
              <w:t>动安排人员。</w:t>
            </w:r>
          </w:p>
          <w:p w14:paraId="01CE693A">
            <w:pPr>
              <w:pStyle w:val="132"/>
              <w:keepNext w:val="0"/>
              <w:keepLines w:val="0"/>
              <w:pageBreakBefore w:val="0"/>
              <w:widowControl/>
              <w:kinsoku w:val="0"/>
              <w:wordWrap/>
              <w:overflowPunct/>
              <w:topLinePunct w:val="0"/>
              <w:autoSpaceDE w:val="0"/>
              <w:autoSpaceDN w:val="0"/>
              <w:bidi w:val="0"/>
              <w:adjustRightInd w:val="0"/>
              <w:snapToGrid w:val="0"/>
              <w:spacing w:before="58" w:line="400" w:lineRule="exact"/>
              <w:ind w:left="15"/>
              <w:textAlignment w:val="baseline"/>
              <w:rPr>
                <w:rFonts w:hint="eastAsia" w:ascii="宋体" w:hAnsi="宋体" w:eastAsia="宋体" w:cs="宋体"/>
                <w:b w:val="0"/>
                <w:bCs w:val="0"/>
                <w:color w:val="auto"/>
                <w:spacing w:val="-5"/>
                <w:sz w:val="21"/>
                <w:szCs w:val="21"/>
                <w:highlight w:val="none"/>
              </w:rPr>
            </w:pPr>
            <w:r>
              <w:rPr>
                <w:rFonts w:hint="eastAsia" w:ascii="宋体" w:hAnsi="宋体" w:eastAsia="宋体" w:cs="宋体"/>
                <w:b w:val="0"/>
                <w:bCs w:val="0"/>
                <w:color w:val="auto"/>
                <w:spacing w:val="-5"/>
                <w:sz w:val="21"/>
                <w:szCs w:val="21"/>
                <w:highlight w:val="none"/>
              </w:rPr>
              <w:t>自动排班：依据岗位要求、排班约束等设置实现一键自动排班功能。</w:t>
            </w:r>
          </w:p>
          <w:p w14:paraId="69E2D783">
            <w:pPr>
              <w:pStyle w:val="132"/>
              <w:keepNext w:val="0"/>
              <w:keepLines w:val="0"/>
              <w:pageBreakBefore w:val="0"/>
              <w:widowControl/>
              <w:kinsoku w:val="0"/>
              <w:wordWrap/>
              <w:overflowPunct/>
              <w:topLinePunct w:val="0"/>
              <w:autoSpaceDE w:val="0"/>
              <w:autoSpaceDN w:val="0"/>
              <w:bidi w:val="0"/>
              <w:adjustRightInd w:val="0"/>
              <w:snapToGrid w:val="0"/>
              <w:spacing w:before="58" w:line="400" w:lineRule="exact"/>
              <w:ind w:left="15"/>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打印导出：支持各类型排班分别导出及总体合并打印导出。</w:t>
            </w:r>
          </w:p>
        </w:tc>
      </w:tr>
      <w:tr w14:paraId="1316B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vAlign w:val="top"/>
          </w:tcPr>
          <w:p w14:paraId="29EAD05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30260272">
            <w:pPr>
              <w:pStyle w:val="132"/>
              <w:keepNext w:val="0"/>
              <w:keepLines w:val="0"/>
              <w:pageBreakBefore w:val="0"/>
              <w:widowControl/>
              <w:kinsoku w:val="0"/>
              <w:wordWrap/>
              <w:overflowPunct/>
              <w:topLinePunct w:val="0"/>
              <w:autoSpaceDE w:val="0"/>
              <w:autoSpaceDN w:val="0"/>
              <w:bidi w:val="0"/>
              <w:adjustRightInd w:val="0"/>
              <w:snapToGrid w:val="0"/>
              <w:spacing w:before="68" w:line="400" w:lineRule="exact"/>
              <w:ind w:left="1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文本类型</w:t>
            </w:r>
          </w:p>
        </w:tc>
        <w:tc>
          <w:tcPr>
            <w:tcW w:w="7644" w:type="dxa"/>
            <w:vAlign w:val="top"/>
          </w:tcPr>
          <w:p w14:paraId="035416B8">
            <w:pPr>
              <w:pStyle w:val="132"/>
              <w:keepNext w:val="0"/>
              <w:keepLines w:val="0"/>
              <w:pageBreakBefore w:val="0"/>
              <w:widowControl/>
              <w:kinsoku w:val="0"/>
              <w:wordWrap/>
              <w:overflowPunct/>
              <w:topLinePunct w:val="0"/>
              <w:autoSpaceDE w:val="0"/>
              <w:autoSpaceDN w:val="0"/>
              <w:bidi w:val="0"/>
              <w:adjustRightInd w:val="0"/>
              <w:snapToGrid w:val="0"/>
              <w:spacing w:before="68" w:line="400" w:lineRule="exact"/>
              <w:ind w:left="102"/>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展示为富文本编辑器，可自定义录入文本内容并编辑样式。</w:t>
            </w:r>
          </w:p>
        </w:tc>
      </w:tr>
      <w:tr w14:paraId="7F31F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vAlign w:val="top"/>
          </w:tcPr>
          <w:p w14:paraId="14FA737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4D69EED8">
            <w:pPr>
              <w:pStyle w:val="132"/>
              <w:keepNext w:val="0"/>
              <w:keepLines w:val="0"/>
              <w:pageBreakBefore w:val="0"/>
              <w:widowControl/>
              <w:kinsoku w:val="0"/>
              <w:wordWrap/>
              <w:overflowPunct/>
              <w:topLinePunct w:val="0"/>
              <w:autoSpaceDE w:val="0"/>
              <w:autoSpaceDN w:val="0"/>
              <w:bidi w:val="0"/>
              <w:adjustRightInd w:val="0"/>
              <w:snapToGrid w:val="0"/>
              <w:spacing w:before="50" w:line="400" w:lineRule="exact"/>
              <w:ind w:left="1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日期类型</w:t>
            </w:r>
          </w:p>
        </w:tc>
        <w:tc>
          <w:tcPr>
            <w:tcW w:w="7644" w:type="dxa"/>
            <w:vAlign w:val="top"/>
          </w:tcPr>
          <w:p w14:paraId="32FFE151">
            <w:pPr>
              <w:pStyle w:val="132"/>
              <w:keepNext w:val="0"/>
              <w:keepLines w:val="0"/>
              <w:pageBreakBefore w:val="0"/>
              <w:widowControl/>
              <w:kinsoku w:val="0"/>
              <w:wordWrap/>
              <w:overflowPunct/>
              <w:topLinePunct w:val="0"/>
              <w:autoSpaceDE w:val="0"/>
              <w:autoSpaceDN w:val="0"/>
              <w:bidi w:val="0"/>
              <w:adjustRightInd w:val="0"/>
              <w:snapToGrid w:val="0"/>
              <w:spacing w:before="38" w:line="400" w:lineRule="exact"/>
              <w:ind w:left="92" w:right="99"/>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提供门诊、会诊、值班等排班方式。支持按星期、按日历、按日期排班，点击日期与排班岗交叉单元格进行人员的安排，人员支持按</w:t>
            </w:r>
            <w:r>
              <w:rPr>
                <w:rFonts w:hint="eastAsia" w:ascii="宋体" w:hAnsi="宋体" w:eastAsia="宋体" w:cs="宋体"/>
                <w:b w:val="0"/>
                <w:bCs w:val="0"/>
                <w:color w:val="auto"/>
                <w:spacing w:val="1"/>
                <w:sz w:val="21"/>
                <w:szCs w:val="21"/>
                <w:highlight w:val="none"/>
              </w:rPr>
              <w:t>部门、职称、工号进行检索。</w:t>
            </w:r>
          </w:p>
        </w:tc>
      </w:tr>
      <w:tr w14:paraId="2B720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vAlign w:val="top"/>
          </w:tcPr>
          <w:p w14:paraId="3A99231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3FC7F929">
            <w:pPr>
              <w:pStyle w:val="132"/>
              <w:keepNext w:val="0"/>
              <w:keepLines w:val="0"/>
              <w:pageBreakBefore w:val="0"/>
              <w:widowControl/>
              <w:kinsoku w:val="0"/>
              <w:wordWrap/>
              <w:overflowPunct/>
              <w:topLinePunct w:val="0"/>
              <w:autoSpaceDE w:val="0"/>
              <w:autoSpaceDN w:val="0"/>
              <w:bidi w:val="0"/>
              <w:adjustRightInd w:val="0"/>
              <w:snapToGrid w:val="0"/>
              <w:spacing w:before="61" w:line="400" w:lineRule="exact"/>
              <w:ind w:left="1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病区类型</w:t>
            </w:r>
          </w:p>
        </w:tc>
        <w:tc>
          <w:tcPr>
            <w:tcW w:w="7644" w:type="dxa"/>
            <w:vAlign w:val="top"/>
          </w:tcPr>
          <w:p w14:paraId="40B5689A">
            <w:pPr>
              <w:pStyle w:val="132"/>
              <w:keepNext w:val="0"/>
              <w:keepLines w:val="0"/>
              <w:pageBreakBefore w:val="0"/>
              <w:widowControl/>
              <w:kinsoku w:val="0"/>
              <w:wordWrap/>
              <w:overflowPunct/>
              <w:topLinePunct w:val="0"/>
              <w:autoSpaceDE w:val="0"/>
              <w:autoSpaceDN w:val="0"/>
              <w:bidi w:val="0"/>
              <w:adjustRightInd w:val="0"/>
              <w:snapToGrid w:val="0"/>
              <w:spacing w:before="31" w:line="400" w:lineRule="exact"/>
              <w:ind w:left="102" w:right="88"/>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提供病房排班，按不同病区及医疗组安排各种组长、人员，并维护各组管辖床位、患者数。</w:t>
            </w:r>
          </w:p>
        </w:tc>
      </w:tr>
      <w:tr w14:paraId="7312F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vAlign w:val="top"/>
          </w:tcPr>
          <w:p w14:paraId="73F460B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42FC94E3">
            <w:pPr>
              <w:pStyle w:val="132"/>
              <w:keepNext w:val="0"/>
              <w:keepLines w:val="0"/>
              <w:pageBreakBefore w:val="0"/>
              <w:widowControl/>
              <w:kinsoku w:val="0"/>
              <w:wordWrap/>
              <w:overflowPunct/>
              <w:topLinePunct w:val="0"/>
              <w:autoSpaceDE w:val="0"/>
              <w:autoSpaceDN w:val="0"/>
              <w:bidi w:val="0"/>
              <w:adjustRightInd w:val="0"/>
              <w:snapToGrid w:val="0"/>
              <w:spacing w:before="42" w:line="400" w:lineRule="exact"/>
              <w:ind w:left="1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事项类型</w:t>
            </w:r>
          </w:p>
        </w:tc>
        <w:tc>
          <w:tcPr>
            <w:tcW w:w="7644" w:type="dxa"/>
            <w:vAlign w:val="top"/>
          </w:tcPr>
          <w:p w14:paraId="321FC787">
            <w:pPr>
              <w:pStyle w:val="132"/>
              <w:keepNext w:val="0"/>
              <w:keepLines w:val="0"/>
              <w:pageBreakBefore w:val="0"/>
              <w:widowControl/>
              <w:kinsoku w:val="0"/>
              <w:wordWrap/>
              <w:overflowPunct/>
              <w:topLinePunct w:val="0"/>
              <w:autoSpaceDE w:val="0"/>
              <w:autoSpaceDN w:val="0"/>
              <w:bidi w:val="0"/>
              <w:adjustRightInd w:val="0"/>
              <w:snapToGrid w:val="0"/>
              <w:spacing w:before="31" w:line="400" w:lineRule="exact"/>
              <w:ind w:left="102"/>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提供事项登记功能，按排班岗维护各排班岗详细情况，包括事项、</w:t>
            </w:r>
            <w:r>
              <w:rPr>
                <w:rFonts w:hint="eastAsia" w:ascii="宋体" w:hAnsi="宋体" w:eastAsia="宋体" w:cs="宋体"/>
                <w:b w:val="0"/>
                <w:bCs w:val="0"/>
                <w:color w:val="auto"/>
                <w:sz w:val="21"/>
                <w:szCs w:val="21"/>
                <w:highlight w:val="none"/>
              </w:rPr>
              <w:t>人员、时间范围、人员备注。</w:t>
            </w:r>
          </w:p>
        </w:tc>
      </w:tr>
      <w:tr w14:paraId="71D20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vAlign w:val="top"/>
          </w:tcPr>
          <w:p w14:paraId="7186429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15265A81">
            <w:pPr>
              <w:pStyle w:val="132"/>
              <w:keepNext w:val="0"/>
              <w:keepLines w:val="0"/>
              <w:pageBreakBefore w:val="0"/>
              <w:widowControl/>
              <w:kinsoku w:val="0"/>
              <w:wordWrap/>
              <w:overflowPunct/>
              <w:topLinePunct w:val="0"/>
              <w:autoSpaceDE w:val="0"/>
              <w:autoSpaceDN w:val="0"/>
              <w:bidi w:val="0"/>
              <w:adjustRightInd w:val="0"/>
              <w:snapToGrid w:val="0"/>
              <w:spacing w:before="23" w:line="400" w:lineRule="exact"/>
              <w:ind w:left="1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按人排班</w:t>
            </w:r>
          </w:p>
        </w:tc>
        <w:tc>
          <w:tcPr>
            <w:tcW w:w="7644" w:type="dxa"/>
            <w:vAlign w:val="top"/>
          </w:tcPr>
          <w:p w14:paraId="14B29FAE">
            <w:pPr>
              <w:pStyle w:val="132"/>
              <w:keepNext w:val="0"/>
              <w:keepLines w:val="0"/>
              <w:pageBreakBefore w:val="0"/>
              <w:widowControl/>
              <w:kinsoku w:val="0"/>
              <w:wordWrap/>
              <w:overflowPunct/>
              <w:topLinePunct w:val="0"/>
              <w:autoSpaceDE w:val="0"/>
              <w:autoSpaceDN w:val="0"/>
              <w:bidi w:val="0"/>
              <w:adjustRightInd w:val="0"/>
              <w:snapToGrid w:val="0"/>
              <w:spacing w:before="32" w:line="400" w:lineRule="exact"/>
              <w:ind w:left="101" w:right="111" w:hanging="19"/>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提供按人排班类型方式，点击日期与人员交叉单元格进行排班岗安</w:t>
            </w:r>
            <w:r>
              <w:rPr>
                <w:rFonts w:hint="eastAsia" w:ascii="宋体" w:hAnsi="宋体" w:eastAsia="宋体" w:cs="宋体"/>
                <w:b w:val="0"/>
                <w:bCs w:val="0"/>
                <w:color w:val="auto"/>
                <w:spacing w:val="2"/>
                <w:sz w:val="21"/>
                <w:szCs w:val="21"/>
                <w:highlight w:val="none"/>
              </w:rPr>
              <w:t>排。</w:t>
            </w:r>
          </w:p>
        </w:tc>
      </w:tr>
      <w:tr w14:paraId="5E7D0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vAlign w:val="top"/>
          </w:tcPr>
          <w:p w14:paraId="590B588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4A9527C2">
            <w:pPr>
              <w:pStyle w:val="132"/>
              <w:keepNext w:val="0"/>
              <w:keepLines w:val="0"/>
              <w:pageBreakBefore w:val="0"/>
              <w:widowControl/>
              <w:kinsoku w:val="0"/>
              <w:wordWrap/>
              <w:overflowPunct/>
              <w:topLinePunct w:val="0"/>
              <w:autoSpaceDE w:val="0"/>
              <w:autoSpaceDN w:val="0"/>
              <w:bidi w:val="0"/>
              <w:adjustRightInd w:val="0"/>
              <w:snapToGrid w:val="0"/>
              <w:spacing w:before="34" w:line="400" w:lineRule="exact"/>
              <w:ind w:left="71"/>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0"/>
                <w:sz w:val="21"/>
                <w:szCs w:val="21"/>
                <w:highlight w:val="none"/>
              </w:rPr>
              <w:t>更多</w:t>
            </w:r>
          </w:p>
        </w:tc>
        <w:tc>
          <w:tcPr>
            <w:tcW w:w="7644" w:type="dxa"/>
            <w:vAlign w:val="top"/>
          </w:tcPr>
          <w:p w14:paraId="26070654">
            <w:pPr>
              <w:pStyle w:val="132"/>
              <w:keepNext w:val="0"/>
              <w:keepLines w:val="0"/>
              <w:pageBreakBefore w:val="0"/>
              <w:widowControl/>
              <w:kinsoku w:val="0"/>
              <w:wordWrap/>
              <w:overflowPunct/>
              <w:topLinePunct w:val="0"/>
              <w:autoSpaceDE w:val="0"/>
              <w:autoSpaceDN w:val="0"/>
              <w:bidi w:val="0"/>
              <w:adjustRightInd w:val="0"/>
              <w:snapToGrid w:val="0"/>
              <w:spacing w:before="33" w:line="400" w:lineRule="exact"/>
              <w:ind w:left="101" w:right="106" w:hanging="19"/>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支持按照业务单元配置其排班配置，如是否显示工号、按人排班列的样式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列宽、是否显示、是否打印等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p>
        </w:tc>
      </w:tr>
      <w:tr w14:paraId="350FB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vAlign w:val="top"/>
          </w:tcPr>
          <w:p w14:paraId="114358F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00A7E92B">
            <w:pPr>
              <w:pStyle w:val="132"/>
              <w:keepNext w:val="0"/>
              <w:keepLines w:val="0"/>
              <w:pageBreakBefore w:val="0"/>
              <w:widowControl/>
              <w:kinsoku w:val="0"/>
              <w:wordWrap/>
              <w:overflowPunct/>
              <w:topLinePunct w:val="0"/>
              <w:autoSpaceDE w:val="0"/>
              <w:autoSpaceDN w:val="0"/>
              <w:bidi w:val="0"/>
              <w:adjustRightInd w:val="0"/>
              <w:snapToGrid w:val="0"/>
              <w:spacing w:before="33" w:line="400" w:lineRule="exact"/>
              <w:ind w:left="1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发布审核</w:t>
            </w:r>
          </w:p>
        </w:tc>
        <w:tc>
          <w:tcPr>
            <w:tcW w:w="7644" w:type="dxa"/>
            <w:vAlign w:val="top"/>
          </w:tcPr>
          <w:p w14:paraId="7EB92B0F">
            <w:pPr>
              <w:pStyle w:val="132"/>
              <w:keepNext w:val="0"/>
              <w:keepLines w:val="0"/>
              <w:pageBreakBefore w:val="0"/>
              <w:widowControl/>
              <w:kinsoku w:val="0"/>
              <w:wordWrap/>
              <w:overflowPunct/>
              <w:topLinePunct w:val="0"/>
              <w:autoSpaceDE w:val="0"/>
              <w:autoSpaceDN w:val="0"/>
              <w:bidi w:val="0"/>
              <w:adjustRightInd w:val="0"/>
              <w:snapToGrid w:val="0"/>
              <w:spacing w:before="32" w:line="400" w:lineRule="exact"/>
              <w:ind w:left="101" w:right="108" w:hanging="19"/>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排班完成后支持发布，并按审核配置进入审核工作</w:t>
            </w:r>
            <w:r>
              <w:rPr>
                <w:rFonts w:hint="eastAsia" w:ascii="宋体" w:hAnsi="宋体" w:eastAsia="宋体" w:cs="宋体"/>
                <w:b w:val="0"/>
                <w:bCs w:val="0"/>
                <w:color w:val="auto"/>
                <w:sz w:val="21"/>
                <w:szCs w:val="21"/>
                <w:highlight w:val="none"/>
                <w:lang w:eastAsia="zh-CN"/>
              </w:rPr>
              <w:t>流程</w:t>
            </w:r>
            <w:r>
              <w:rPr>
                <w:rFonts w:hint="eastAsia" w:ascii="宋体" w:hAnsi="宋体" w:eastAsia="宋体" w:cs="宋体"/>
                <w:b w:val="0"/>
                <w:bCs w:val="0"/>
                <w:color w:val="auto"/>
                <w:sz w:val="21"/>
                <w:szCs w:val="21"/>
                <w:highlight w:val="none"/>
              </w:rPr>
              <w:t>，审核完成后排班状态变更并提供统计、预览查看。</w:t>
            </w:r>
          </w:p>
        </w:tc>
      </w:tr>
      <w:tr w14:paraId="704A5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restart"/>
            <w:tcBorders>
              <w:bottom w:val="nil"/>
            </w:tcBorders>
            <w:vAlign w:val="top"/>
          </w:tcPr>
          <w:p w14:paraId="5706023B">
            <w:pPr>
              <w:pStyle w:val="132"/>
              <w:keepNext w:val="0"/>
              <w:keepLines w:val="0"/>
              <w:pageBreakBefore w:val="0"/>
              <w:widowControl/>
              <w:kinsoku w:val="0"/>
              <w:wordWrap/>
              <w:overflowPunct/>
              <w:topLinePunct w:val="0"/>
              <w:autoSpaceDE w:val="0"/>
              <w:autoSpaceDN w:val="0"/>
              <w:bidi w:val="0"/>
              <w:adjustRightInd w:val="0"/>
              <w:snapToGrid w:val="0"/>
              <w:spacing w:before="25" w:line="400" w:lineRule="exact"/>
              <w:ind w:left="6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统计</w:t>
            </w:r>
          </w:p>
        </w:tc>
        <w:tc>
          <w:tcPr>
            <w:tcW w:w="1149" w:type="dxa"/>
            <w:vAlign w:val="top"/>
          </w:tcPr>
          <w:p w14:paraId="3EEECE19">
            <w:pPr>
              <w:pStyle w:val="132"/>
              <w:keepNext w:val="0"/>
              <w:keepLines w:val="0"/>
              <w:pageBreakBefore w:val="0"/>
              <w:widowControl/>
              <w:kinsoku w:val="0"/>
              <w:wordWrap/>
              <w:overflowPunct/>
              <w:topLinePunct w:val="0"/>
              <w:autoSpaceDE w:val="0"/>
              <w:autoSpaceDN w:val="0"/>
              <w:bidi w:val="0"/>
              <w:adjustRightInd w:val="0"/>
              <w:snapToGrid w:val="0"/>
              <w:spacing w:before="55" w:line="400" w:lineRule="exact"/>
              <w:ind w:left="1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工时统计</w:t>
            </w:r>
          </w:p>
        </w:tc>
        <w:tc>
          <w:tcPr>
            <w:tcW w:w="7644" w:type="dxa"/>
            <w:vAlign w:val="top"/>
          </w:tcPr>
          <w:p w14:paraId="72BFC937">
            <w:pPr>
              <w:pStyle w:val="132"/>
              <w:keepNext w:val="0"/>
              <w:keepLines w:val="0"/>
              <w:pageBreakBefore w:val="0"/>
              <w:widowControl/>
              <w:kinsoku w:val="0"/>
              <w:wordWrap/>
              <w:overflowPunct/>
              <w:topLinePunct w:val="0"/>
              <w:autoSpaceDE w:val="0"/>
              <w:autoSpaceDN w:val="0"/>
              <w:bidi w:val="0"/>
              <w:adjustRightInd w:val="0"/>
              <w:snapToGrid w:val="0"/>
              <w:spacing w:before="45" w:line="400" w:lineRule="exact"/>
              <w:ind w:left="102" w:right="75" w:firstLine="9"/>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支持按人员或按部门统计时间范围内白班、夜班、节假日夜班、总</w:t>
            </w:r>
            <w:r>
              <w:rPr>
                <w:rFonts w:hint="eastAsia" w:ascii="宋体" w:hAnsi="宋体" w:eastAsia="宋体" w:cs="宋体"/>
                <w:b w:val="0"/>
                <w:bCs w:val="0"/>
                <w:color w:val="auto"/>
                <w:spacing w:val="1"/>
                <w:sz w:val="21"/>
                <w:szCs w:val="21"/>
                <w:highlight w:val="none"/>
              </w:rPr>
              <w:t>夜班、加班数量，并且支持查看排班岗信息的明细及导出为</w:t>
            </w:r>
            <w:r>
              <w:rPr>
                <w:rFonts w:hint="eastAsia" w:ascii="宋体" w:hAnsi="宋体" w:eastAsia="宋体" w:cs="宋体"/>
                <w:b w:val="0"/>
                <w:bCs w:val="0"/>
                <w:color w:val="auto"/>
                <w:sz w:val="21"/>
                <w:szCs w:val="21"/>
                <w:highlight w:val="none"/>
              </w:rPr>
              <w:t>excel</w:t>
            </w:r>
            <w:r>
              <w:rPr>
                <w:rFonts w:hint="eastAsia" w:ascii="宋体" w:hAnsi="宋体" w:eastAsia="宋体" w:cs="宋体"/>
                <w:b w:val="0"/>
                <w:bCs w:val="0"/>
                <w:color w:val="auto"/>
                <w:spacing w:val="1"/>
                <w:sz w:val="21"/>
                <w:szCs w:val="21"/>
                <w:highlight w:val="none"/>
              </w:rPr>
              <w:t>数据。</w:t>
            </w:r>
          </w:p>
        </w:tc>
      </w:tr>
      <w:tr w14:paraId="50D69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tcBorders>
              <w:top w:val="nil"/>
              <w:bottom w:val="nil"/>
            </w:tcBorders>
            <w:vAlign w:val="top"/>
          </w:tcPr>
          <w:p w14:paraId="16C7940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39135A57">
            <w:pPr>
              <w:pStyle w:val="132"/>
              <w:keepNext w:val="0"/>
              <w:keepLines w:val="0"/>
              <w:pageBreakBefore w:val="0"/>
              <w:widowControl/>
              <w:kinsoku w:val="0"/>
              <w:wordWrap/>
              <w:overflowPunct/>
              <w:topLinePunct w:val="0"/>
              <w:autoSpaceDE w:val="0"/>
              <w:autoSpaceDN w:val="0"/>
              <w:bidi w:val="0"/>
              <w:adjustRightInd w:val="0"/>
              <w:snapToGrid w:val="0"/>
              <w:spacing w:before="26" w:line="400" w:lineRule="exact"/>
              <w:ind w:left="81" w:right="126" w:firstLine="19"/>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排班岗统</w:t>
            </w:r>
            <w:r>
              <w:rPr>
                <w:rFonts w:hint="eastAsia" w:ascii="宋体" w:hAnsi="宋体" w:eastAsia="宋体" w:cs="宋体"/>
                <w:b w:val="0"/>
                <w:bCs w:val="0"/>
                <w:color w:val="auto"/>
                <w:spacing w:val="2"/>
                <w:sz w:val="21"/>
                <w:szCs w:val="21"/>
                <w:highlight w:val="none"/>
              </w:rPr>
              <w:t xml:space="preserve"> </w:t>
            </w:r>
            <w:r>
              <w:rPr>
                <w:rFonts w:hint="eastAsia" w:ascii="宋体" w:hAnsi="宋体" w:eastAsia="宋体" w:cs="宋体"/>
                <w:b w:val="0"/>
                <w:bCs w:val="0"/>
                <w:color w:val="auto"/>
                <w:sz w:val="21"/>
                <w:szCs w:val="21"/>
                <w:highlight w:val="none"/>
              </w:rPr>
              <w:t>计</w:t>
            </w:r>
          </w:p>
        </w:tc>
        <w:tc>
          <w:tcPr>
            <w:tcW w:w="7644" w:type="dxa"/>
            <w:vAlign w:val="top"/>
          </w:tcPr>
          <w:p w14:paraId="24C28F8B">
            <w:pPr>
              <w:pStyle w:val="132"/>
              <w:keepNext w:val="0"/>
              <w:keepLines w:val="0"/>
              <w:pageBreakBefore w:val="0"/>
              <w:widowControl/>
              <w:kinsoku w:val="0"/>
              <w:wordWrap/>
              <w:overflowPunct/>
              <w:topLinePunct w:val="0"/>
              <w:autoSpaceDE w:val="0"/>
              <w:autoSpaceDN w:val="0"/>
              <w:bidi w:val="0"/>
              <w:adjustRightInd w:val="0"/>
              <w:snapToGrid w:val="0"/>
              <w:spacing w:before="33" w:line="400" w:lineRule="exact"/>
              <w:ind w:left="102" w:right="104" w:firstLine="9"/>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rPr>
              <w:t>支持按人员或按部门统计时间范围内各排班岗数量，并且支持查看人员排班岗的明细及</w:t>
            </w:r>
            <w:r>
              <w:rPr>
                <w:rFonts w:hint="eastAsia" w:ascii="宋体" w:hAnsi="宋体" w:eastAsia="宋体" w:cs="宋体"/>
                <w:b w:val="0"/>
                <w:bCs w:val="0"/>
                <w:color w:val="auto"/>
                <w:spacing w:val="-1"/>
                <w:sz w:val="21"/>
                <w:szCs w:val="21"/>
                <w:highlight w:val="none"/>
                <w:lang w:eastAsia="zh-CN"/>
              </w:rPr>
              <w:t>导出</w:t>
            </w:r>
            <w:r>
              <w:rPr>
                <w:rFonts w:hint="eastAsia" w:ascii="宋体" w:hAnsi="宋体" w:eastAsia="宋体" w:cs="宋体"/>
                <w:b w:val="0"/>
                <w:bCs w:val="0"/>
                <w:color w:val="auto"/>
                <w:spacing w:val="-1"/>
                <w:sz w:val="21"/>
                <w:szCs w:val="21"/>
                <w:highlight w:val="none"/>
              </w:rPr>
              <w:t>excel数据。</w:t>
            </w:r>
          </w:p>
        </w:tc>
      </w:tr>
      <w:tr w14:paraId="35B4C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tcBorders>
              <w:top w:val="nil"/>
              <w:bottom w:val="nil"/>
            </w:tcBorders>
            <w:vAlign w:val="top"/>
          </w:tcPr>
          <w:p w14:paraId="7BE47D7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415E391A">
            <w:pPr>
              <w:pStyle w:val="132"/>
              <w:keepNext w:val="0"/>
              <w:keepLines w:val="0"/>
              <w:pageBreakBefore w:val="0"/>
              <w:widowControl/>
              <w:kinsoku w:val="0"/>
              <w:wordWrap/>
              <w:overflowPunct/>
              <w:topLinePunct w:val="0"/>
              <w:autoSpaceDE w:val="0"/>
              <w:autoSpaceDN w:val="0"/>
              <w:bidi w:val="0"/>
              <w:adjustRightInd w:val="0"/>
              <w:snapToGrid w:val="0"/>
              <w:spacing w:before="35" w:line="400" w:lineRule="exact"/>
              <w:ind w:left="1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请假统计</w:t>
            </w:r>
          </w:p>
        </w:tc>
        <w:tc>
          <w:tcPr>
            <w:tcW w:w="7644" w:type="dxa"/>
            <w:vAlign w:val="top"/>
          </w:tcPr>
          <w:p w14:paraId="6E163972">
            <w:pPr>
              <w:pStyle w:val="132"/>
              <w:keepNext w:val="0"/>
              <w:keepLines w:val="0"/>
              <w:pageBreakBefore w:val="0"/>
              <w:widowControl/>
              <w:kinsoku w:val="0"/>
              <w:wordWrap/>
              <w:overflowPunct/>
              <w:topLinePunct w:val="0"/>
              <w:autoSpaceDE w:val="0"/>
              <w:autoSpaceDN w:val="0"/>
              <w:bidi w:val="0"/>
              <w:adjustRightInd w:val="0"/>
              <w:snapToGrid w:val="0"/>
              <w:spacing w:before="26" w:line="400" w:lineRule="exact"/>
              <w:ind w:left="102" w:right="82" w:firstLine="9"/>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支持按人员或按部门统计时间范围内各类假期请假的个数，并且支持查看假期具体时长、人员信息明细及导出为excel数</w:t>
            </w:r>
            <w:r>
              <w:rPr>
                <w:rFonts w:hint="eastAsia" w:ascii="宋体" w:hAnsi="宋体" w:eastAsia="宋体" w:cs="宋体"/>
                <w:b w:val="0"/>
                <w:bCs w:val="0"/>
                <w:color w:val="auto"/>
                <w:spacing w:val="-1"/>
                <w:sz w:val="21"/>
                <w:szCs w:val="21"/>
                <w:highlight w:val="none"/>
              </w:rPr>
              <w:t>据。</w:t>
            </w:r>
          </w:p>
        </w:tc>
      </w:tr>
      <w:tr w14:paraId="6154B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tcBorders>
              <w:top w:val="nil"/>
            </w:tcBorders>
            <w:vAlign w:val="top"/>
          </w:tcPr>
          <w:p w14:paraId="5649EC3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2C774289">
            <w:pPr>
              <w:pStyle w:val="132"/>
              <w:keepNext w:val="0"/>
              <w:keepLines w:val="0"/>
              <w:pageBreakBefore w:val="0"/>
              <w:widowControl/>
              <w:kinsoku w:val="0"/>
              <w:wordWrap/>
              <w:overflowPunct/>
              <w:topLinePunct w:val="0"/>
              <w:autoSpaceDE w:val="0"/>
              <w:autoSpaceDN w:val="0"/>
              <w:bidi w:val="0"/>
              <w:adjustRightInd w:val="0"/>
              <w:snapToGrid w:val="0"/>
              <w:spacing w:before="26" w:line="400" w:lineRule="exact"/>
              <w:ind w:left="1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考勤统计</w:t>
            </w:r>
          </w:p>
        </w:tc>
        <w:tc>
          <w:tcPr>
            <w:tcW w:w="7644" w:type="dxa"/>
            <w:vAlign w:val="top"/>
          </w:tcPr>
          <w:p w14:paraId="2B03A846">
            <w:pPr>
              <w:pStyle w:val="132"/>
              <w:keepNext w:val="0"/>
              <w:keepLines w:val="0"/>
              <w:pageBreakBefore w:val="0"/>
              <w:widowControl/>
              <w:kinsoku w:val="0"/>
              <w:wordWrap/>
              <w:overflowPunct/>
              <w:topLinePunct w:val="0"/>
              <w:autoSpaceDE w:val="0"/>
              <w:autoSpaceDN w:val="0"/>
              <w:bidi w:val="0"/>
              <w:adjustRightInd w:val="0"/>
              <w:snapToGrid w:val="0"/>
              <w:spacing w:before="37" w:line="400" w:lineRule="exact"/>
              <w:ind w:left="102" w:right="93"/>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支持按人员或按部门统计时间范围内白班时长、夜班时长、24h班时长、休班时长、总时长，并且支持查看人员信息的明细及导出为</w:t>
            </w:r>
            <w:r>
              <w:rPr>
                <w:rFonts w:hint="eastAsia" w:ascii="宋体" w:hAnsi="宋体" w:eastAsia="宋体" w:cs="宋体"/>
                <w:b w:val="0"/>
                <w:bCs w:val="0"/>
                <w:color w:val="auto"/>
                <w:spacing w:val="10"/>
                <w:sz w:val="21"/>
                <w:szCs w:val="21"/>
                <w:highlight w:val="none"/>
              </w:rPr>
              <w:t xml:space="preserve"> </w:t>
            </w:r>
            <w:r>
              <w:rPr>
                <w:rFonts w:hint="eastAsia" w:ascii="宋体" w:hAnsi="宋体" w:eastAsia="宋体" w:cs="宋体"/>
                <w:b w:val="0"/>
                <w:bCs w:val="0"/>
                <w:color w:val="auto"/>
                <w:sz w:val="21"/>
                <w:szCs w:val="21"/>
                <w:highlight w:val="none"/>
              </w:rPr>
              <w:t>excel数据。</w:t>
            </w:r>
          </w:p>
        </w:tc>
      </w:tr>
      <w:tr w14:paraId="771A6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43638D4C">
            <w:pPr>
              <w:pStyle w:val="132"/>
              <w:keepNext w:val="0"/>
              <w:keepLines w:val="0"/>
              <w:pageBreakBefore w:val="0"/>
              <w:widowControl/>
              <w:kinsoku w:val="0"/>
              <w:wordWrap/>
              <w:overflowPunct/>
              <w:topLinePunct w:val="0"/>
              <w:autoSpaceDE w:val="0"/>
              <w:autoSpaceDN w:val="0"/>
              <w:bidi w:val="0"/>
              <w:adjustRightInd w:val="0"/>
              <w:snapToGrid w:val="0"/>
              <w:spacing w:before="79" w:line="400" w:lineRule="exact"/>
              <w:ind w:left="8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排班预览</w:t>
            </w:r>
          </w:p>
        </w:tc>
        <w:tc>
          <w:tcPr>
            <w:tcW w:w="7644" w:type="dxa"/>
            <w:vAlign w:val="top"/>
          </w:tcPr>
          <w:p w14:paraId="0DDD6506">
            <w:pPr>
              <w:pStyle w:val="132"/>
              <w:keepNext w:val="0"/>
              <w:keepLines w:val="0"/>
              <w:pageBreakBefore w:val="0"/>
              <w:widowControl/>
              <w:kinsoku w:val="0"/>
              <w:wordWrap/>
              <w:overflowPunct/>
              <w:topLinePunct w:val="0"/>
              <w:autoSpaceDE w:val="0"/>
              <w:autoSpaceDN w:val="0"/>
              <w:bidi w:val="0"/>
              <w:adjustRightInd w:val="0"/>
              <w:snapToGrid w:val="0"/>
              <w:spacing w:before="78" w:line="400" w:lineRule="exact"/>
              <w:ind w:left="102"/>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按时间范围查看所有已完成审核的排班数据，支持按部门筛选。</w:t>
            </w:r>
          </w:p>
        </w:tc>
      </w:tr>
      <w:tr w14:paraId="06A16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286F95E9">
            <w:pPr>
              <w:pStyle w:val="132"/>
              <w:keepNext w:val="0"/>
              <w:keepLines w:val="0"/>
              <w:pageBreakBefore w:val="0"/>
              <w:widowControl/>
              <w:kinsoku w:val="0"/>
              <w:wordWrap/>
              <w:overflowPunct/>
              <w:topLinePunct w:val="0"/>
              <w:autoSpaceDE w:val="0"/>
              <w:autoSpaceDN w:val="0"/>
              <w:bidi w:val="0"/>
              <w:adjustRightInd w:val="0"/>
              <w:snapToGrid w:val="0"/>
              <w:spacing w:before="77" w:line="400" w:lineRule="exact"/>
              <w:ind w:left="8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请假设置</w:t>
            </w:r>
          </w:p>
        </w:tc>
        <w:tc>
          <w:tcPr>
            <w:tcW w:w="7644" w:type="dxa"/>
            <w:vAlign w:val="top"/>
          </w:tcPr>
          <w:p w14:paraId="301882ED">
            <w:pPr>
              <w:pStyle w:val="132"/>
              <w:keepNext w:val="0"/>
              <w:keepLines w:val="0"/>
              <w:pageBreakBefore w:val="0"/>
              <w:widowControl/>
              <w:kinsoku w:val="0"/>
              <w:wordWrap/>
              <w:overflowPunct/>
              <w:topLinePunct w:val="0"/>
              <w:autoSpaceDE w:val="0"/>
              <w:autoSpaceDN w:val="0"/>
              <w:bidi w:val="0"/>
              <w:adjustRightInd w:val="0"/>
              <w:snapToGrid w:val="0"/>
              <w:spacing w:before="77" w:line="400" w:lineRule="exact"/>
              <w:ind w:left="102"/>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维护全院的请假类型及请假规则，为请假提供数据支持。</w:t>
            </w:r>
          </w:p>
        </w:tc>
      </w:tr>
      <w:tr w14:paraId="6E104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77C52C80">
            <w:pPr>
              <w:pStyle w:val="132"/>
              <w:keepNext w:val="0"/>
              <w:keepLines w:val="0"/>
              <w:pageBreakBefore w:val="0"/>
              <w:widowControl/>
              <w:kinsoku w:val="0"/>
              <w:wordWrap/>
              <w:overflowPunct/>
              <w:topLinePunct w:val="0"/>
              <w:autoSpaceDE w:val="0"/>
              <w:autoSpaceDN w:val="0"/>
              <w:bidi w:val="0"/>
              <w:adjustRightInd w:val="0"/>
              <w:snapToGrid w:val="0"/>
              <w:spacing w:before="49" w:line="400" w:lineRule="exact"/>
              <w:ind w:left="8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rPr>
              <w:t>统计名称设置</w:t>
            </w:r>
          </w:p>
        </w:tc>
        <w:tc>
          <w:tcPr>
            <w:tcW w:w="7644" w:type="dxa"/>
            <w:vAlign w:val="top"/>
          </w:tcPr>
          <w:p w14:paraId="504E103A">
            <w:pPr>
              <w:pStyle w:val="132"/>
              <w:keepNext w:val="0"/>
              <w:keepLines w:val="0"/>
              <w:pageBreakBefore w:val="0"/>
              <w:widowControl/>
              <w:kinsoku w:val="0"/>
              <w:wordWrap/>
              <w:overflowPunct/>
              <w:topLinePunct w:val="0"/>
              <w:autoSpaceDE w:val="0"/>
              <w:autoSpaceDN w:val="0"/>
              <w:bidi w:val="0"/>
              <w:adjustRightInd w:val="0"/>
              <w:snapToGrid w:val="0"/>
              <w:spacing w:before="38" w:line="400" w:lineRule="exact"/>
              <w:ind w:left="102" w:right="93"/>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按全院或业务单元维护所需的排班统计名称，便于对各排班岗进行归类，提供后续排班统计。</w:t>
            </w:r>
          </w:p>
        </w:tc>
      </w:tr>
      <w:tr w14:paraId="02409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5B76F72A">
            <w:pPr>
              <w:pStyle w:val="132"/>
              <w:keepNext w:val="0"/>
              <w:keepLines w:val="0"/>
              <w:pageBreakBefore w:val="0"/>
              <w:widowControl/>
              <w:kinsoku w:val="0"/>
              <w:wordWrap/>
              <w:overflowPunct/>
              <w:topLinePunct w:val="0"/>
              <w:autoSpaceDE w:val="0"/>
              <w:autoSpaceDN w:val="0"/>
              <w:bidi w:val="0"/>
              <w:adjustRightInd w:val="0"/>
              <w:snapToGrid w:val="0"/>
              <w:spacing w:before="40" w:line="400" w:lineRule="exact"/>
              <w:ind w:left="8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排班岗设定</w:t>
            </w:r>
          </w:p>
        </w:tc>
        <w:tc>
          <w:tcPr>
            <w:tcW w:w="7644" w:type="dxa"/>
            <w:vAlign w:val="top"/>
          </w:tcPr>
          <w:p w14:paraId="71AA3398">
            <w:pPr>
              <w:pStyle w:val="132"/>
              <w:keepNext w:val="0"/>
              <w:keepLines w:val="0"/>
              <w:pageBreakBefore w:val="0"/>
              <w:widowControl/>
              <w:kinsoku w:val="0"/>
              <w:wordWrap/>
              <w:overflowPunct/>
              <w:topLinePunct w:val="0"/>
              <w:autoSpaceDE w:val="0"/>
              <w:autoSpaceDN w:val="0"/>
              <w:bidi w:val="0"/>
              <w:adjustRightInd w:val="0"/>
              <w:snapToGrid w:val="0"/>
              <w:spacing w:before="38" w:line="400" w:lineRule="exact"/>
              <w:ind w:left="102" w:right="78"/>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rPr>
              <w:t>按业务单元维护各业务单元所需的排班岗信息，包括基本</w:t>
            </w:r>
            <w:r>
              <w:rPr>
                <w:rFonts w:hint="eastAsia" w:ascii="宋体" w:hAnsi="宋体" w:eastAsia="宋体" w:cs="宋体"/>
                <w:b w:val="0"/>
                <w:bCs w:val="0"/>
                <w:color w:val="auto"/>
                <w:sz w:val="21"/>
                <w:szCs w:val="21"/>
                <w:highlight w:val="none"/>
              </w:rPr>
              <w:t>的排班岗名称、缩写、统计名称以及时段信息、扩展信息、超声信息、手术信息、门诊信息、会诊信息。提供排班使用。</w:t>
            </w:r>
          </w:p>
        </w:tc>
      </w:tr>
      <w:tr w14:paraId="6CD77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6D05B12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7644" w:type="dxa"/>
            <w:tcBorders>
              <w:right w:val="single" w:color="000000" w:sz="2" w:space="0"/>
            </w:tcBorders>
            <w:vAlign w:val="top"/>
          </w:tcPr>
          <w:p w14:paraId="52B6377A">
            <w:pPr>
              <w:pStyle w:val="132"/>
              <w:keepNext w:val="0"/>
              <w:keepLines w:val="0"/>
              <w:pageBreakBefore w:val="0"/>
              <w:widowControl/>
              <w:kinsoku w:val="0"/>
              <w:wordWrap/>
              <w:overflowPunct/>
              <w:topLinePunct w:val="0"/>
              <w:autoSpaceDE w:val="0"/>
              <w:autoSpaceDN w:val="0"/>
              <w:bidi w:val="0"/>
              <w:adjustRightInd w:val="0"/>
              <w:snapToGrid w:val="0"/>
              <w:spacing w:before="38" w:line="400" w:lineRule="exact"/>
              <w:ind w:left="102" w:right="78"/>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支持岗位要求配置，排班时依据岗位要求进行人员筛选。支持组合设置，排班时可进行组合一键排班。</w:t>
            </w:r>
          </w:p>
        </w:tc>
      </w:tr>
      <w:tr w14:paraId="2821E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29AE8F76">
            <w:pPr>
              <w:pStyle w:val="132"/>
              <w:keepNext w:val="0"/>
              <w:keepLines w:val="0"/>
              <w:pageBreakBefore w:val="0"/>
              <w:widowControl/>
              <w:kinsoku w:val="0"/>
              <w:wordWrap/>
              <w:overflowPunct/>
              <w:topLinePunct w:val="0"/>
              <w:autoSpaceDE w:val="0"/>
              <w:autoSpaceDN w:val="0"/>
              <w:bidi w:val="0"/>
              <w:adjustRightInd w:val="0"/>
              <w:snapToGrid w:val="0"/>
              <w:spacing w:before="41" w:line="400" w:lineRule="exact"/>
              <w:ind w:left="10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排班类型维护</w:t>
            </w:r>
          </w:p>
        </w:tc>
        <w:tc>
          <w:tcPr>
            <w:tcW w:w="7644" w:type="dxa"/>
            <w:tcBorders>
              <w:right w:val="single" w:color="000000" w:sz="2" w:space="0"/>
            </w:tcBorders>
            <w:vAlign w:val="top"/>
          </w:tcPr>
          <w:p w14:paraId="2EA7ABC1">
            <w:pPr>
              <w:pStyle w:val="132"/>
              <w:keepNext w:val="0"/>
              <w:keepLines w:val="0"/>
              <w:pageBreakBefore w:val="0"/>
              <w:widowControl/>
              <w:kinsoku w:val="0"/>
              <w:wordWrap/>
              <w:overflowPunct/>
              <w:topLinePunct w:val="0"/>
              <w:autoSpaceDE w:val="0"/>
              <w:autoSpaceDN w:val="0"/>
              <w:bidi w:val="0"/>
              <w:adjustRightInd w:val="0"/>
              <w:snapToGrid w:val="0"/>
              <w:spacing w:before="37" w:line="400" w:lineRule="exact"/>
              <w:ind w:left="15"/>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按业务单元维护各业务单元所需的排班类型，各类型可维护不同业</w:t>
            </w:r>
            <w:r>
              <w:rPr>
                <w:rFonts w:hint="eastAsia" w:ascii="宋体" w:hAnsi="宋体" w:eastAsia="宋体" w:cs="宋体"/>
                <w:b w:val="0"/>
                <w:bCs w:val="0"/>
                <w:color w:val="auto"/>
                <w:sz w:val="21"/>
                <w:szCs w:val="21"/>
                <w:highlight w:val="none"/>
              </w:rPr>
              <w:t>务单元，方便后续排班业务</w:t>
            </w:r>
            <w:r>
              <w:rPr>
                <w:rFonts w:hint="eastAsia" w:ascii="宋体" w:hAnsi="宋体" w:eastAsia="宋体" w:cs="宋体"/>
                <w:b w:val="0"/>
                <w:bCs w:val="0"/>
                <w:color w:val="auto"/>
                <w:sz w:val="21"/>
                <w:szCs w:val="21"/>
                <w:highlight w:val="none"/>
                <w:lang w:val="en-US" w:eastAsia="zh-CN"/>
              </w:rPr>
              <w:t>界面</w:t>
            </w:r>
            <w:r>
              <w:rPr>
                <w:rFonts w:hint="eastAsia" w:ascii="宋体" w:hAnsi="宋体" w:eastAsia="宋体" w:cs="宋体"/>
                <w:b w:val="0"/>
                <w:bCs w:val="0"/>
                <w:color w:val="auto"/>
                <w:sz w:val="21"/>
                <w:szCs w:val="21"/>
                <w:highlight w:val="none"/>
                <w:lang w:eastAsia="zh-CN"/>
              </w:rPr>
              <w:t>以类型显示各排班格式</w:t>
            </w:r>
            <w:r>
              <w:rPr>
                <w:rFonts w:hint="eastAsia" w:ascii="宋体" w:hAnsi="宋体" w:eastAsia="宋体" w:cs="宋体"/>
                <w:b w:val="0"/>
                <w:bCs w:val="0"/>
                <w:color w:val="auto"/>
                <w:spacing w:val="-1"/>
                <w:sz w:val="21"/>
                <w:szCs w:val="21"/>
                <w:highlight w:val="none"/>
              </w:rPr>
              <w:t>。</w:t>
            </w:r>
          </w:p>
        </w:tc>
      </w:tr>
      <w:tr w14:paraId="5EB03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53163BD2">
            <w:pPr>
              <w:pStyle w:val="132"/>
              <w:keepNext w:val="0"/>
              <w:keepLines w:val="0"/>
              <w:pageBreakBefore w:val="0"/>
              <w:widowControl/>
              <w:kinsoku w:val="0"/>
              <w:wordWrap/>
              <w:overflowPunct/>
              <w:topLinePunct w:val="0"/>
              <w:autoSpaceDE w:val="0"/>
              <w:autoSpaceDN w:val="0"/>
              <w:bidi w:val="0"/>
              <w:adjustRightInd w:val="0"/>
              <w:snapToGrid w:val="0"/>
              <w:spacing w:before="42" w:line="400" w:lineRule="exact"/>
              <w:ind w:left="10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排班格式维护</w:t>
            </w:r>
          </w:p>
        </w:tc>
        <w:tc>
          <w:tcPr>
            <w:tcW w:w="7644" w:type="dxa"/>
            <w:tcBorders>
              <w:right w:val="single" w:color="000000" w:sz="2" w:space="0"/>
            </w:tcBorders>
            <w:vAlign w:val="top"/>
          </w:tcPr>
          <w:p w14:paraId="64287EBB">
            <w:pPr>
              <w:pStyle w:val="132"/>
              <w:keepNext w:val="0"/>
              <w:keepLines w:val="0"/>
              <w:pageBreakBefore w:val="0"/>
              <w:widowControl/>
              <w:kinsoku w:val="0"/>
              <w:wordWrap/>
              <w:overflowPunct/>
              <w:topLinePunct w:val="0"/>
              <w:autoSpaceDE w:val="0"/>
              <w:autoSpaceDN w:val="0"/>
              <w:bidi w:val="0"/>
              <w:adjustRightInd w:val="0"/>
              <w:snapToGrid w:val="0"/>
              <w:spacing w:before="28" w:line="400" w:lineRule="exact"/>
              <w:ind w:left="15" w:right="7"/>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按业务单元维护各业务单元排班类型下详细的排班格式，支持文本类型、日期类型、病区类型、事项类型，日期、事项类型可关联排班岗，病区类型可关联人员分组。每个类型均可维护排班业务界面</w:t>
            </w:r>
            <w:r>
              <w:rPr>
                <w:rFonts w:hint="eastAsia" w:ascii="宋体" w:hAnsi="宋体" w:eastAsia="宋体" w:cs="宋体"/>
                <w:b w:val="0"/>
                <w:bCs w:val="0"/>
                <w:color w:val="auto"/>
                <w:spacing w:val="-1"/>
                <w:sz w:val="21"/>
                <w:szCs w:val="21"/>
                <w:highlight w:val="none"/>
              </w:rPr>
              <w:t>显示样式。</w:t>
            </w:r>
          </w:p>
        </w:tc>
      </w:tr>
      <w:tr w14:paraId="02C77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205B57DF">
            <w:pPr>
              <w:pStyle w:val="132"/>
              <w:keepNext w:val="0"/>
              <w:keepLines w:val="0"/>
              <w:pageBreakBefore w:val="0"/>
              <w:widowControl/>
              <w:kinsoku w:val="0"/>
              <w:wordWrap/>
              <w:overflowPunct/>
              <w:topLinePunct w:val="0"/>
              <w:autoSpaceDE w:val="0"/>
              <w:autoSpaceDN w:val="0"/>
              <w:bidi w:val="0"/>
              <w:adjustRightInd w:val="0"/>
              <w:snapToGrid w:val="0"/>
              <w:spacing w:before="42" w:line="400" w:lineRule="exact"/>
              <w:ind w:left="10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排班模板</w:t>
            </w:r>
          </w:p>
        </w:tc>
        <w:tc>
          <w:tcPr>
            <w:tcW w:w="7644" w:type="dxa"/>
            <w:tcBorders>
              <w:right w:val="single" w:color="000000" w:sz="2" w:space="0"/>
            </w:tcBorders>
            <w:vAlign w:val="top"/>
          </w:tcPr>
          <w:p w14:paraId="4DAADC0E">
            <w:pPr>
              <w:pStyle w:val="132"/>
              <w:keepNext w:val="0"/>
              <w:keepLines w:val="0"/>
              <w:pageBreakBefore w:val="0"/>
              <w:widowControl/>
              <w:kinsoku w:val="0"/>
              <w:wordWrap/>
              <w:overflowPunct/>
              <w:topLinePunct w:val="0"/>
              <w:autoSpaceDE w:val="0"/>
              <w:autoSpaceDN w:val="0"/>
              <w:bidi w:val="0"/>
              <w:adjustRightInd w:val="0"/>
              <w:snapToGrid w:val="0"/>
              <w:spacing w:before="32" w:line="400" w:lineRule="exact"/>
              <w:ind w:left="91" w:right="6" w:hanging="8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各业务单元可按需维护各自业务单元所用的排班模板，</w:t>
            </w:r>
            <w:r>
              <w:rPr>
                <w:rFonts w:hint="eastAsia" w:ascii="宋体" w:hAnsi="宋体" w:eastAsia="宋体" w:cs="宋体"/>
                <w:b w:val="0"/>
                <w:bCs w:val="0"/>
                <w:color w:val="auto"/>
                <w:spacing w:val="-4"/>
                <w:sz w:val="21"/>
                <w:szCs w:val="21"/>
                <w:highlight w:val="none"/>
              </w:rPr>
              <w:t>便于后续排</w:t>
            </w:r>
            <w:r>
              <w:rPr>
                <w:rFonts w:hint="eastAsia" w:ascii="宋体" w:hAnsi="宋体" w:eastAsia="宋体" w:cs="宋体"/>
                <w:b w:val="0"/>
                <w:bCs w:val="0"/>
                <w:color w:val="auto"/>
                <w:spacing w:val="-1"/>
                <w:sz w:val="21"/>
                <w:szCs w:val="21"/>
                <w:highlight w:val="none"/>
              </w:rPr>
              <w:t>班时直接引用排班模板来减少操作。</w:t>
            </w:r>
          </w:p>
        </w:tc>
      </w:tr>
      <w:tr w14:paraId="32E08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218F0D95">
            <w:pPr>
              <w:pStyle w:val="132"/>
              <w:keepNext w:val="0"/>
              <w:keepLines w:val="0"/>
              <w:pageBreakBefore w:val="0"/>
              <w:widowControl/>
              <w:kinsoku w:val="0"/>
              <w:wordWrap/>
              <w:overflowPunct/>
              <w:topLinePunct w:val="0"/>
              <w:autoSpaceDE w:val="0"/>
              <w:autoSpaceDN w:val="0"/>
              <w:bidi w:val="0"/>
              <w:adjustRightInd w:val="0"/>
              <w:snapToGrid w:val="0"/>
              <w:spacing w:before="35" w:line="400" w:lineRule="exact"/>
              <w:ind w:left="10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人员扩展信息</w:t>
            </w:r>
          </w:p>
        </w:tc>
        <w:tc>
          <w:tcPr>
            <w:tcW w:w="7644" w:type="dxa"/>
            <w:tcBorders>
              <w:right w:val="single" w:color="000000" w:sz="2" w:space="0"/>
            </w:tcBorders>
            <w:vAlign w:val="top"/>
          </w:tcPr>
          <w:p w14:paraId="327CD2E7">
            <w:pPr>
              <w:pStyle w:val="132"/>
              <w:keepNext w:val="0"/>
              <w:keepLines w:val="0"/>
              <w:pageBreakBefore w:val="0"/>
              <w:widowControl/>
              <w:kinsoku w:val="0"/>
              <w:wordWrap/>
              <w:overflowPunct/>
              <w:topLinePunct w:val="0"/>
              <w:autoSpaceDE w:val="0"/>
              <w:autoSpaceDN w:val="0"/>
              <w:bidi w:val="0"/>
              <w:adjustRightInd w:val="0"/>
              <w:snapToGrid w:val="0"/>
              <w:spacing w:before="11" w:line="400" w:lineRule="exact"/>
              <w:ind w:left="15"/>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按业务单元维护各业务单元的分组信息字典及人员标签字典，并对</w:t>
            </w:r>
            <w:r>
              <w:rPr>
                <w:rFonts w:hint="eastAsia" w:ascii="宋体" w:hAnsi="宋体" w:eastAsia="宋体" w:cs="宋体"/>
                <w:b w:val="0"/>
                <w:bCs w:val="0"/>
                <w:color w:val="auto"/>
                <w:sz w:val="21"/>
                <w:szCs w:val="21"/>
                <w:highlight w:val="none"/>
              </w:rPr>
              <w:t>业务单元下人员分派隶属组、人员标签及人员的排序。</w:t>
            </w:r>
          </w:p>
        </w:tc>
      </w:tr>
      <w:tr w14:paraId="6BF24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55AC0016">
            <w:pPr>
              <w:pStyle w:val="132"/>
              <w:keepNext w:val="0"/>
              <w:keepLines w:val="0"/>
              <w:pageBreakBefore w:val="0"/>
              <w:widowControl/>
              <w:kinsoku w:val="0"/>
              <w:wordWrap/>
              <w:overflowPunct/>
              <w:topLinePunct w:val="0"/>
              <w:autoSpaceDE w:val="0"/>
              <w:autoSpaceDN w:val="0"/>
              <w:bidi w:val="0"/>
              <w:adjustRightInd w:val="0"/>
              <w:snapToGrid w:val="0"/>
              <w:spacing w:before="35" w:line="400" w:lineRule="exact"/>
              <w:ind w:left="10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约束设置</w:t>
            </w:r>
          </w:p>
        </w:tc>
        <w:tc>
          <w:tcPr>
            <w:tcW w:w="7644" w:type="dxa"/>
            <w:tcBorders>
              <w:right w:val="single" w:color="000000" w:sz="2" w:space="0"/>
            </w:tcBorders>
            <w:vAlign w:val="top"/>
          </w:tcPr>
          <w:p w14:paraId="25292380">
            <w:pPr>
              <w:pStyle w:val="132"/>
              <w:keepNext w:val="0"/>
              <w:keepLines w:val="0"/>
              <w:pageBreakBefore w:val="0"/>
              <w:widowControl/>
              <w:kinsoku w:val="0"/>
              <w:wordWrap/>
              <w:overflowPunct/>
              <w:topLinePunct w:val="0"/>
              <w:autoSpaceDE w:val="0"/>
              <w:autoSpaceDN w:val="0"/>
              <w:bidi w:val="0"/>
              <w:adjustRightInd w:val="0"/>
              <w:snapToGrid w:val="0"/>
              <w:spacing w:before="35" w:line="400" w:lineRule="exact"/>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1"/>
                <w:sz w:val="21"/>
                <w:szCs w:val="21"/>
                <w:highlight w:val="none"/>
              </w:rPr>
              <w:t>以业务单元为单位，维护各业务单元排班的约束，分为八个子条目，</w:t>
            </w:r>
            <w:r>
              <w:rPr>
                <w:rFonts w:hint="eastAsia" w:ascii="宋体" w:hAnsi="宋体" w:eastAsia="宋体" w:cs="宋体"/>
                <w:b w:val="0"/>
                <w:bCs w:val="0"/>
                <w:color w:val="auto"/>
                <w:spacing w:val="-3"/>
                <w:sz w:val="21"/>
                <w:szCs w:val="21"/>
                <w:highlight w:val="none"/>
              </w:rPr>
              <w:t>分别为：连续工作日上限约束、排班周期总工时上限、排班岗人数的上限及下限、人员与排班岗的对照约束、排班岗与休班的对照约</w:t>
            </w:r>
            <w:r>
              <w:rPr>
                <w:rFonts w:hint="eastAsia" w:ascii="宋体" w:hAnsi="宋体" w:eastAsia="宋体" w:cs="宋体"/>
                <w:b w:val="0"/>
                <w:bCs w:val="0"/>
                <w:color w:val="auto"/>
                <w:sz w:val="21"/>
                <w:szCs w:val="21"/>
                <w:highlight w:val="none"/>
              </w:rPr>
              <w:t>束、排班岗与其他排班岗联动约束、按排班岗循环、按人循环。</w:t>
            </w:r>
          </w:p>
        </w:tc>
      </w:tr>
      <w:tr w14:paraId="1A48D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0EDD8B72">
            <w:pPr>
              <w:pStyle w:val="132"/>
              <w:keepNext w:val="0"/>
              <w:keepLines w:val="0"/>
              <w:pageBreakBefore w:val="0"/>
              <w:widowControl/>
              <w:kinsoku w:val="0"/>
              <w:wordWrap/>
              <w:overflowPunct/>
              <w:topLinePunct w:val="0"/>
              <w:autoSpaceDE w:val="0"/>
              <w:autoSpaceDN w:val="0"/>
              <w:bidi w:val="0"/>
              <w:adjustRightInd w:val="0"/>
              <w:snapToGrid w:val="0"/>
              <w:spacing w:before="48" w:line="400" w:lineRule="exact"/>
              <w:ind w:left="10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审批设置</w:t>
            </w:r>
          </w:p>
        </w:tc>
        <w:tc>
          <w:tcPr>
            <w:tcW w:w="7644" w:type="dxa"/>
            <w:tcBorders>
              <w:right w:val="single" w:color="000000" w:sz="2" w:space="0"/>
            </w:tcBorders>
            <w:vAlign w:val="top"/>
          </w:tcPr>
          <w:p w14:paraId="5B45B688">
            <w:pPr>
              <w:pStyle w:val="132"/>
              <w:keepNext w:val="0"/>
              <w:keepLines w:val="0"/>
              <w:pageBreakBefore w:val="0"/>
              <w:widowControl/>
              <w:kinsoku w:val="0"/>
              <w:wordWrap/>
              <w:overflowPunct/>
              <w:topLinePunct w:val="0"/>
              <w:autoSpaceDE w:val="0"/>
              <w:autoSpaceDN w:val="0"/>
              <w:bidi w:val="0"/>
              <w:adjustRightInd w:val="0"/>
              <w:snapToGrid w:val="0"/>
              <w:spacing w:before="25" w:line="400" w:lineRule="exact"/>
              <w:ind w:left="11"/>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1"/>
                <w:sz w:val="21"/>
                <w:szCs w:val="21"/>
                <w:highlight w:val="none"/>
              </w:rPr>
              <w:t>以业务单元为单位，维护各业务单元排班发布及修改的审核工作</w:t>
            </w:r>
            <w:r>
              <w:rPr>
                <w:rFonts w:hint="eastAsia" w:ascii="宋体" w:hAnsi="宋体" w:eastAsia="宋体" w:cs="宋体"/>
                <w:b w:val="0"/>
                <w:bCs w:val="0"/>
                <w:color w:val="auto"/>
                <w:spacing w:val="-11"/>
                <w:sz w:val="21"/>
                <w:szCs w:val="21"/>
                <w:highlight w:val="none"/>
                <w:lang w:eastAsia="zh-CN"/>
              </w:rPr>
              <w:t>流程</w:t>
            </w:r>
            <w:r>
              <w:rPr>
                <w:rFonts w:hint="eastAsia" w:ascii="宋体" w:hAnsi="宋体" w:eastAsia="宋体" w:cs="宋体"/>
                <w:b w:val="0"/>
                <w:bCs w:val="0"/>
                <w:color w:val="auto"/>
                <w:spacing w:val="-11"/>
                <w:sz w:val="21"/>
                <w:szCs w:val="21"/>
                <w:highlight w:val="none"/>
              </w:rPr>
              <w:t>，</w:t>
            </w:r>
            <w:r>
              <w:rPr>
                <w:rFonts w:hint="eastAsia" w:ascii="宋体" w:hAnsi="宋体" w:eastAsia="宋体" w:cs="宋体"/>
                <w:b w:val="0"/>
                <w:bCs w:val="0"/>
                <w:color w:val="auto"/>
                <w:spacing w:val="-7"/>
                <w:sz w:val="21"/>
                <w:szCs w:val="21"/>
                <w:highlight w:val="none"/>
              </w:rPr>
              <w:t>可定义审核层级的名称、颜色、排班，以及满足符合该层级权限的</w:t>
            </w:r>
            <w:r>
              <w:rPr>
                <w:rFonts w:hint="eastAsia" w:ascii="宋体" w:hAnsi="宋体" w:eastAsia="宋体" w:cs="宋体"/>
                <w:b w:val="0"/>
                <w:bCs w:val="0"/>
                <w:color w:val="auto"/>
                <w:spacing w:val="9"/>
                <w:sz w:val="21"/>
                <w:szCs w:val="21"/>
                <w:highlight w:val="none"/>
              </w:rPr>
              <w:t>人员或岗位。</w:t>
            </w:r>
          </w:p>
        </w:tc>
      </w:tr>
      <w:tr w14:paraId="7DBA6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42B224EC">
            <w:pPr>
              <w:pStyle w:val="132"/>
              <w:keepNext w:val="0"/>
              <w:keepLines w:val="0"/>
              <w:pageBreakBefore w:val="0"/>
              <w:widowControl/>
              <w:kinsoku w:val="0"/>
              <w:wordWrap/>
              <w:overflowPunct/>
              <w:topLinePunct w:val="0"/>
              <w:autoSpaceDE w:val="0"/>
              <w:autoSpaceDN w:val="0"/>
              <w:bidi w:val="0"/>
              <w:adjustRightInd w:val="0"/>
              <w:snapToGrid w:val="0"/>
              <w:spacing w:before="38" w:line="400" w:lineRule="exact"/>
              <w:ind w:left="10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节假日维护</w:t>
            </w:r>
          </w:p>
        </w:tc>
        <w:tc>
          <w:tcPr>
            <w:tcW w:w="7644" w:type="dxa"/>
            <w:tcBorders>
              <w:right w:val="single" w:color="000000" w:sz="2" w:space="0"/>
            </w:tcBorders>
            <w:vAlign w:val="top"/>
          </w:tcPr>
          <w:p w14:paraId="5C7BD54A">
            <w:pPr>
              <w:pStyle w:val="132"/>
              <w:keepNext w:val="0"/>
              <w:keepLines w:val="0"/>
              <w:pageBreakBefore w:val="0"/>
              <w:widowControl/>
              <w:kinsoku w:val="0"/>
              <w:wordWrap/>
              <w:overflowPunct/>
              <w:topLinePunct w:val="0"/>
              <w:autoSpaceDE w:val="0"/>
              <w:autoSpaceDN w:val="0"/>
              <w:bidi w:val="0"/>
              <w:adjustRightInd w:val="0"/>
              <w:snapToGrid w:val="0"/>
              <w:spacing w:before="40" w:line="400" w:lineRule="exact"/>
              <w:ind w:left="121" w:right="6" w:hanging="11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维护全院的节假日及调休工作日，支持按年份维护，为</w:t>
            </w:r>
            <w:r>
              <w:rPr>
                <w:rFonts w:hint="eastAsia" w:ascii="宋体" w:hAnsi="宋体" w:eastAsia="宋体" w:cs="宋体"/>
                <w:b w:val="0"/>
                <w:bCs w:val="0"/>
                <w:color w:val="auto"/>
                <w:spacing w:val="-4"/>
                <w:sz w:val="21"/>
                <w:szCs w:val="21"/>
                <w:highlight w:val="none"/>
              </w:rPr>
              <w:t>排班及请假</w:t>
            </w:r>
            <w:r>
              <w:rPr>
                <w:rFonts w:hint="eastAsia" w:ascii="宋体" w:hAnsi="宋体" w:eastAsia="宋体" w:cs="宋体"/>
                <w:b w:val="0"/>
                <w:bCs w:val="0"/>
                <w:color w:val="auto"/>
                <w:spacing w:val="-1"/>
                <w:sz w:val="21"/>
                <w:szCs w:val="21"/>
                <w:highlight w:val="none"/>
              </w:rPr>
              <w:t>等模块提供节假日信息的数据支持。</w:t>
            </w:r>
          </w:p>
        </w:tc>
      </w:tr>
    </w:tbl>
    <w:p w14:paraId="307D7B12">
      <w:pPr>
        <w:rPr>
          <w:rFonts w:hint="eastAsia" w:ascii="宋体" w:hAnsi="宋体" w:cs="宋体"/>
          <w:color w:val="auto"/>
          <w:kern w:val="0"/>
          <w:sz w:val="36"/>
          <w:szCs w:val="36"/>
          <w:highlight w:val="none"/>
          <w:vertAlign w:val="baseline"/>
          <w:lang w:val="en-US" w:eastAsia="zh-CN" w:bidi="ar"/>
        </w:rPr>
      </w:pPr>
    </w:p>
    <w:p w14:paraId="7F4D644B">
      <w:pPr>
        <w:rPr>
          <w:rFonts w:hint="eastAsia" w:ascii="宋体" w:hAnsi="宋体" w:cs="宋体"/>
          <w:color w:val="auto"/>
          <w:kern w:val="0"/>
          <w:sz w:val="36"/>
          <w:szCs w:val="36"/>
          <w:highlight w:val="none"/>
          <w:lang w:val="en-US" w:eastAsia="zh-CN" w:bidi="ar"/>
        </w:rPr>
      </w:pPr>
      <w:r>
        <w:rPr>
          <w:rFonts w:hint="eastAsia" w:ascii="宋体" w:hAnsi="宋体" w:cs="宋体"/>
          <w:color w:val="auto"/>
          <w:kern w:val="0"/>
          <w:sz w:val="36"/>
          <w:szCs w:val="36"/>
          <w:highlight w:val="none"/>
          <w:lang w:val="en-US" w:eastAsia="zh-CN" w:bidi="ar"/>
        </w:rPr>
        <w:br w:type="page"/>
      </w:r>
    </w:p>
    <w:p w14:paraId="527B339C">
      <w:pPr>
        <w:rPr>
          <w:rFonts w:hint="eastAsia" w:ascii="宋体" w:hAnsi="宋体" w:cs="宋体"/>
          <w:color w:val="auto"/>
          <w:kern w:val="0"/>
          <w:sz w:val="36"/>
          <w:szCs w:val="36"/>
          <w:highlight w:val="none"/>
          <w:lang w:val="en-US" w:eastAsia="zh-CN" w:bidi="ar"/>
        </w:rPr>
      </w:pPr>
      <w:r>
        <w:rPr>
          <w:rFonts w:hint="eastAsia" w:ascii="宋体" w:hAnsi="宋体" w:cs="宋体"/>
          <w:color w:val="auto"/>
          <w:kern w:val="0"/>
          <w:sz w:val="36"/>
          <w:szCs w:val="36"/>
          <w:highlight w:val="none"/>
          <w:lang w:val="en-US" w:eastAsia="zh-CN" w:bidi="ar"/>
        </w:rPr>
        <w:t>附件2：VTE</w:t>
      </w:r>
      <w:r>
        <w:rPr>
          <w:rFonts w:hint="eastAsia"/>
          <w:color w:val="auto"/>
          <w:sz w:val="36"/>
          <w:szCs w:val="36"/>
          <w:highlight w:val="none"/>
          <w:vertAlign w:val="baseline"/>
          <w:lang w:val="en-US" w:eastAsia="zh-CN"/>
        </w:rPr>
        <w:t>系统</w:t>
      </w:r>
      <w:r>
        <w:rPr>
          <w:rFonts w:hint="eastAsia" w:ascii="宋体" w:hAnsi="宋体" w:cs="宋体"/>
          <w:color w:val="auto"/>
          <w:kern w:val="0"/>
          <w:sz w:val="36"/>
          <w:szCs w:val="36"/>
          <w:highlight w:val="none"/>
          <w:lang w:val="en-US" w:eastAsia="zh-CN" w:bidi="ar"/>
        </w:rPr>
        <w:t>软件功能要求</w:t>
      </w:r>
    </w:p>
    <w:p w14:paraId="54EDA57B">
      <w:pPr>
        <w:keepNext w:val="0"/>
        <w:keepLines w:val="0"/>
        <w:pageBreakBefore w:val="0"/>
        <w:widowControl w:val="0"/>
        <w:kinsoku/>
        <w:wordWrap/>
        <w:overflowPunct/>
        <w:topLinePunct w:val="0"/>
        <w:autoSpaceDE/>
        <w:autoSpaceDN/>
        <w:bidi w:val="0"/>
        <w:adjustRightInd/>
        <w:snapToGrid/>
        <w:spacing w:before="78"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11"/>
          <w:sz w:val="21"/>
          <w:szCs w:val="21"/>
          <w:highlight w:val="none"/>
          <w:lang w:val="en-US" w:eastAsia="zh-CN"/>
        </w:rPr>
        <w:t>一、</w:t>
      </w:r>
      <w:r>
        <w:rPr>
          <w:rFonts w:hint="eastAsia" w:ascii="宋体" w:hAnsi="宋体" w:eastAsia="宋体" w:cs="宋体"/>
          <w:b/>
          <w:bCs/>
          <w:color w:val="auto"/>
          <w:spacing w:val="-11"/>
          <w:sz w:val="21"/>
          <w:szCs w:val="21"/>
          <w:highlight w:val="none"/>
        </w:rPr>
        <w:t>系统功能列表</w:t>
      </w:r>
    </w:p>
    <w:tbl>
      <w:tblPr>
        <w:tblStyle w:val="118"/>
        <w:tblW w:w="89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2188"/>
        <w:gridCol w:w="1"/>
        <w:gridCol w:w="5747"/>
        <w:gridCol w:w="1"/>
      </w:tblGrid>
      <w:tr w14:paraId="1A021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shd w:val="clear" w:color="auto" w:fill="auto"/>
            <w:vAlign w:val="top"/>
          </w:tcPr>
          <w:p w14:paraId="246AEEBB">
            <w:pPr>
              <w:pStyle w:val="132"/>
              <w:keepNext w:val="0"/>
              <w:keepLines w:val="0"/>
              <w:pageBreakBefore w:val="0"/>
              <w:widowControl w:val="0"/>
              <w:kinsoku/>
              <w:wordWrap/>
              <w:overflowPunct/>
              <w:topLinePunct w:val="0"/>
              <w:autoSpaceDE/>
              <w:autoSpaceDN/>
              <w:bidi w:val="0"/>
              <w:adjustRightInd/>
              <w:snapToGrid/>
              <w:spacing w:before="29" w:line="400" w:lineRule="exact"/>
              <w:ind w:left="34"/>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9"/>
                <w:sz w:val="21"/>
                <w:szCs w:val="21"/>
                <w:highlight w:val="none"/>
              </w:rPr>
              <w:t>序号</w:t>
            </w:r>
          </w:p>
        </w:tc>
        <w:tc>
          <w:tcPr>
            <w:tcW w:w="2189" w:type="dxa"/>
            <w:gridSpan w:val="2"/>
            <w:shd w:val="clear" w:color="auto" w:fill="auto"/>
            <w:vAlign w:val="top"/>
          </w:tcPr>
          <w:p w14:paraId="17A25EE5">
            <w:pPr>
              <w:pStyle w:val="132"/>
              <w:keepNext w:val="0"/>
              <w:keepLines w:val="0"/>
              <w:pageBreakBefore w:val="0"/>
              <w:widowControl w:val="0"/>
              <w:kinsoku/>
              <w:wordWrap/>
              <w:overflowPunct/>
              <w:topLinePunct w:val="0"/>
              <w:autoSpaceDE/>
              <w:autoSpaceDN/>
              <w:bidi w:val="0"/>
              <w:adjustRightInd/>
              <w:snapToGrid/>
              <w:spacing w:before="15" w:line="400" w:lineRule="exact"/>
              <w:ind w:left="831"/>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系统</w:t>
            </w:r>
          </w:p>
        </w:tc>
        <w:tc>
          <w:tcPr>
            <w:tcW w:w="5748" w:type="dxa"/>
            <w:gridSpan w:val="2"/>
            <w:shd w:val="clear" w:color="auto" w:fill="auto"/>
            <w:vAlign w:val="top"/>
          </w:tcPr>
          <w:p w14:paraId="5FE57991">
            <w:pPr>
              <w:pStyle w:val="132"/>
              <w:keepNext w:val="0"/>
              <w:keepLines w:val="0"/>
              <w:pageBreakBefore w:val="0"/>
              <w:widowControl w:val="0"/>
              <w:kinsoku/>
              <w:wordWrap/>
              <w:overflowPunct/>
              <w:topLinePunct w:val="0"/>
              <w:autoSpaceDE/>
              <w:autoSpaceDN/>
              <w:bidi w:val="0"/>
              <w:adjustRightInd/>
              <w:snapToGrid/>
              <w:spacing w:before="18" w:line="400" w:lineRule="exact"/>
              <w:ind w:left="2603"/>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6"/>
                <w:sz w:val="21"/>
                <w:szCs w:val="21"/>
                <w:highlight w:val="none"/>
              </w:rPr>
              <w:t>模块</w:t>
            </w:r>
          </w:p>
        </w:tc>
      </w:tr>
      <w:tr w14:paraId="79F0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18AB6C58">
            <w:pPr>
              <w:pStyle w:val="132"/>
              <w:keepNext w:val="0"/>
              <w:keepLines w:val="0"/>
              <w:pageBreakBefore w:val="0"/>
              <w:widowControl w:val="0"/>
              <w:kinsoku/>
              <w:wordWrap/>
              <w:overflowPunct/>
              <w:topLinePunct w:val="0"/>
              <w:autoSpaceDE/>
              <w:autoSpaceDN/>
              <w:bidi w:val="0"/>
              <w:adjustRightInd/>
              <w:snapToGrid/>
              <w:spacing w:before="92" w:line="400" w:lineRule="exact"/>
              <w:ind w:left="28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9" w:type="dxa"/>
            <w:gridSpan w:val="2"/>
            <w:vMerge w:val="restart"/>
            <w:tcBorders>
              <w:bottom w:val="nil"/>
            </w:tcBorders>
            <w:vAlign w:val="center"/>
          </w:tcPr>
          <w:p w14:paraId="590952AE">
            <w:pPr>
              <w:pStyle w:val="132"/>
              <w:keepNext w:val="0"/>
              <w:keepLines w:val="0"/>
              <w:pageBreakBefore w:val="0"/>
              <w:widowControl w:val="0"/>
              <w:kinsoku/>
              <w:wordWrap/>
              <w:overflowPunct/>
              <w:topLinePunct w:val="0"/>
              <w:autoSpaceDE/>
              <w:autoSpaceDN/>
              <w:bidi w:val="0"/>
              <w:adjustRightInd/>
              <w:snapToGrid/>
              <w:spacing w:before="75" w:line="400" w:lineRule="exact"/>
              <w:ind w:left="8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数据采集</w:t>
            </w:r>
          </w:p>
        </w:tc>
        <w:tc>
          <w:tcPr>
            <w:tcW w:w="5748" w:type="dxa"/>
            <w:gridSpan w:val="2"/>
            <w:vAlign w:val="top"/>
          </w:tcPr>
          <w:p w14:paraId="7E0B8035">
            <w:pPr>
              <w:pStyle w:val="132"/>
              <w:keepNext w:val="0"/>
              <w:keepLines w:val="0"/>
              <w:pageBreakBefore w:val="0"/>
              <w:widowControl w:val="0"/>
              <w:kinsoku/>
              <w:wordWrap/>
              <w:overflowPunct/>
              <w:topLinePunct w:val="0"/>
              <w:autoSpaceDE/>
              <w:autoSpaceDN/>
              <w:bidi w:val="0"/>
              <w:adjustRightInd/>
              <w:snapToGrid/>
              <w:spacing w:before="38"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基本数据</w:t>
            </w:r>
          </w:p>
        </w:tc>
      </w:tr>
      <w:tr w14:paraId="4B5DC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13437DFC">
            <w:pPr>
              <w:pStyle w:val="132"/>
              <w:keepNext w:val="0"/>
              <w:keepLines w:val="0"/>
              <w:pageBreakBefore w:val="0"/>
              <w:widowControl w:val="0"/>
              <w:kinsoku/>
              <w:wordWrap/>
              <w:overflowPunct/>
              <w:topLinePunct w:val="0"/>
              <w:autoSpaceDE/>
              <w:autoSpaceDN/>
              <w:bidi w:val="0"/>
              <w:adjustRightInd/>
              <w:snapToGrid/>
              <w:spacing w:before="102" w:line="400" w:lineRule="exact"/>
              <w:ind w:left="28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89" w:type="dxa"/>
            <w:gridSpan w:val="2"/>
            <w:vMerge w:val="continue"/>
            <w:tcBorders>
              <w:top w:val="nil"/>
              <w:bottom w:val="nil"/>
            </w:tcBorders>
            <w:vAlign w:val="top"/>
          </w:tcPr>
          <w:p w14:paraId="1F87E2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E3A1D0D">
            <w:pPr>
              <w:pStyle w:val="132"/>
              <w:keepNext w:val="0"/>
              <w:keepLines w:val="0"/>
              <w:pageBreakBefore w:val="0"/>
              <w:widowControl w:val="0"/>
              <w:kinsoku/>
              <w:wordWrap/>
              <w:overflowPunct/>
              <w:topLinePunct w:val="0"/>
              <w:autoSpaceDE/>
              <w:autoSpaceDN/>
              <w:bidi w:val="0"/>
              <w:adjustRightInd/>
              <w:snapToGrid/>
              <w:spacing w:before="39"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医嘱数据</w:t>
            </w:r>
          </w:p>
        </w:tc>
      </w:tr>
      <w:tr w14:paraId="3043D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14AE69E9">
            <w:pPr>
              <w:pStyle w:val="132"/>
              <w:keepNext w:val="0"/>
              <w:keepLines w:val="0"/>
              <w:pageBreakBefore w:val="0"/>
              <w:widowControl w:val="0"/>
              <w:kinsoku/>
              <w:wordWrap/>
              <w:overflowPunct/>
              <w:topLinePunct w:val="0"/>
              <w:autoSpaceDE/>
              <w:autoSpaceDN/>
              <w:bidi w:val="0"/>
              <w:adjustRightInd/>
              <w:snapToGrid/>
              <w:spacing w:before="82" w:line="400" w:lineRule="exact"/>
              <w:ind w:left="28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89" w:type="dxa"/>
            <w:gridSpan w:val="2"/>
            <w:vMerge w:val="continue"/>
            <w:tcBorders>
              <w:top w:val="nil"/>
              <w:bottom w:val="nil"/>
            </w:tcBorders>
            <w:vAlign w:val="top"/>
          </w:tcPr>
          <w:p w14:paraId="375735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4260533D">
            <w:pPr>
              <w:pStyle w:val="132"/>
              <w:keepNext w:val="0"/>
              <w:keepLines w:val="0"/>
              <w:pageBreakBefore w:val="0"/>
              <w:widowControl w:val="0"/>
              <w:kinsoku/>
              <w:wordWrap/>
              <w:overflowPunct/>
              <w:topLinePunct w:val="0"/>
              <w:autoSpaceDE/>
              <w:autoSpaceDN/>
              <w:bidi w:val="0"/>
              <w:adjustRightInd/>
              <w:snapToGrid/>
              <w:spacing w:before="2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诊断数据</w:t>
            </w:r>
          </w:p>
        </w:tc>
      </w:tr>
      <w:tr w14:paraId="28DE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219E01ED">
            <w:pPr>
              <w:pStyle w:val="132"/>
              <w:keepNext w:val="0"/>
              <w:keepLines w:val="0"/>
              <w:pageBreakBefore w:val="0"/>
              <w:widowControl w:val="0"/>
              <w:kinsoku/>
              <w:wordWrap/>
              <w:overflowPunct/>
              <w:topLinePunct w:val="0"/>
              <w:autoSpaceDE/>
              <w:autoSpaceDN/>
              <w:bidi w:val="0"/>
              <w:adjustRightInd/>
              <w:snapToGrid/>
              <w:spacing w:before="83" w:line="400" w:lineRule="exact"/>
              <w:ind w:left="28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89" w:type="dxa"/>
            <w:gridSpan w:val="2"/>
            <w:vMerge w:val="continue"/>
            <w:tcBorders>
              <w:top w:val="nil"/>
              <w:bottom w:val="nil"/>
            </w:tcBorders>
            <w:vAlign w:val="top"/>
          </w:tcPr>
          <w:p w14:paraId="0D2275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5E4BC7CB">
            <w:pPr>
              <w:pStyle w:val="132"/>
              <w:keepNext w:val="0"/>
              <w:keepLines w:val="0"/>
              <w:pageBreakBefore w:val="0"/>
              <w:widowControl w:val="0"/>
              <w:kinsoku/>
              <w:wordWrap/>
              <w:overflowPunct/>
              <w:topLinePunct w:val="0"/>
              <w:autoSpaceDE/>
              <w:autoSpaceDN/>
              <w:bidi w:val="0"/>
              <w:adjustRightInd/>
              <w:snapToGrid/>
              <w:spacing w:before="3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手术数据</w:t>
            </w:r>
          </w:p>
        </w:tc>
      </w:tr>
      <w:tr w14:paraId="30646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69E31938">
            <w:pPr>
              <w:pStyle w:val="132"/>
              <w:keepNext w:val="0"/>
              <w:keepLines w:val="0"/>
              <w:pageBreakBefore w:val="0"/>
              <w:widowControl w:val="0"/>
              <w:kinsoku/>
              <w:wordWrap/>
              <w:overflowPunct/>
              <w:topLinePunct w:val="0"/>
              <w:autoSpaceDE/>
              <w:autoSpaceDN/>
              <w:bidi w:val="0"/>
              <w:adjustRightInd/>
              <w:snapToGrid/>
              <w:spacing w:before="92" w:line="400" w:lineRule="exact"/>
              <w:ind w:left="28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89" w:type="dxa"/>
            <w:gridSpan w:val="2"/>
            <w:vMerge w:val="continue"/>
            <w:tcBorders>
              <w:top w:val="nil"/>
              <w:bottom w:val="nil"/>
            </w:tcBorders>
            <w:vAlign w:val="top"/>
          </w:tcPr>
          <w:p w14:paraId="4B36DE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5FC268E">
            <w:pPr>
              <w:pStyle w:val="132"/>
              <w:keepNext w:val="0"/>
              <w:keepLines w:val="0"/>
              <w:pageBreakBefore w:val="0"/>
              <w:widowControl w:val="0"/>
              <w:kinsoku/>
              <w:wordWrap/>
              <w:overflowPunct/>
              <w:topLinePunct w:val="0"/>
              <w:autoSpaceDE/>
              <w:autoSpaceDN/>
              <w:bidi w:val="0"/>
              <w:adjustRightInd/>
              <w:snapToGrid/>
              <w:spacing w:before="3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检验数据</w:t>
            </w:r>
          </w:p>
        </w:tc>
      </w:tr>
      <w:tr w14:paraId="350D8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1AA0BBFA">
            <w:pPr>
              <w:pStyle w:val="132"/>
              <w:keepNext w:val="0"/>
              <w:keepLines w:val="0"/>
              <w:pageBreakBefore w:val="0"/>
              <w:widowControl w:val="0"/>
              <w:kinsoku/>
              <w:wordWrap/>
              <w:overflowPunct/>
              <w:topLinePunct w:val="0"/>
              <w:autoSpaceDE/>
              <w:autoSpaceDN/>
              <w:bidi w:val="0"/>
              <w:adjustRightInd/>
              <w:snapToGrid/>
              <w:spacing w:before="92" w:line="400" w:lineRule="exact"/>
              <w:ind w:left="28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189" w:type="dxa"/>
            <w:gridSpan w:val="2"/>
            <w:vMerge w:val="continue"/>
            <w:tcBorders>
              <w:top w:val="nil"/>
              <w:bottom w:val="nil"/>
            </w:tcBorders>
            <w:vAlign w:val="top"/>
          </w:tcPr>
          <w:p w14:paraId="705D18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2E53A14F">
            <w:pPr>
              <w:pStyle w:val="132"/>
              <w:keepNext w:val="0"/>
              <w:keepLines w:val="0"/>
              <w:pageBreakBefore w:val="0"/>
              <w:widowControl w:val="0"/>
              <w:kinsoku/>
              <w:wordWrap/>
              <w:overflowPunct/>
              <w:topLinePunct w:val="0"/>
              <w:autoSpaceDE/>
              <w:autoSpaceDN/>
              <w:bidi w:val="0"/>
              <w:adjustRightInd/>
              <w:snapToGrid/>
              <w:spacing w:before="3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检查数据</w:t>
            </w:r>
          </w:p>
        </w:tc>
      </w:tr>
      <w:tr w14:paraId="3901B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6E1B6F45">
            <w:pPr>
              <w:pStyle w:val="132"/>
              <w:keepNext w:val="0"/>
              <w:keepLines w:val="0"/>
              <w:pageBreakBefore w:val="0"/>
              <w:widowControl w:val="0"/>
              <w:kinsoku/>
              <w:wordWrap/>
              <w:overflowPunct/>
              <w:topLinePunct w:val="0"/>
              <w:autoSpaceDE/>
              <w:autoSpaceDN/>
              <w:bidi w:val="0"/>
              <w:adjustRightInd/>
              <w:snapToGrid/>
              <w:spacing w:before="72" w:line="400" w:lineRule="exact"/>
              <w:ind w:left="28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189" w:type="dxa"/>
            <w:gridSpan w:val="2"/>
            <w:vMerge w:val="continue"/>
            <w:tcBorders>
              <w:top w:val="nil"/>
            </w:tcBorders>
            <w:vAlign w:val="top"/>
          </w:tcPr>
          <w:p w14:paraId="179AE6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03CBBC96">
            <w:pPr>
              <w:pStyle w:val="132"/>
              <w:keepNext w:val="0"/>
              <w:keepLines w:val="0"/>
              <w:pageBreakBefore w:val="0"/>
              <w:widowControl w:val="0"/>
              <w:kinsoku/>
              <w:wordWrap/>
              <w:overflowPunct/>
              <w:topLinePunct w:val="0"/>
              <w:autoSpaceDE/>
              <w:autoSpaceDN/>
              <w:bidi w:val="0"/>
              <w:adjustRightInd/>
              <w:snapToGrid/>
              <w:spacing w:before="5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电子病历数据</w:t>
            </w:r>
          </w:p>
        </w:tc>
      </w:tr>
      <w:tr w14:paraId="59AD6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559B1BFE">
            <w:pPr>
              <w:pStyle w:val="132"/>
              <w:keepNext w:val="0"/>
              <w:keepLines w:val="0"/>
              <w:pageBreakBefore w:val="0"/>
              <w:widowControl w:val="0"/>
              <w:kinsoku/>
              <w:wordWrap/>
              <w:overflowPunct/>
              <w:topLinePunct w:val="0"/>
              <w:autoSpaceDE/>
              <w:autoSpaceDN/>
              <w:bidi w:val="0"/>
              <w:adjustRightInd/>
              <w:snapToGrid/>
              <w:spacing w:before="82" w:line="400" w:lineRule="exact"/>
              <w:ind w:left="28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189" w:type="dxa"/>
            <w:gridSpan w:val="2"/>
            <w:vAlign w:val="top"/>
          </w:tcPr>
          <w:p w14:paraId="5C2025A8">
            <w:pPr>
              <w:pStyle w:val="132"/>
              <w:keepNext w:val="0"/>
              <w:keepLines w:val="0"/>
              <w:pageBreakBefore w:val="0"/>
              <w:widowControl w:val="0"/>
              <w:kinsoku/>
              <w:wordWrap/>
              <w:overflowPunct/>
              <w:topLinePunct w:val="0"/>
              <w:autoSpaceDE/>
              <w:autoSpaceDN/>
              <w:bidi w:val="0"/>
              <w:adjustRightInd/>
              <w:snapToGrid/>
              <w:spacing w:before="40" w:line="400" w:lineRule="exact"/>
              <w:ind w:left="8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▲数据智能处理</w:t>
            </w:r>
          </w:p>
        </w:tc>
        <w:tc>
          <w:tcPr>
            <w:tcW w:w="5748" w:type="dxa"/>
            <w:gridSpan w:val="2"/>
            <w:vAlign w:val="top"/>
          </w:tcPr>
          <w:p w14:paraId="213F9F8F">
            <w:pPr>
              <w:pStyle w:val="132"/>
              <w:keepNext w:val="0"/>
              <w:keepLines w:val="0"/>
              <w:pageBreakBefore w:val="0"/>
              <w:widowControl w:val="0"/>
              <w:kinsoku/>
              <w:wordWrap/>
              <w:overflowPunct/>
              <w:topLinePunct w:val="0"/>
              <w:autoSpaceDE/>
              <w:autoSpaceDN/>
              <w:bidi w:val="0"/>
              <w:adjustRightInd/>
              <w:snapToGrid/>
              <w:spacing w:before="6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诊疗数据自然语言处理</w:t>
            </w:r>
          </w:p>
        </w:tc>
      </w:tr>
      <w:tr w14:paraId="784F6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68F64C1F">
            <w:pPr>
              <w:pStyle w:val="132"/>
              <w:keepNext w:val="0"/>
              <w:keepLines w:val="0"/>
              <w:pageBreakBefore w:val="0"/>
              <w:widowControl w:val="0"/>
              <w:kinsoku/>
              <w:wordWrap/>
              <w:overflowPunct/>
              <w:topLinePunct w:val="0"/>
              <w:autoSpaceDE/>
              <w:autoSpaceDN/>
              <w:bidi w:val="0"/>
              <w:adjustRightInd/>
              <w:snapToGrid/>
              <w:spacing w:before="92" w:line="400" w:lineRule="exact"/>
              <w:ind w:left="28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189" w:type="dxa"/>
            <w:gridSpan w:val="2"/>
            <w:vAlign w:val="top"/>
          </w:tcPr>
          <w:p w14:paraId="52FB0BC9">
            <w:pPr>
              <w:pStyle w:val="132"/>
              <w:keepNext w:val="0"/>
              <w:keepLines w:val="0"/>
              <w:pageBreakBefore w:val="0"/>
              <w:widowControl w:val="0"/>
              <w:kinsoku/>
              <w:wordWrap/>
              <w:overflowPunct/>
              <w:topLinePunct w:val="0"/>
              <w:autoSpaceDE/>
              <w:autoSpaceDN/>
              <w:bidi w:val="0"/>
              <w:adjustRightInd/>
              <w:snapToGrid/>
              <w:spacing w:before="28" w:line="400" w:lineRule="exact"/>
              <w:ind w:left="8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评估模型配置</w:t>
            </w:r>
          </w:p>
        </w:tc>
        <w:tc>
          <w:tcPr>
            <w:tcW w:w="5748" w:type="dxa"/>
            <w:gridSpan w:val="2"/>
            <w:vAlign w:val="top"/>
          </w:tcPr>
          <w:p w14:paraId="4FE12998">
            <w:pPr>
              <w:pStyle w:val="132"/>
              <w:keepNext w:val="0"/>
              <w:keepLines w:val="0"/>
              <w:pageBreakBefore w:val="0"/>
              <w:widowControl w:val="0"/>
              <w:kinsoku/>
              <w:wordWrap/>
              <w:overflowPunct/>
              <w:topLinePunct w:val="0"/>
              <w:autoSpaceDE/>
              <w:autoSpaceDN/>
              <w:bidi w:val="0"/>
              <w:adjustRightInd/>
              <w:snapToGrid/>
              <w:spacing w:before="28"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评估模型规则配置</w:t>
            </w:r>
          </w:p>
        </w:tc>
      </w:tr>
      <w:tr w14:paraId="1D61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368B1FD6">
            <w:pPr>
              <w:pStyle w:val="132"/>
              <w:keepNext w:val="0"/>
              <w:keepLines w:val="0"/>
              <w:pageBreakBefore w:val="0"/>
              <w:widowControl w:val="0"/>
              <w:kinsoku/>
              <w:wordWrap/>
              <w:overflowPunct/>
              <w:topLinePunct w:val="0"/>
              <w:autoSpaceDE/>
              <w:autoSpaceDN/>
              <w:bidi w:val="0"/>
              <w:adjustRightInd/>
              <w:snapToGrid/>
              <w:spacing w:before="73"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10</w:t>
            </w:r>
          </w:p>
        </w:tc>
        <w:tc>
          <w:tcPr>
            <w:tcW w:w="2189" w:type="dxa"/>
            <w:gridSpan w:val="2"/>
            <w:vMerge w:val="restart"/>
            <w:tcBorders>
              <w:bottom w:val="nil"/>
            </w:tcBorders>
            <w:vAlign w:val="center"/>
          </w:tcPr>
          <w:p w14:paraId="6523FF18">
            <w:pPr>
              <w:pStyle w:val="132"/>
              <w:keepNext w:val="0"/>
              <w:keepLines w:val="0"/>
              <w:pageBreakBefore w:val="0"/>
              <w:widowControl w:val="0"/>
              <w:kinsoku/>
              <w:wordWrap/>
              <w:overflowPunct/>
              <w:topLinePunct w:val="0"/>
              <w:autoSpaceDE/>
              <w:autoSpaceDN/>
              <w:bidi w:val="0"/>
              <w:adjustRightInd/>
              <w:snapToGrid/>
              <w:spacing w:before="75" w:line="400" w:lineRule="exact"/>
              <w:ind w:left="8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▲病例自动评估</w:t>
            </w:r>
          </w:p>
        </w:tc>
        <w:tc>
          <w:tcPr>
            <w:tcW w:w="5748" w:type="dxa"/>
            <w:gridSpan w:val="2"/>
            <w:vAlign w:val="top"/>
          </w:tcPr>
          <w:p w14:paraId="3687BE69">
            <w:pPr>
              <w:pStyle w:val="132"/>
              <w:keepNext w:val="0"/>
              <w:keepLines w:val="0"/>
              <w:pageBreakBefore w:val="0"/>
              <w:widowControl w:val="0"/>
              <w:kinsoku/>
              <w:wordWrap/>
              <w:overflowPunct/>
              <w:topLinePunct w:val="0"/>
              <w:autoSpaceDE/>
              <w:autoSpaceDN/>
              <w:bidi w:val="0"/>
              <w:adjustRightInd/>
              <w:snapToGrid/>
              <w:spacing w:before="29"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风险评估</w:t>
            </w:r>
          </w:p>
        </w:tc>
      </w:tr>
      <w:tr w14:paraId="5BA7E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1159EE98">
            <w:pPr>
              <w:pStyle w:val="132"/>
              <w:keepNext w:val="0"/>
              <w:keepLines w:val="0"/>
              <w:pageBreakBefore w:val="0"/>
              <w:widowControl w:val="0"/>
              <w:kinsoku/>
              <w:wordWrap/>
              <w:overflowPunct/>
              <w:topLinePunct w:val="0"/>
              <w:autoSpaceDE/>
              <w:autoSpaceDN/>
              <w:bidi w:val="0"/>
              <w:adjustRightInd/>
              <w:snapToGrid/>
              <w:spacing w:before="95"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11</w:t>
            </w:r>
          </w:p>
        </w:tc>
        <w:tc>
          <w:tcPr>
            <w:tcW w:w="2189" w:type="dxa"/>
            <w:gridSpan w:val="2"/>
            <w:vMerge w:val="continue"/>
            <w:tcBorders>
              <w:top w:val="nil"/>
              <w:bottom w:val="nil"/>
            </w:tcBorders>
            <w:vAlign w:val="top"/>
          </w:tcPr>
          <w:p w14:paraId="2BF25F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6B31915">
            <w:pPr>
              <w:pStyle w:val="132"/>
              <w:keepNext w:val="0"/>
              <w:keepLines w:val="0"/>
              <w:pageBreakBefore w:val="0"/>
              <w:widowControl w:val="0"/>
              <w:kinsoku/>
              <w:wordWrap/>
              <w:overflowPunct/>
              <w:topLinePunct w:val="0"/>
              <w:autoSpaceDE/>
              <w:autoSpaceDN/>
              <w:bidi w:val="0"/>
              <w:adjustRightInd/>
              <w:snapToGrid/>
              <w:spacing w:before="3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出血评估</w:t>
            </w:r>
          </w:p>
        </w:tc>
      </w:tr>
      <w:tr w14:paraId="7AA7B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16433337">
            <w:pPr>
              <w:pStyle w:val="132"/>
              <w:keepNext w:val="0"/>
              <w:keepLines w:val="0"/>
              <w:pageBreakBefore w:val="0"/>
              <w:widowControl w:val="0"/>
              <w:kinsoku/>
              <w:wordWrap/>
              <w:overflowPunct/>
              <w:topLinePunct w:val="0"/>
              <w:autoSpaceDE/>
              <w:autoSpaceDN/>
              <w:bidi w:val="0"/>
              <w:adjustRightInd/>
              <w:snapToGrid/>
              <w:spacing w:before="76"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w:t>
            </w:r>
          </w:p>
        </w:tc>
        <w:tc>
          <w:tcPr>
            <w:tcW w:w="2189" w:type="dxa"/>
            <w:gridSpan w:val="2"/>
            <w:vMerge w:val="continue"/>
            <w:tcBorders>
              <w:top w:val="nil"/>
              <w:bottom w:val="nil"/>
            </w:tcBorders>
            <w:vAlign w:val="top"/>
          </w:tcPr>
          <w:p w14:paraId="0C774C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40B76424">
            <w:pPr>
              <w:pStyle w:val="132"/>
              <w:keepNext w:val="0"/>
              <w:keepLines w:val="0"/>
              <w:pageBreakBefore w:val="0"/>
              <w:widowControl w:val="0"/>
              <w:kinsoku/>
              <w:wordWrap/>
              <w:overflowPunct/>
              <w:topLinePunct w:val="0"/>
              <w:autoSpaceDE/>
              <w:autoSpaceDN/>
              <w:bidi w:val="0"/>
              <w:adjustRightInd/>
              <w:snapToGrid/>
              <w:spacing w:before="21"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临床可能性评估</w:t>
            </w:r>
          </w:p>
        </w:tc>
      </w:tr>
      <w:tr w14:paraId="19FB0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754E29FB">
            <w:pPr>
              <w:pStyle w:val="132"/>
              <w:keepNext w:val="0"/>
              <w:keepLines w:val="0"/>
              <w:pageBreakBefore w:val="0"/>
              <w:widowControl w:val="0"/>
              <w:kinsoku/>
              <w:wordWrap/>
              <w:overflowPunct/>
              <w:topLinePunct w:val="0"/>
              <w:autoSpaceDE/>
              <w:autoSpaceDN/>
              <w:bidi w:val="0"/>
              <w:adjustRightInd/>
              <w:snapToGrid/>
              <w:spacing w:before="75"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13</w:t>
            </w:r>
          </w:p>
        </w:tc>
        <w:tc>
          <w:tcPr>
            <w:tcW w:w="2189" w:type="dxa"/>
            <w:gridSpan w:val="2"/>
            <w:vMerge w:val="continue"/>
            <w:tcBorders>
              <w:top w:val="nil"/>
              <w:bottom w:val="nil"/>
            </w:tcBorders>
            <w:vAlign w:val="top"/>
          </w:tcPr>
          <w:p w14:paraId="1C325D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153B2DC4">
            <w:pPr>
              <w:pStyle w:val="132"/>
              <w:keepNext w:val="0"/>
              <w:keepLines w:val="0"/>
              <w:pageBreakBefore w:val="0"/>
              <w:widowControl w:val="0"/>
              <w:kinsoku/>
              <w:wordWrap/>
              <w:overflowPunct/>
              <w:topLinePunct w:val="0"/>
              <w:autoSpaceDE/>
              <w:autoSpaceDN/>
              <w:bidi w:val="0"/>
              <w:adjustRightInd/>
              <w:snapToGrid/>
              <w:spacing w:before="31"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病例特征评估</w:t>
            </w:r>
          </w:p>
        </w:tc>
      </w:tr>
      <w:tr w14:paraId="0800E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1056DD9A">
            <w:pPr>
              <w:pStyle w:val="132"/>
              <w:keepNext w:val="0"/>
              <w:keepLines w:val="0"/>
              <w:pageBreakBefore w:val="0"/>
              <w:widowControl w:val="0"/>
              <w:kinsoku/>
              <w:wordWrap/>
              <w:overflowPunct/>
              <w:topLinePunct w:val="0"/>
              <w:autoSpaceDE/>
              <w:autoSpaceDN/>
              <w:bidi w:val="0"/>
              <w:adjustRightInd/>
              <w:snapToGrid/>
              <w:spacing w:before="76"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14</w:t>
            </w:r>
          </w:p>
        </w:tc>
        <w:tc>
          <w:tcPr>
            <w:tcW w:w="2189" w:type="dxa"/>
            <w:gridSpan w:val="2"/>
            <w:vMerge w:val="continue"/>
            <w:tcBorders>
              <w:top w:val="nil"/>
              <w:bottom w:val="nil"/>
            </w:tcBorders>
            <w:vAlign w:val="top"/>
          </w:tcPr>
          <w:p w14:paraId="20FA2F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6C1CAE5C">
            <w:pPr>
              <w:pStyle w:val="132"/>
              <w:keepNext w:val="0"/>
              <w:keepLines w:val="0"/>
              <w:pageBreakBefore w:val="0"/>
              <w:widowControl w:val="0"/>
              <w:kinsoku/>
              <w:wordWrap/>
              <w:overflowPunct/>
              <w:topLinePunct w:val="0"/>
              <w:autoSpaceDE/>
              <w:autoSpaceDN/>
              <w:bidi w:val="0"/>
              <w:adjustRightInd/>
              <w:snapToGrid/>
              <w:spacing w:before="31"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禁忌评估</w:t>
            </w:r>
          </w:p>
        </w:tc>
      </w:tr>
      <w:tr w14:paraId="4C2AA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0F1D1A72">
            <w:pPr>
              <w:pStyle w:val="132"/>
              <w:keepNext w:val="0"/>
              <w:keepLines w:val="0"/>
              <w:pageBreakBefore w:val="0"/>
              <w:widowControl w:val="0"/>
              <w:kinsoku/>
              <w:wordWrap/>
              <w:overflowPunct/>
              <w:topLinePunct w:val="0"/>
              <w:autoSpaceDE/>
              <w:autoSpaceDN/>
              <w:bidi w:val="0"/>
              <w:adjustRightInd/>
              <w:snapToGrid/>
              <w:spacing w:before="86"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15</w:t>
            </w:r>
          </w:p>
        </w:tc>
        <w:tc>
          <w:tcPr>
            <w:tcW w:w="2189" w:type="dxa"/>
            <w:gridSpan w:val="2"/>
            <w:vMerge w:val="continue"/>
            <w:tcBorders>
              <w:top w:val="nil"/>
            </w:tcBorders>
            <w:vAlign w:val="top"/>
          </w:tcPr>
          <w:p w14:paraId="2F9BDE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128EEF9A">
            <w:pPr>
              <w:pStyle w:val="132"/>
              <w:keepNext w:val="0"/>
              <w:keepLines w:val="0"/>
              <w:pageBreakBefore w:val="0"/>
              <w:widowControl w:val="0"/>
              <w:kinsoku/>
              <w:wordWrap/>
              <w:overflowPunct/>
              <w:topLinePunct w:val="0"/>
              <w:autoSpaceDE/>
              <w:autoSpaceDN/>
              <w:bidi w:val="0"/>
              <w:adjustRightInd/>
              <w:snapToGrid/>
              <w:spacing w:before="34"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肺栓塞危险分层</w:t>
            </w:r>
          </w:p>
        </w:tc>
      </w:tr>
      <w:tr w14:paraId="3A552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769AF49A">
            <w:pPr>
              <w:pStyle w:val="132"/>
              <w:keepNext w:val="0"/>
              <w:keepLines w:val="0"/>
              <w:pageBreakBefore w:val="0"/>
              <w:widowControl w:val="0"/>
              <w:kinsoku/>
              <w:wordWrap/>
              <w:overflowPunct/>
              <w:topLinePunct w:val="0"/>
              <w:autoSpaceDE/>
              <w:autoSpaceDN/>
              <w:bidi w:val="0"/>
              <w:adjustRightInd/>
              <w:snapToGrid/>
              <w:spacing w:before="76"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16</w:t>
            </w:r>
          </w:p>
        </w:tc>
        <w:tc>
          <w:tcPr>
            <w:tcW w:w="2189" w:type="dxa"/>
            <w:gridSpan w:val="2"/>
            <w:vMerge w:val="restart"/>
            <w:vAlign w:val="top"/>
          </w:tcPr>
          <w:p w14:paraId="026174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272E41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2FD360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4E8731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44CEDD29">
            <w:pPr>
              <w:pStyle w:val="132"/>
              <w:keepNext w:val="0"/>
              <w:keepLines w:val="0"/>
              <w:pageBreakBefore w:val="0"/>
              <w:widowControl w:val="0"/>
              <w:kinsoku/>
              <w:wordWrap/>
              <w:overflowPunct/>
              <w:topLinePunct w:val="0"/>
              <w:autoSpaceDE/>
              <w:autoSpaceDN/>
              <w:bidi w:val="0"/>
              <w:adjustRightInd/>
              <w:snapToGrid/>
              <w:spacing w:before="75" w:line="400" w:lineRule="exact"/>
              <w:ind w:left="8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▲护士站智慧护理</w:t>
            </w:r>
          </w:p>
        </w:tc>
        <w:tc>
          <w:tcPr>
            <w:tcW w:w="5748" w:type="dxa"/>
            <w:gridSpan w:val="2"/>
            <w:vAlign w:val="top"/>
          </w:tcPr>
          <w:p w14:paraId="5FD247CF">
            <w:pPr>
              <w:pStyle w:val="132"/>
              <w:keepNext w:val="0"/>
              <w:keepLines w:val="0"/>
              <w:pageBreakBefore w:val="0"/>
              <w:widowControl w:val="0"/>
              <w:kinsoku/>
              <w:wordWrap/>
              <w:overflowPunct/>
              <w:topLinePunct w:val="0"/>
              <w:autoSpaceDE/>
              <w:autoSpaceDN/>
              <w:bidi w:val="0"/>
              <w:adjustRightInd/>
              <w:snapToGrid/>
              <w:spacing w:before="34"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床位图标提醒</w:t>
            </w:r>
          </w:p>
        </w:tc>
      </w:tr>
      <w:tr w14:paraId="7F7AD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4F93B964">
            <w:pPr>
              <w:pStyle w:val="132"/>
              <w:keepNext w:val="0"/>
              <w:keepLines w:val="0"/>
              <w:pageBreakBefore w:val="0"/>
              <w:widowControl w:val="0"/>
              <w:kinsoku/>
              <w:wordWrap/>
              <w:overflowPunct/>
              <w:topLinePunct w:val="0"/>
              <w:autoSpaceDE/>
              <w:autoSpaceDN/>
              <w:bidi w:val="0"/>
              <w:adjustRightInd/>
              <w:snapToGrid/>
              <w:spacing w:before="77"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17</w:t>
            </w:r>
          </w:p>
        </w:tc>
        <w:tc>
          <w:tcPr>
            <w:tcW w:w="2189" w:type="dxa"/>
            <w:gridSpan w:val="2"/>
            <w:vMerge w:val="continue"/>
            <w:vAlign w:val="top"/>
          </w:tcPr>
          <w:p w14:paraId="355F69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098BA1B3">
            <w:pPr>
              <w:pStyle w:val="132"/>
              <w:keepNext w:val="0"/>
              <w:keepLines w:val="0"/>
              <w:pageBreakBefore w:val="0"/>
              <w:widowControl w:val="0"/>
              <w:kinsoku/>
              <w:wordWrap/>
              <w:overflowPunct/>
              <w:topLinePunct w:val="0"/>
              <w:autoSpaceDE/>
              <w:autoSpaceDN/>
              <w:bidi w:val="0"/>
              <w:adjustRightInd/>
              <w:snapToGrid/>
              <w:spacing w:before="26"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节点自动创建</w:t>
            </w:r>
          </w:p>
        </w:tc>
      </w:tr>
      <w:tr w14:paraId="643FC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585F43D2">
            <w:pPr>
              <w:pStyle w:val="132"/>
              <w:keepNext w:val="0"/>
              <w:keepLines w:val="0"/>
              <w:pageBreakBefore w:val="0"/>
              <w:widowControl w:val="0"/>
              <w:kinsoku/>
              <w:wordWrap/>
              <w:overflowPunct/>
              <w:topLinePunct w:val="0"/>
              <w:autoSpaceDE/>
              <w:autoSpaceDN/>
              <w:bidi w:val="0"/>
              <w:adjustRightInd/>
              <w:snapToGrid/>
              <w:spacing w:before="88"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18</w:t>
            </w:r>
          </w:p>
        </w:tc>
        <w:tc>
          <w:tcPr>
            <w:tcW w:w="2189" w:type="dxa"/>
            <w:gridSpan w:val="2"/>
            <w:vMerge w:val="continue"/>
            <w:vAlign w:val="top"/>
          </w:tcPr>
          <w:p w14:paraId="6B051E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76CFD944">
            <w:pPr>
              <w:pStyle w:val="132"/>
              <w:keepNext w:val="0"/>
              <w:keepLines w:val="0"/>
              <w:pageBreakBefore w:val="0"/>
              <w:widowControl w:val="0"/>
              <w:kinsoku/>
              <w:wordWrap/>
              <w:overflowPunct/>
              <w:topLinePunct w:val="0"/>
              <w:autoSpaceDE/>
              <w:autoSpaceDN/>
              <w:bidi w:val="0"/>
              <w:adjustRightInd/>
              <w:snapToGrid/>
              <w:spacing w:before="44"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节点审核评估</w:t>
            </w:r>
          </w:p>
        </w:tc>
      </w:tr>
      <w:tr w14:paraId="791B1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3D893F3A">
            <w:pPr>
              <w:pStyle w:val="132"/>
              <w:keepNext w:val="0"/>
              <w:keepLines w:val="0"/>
              <w:pageBreakBefore w:val="0"/>
              <w:widowControl w:val="0"/>
              <w:kinsoku/>
              <w:wordWrap/>
              <w:overflowPunct/>
              <w:topLinePunct w:val="0"/>
              <w:autoSpaceDE/>
              <w:autoSpaceDN/>
              <w:bidi w:val="0"/>
              <w:adjustRightInd/>
              <w:snapToGrid/>
              <w:spacing w:before="88"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19</w:t>
            </w:r>
          </w:p>
        </w:tc>
        <w:tc>
          <w:tcPr>
            <w:tcW w:w="2189" w:type="dxa"/>
            <w:gridSpan w:val="2"/>
            <w:vMerge w:val="continue"/>
            <w:vAlign w:val="top"/>
          </w:tcPr>
          <w:p w14:paraId="50012E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4CC14C07">
            <w:pPr>
              <w:pStyle w:val="132"/>
              <w:keepNext w:val="0"/>
              <w:keepLines w:val="0"/>
              <w:pageBreakBefore w:val="0"/>
              <w:widowControl w:val="0"/>
              <w:kinsoku/>
              <w:wordWrap/>
              <w:overflowPunct/>
              <w:topLinePunct w:val="0"/>
              <w:autoSpaceDE/>
              <w:autoSpaceDN/>
              <w:bidi w:val="0"/>
              <w:adjustRightInd/>
              <w:snapToGrid/>
              <w:spacing w:before="46"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节点趋势图</w:t>
            </w:r>
          </w:p>
        </w:tc>
      </w:tr>
      <w:tr w14:paraId="5A5DB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1915CAF6">
            <w:pPr>
              <w:pStyle w:val="132"/>
              <w:keepNext w:val="0"/>
              <w:keepLines w:val="0"/>
              <w:pageBreakBefore w:val="0"/>
              <w:widowControl w:val="0"/>
              <w:kinsoku/>
              <w:wordWrap/>
              <w:overflowPunct/>
              <w:topLinePunct w:val="0"/>
              <w:autoSpaceDE/>
              <w:autoSpaceDN/>
              <w:bidi w:val="0"/>
              <w:adjustRightInd/>
              <w:snapToGrid/>
              <w:spacing w:before="78"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20</w:t>
            </w:r>
          </w:p>
        </w:tc>
        <w:tc>
          <w:tcPr>
            <w:tcW w:w="2189" w:type="dxa"/>
            <w:gridSpan w:val="2"/>
            <w:vMerge w:val="continue"/>
            <w:vAlign w:val="top"/>
          </w:tcPr>
          <w:p w14:paraId="56926B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11FDF4D4">
            <w:pPr>
              <w:pStyle w:val="132"/>
              <w:keepNext w:val="0"/>
              <w:keepLines w:val="0"/>
              <w:pageBreakBefore w:val="0"/>
              <w:widowControl w:val="0"/>
              <w:kinsoku/>
              <w:wordWrap/>
              <w:overflowPunct/>
              <w:topLinePunct w:val="0"/>
              <w:autoSpaceDE/>
              <w:autoSpaceDN/>
              <w:bidi w:val="0"/>
              <w:adjustRightInd/>
              <w:snapToGrid/>
              <w:spacing w:before="46"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单节点打印表单</w:t>
            </w:r>
          </w:p>
        </w:tc>
      </w:tr>
      <w:tr w14:paraId="27041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202DEA9A">
            <w:pPr>
              <w:pStyle w:val="132"/>
              <w:keepNext w:val="0"/>
              <w:keepLines w:val="0"/>
              <w:pageBreakBefore w:val="0"/>
              <w:widowControl w:val="0"/>
              <w:kinsoku/>
              <w:wordWrap/>
              <w:overflowPunct/>
              <w:topLinePunct w:val="0"/>
              <w:autoSpaceDE/>
              <w:autoSpaceDN/>
              <w:bidi w:val="0"/>
              <w:adjustRightInd/>
              <w:snapToGrid/>
              <w:spacing w:before="70"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w:t>
            </w:r>
          </w:p>
        </w:tc>
        <w:tc>
          <w:tcPr>
            <w:tcW w:w="2189" w:type="dxa"/>
            <w:gridSpan w:val="2"/>
            <w:vMerge w:val="continue"/>
            <w:vAlign w:val="top"/>
          </w:tcPr>
          <w:p w14:paraId="0AF5D3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5FB624B7">
            <w:pPr>
              <w:pStyle w:val="132"/>
              <w:keepNext w:val="0"/>
              <w:keepLines w:val="0"/>
              <w:pageBreakBefore w:val="0"/>
              <w:widowControl w:val="0"/>
              <w:kinsoku/>
              <w:wordWrap/>
              <w:overflowPunct/>
              <w:topLinePunct w:val="0"/>
              <w:autoSpaceDE/>
              <w:autoSpaceDN/>
              <w:bidi w:val="0"/>
              <w:adjustRightInd/>
              <w:snapToGrid/>
              <w:spacing w:before="27"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多节点一页纸打印</w:t>
            </w:r>
          </w:p>
        </w:tc>
      </w:tr>
      <w:tr w14:paraId="7F133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0EFF1C4F">
            <w:pPr>
              <w:pStyle w:val="132"/>
              <w:keepNext w:val="0"/>
              <w:keepLines w:val="0"/>
              <w:pageBreakBefore w:val="0"/>
              <w:widowControl w:val="0"/>
              <w:kinsoku/>
              <w:wordWrap/>
              <w:overflowPunct/>
              <w:topLinePunct w:val="0"/>
              <w:autoSpaceDE/>
              <w:autoSpaceDN/>
              <w:bidi w:val="0"/>
              <w:adjustRightInd/>
              <w:snapToGrid/>
              <w:spacing w:before="91"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22</w:t>
            </w:r>
          </w:p>
        </w:tc>
        <w:tc>
          <w:tcPr>
            <w:tcW w:w="2189" w:type="dxa"/>
            <w:gridSpan w:val="2"/>
            <w:vMerge w:val="continue"/>
            <w:vAlign w:val="top"/>
          </w:tcPr>
          <w:p w14:paraId="57C545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2FB32E62">
            <w:pPr>
              <w:pStyle w:val="132"/>
              <w:keepNext w:val="0"/>
              <w:keepLines w:val="0"/>
              <w:pageBreakBefore w:val="0"/>
              <w:widowControl w:val="0"/>
              <w:kinsoku/>
              <w:wordWrap/>
              <w:overflowPunct/>
              <w:topLinePunct w:val="0"/>
              <w:autoSpaceDE/>
              <w:autoSpaceDN/>
              <w:bidi w:val="0"/>
              <w:adjustRightInd/>
              <w:snapToGrid/>
              <w:spacing w:before="59"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表单</w:t>
            </w:r>
            <w:r>
              <w:rPr>
                <w:rFonts w:hint="eastAsia" w:ascii="宋体" w:hAnsi="宋体" w:eastAsia="宋体" w:cs="宋体"/>
                <w:color w:val="auto"/>
                <w:sz w:val="21"/>
                <w:szCs w:val="21"/>
                <w:highlight w:val="none"/>
              </w:rPr>
              <w:t>CA</w:t>
            </w:r>
            <w:r>
              <w:rPr>
                <w:rFonts w:hint="eastAsia" w:ascii="宋体" w:hAnsi="宋体" w:eastAsia="宋体" w:cs="宋体"/>
                <w:color w:val="auto"/>
                <w:spacing w:val="7"/>
                <w:sz w:val="21"/>
                <w:szCs w:val="21"/>
                <w:highlight w:val="none"/>
              </w:rPr>
              <w:t>签名</w:t>
            </w:r>
          </w:p>
        </w:tc>
      </w:tr>
      <w:tr w14:paraId="09898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3C326551">
            <w:pPr>
              <w:pStyle w:val="132"/>
              <w:keepNext w:val="0"/>
              <w:keepLines w:val="0"/>
              <w:pageBreakBefore w:val="0"/>
              <w:widowControl w:val="0"/>
              <w:kinsoku/>
              <w:wordWrap/>
              <w:overflowPunct/>
              <w:topLinePunct w:val="0"/>
              <w:autoSpaceDE/>
              <w:autoSpaceDN/>
              <w:bidi w:val="0"/>
              <w:adjustRightInd/>
              <w:snapToGrid/>
              <w:spacing w:before="78"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23</w:t>
            </w:r>
          </w:p>
        </w:tc>
        <w:tc>
          <w:tcPr>
            <w:tcW w:w="2188" w:type="dxa"/>
            <w:vMerge w:val="continue"/>
            <w:vAlign w:val="top"/>
          </w:tcPr>
          <w:p w14:paraId="1C2534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39F8726">
            <w:pPr>
              <w:pStyle w:val="132"/>
              <w:keepNext w:val="0"/>
              <w:keepLines w:val="0"/>
              <w:pageBreakBefore w:val="0"/>
              <w:widowControl w:val="0"/>
              <w:kinsoku/>
              <w:wordWrap/>
              <w:overflowPunct/>
              <w:topLinePunct w:val="0"/>
              <w:autoSpaceDE/>
              <w:autoSpaceDN/>
              <w:bidi w:val="0"/>
              <w:adjustRightInd/>
              <w:snapToGrid/>
              <w:spacing w:before="45"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查询操作日志</w:t>
            </w:r>
          </w:p>
        </w:tc>
      </w:tr>
      <w:tr w14:paraId="7D9B5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52C15C8A">
            <w:pPr>
              <w:pStyle w:val="132"/>
              <w:keepNext w:val="0"/>
              <w:keepLines w:val="0"/>
              <w:pageBreakBefore w:val="0"/>
              <w:widowControl w:val="0"/>
              <w:kinsoku/>
              <w:wordWrap/>
              <w:overflowPunct/>
              <w:topLinePunct w:val="0"/>
              <w:autoSpaceDE/>
              <w:autoSpaceDN/>
              <w:bidi w:val="0"/>
              <w:adjustRightInd/>
              <w:snapToGrid/>
              <w:spacing w:before="83"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24</w:t>
            </w:r>
          </w:p>
        </w:tc>
        <w:tc>
          <w:tcPr>
            <w:tcW w:w="2188" w:type="dxa"/>
            <w:vMerge w:val="continue"/>
            <w:vAlign w:val="top"/>
          </w:tcPr>
          <w:p w14:paraId="3DC343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106E378D">
            <w:pPr>
              <w:pStyle w:val="132"/>
              <w:keepNext w:val="0"/>
              <w:keepLines w:val="0"/>
              <w:pageBreakBefore w:val="0"/>
              <w:widowControl w:val="0"/>
              <w:kinsoku/>
              <w:wordWrap/>
              <w:overflowPunct/>
              <w:topLinePunct w:val="0"/>
              <w:autoSpaceDE/>
              <w:autoSpaceDN/>
              <w:bidi w:val="0"/>
              <w:adjustRightInd/>
              <w:snapToGrid/>
              <w:spacing w:before="6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病区VTE指标统计</w:t>
            </w:r>
          </w:p>
        </w:tc>
      </w:tr>
      <w:tr w14:paraId="7F3D0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164B7A2C">
            <w:pPr>
              <w:pStyle w:val="132"/>
              <w:keepNext w:val="0"/>
              <w:keepLines w:val="0"/>
              <w:pageBreakBefore w:val="0"/>
              <w:widowControl w:val="0"/>
              <w:kinsoku/>
              <w:wordWrap/>
              <w:overflowPunct/>
              <w:topLinePunct w:val="0"/>
              <w:autoSpaceDE/>
              <w:autoSpaceDN/>
              <w:bidi w:val="0"/>
              <w:adjustRightInd/>
              <w:snapToGrid/>
              <w:spacing w:before="94"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25</w:t>
            </w:r>
          </w:p>
        </w:tc>
        <w:tc>
          <w:tcPr>
            <w:tcW w:w="2188" w:type="dxa"/>
            <w:vMerge w:val="restart"/>
            <w:vAlign w:val="center"/>
          </w:tcPr>
          <w:p w14:paraId="271258FF">
            <w:pPr>
              <w:pStyle w:val="132"/>
              <w:keepNext w:val="0"/>
              <w:keepLines w:val="0"/>
              <w:pageBreakBefore w:val="0"/>
              <w:widowControl w:val="0"/>
              <w:kinsoku/>
              <w:wordWrap/>
              <w:overflowPunct/>
              <w:topLinePunct w:val="0"/>
              <w:autoSpaceDE/>
              <w:autoSpaceDN/>
              <w:bidi w:val="0"/>
              <w:adjustRightInd/>
              <w:snapToGrid/>
              <w:spacing w:before="78" w:line="400" w:lineRule="exact"/>
              <w:ind w:left="11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▲医生站智能辅助</w:t>
            </w:r>
          </w:p>
        </w:tc>
        <w:tc>
          <w:tcPr>
            <w:tcW w:w="5748" w:type="dxa"/>
            <w:gridSpan w:val="2"/>
            <w:vAlign w:val="top"/>
          </w:tcPr>
          <w:p w14:paraId="3B7A14FA">
            <w:pPr>
              <w:pStyle w:val="132"/>
              <w:keepNext w:val="0"/>
              <w:keepLines w:val="0"/>
              <w:pageBreakBefore w:val="0"/>
              <w:widowControl w:val="0"/>
              <w:kinsoku/>
              <w:wordWrap/>
              <w:overflowPunct/>
              <w:topLinePunct w:val="0"/>
              <w:autoSpaceDE/>
              <w:autoSpaceDN/>
              <w:bidi w:val="0"/>
              <w:adjustRightInd/>
              <w:snapToGrid/>
              <w:spacing w:before="71"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患者列表图标提醒</w:t>
            </w:r>
          </w:p>
        </w:tc>
      </w:tr>
      <w:tr w14:paraId="26351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5923363F">
            <w:pPr>
              <w:pStyle w:val="132"/>
              <w:keepNext w:val="0"/>
              <w:keepLines w:val="0"/>
              <w:pageBreakBefore w:val="0"/>
              <w:widowControl w:val="0"/>
              <w:kinsoku/>
              <w:wordWrap/>
              <w:overflowPunct/>
              <w:topLinePunct w:val="0"/>
              <w:autoSpaceDE/>
              <w:autoSpaceDN/>
              <w:bidi w:val="0"/>
              <w:adjustRightInd/>
              <w:snapToGrid/>
              <w:spacing w:before="75"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26</w:t>
            </w:r>
          </w:p>
        </w:tc>
        <w:tc>
          <w:tcPr>
            <w:tcW w:w="2188" w:type="dxa"/>
            <w:vMerge w:val="continue"/>
            <w:vAlign w:val="top"/>
          </w:tcPr>
          <w:p w14:paraId="73F552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4E420546">
            <w:pPr>
              <w:pStyle w:val="132"/>
              <w:keepNext w:val="0"/>
              <w:keepLines w:val="0"/>
              <w:pageBreakBefore w:val="0"/>
              <w:widowControl w:val="0"/>
              <w:kinsoku/>
              <w:wordWrap/>
              <w:overflowPunct/>
              <w:topLinePunct w:val="0"/>
              <w:autoSpaceDE/>
              <w:autoSpaceDN/>
              <w:bidi w:val="0"/>
              <w:adjustRightInd/>
              <w:snapToGrid/>
              <w:spacing w:before="29"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节点审核评估</w:t>
            </w:r>
          </w:p>
        </w:tc>
      </w:tr>
      <w:tr w14:paraId="6FC17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2197AC5B">
            <w:pPr>
              <w:pStyle w:val="132"/>
              <w:keepNext w:val="0"/>
              <w:keepLines w:val="0"/>
              <w:pageBreakBefore w:val="0"/>
              <w:widowControl w:val="0"/>
              <w:kinsoku/>
              <w:wordWrap/>
              <w:overflowPunct/>
              <w:topLinePunct w:val="0"/>
              <w:autoSpaceDE/>
              <w:autoSpaceDN/>
              <w:bidi w:val="0"/>
              <w:adjustRightInd/>
              <w:snapToGrid/>
              <w:spacing w:before="95"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27</w:t>
            </w:r>
          </w:p>
        </w:tc>
        <w:tc>
          <w:tcPr>
            <w:tcW w:w="2188" w:type="dxa"/>
            <w:vMerge w:val="continue"/>
            <w:vAlign w:val="top"/>
          </w:tcPr>
          <w:p w14:paraId="4BB246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05660F6">
            <w:pPr>
              <w:pStyle w:val="132"/>
              <w:keepNext w:val="0"/>
              <w:keepLines w:val="0"/>
              <w:pageBreakBefore w:val="0"/>
              <w:widowControl w:val="0"/>
              <w:kinsoku/>
              <w:wordWrap/>
              <w:overflowPunct/>
              <w:topLinePunct w:val="0"/>
              <w:autoSpaceDE/>
              <w:autoSpaceDN/>
              <w:bidi w:val="0"/>
              <w:adjustRightInd/>
              <w:snapToGrid/>
              <w:spacing w:before="5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方案推荐</w:t>
            </w:r>
          </w:p>
        </w:tc>
      </w:tr>
      <w:tr w14:paraId="51EA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0F0D4ADE">
            <w:pPr>
              <w:pStyle w:val="132"/>
              <w:keepNext w:val="0"/>
              <w:keepLines w:val="0"/>
              <w:pageBreakBefore w:val="0"/>
              <w:widowControl w:val="0"/>
              <w:kinsoku/>
              <w:wordWrap/>
              <w:overflowPunct/>
              <w:topLinePunct w:val="0"/>
              <w:autoSpaceDE/>
              <w:autoSpaceDN/>
              <w:bidi w:val="0"/>
              <w:adjustRightInd/>
              <w:snapToGrid/>
              <w:spacing w:before="86"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28</w:t>
            </w:r>
          </w:p>
        </w:tc>
        <w:tc>
          <w:tcPr>
            <w:tcW w:w="2188" w:type="dxa"/>
            <w:vMerge w:val="continue"/>
            <w:vAlign w:val="top"/>
          </w:tcPr>
          <w:p w14:paraId="2AAF88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5847829F">
            <w:pPr>
              <w:pStyle w:val="132"/>
              <w:keepNext w:val="0"/>
              <w:keepLines w:val="0"/>
              <w:pageBreakBefore w:val="0"/>
              <w:widowControl w:val="0"/>
              <w:kinsoku/>
              <w:wordWrap/>
              <w:overflowPunct/>
              <w:topLinePunct w:val="0"/>
              <w:autoSpaceDE/>
              <w:autoSpaceDN/>
              <w:bidi w:val="0"/>
              <w:adjustRightInd/>
              <w:snapToGrid/>
              <w:spacing w:before="43"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医嘱录入</w:t>
            </w:r>
          </w:p>
        </w:tc>
      </w:tr>
      <w:tr w14:paraId="5CF0F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2C5FA35C">
            <w:pPr>
              <w:pStyle w:val="132"/>
              <w:keepNext w:val="0"/>
              <w:keepLines w:val="0"/>
              <w:pageBreakBefore w:val="0"/>
              <w:widowControl w:val="0"/>
              <w:kinsoku/>
              <w:wordWrap/>
              <w:overflowPunct/>
              <w:topLinePunct w:val="0"/>
              <w:autoSpaceDE/>
              <w:autoSpaceDN/>
              <w:bidi w:val="0"/>
              <w:adjustRightInd/>
              <w:snapToGrid/>
              <w:spacing w:before="76"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29</w:t>
            </w:r>
          </w:p>
        </w:tc>
        <w:tc>
          <w:tcPr>
            <w:tcW w:w="2188" w:type="dxa"/>
            <w:vMerge w:val="continue"/>
            <w:vAlign w:val="top"/>
          </w:tcPr>
          <w:p w14:paraId="09E2BF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0E20EF64">
            <w:pPr>
              <w:pStyle w:val="132"/>
              <w:keepNext w:val="0"/>
              <w:keepLines w:val="0"/>
              <w:pageBreakBefore w:val="0"/>
              <w:widowControl w:val="0"/>
              <w:kinsoku/>
              <w:wordWrap/>
              <w:overflowPunct/>
              <w:topLinePunct w:val="0"/>
              <w:autoSpaceDE/>
              <w:autoSpaceDN/>
              <w:bidi w:val="0"/>
              <w:adjustRightInd/>
              <w:snapToGrid/>
              <w:spacing w:before="31"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打印知情同意书</w:t>
            </w:r>
          </w:p>
        </w:tc>
      </w:tr>
      <w:tr w14:paraId="7BCBC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3EBE940A">
            <w:pPr>
              <w:pStyle w:val="132"/>
              <w:keepNext w:val="0"/>
              <w:keepLines w:val="0"/>
              <w:pageBreakBefore w:val="0"/>
              <w:widowControl w:val="0"/>
              <w:kinsoku/>
              <w:wordWrap/>
              <w:overflowPunct/>
              <w:topLinePunct w:val="0"/>
              <w:autoSpaceDE/>
              <w:autoSpaceDN/>
              <w:bidi w:val="0"/>
              <w:adjustRightInd/>
              <w:snapToGrid/>
              <w:spacing w:before="107"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30</w:t>
            </w:r>
          </w:p>
        </w:tc>
        <w:tc>
          <w:tcPr>
            <w:tcW w:w="2188" w:type="dxa"/>
            <w:vMerge w:val="continue"/>
            <w:vAlign w:val="top"/>
          </w:tcPr>
          <w:p w14:paraId="56CF9D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5452064">
            <w:pPr>
              <w:pStyle w:val="132"/>
              <w:keepNext w:val="0"/>
              <w:keepLines w:val="0"/>
              <w:pageBreakBefore w:val="0"/>
              <w:widowControl w:val="0"/>
              <w:kinsoku/>
              <w:wordWrap/>
              <w:overflowPunct/>
              <w:topLinePunct w:val="0"/>
              <w:autoSpaceDE/>
              <w:autoSpaceDN/>
              <w:bidi w:val="0"/>
              <w:adjustRightInd/>
              <w:snapToGrid/>
              <w:spacing w:before="54"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修改确诊信息</w:t>
            </w:r>
          </w:p>
        </w:tc>
      </w:tr>
      <w:tr w14:paraId="6909A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2FFA6B45">
            <w:pPr>
              <w:pStyle w:val="132"/>
              <w:keepNext w:val="0"/>
              <w:keepLines w:val="0"/>
              <w:pageBreakBefore w:val="0"/>
              <w:widowControl w:val="0"/>
              <w:kinsoku/>
              <w:wordWrap/>
              <w:overflowPunct/>
              <w:topLinePunct w:val="0"/>
              <w:autoSpaceDE/>
              <w:autoSpaceDN/>
              <w:bidi w:val="0"/>
              <w:adjustRightInd/>
              <w:snapToGrid/>
              <w:spacing w:before="78"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31</w:t>
            </w:r>
          </w:p>
        </w:tc>
        <w:tc>
          <w:tcPr>
            <w:tcW w:w="2188" w:type="dxa"/>
            <w:vMerge w:val="continue"/>
            <w:vAlign w:val="top"/>
          </w:tcPr>
          <w:p w14:paraId="755D7B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298B5392">
            <w:pPr>
              <w:pStyle w:val="132"/>
              <w:keepNext w:val="0"/>
              <w:keepLines w:val="0"/>
              <w:pageBreakBefore w:val="0"/>
              <w:widowControl w:val="0"/>
              <w:kinsoku/>
              <w:wordWrap/>
              <w:overflowPunct/>
              <w:topLinePunct w:val="0"/>
              <w:autoSpaceDE/>
              <w:autoSpaceDN/>
              <w:bidi w:val="0"/>
              <w:adjustRightInd/>
              <w:snapToGrid/>
              <w:spacing w:before="34"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临床智能卡控</w:t>
            </w:r>
          </w:p>
        </w:tc>
      </w:tr>
      <w:tr w14:paraId="0DDB3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398834E8">
            <w:pPr>
              <w:pStyle w:val="132"/>
              <w:keepNext w:val="0"/>
              <w:keepLines w:val="0"/>
              <w:pageBreakBefore w:val="0"/>
              <w:widowControl w:val="0"/>
              <w:kinsoku/>
              <w:wordWrap/>
              <w:overflowPunct/>
              <w:topLinePunct w:val="0"/>
              <w:autoSpaceDE/>
              <w:autoSpaceDN/>
              <w:bidi w:val="0"/>
              <w:adjustRightInd/>
              <w:snapToGrid/>
              <w:spacing w:before="78"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32</w:t>
            </w:r>
          </w:p>
        </w:tc>
        <w:tc>
          <w:tcPr>
            <w:tcW w:w="2188" w:type="dxa"/>
            <w:vMerge w:val="continue"/>
            <w:vAlign w:val="top"/>
          </w:tcPr>
          <w:p w14:paraId="770D7F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A6B0576">
            <w:pPr>
              <w:pStyle w:val="132"/>
              <w:keepNext w:val="0"/>
              <w:keepLines w:val="0"/>
              <w:pageBreakBefore w:val="0"/>
              <w:widowControl w:val="0"/>
              <w:kinsoku/>
              <w:wordWrap/>
              <w:overflowPunct/>
              <w:topLinePunct w:val="0"/>
              <w:autoSpaceDE/>
              <w:autoSpaceDN/>
              <w:bidi w:val="0"/>
              <w:adjustRightInd/>
              <w:snapToGrid/>
              <w:spacing w:before="55"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节点趋势图</w:t>
            </w:r>
          </w:p>
        </w:tc>
      </w:tr>
      <w:tr w14:paraId="7D3DC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508405E3">
            <w:pPr>
              <w:pStyle w:val="132"/>
              <w:keepNext w:val="0"/>
              <w:keepLines w:val="0"/>
              <w:pageBreakBefore w:val="0"/>
              <w:widowControl w:val="0"/>
              <w:kinsoku/>
              <w:wordWrap/>
              <w:overflowPunct/>
              <w:topLinePunct w:val="0"/>
              <w:autoSpaceDE/>
              <w:autoSpaceDN/>
              <w:bidi w:val="0"/>
              <w:adjustRightInd/>
              <w:snapToGrid/>
              <w:spacing w:before="68"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33</w:t>
            </w:r>
          </w:p>
        </w:tc>
        <w:tc>
          <w:tcPr>
            <w:tcW w:w="2188" w:type="dxa"/>
            <w:vMerge w:val="continue"/>
            <w:vAlign w:val="top"/>
          </w:tcPr>
          <w:p w14:paraId="70C8DD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BCDB1F3">
            <w:pPr>
              <w:pStyle w:val="132"/>
              <w:keepNext w:val="0"/>
              <w:keepLines w:val="0"/>
              <w:pageBreakBefore w:val="0"/>
              <w:widowControl w:val="0"/>
              <w:kinsoku/>
              <w:wordWrap/>
              <w:overflowPunct/>
              <w:topLinePunct w:val="0"/>
              <w:autoSpaceDE/>
              <w:autoSpaceDN/>
              <w:bidi w:val="0"/>
              <w:adjustRightInd/>
              <w:snapToGrid/>
              <w:spacing w:before="45"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单节点打印表单</w:t>
            </w:r>
          </w:p>
        </w:tc>
      </w:tr>
      <w:tr w14:paraId="0F0F6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765DE39E">
            <w:pPr>
              <w:pStyle w:val="132"/>
              <w:keepNext w:val="0"/>
              <w:keepLines w:val="0"/>
              <w:pageBreakBefore w:val="0"/>
              <w:widowControl w:val="0"/>
              <w:kinsoku/>
              <w:wordWrap/>
              <w:overflowPunct/>
              <w:topLinePunct w:val="0"/>
              <w:autoSpaceDE/>
              <w:autoSpaceDN/>
              <w:bidi w:val="0"/>
              <w:adjustRightInd/>
              <w:snapToGrid/>
              <w:spacing w:before="89"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34</w:t>
            </w:r>
          </w:p>
        </w:tc>
        <w:tc>
          <w:tcPr>
            <w:tcW w:w="2188" w:type="dxa"/>
            <w:vMerge w:val="continue"/>
            <w:vAlign w:val="top"/>
          </w:tcPr>
          <w:p w14:paraId="738131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72E17312">
            <w:pPr>
              <w:pStyle w:val="132"/>
              <w:keepNext w:val="0"/>
              <w:keepLines w:val="0"/>
              <w:pageBreakBefore w:val="0"/>
              <w:widowControl w:val="0"/>
              <w:kinsoku/>
              <w:wordWrap/>
              <w:overflowPunct/>
              <w:topLinePunct w:val="0"/>
              <w:autoSpaceDE/>
              <w:autoSpaceDN/>
              <w:bidi w:val="0"/>
              <w:adjustRightInd/>
              <w:snapToGrid/>
              <w:spacing w:before="46"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多节点一页纸打印</w:t>
            </w:r>
          </w:p>
        </w:tc>
      </w:tr>
      <w:tr w14:paraId="6EE63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024DFA6F">
            <w:pPr>
              <w:pStyle w:val="132"/>
              <w:keepNext w:val="0"/>
              <w:keepLines w:val="0"/>
              <w:pageBreakBefore w:val="0"/>
              <w:widowControl w:val="0"/>
              <w:kinsoku/>
              <w:wordWrap/>
              <w:overflowPunct/>
              <w:topLinePunct w:val="0"/>
              <w:autoSpaceDE/>
              <w:autoSpaceDN/>
              <w:bidi w:val="0"/>
              <w:adjustRightInd/>
              <w:snapToGrid/>
              <w:spacing w:before="89"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35</w:t>
            </w:r>
          </w:p>
        </w:tc>
        <w:tc>
          <w:tcPr>
            <w:tcW w:w="2188" w:type="dxa"/>
            <w:vMerge w:val="continue"/>
            <w:vAlign w:val="top"/>
          </w:tcPr>
          <w:p w14:paraId="3A5BFB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4054C606">
            <w:pPr>
              <w:pStyle w:val="132"/>
              <w:keepNext w:val="0"/>
              <w:keepLines w:val="0"/>
              <w:pageBreakBefore w:val="0"/>
              <w:widowControl w:val="0"/>
              <w:kinsoku/>
              <w:wordWrap/>
              <w:overflowPunct/>
              <w:topLinePunct w:val="0"/>
              <w:autoSpaceDE/>
              <w:autoSpaceDN/>
              <w:bidi w:val="0"/>
              <w:adjustRightInd/>
              <w:snapToGrid/>
              <w:spacing w:before="56"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表单</w:t>
            </w:r>
            <w:r>
              <w:rPr>
                <w:rFonts w:hint="eastAsia" w:ascii="宋体" w:hAnsi="宋体" w:eastAsia="宋体" w:cs="宋体"/>
                <w:color w:val="auto"/>
                <w:sz w:val="21"/>
                <w:szCs w:val="21"/>
                <w:highlight w:val="none"/>
              </w:rPr>
              <w:t>CA</w:t>
            </w:r>
            <w:r>
              <w:rPr>
                <w:rFonts w:hint="eastAsia" w:ascii="宋体" w:hAnsi="宋体" w:eastAsia="宋体" w:cs="宋体"/>
                <w:color w:val="auto"/>
                <w:spacing w:val="7"/>
                <w:sz w:val="21"/>
                <w:szCs w:val="21"/>
                <w:highlight w:val="none"/>
              </w:rPr>
              <w:t>签名</w:t>
            </w:r>
          </w:p>
        </w:tc>
      </w:tr>
      <w:tr w14:paraId="034D1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51309C85">
            <w:pPr>
              <w:pStyle w:val="132"/>
              <w:keepNext w:val="0"/>
              <w:keepLines w:val="0"/>
              <w:pageBreakBefore w:val="0"/>
              <w:widowControl w:val="0"/>
              <w:kinsoku/>
              <w:wordWrap/>
              <w:overflowPunct/>
              <w:topLinePunct w:val="0"/>
              <w:autoSpaceDE/>
              <w:autoSpaceDN/>
              <w:bidi w:val="0"/>
              <w:adjustRightInd/>
              <w:snapToGrid/>
              <w:spacing w:before="109"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36</w:t>
            </w:r>
          </w:p>
        </w:tc>
        <w:tc>
          <w:tcPr>
            <w:tcW w:w="2188" w:type="dxa"/>
            <w:vMerge w:val="continue"/>
            <w:vAlign w:val="top"/>
          </w:tcPr>
          <w:p w14:paraId="6F3DB3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51F332F7">
            <w:pPr>
              <w:pStyle w:val="132"/>
              <w:keepNext w:val="0"/>
              <w:keepLines w:val="0"/>
              <w:pageBreakBefore w:val="0"/>
              <w:widowControl w:val="0"/>
              <w:kinsoku/>
              <w:wordWrap/>
              <w:overflowPunct/>
              <w:topLinePunct w:val="0"/>
              <w:autoSpaceDE/>
              <w:autoSpaceDN/>
              <w:bidi w:val="0"/>
              <w:adjustRightInd/>
              <w:snapToGrid/>
              <w:spacing w:before="46"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查询操作日志</w:t>
            </w:r>
          </w:p>
        </w:tc>
      </w:tr>
      <w:tr w14:paraId="4F61A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541EB478">
            <w:pPr>
              <w:pStyle w:val="132"/>
              <w:keepNext w:val="0"/>
              <w:keepLines w:val="0"/>
              <w:pageBreakBefore w:val="0"/>
              <w:widowControl w:val="0"/>
              <w:kinsoku/>
              <w:wordWrap/>
              <w:overflowPunct/>
              <w:topLinePunct w:val="0"/>
              <w:autoSpaceDE/>
              <w:autoSpaceDN/>
              <w:bidi w:val="0"/>
              <w:adjustRightInd/>
              <w:snapToGrid/>
              <w:spacing w:before="109"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37</w:t>
            </w:r>
          </w:p>
        </w:tc>
        <w:tc>
          <w:tcPr>
            <w:tcW w:w="2188" w:type="dxa"/>
            <w:vMerge w:val="continue"/>
            <w:vAlign w:val="top"/>
          </w:tcPr>
          <w:p w14:paraId="64E2C7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DFF6B96">
            <w:pPr>
              <w:pStyle w:val="132"/>
              <w:keepNext w:val="0"/>
              <w:keepLines w:val="0"/>
              <w:pageBreakBefore w:val="0"/>
              <w:widowControl w:val="0"/>
              <w:kinsoku/>
              <w:wordWrap/>
              <w:overflowPunct/>
              <w:topLinePunct w:val="0"/>
              <w:autoSpaceDE/>
              <w:autoSpaceDN/>
              <w:bidi w:val="0"/>
              <w:adjustRightInd/>
              <w:snapToGrid/>
              <w:spacing w:before="54"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科室VTE指标统计</w:t>
            </w:r>
          </w:p>
        </w:tc>
      </w:tr>
      <w:tr w14:paraId="74FE7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188D72DE">
            <w:pPr>
              <w:pStyle w:val="132"/>
              <w:keepNext w:val="0"/>
              <w:keepLines w:val="0"/>
              <w:pageBreakBefore w:val="0"/>
              <w:widowControl w:val="0"/>
              <w:kinsoku/>
              <w:wordWrap/>
              <w:overflowPunct/>
              <w:topLinePunct w:val="0"/>
              <w:autoSpaceDE/>
              <w:autoSpaceDN/>
              <w:bidi w:val="0"/>
              <w:adjustRightInd/>
              <w:snapToGrid/>
              <w:spacing w:before="90"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38</w:t>
            </w:r>
          </w:p>
        </w:tc>
        <w:tc>
          <w:tcPr>
            <w:tcW w:w="2188" w:type="dxa"/>
            <w:vMerge w:val="restart"/>
            <w:tcBorders>
              <w:bottom w:val="nil"/>
            </w:tcBorders>
            <w:vAlign w:val="center"/>
          </w:tcPr>
          <w:p w14:paraId="6AE4433E">
            <w:pPr>
              <w:pStyle w:val="132"/>
              <w:keepNext w:val="0"/>
              <w:keepLines w:val="0"/>
              <w:pageBreakBefore w:val="0"/>
              <w:widowControl w:val="0"/>
              <w:kinsoku/>
              <w:wordWrap/>
              <w:overflowPunct/>
              <w:topLinePunct w:val="0"/>
              <w:autoSpaceDE/>
              <w:autoSpaceDN/>
              <w:bidi w:val="0"/>
              <w:adjustRightInd/>
              <w:snapToGrid/>
              <w:spacing w:before="78" w:line="400" w:lineRule="exact"/>
              <w:ind w:left="9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VTE</w:t>
            </w:r>
            <w:r>
              <w:rPr>
                <w:rFonts w:hint="eastAsia" w:ascii="宋体" w:hAnsi="宋体" w:eastAsia="宋体" w:cs="宋体"/>
                <w:color w:val="auto"/>
                <w:spacing w:val="1"/>
                <w:sz w:val="21"/>
                <w:szCs w:val="21"/>
                <w:highlight w:val="none"/>
              </w:rPr>
              <w:t>随访管理</w:t>
            </w:r>
          </w:p>
        </w:tc>
        <w:tc>
          <w:tcPr>
            <w:tcW w:w="5748" w:type="dxa"/>
            <w:gridSpan w:val="2"/>
            <w:vAlign w:val="top"/>
          </w:tcPr>
          <w:p w14:paraId="2FE3CCC9">
            <w:pPr>
              <w:pStyle w:val="132"/>
              <w:keepNext w:val="0"/>
              <w:keepLines w:val="0"/>
              <w:pageBreakBefore w:val="0"/>
              <w:widowControl w:val="0"/>
              <w:kinsoku/>
              <w:wordWrap/>
              <w:overflowPunct/>
              <w:topLinePunct w:val="0"/>
              <w:autoSpaceDE/>
              <w:autoSpaceDN/>
              <w:bidi w:val="0"/>
              <w:adjustRightInd/>
              <w:snapToGrid/>
              <w:spacing w:before="37"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随访日历</w:t>
            </w:r>
          </w:p>
        </w:tc>
      </w:tr>
      <w:tr w14:paraId="4F967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1F056D00">
            <w:pPr>
              <w:pStyle w:val="132"/>
              <w:keepNext w:val="0"/>
              <w:keepLines w:val="0"/>
              <w:pageBreakBefore w:val="0"/>
              <w:widowControl w:val="0"/>
              <w:kinsoku/>
              <w:wordWrap/>
              <w:overflowPunct/>
              <w:topLinePunct w:val="0"/>
              <w:autoSpaceDE/>
              <w:autoSpaceDN/>
              <w:bidi w:val="0"/>
              <w:adjustRightInd/>
              <w:snapToGrid/>
              <w:spacing w:before="70"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39</w:t>
            </w:r>
          </w:p>
        </w:tc>
        <w:tc>
          <w:tcPr>
            <w:tcW w:w="2188" w:type="dxa"/>
            <w:vMerge w:val="continue"/>
            <w:tcBorders>
              <w:top w:val="nil"/>
              <w:bottom w:val="nil"/>
            </w:tcBorders>
            <w:vAlign w:val="top"/>
          </w:tcPr>
          <w:p w14:paraId="55CD4F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4F2F8AE2">
            <w:pPr>
              <w:pStyle w:val="132"/>
              <w:keepNext w:val="0"/>
              <w:keepLines w:val="0"/>
              <w:pageBreakBefore w:val="0"/>
              <w:widowControl w:val="0"/>
              <w:kinsoku/>
              <w:wordWrap/>
              <w:overflowPunct/>
              <w:topLinePunct w:val="0"/>
              <w:autoSpaceDE/>
              <w:autoSpaceDN/>
              <w:bidi w:val="0"/>
              <w:adjustRightInd/>
              <w:snapToGrid/>
              <w:spacing w:before="47"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随访列表</w:t>
            </w:r>
          </w:p>
        </w:tc>
      </w:tr>
      <w:tr w14:paraId="33D4E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18683CB6">
            <w:pPr>
              <w:pStyle w:val="132"/>
              <w:keepNext w:val="0"/>
              <w:keepLines w:val="0"/>
              <w:pageBreakBefore w:val="0"/>
              <w:widowControl w:val="0"/>
              <w:kinsoku/>
              <w:wordWrap/>
              <w:overflowPunct/>
              <w:topLinePunct w:val="0"/>
              <w:autoSpaceDE/>
              <w:autoSpaceDN/>
              <w:bidi w:val="0"/>
              <w:adjustRightInd/>
              <w:snapToGrid/>
              <w:spacing w:before="90"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40</w:t>
            </w:r>
          </w:p>
        </w:tc>
        <w:tc>
          <w:tcPr>
            <w:tcW w:w="2188" w:type="dxa"/>
            <w:vMerge w:val="continue"/>
            <w:tcBorders>
              <w:top w:val="nil"/>
            </w:tcBorders>
            <w:vAlign w:val="top"/>
          </w:tcPr>
          <w:p w14:paraId="360522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7A610B4A">
            <w:pPr>
              <w:pStyle w:val="132"/>
              <w:keepNext w:val="0"/>
              <w:keepLines w:val="0"/>
              <w:pageBreakBefore w:val="0"/>
              <w:widowControl w:val="0"/>
              <w:kinsoku/>
              <w:wordWrap/>
              <w:overflowPunct/>
              <w:topLinePunct w:val="0"/>
              <w:autoSpaceDE/>
              <w:autoSpaceDN/>
              <w:bidi w:val="0"/>
              <w:adjustRightInd/>
              <w:snapToGrid/>
              <w:spacing w:before="37"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随访表单</w:t>
            </w:r>
          </w:p>
        </w:tc>
      </w:tr>
      <w:tr w14:paraId="05D57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3557A75D">
            <w:pPr>
              <w:pStyle w:val="132"/>
              <w:keepNext w:val="0"/>
              <w:keepLines w:val="0"/>
              <w:pageBreakBefore w:val="0"/>
              <w:widowControl w:val="0"/>
              <w:kinsoku/>
              <w:wordWrap/>
              <w:overflowPunct/>
              <w:topLinePunct w:val="0"/>
              <w:autoSpaceDE/>
              <w:autoSpaceDN/>
              <w:bidi w:val="0"/>
              <w:adjustRightInd/>
              <w:snapToGrid/>
              <w:spacing w:before="91"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41</w:t>
            </w:r>
          </w:p>
        </w:tc>
        <w:tc>
          <w:tcPr>
            <w:tcW w:w="2188" w:type="dxa"/>
            <w:vMerge w:val="restart"/>
            <w:tcBorders>
              <w:bottom w:val="nil"/>
            </w:tcBorders>
            <w:vAlign w:val="top"/>
          </w:tcPr>
          <w:p w14:paraId="41E520FC">
            <w:pPr>
              <w:pStyle w:val="132"/>
              <w:keepNext w:val="0"/>
              <w:keepLines w:val="0"/>
              <w:pageBreakBefore w:val="0"/>
              <w:widowControl w:val="0"/>
              <w:kinsoku/>
              <w:wordWrap/>
              <w:overflowPunct/>
              <w:topLinePunct w:val="0"/>
              <w:autoSpaceDE/>
              <w:autoSpaceDN/>
              <w:bidi w:val="0"/>
              <w:adjustRightInd/>
              <w:snapToGrid/>
              <w:spacing w:before="298" w:line="400" w:lineRule="exact"/>
              <w:ind w:left="11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在院病例预警提醒</w:t>
            </w:r>
          </w:p>
        </w:tc>
        <w:tc>
          <w:tcPr>
            <w:tcW w:w="5748" w:type="dxa"/>
            <w:gridSpan w:val="2"/>
            <w:vAlign w:val="top"/>
          </w:tcPr>
          <w:p w14:paraId="7D91CD75">
            <w:pPr>
              <w:pStyle w:val="132"/>
              <w:keepNext w:val="0"/>
              <w:keepLines w:val="0"/>
              <w:pageBreakBefore w:val="0"/>
              <w:widowControl w:val="0"/>
              <w:kinsoku/>
              <w:wordWrap/>
              <w:overflowPunct/>
              <w:topLinePunct w:val="0"/>
              <w:autoSpaceDE/>
              <w:autoSpaceDN/>
              <w:bidi w:val="0"/>
              <w:adjustRightInd/>
              <w:snapToGrid/>
              <w:spacing w:before="28"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全院指标统计</w:t>
            </w:r>
          </w:p>
        </w:tc>
      </w:tr>
      <w:tr w14:paraId="0053F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7AAB6D3D">
            <w:pPr>
              <w:pStyle w:val="132"/>
              <w:keepNext w:val="0"/>
              <w:keepLines w:val="0"/>
              <w:pageBreakBefore w:val="0"/>
              <w:widowControl w:val="0"/>
              <w:kinsoku/>
              <w:wordWrap/>
              <w:overflowPunct/>
              <w:topLinePunct w:val="0"/>
              <w:autoSpaceDE/>
              <w:autoSpaceDN/>
              <w:bidi w:val="0"/>
              <w:adjustRightInd/>
              <w:snapToGrid/>
              <w:spacing w:before="82"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42</w:t>
            </w:r>
          </w:p>
        </w:tc>
        <w:tc>
          <w:tcPr>
            <w:tcW w:w="2188" w:type="dxa"/>
            <w:vMerge w:val="continue"/>
            <w:tcBorders>
              <w:top w:val="nil"/>
            </w:tcBorders>
            <w:vAlign w:val="top"/>
          </w:tcPr>
          <w:p w14:paraId="7E2494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175784C9">
            <w:pPr>
              <w:pStyle w:val="132"/>
              <w:keepNext w:val="0"/>
              <w:keepLines w:val="0"/>
              <w:pageBreakBefore w:val="0"/>
              <w:widowControl w:val="0"/>
              <w:kinsoku/>
              <w:wordWrap/>
              <w:overflowPunct/>
              <w:topLinePunct w:val="0"/>
              <w:autoSpaceDE/>
              <w:autoSpaceDN/>
              <w:bidi w:val="0"/>
              <w:adjustRightInd/>
              <w:snapToGrid/>
              <w:spacing w:before="47"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科室指标统计</w:t>
            </w:r>
          </w:p>
        </w:tc>
      </w:tr>
      <w:tr w14:paraId="74280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5F4EFAF4">
            <w:pPr>
              <w:pStyle w:val="132"/>
              <w:keepNext w:val="0"/>
              <w:keepLines w:val="0"/>
              <w:pageBreakBefore w:val="0"/>
              <w:widowControl w:val="0"/>
              <w:kinsoku/>
              <w:wordWrap/>
              <w:overflowPunct/>
              <w:topLinePunct w:val="0"/>
              <w:autoSpaceDE/>
              <w:autoSpaceDN/>
              <w:bidi w:val="0"/>
              <w:adjustRightInd/>
              <w:snapToGrid/>
              <w:spacing w:before="102"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43</w:t>
            </w:r>
          </w:p>
        </w:tc>
        <w:tc>
          <w:tcPr>
            <w:tcW w:w="2188" w:type="dxa"/>
            <w:vMerge w:val="restart"/>
            <w:tcBorders>
              <w:bottom w:val="nil"/>
            </w:tcBorders>
            <w:vAlign w:val="center"/>
          </w:tcPr>
          <w:p w14:paraId="41628F29">
            <w:pPr>
              <w:pStyle w:val="132"/>
              <w:keepNext w:val="0"/>
              <w:keepLines w:val="0"/>
              <w:pageBreakBefore w:val="0"/>
              <w:widowControl w:val="0"/>
              <w:kinsoku/>
              <w:wordWrap/>
              <w:overflowPunct/>
              <w:topLinePunct w:val="0"/>
              <w:autoSpaceDE/>
              <w:autoSpaceDN/>
              <w:bidi w:val="0"/>
              <w:adjustRightInd/>
              <w:snapToGrid/>
              <w:spacing w:before="78" w:line="400" w:lineRule="exact"/>
              <w:ind w:left="17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VTE指标监评统计</w:t>
            </w:r>
          </w:p>
        </w:tc>
        <w:tc>
          <w:tcPr>
            <w:tcW w:w="5748" w:type="dxa"/>
            <w:gridSpan w:val="2"/>
            <w:vAlign w:val="top"/>
          </w:tcPr>
          <w:p w14:paraId="1096B73E">
            <w:pPr>
              <w:pStyle w:val="132"/>
              <w:keepNext w:val="0"/>
              <w:keepLines w:val="0"/>
              <w:pageBreakBefore w:val="0"/>
              <w:widowControl w:val="0"/>
              <w:kinsoku/>
              <w:wordWrap/>
              <w:overflowPunct/>
              <w:topLinePunct w:val="0"/>
              <w:autoSpaceDE/>
              <w:autoSpaceDN/>
              <w:bidi w:val="0"/>
              <w:adjustRightInd/>
              <w:snapToGrid/>
              <w:spacing w:before="49"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VTE综合统计</w:t>
            </w:r>
          </w:p>
        </w:tc>
      </w:tr>
      <w:tr w14:paraId="7BE16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71AA9D6F">
            <w:pPr>
              <w:pStyle w:val="132"/>
              <w:keepNext w:val="0"/>
              <w:keepLines w:val="0"/>
              <w:pageBreakBefore w:val="0"/>
              <w:widowControl w:val="0"/>
              <w:kinsoku/>
              <w:wordWrap/>
              <w:overflowPunct/>
              <w:topLinePunct w:val="0"/>
              <w:autoSpaceDE/>
              <w:autoSpaceDN/>
              <w:bidi w:val="0"/>
              <w:adjustRightInd/>
              <w:snapToGrid/>
              <w:spacing w:before="102"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44</w:t>
            </w:r>
          </w:p>
        </w:tc>
        <w:tc>
          <w:tcPr>
            <w:tcW w:w="2188" w:type="dxa"/>
            <w:vMerge w:val="continue"/>
            <w:tcBorders>
              <w:top w:val="nil"/>
              <w:bottom w:val="nil"/>
            </w:tcBorders>
            <w:vAlign w:val="top"/>
          </w:tcPr>
          <w:p w14:paraId="52272B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6B6FBAAE">
            <w:pPr>
              <w:pStyle w:val="132"/>
              <w:keepNext w:val="0"/>
              <w:keepLines w:val="0"/>
              <w:pageBreakBefore w:val="0"/>
              <w:widowControl w:val="0"/>
              <w:kinsoku/>
              <w:wordWrap/>
              <w:overflowPunct/>
              <w:topLinePunct w:val="0"/>
              <w:autoSpaceDE/>
              <w:autoSpaceDN/>
              <w:bidi w:val="0"/>
              <w:adjustRightInd/>
              <w:snapToGrid/>
              <w:spacing w:before="56"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VTE评估质量</w:t>
            </w:r>
          </w:p>
        </w:tc>
      </w:tr>
      <w:tr w14:paraId="51807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4276DC39">
            <w:pPr>
              <w:pStyle w:val="132"/>
              <w:keepNext w:val="0"/>
              <w:keepLines w:val="0"/>
              <w:pageBreakBefore w:val="0"/>
              <w:widowControl w:val="0"/>
              <w:kinsoku/>
              <w:wordWrap/>
              <w:overflowPunct/>
              <w:topLinePunct w:val="0"/>
              <w:autoSpaceDE/>
              <w:autoSpaceDN/>
              <w:bidi w:val="0"/>
              <w:adjustRightInd/>
              <w:snapToGrid/>
              <w:spacing w:before="83"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45</w:t>
            </w:r>
          </w:p>
        </w:tc>
        <w:tc>
          <w:tcPr>
            <w:tcW w:w="2188" w:type="dxa"/>
            <w:vMerge w:val="continue"/>
            <w:tcBorders>
              <w:top w:val="nil"/>
              <w:bottom w:val="nil"/>
            </w:tcBorders>
            <w:vAlign w:val="top"/>
          </w:tcPr>
          <w:p w14:paraId="0B7A25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4A4067A2">
            <w:pPr>
              <w:pStyle w:val="132"/>
              <w:keepNext w:val="0"/>
              <w:keepLines w:val="0"/>
              <w:pageBreakBefore w:val="0"/>
              <w:widowControl w:val="0"/>
              <w:kinsoku/>
              <w:wordWrap/>
              <w:overflowPunct/>
              <w:topLinePunct w:val="0"/>
              <w:autoSpaceDE/>
              <w:autoSpaceDN/>
              <w:bidi w:val="0"/>
              <w:adjustRightInd/>
              <w:snapToGrid/>
              <w:spacing w:before="4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VTE预防质量</w:t>
            </w:r>
          </w:p>
        </w:tc>
      </w:tr>
      <w:tr w14:paraId="0ED25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024C5A74">
            <w:pPr>
              <w:pStyle w:val="132"/>
              <w:keepNext w:val="0"/>
              <w:keepLines w:val="0"/>
              <w:pageBreakBefore w:val="0"/>
              <w:widowControl w:val="0"/>
              <w:kinsoku/>
              <w:wordWrap/>
              <w:overflowPunct/>
              <w:topLinePunct w:val="0"/>
              <w:autoSpaceDE/>
              <w:autoSpaceDN/>
              <w:bidi w:val="0"/>
              <w:adjustRightInd/>
              <w:snapToGrid/>
              <w:spacing w:before="93"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46</w:t>
            </w:r>
          </w:p>
        </w:tc>
        <w:tc>
          <w:tcPr>
            <w:tcW w:w="2188" w:type="dxa"/>
            <w:vMerge w:val="continue"/>
            <w:tcBorders>
              <w:top w:val="nil"/>
              <w:bottom w:val="nil"/>
            </w:tcBorders>
            <w:vAlign w:val="top"/>
          </w:tcPr>
          <w:p w14:paraId="760E29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73B290B7">
            <w:pPr>
              <w:pStyle w:val="132"/>
              <w:keepNext w:val="0"/>
              <w:keepLines w:val="0"/>
              <w:pageBreakBefore w:val="0"/>
              <w:widowControl w:val="0"/>
              <w:kinsoku/>
              <w:wordWrap/>
              <w:overflowPunct/>
              <w:topLinePunct w:val="0"/>
              <w:autoSpaceDE/>
              <w:autoSpaceDN/>
              <w:bidi w:val="0"/>
              <w:adjustRightInd/>
              <w:snapToGrid/>
              <w:spacing w:before="5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VTE治疗质量</w:t>
            </w:r>
          </w:p>
        </w:tc>
      </w:tr>
      <w:tr w14:paraId="2BB7A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4DC49D88">
            <w:pPr>
              <w:pStyle w:val="132"/>
              <w:keepNext w:val="0"/>
              <w:keepLines w:val="0"/>
              <w:pageBreakBefore w:val="0"/>
              <w:widowControl w:val="0"/>
              <w:kinsoku/>
              <w:wordWrap/>
              <w:overflowPunct/>
              <w:topLinePunct w:val="0"/>
              <w:autoSpaceDE/>
              <w:autoSpaceDN/>
              <w:bidi w:val="0"/>
              <w:adjustRightInd/>
              <w:snapToGrid/>
              <w:spacing w:before="83"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47</w:t>
            </w:r>
          </w:p>
        </w:tc>
        <w:tc>
          <w:tcPr>
            <w:tcW w:w="2188" w:type="dxa"/>
            <w:vMerge w:val="continue"/>
            <w:tcBorders>
              <w:top w:val="nil"/>
            </w:tcBorders>
            <w:vAlign w:val="top"/>
          </w:tcPr>
          <w:p w14:paraId="17CFF3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6E0A961D">
            <w:pPr>
              <w:pStyle w:val="132"/>
              <w:keepNext w:val="0"/>
              <w:keepLines w:val="0"/>
              <w:pageBreakBefore w:val="0"/>
              <w:widowControl w:val="0"/>
              <w:kinsoku/>
              <w:wordWrap/>
              <w:overflowPunct/>
              <w:topLinePunct w:val="0"/>
              <w:autoSpaceDE/>
              <w:autoSpaceDN/>
              <w:bidi w:val="0"/>
              <w:adjustRightInd/>
              <w:snapToGrid/>
              <w:spacing w:before="4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VTE检验检查</w:t>
            </w:r>
          </w:p>
        </w:tc>
      </w:tr>
      <w:tr w14:paraId="19E9B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10C5A7E9">
            <w:pPr>
              <w:pStyle w:val="132"/>
              <w:keepNext w:val="0"/>
              <w:keepLines w:val="0"/>
              <w:pageBreakBefore w:val="0"/>
              <w:widowControl w:val="0"/>
              <w:kinsoku/>
              <w:wordWrap/>
              <w:overflowPunct/>
              <w:topLinePunct w:val="0"/>
              <w:autoSpaceDE/>
              <w:autoSpaceDN/>
              <w:bidi w:val="0"/>
              <w:adjustRightInd/>
              <w:snapToGrid/>
              <w:spacing w:before="83"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48</w:t>
            </w:r>
          </w:p>
        </w:tc>
        <w:tc>
          <w:tcPr>
            <w:tcW w:w="2188" w:type="dxa"/>
            <w:vAlign w:val="top"/>
          </w:tcPr>
          <w:p w14:paraId="7B6A1449">
            <w:pPr>
              <w:pStyle w:val="132"/>
              <w:keepNext w:val="0"/>
              <w:keepLines w:val="0"/>
              <w:pageBreakBefore w:val="0"/>
              <w:widowControl w:val="0"/>
              <w:kinsoku/>
              <w:wordWrap/>
              <w:overflowPunct/>
              <w:topLinePunct w:val="0"/>
              <w:autoSpaceDE/>
              <w:autoSpaceDN/>
              <w:bidi w:val="0"/>
              <w:adjustRightInd/>
              <w:snapToGrid/>
              <w:spacing w:before="57" w:line="400" w:lineRule="exact"/>
              <w:ind w:left="9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VTE</w:t>
            </w:r>
            <w:r>
              <w:rPr>
                <w:rFonts w:hint="eastAsia" w:ascii="宋体" w:hAnsi="宋体" w:eastAsia="宋体" w:cs="宋体"/>
                <w:color w:val="auto"/>
                <w:spacing w:val="3"/>
                <w:sz w:val="21"/>
                <w:szCs w:val="21"/>
                <w:highlight w:val="none"/>
              </w:rPr>
              <w:t>专题报告</w:t>
            </w:r>
          </w:p>
        </w:tc>
        <w:tc>
          <w:tcPr>
            <w:tcW w:w="5748" w:type="dxa"/>
            <w:gridSpan w:val="2"/>
            <w:vAlign w:val="top"/>
          </w:tcPr>
          <w:p w14:paraId="04084024">
            <w:pPr>
              <w:pStyle w:val="132"/>
              <w:keepNext w:val="0"/>
              <w:keepLines w:val="0"/>
              <w:pageBreakBefore w:val="0"/>
              <w:widowControl w:val="0"/>
              <w:kinsoku/>
              <w:wordWrap/>
              <w:overflowPunct/>
              <w:topLinePunct w:val="0"/>
              <w:autoSpaceDE/>
              <w:autoSpaceDN/>
              <w:bidi w:val="0"/>
              <w:adjustRightInd/>
              <w:snapToGrid/>
              <w:spacing w:before="43"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VTE</w:t>
            </w:r>
            <w:r>
              <w:rPr>
                <w:rFonts w:hint="eastAsia" w:ascii="宋体" w:hAnsi="宋体" w:eastAsia="宋体" w:cs="宋体"/>
                <w:color w:val="auto"/>
                <w:spacing w:val="7"/>
                <w:sz w:val="21"/>
                <w:szCs w:val="21"/>
                <w:highlight w:val="none"/>
              </w:rPr>
              <w:t>分析报告</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z w:val="21"/>
                <w:szCs w:val="21"/>
                <w:highlight w:val="none"/>
              </w:rPr>
              <w:t>word</w:t>
            </w:r>
            <w:r>
              <w:rPr>
                <w:rFonts w:hint="eastAsia" w:ascii="宋体" w:hAnsi="宋体" w:eastAsia="宋体" w:cs="宋体"/>
                <w:color w:val="auto"/>
                <w:spacing w:val="7"/>
                <w:sz w:val="21"/>
                <w:szCs w:val="21"/>
                <w:highlight w:val="none"/>
              </w:rPr>
              <w:t>、</w:t>
            </w:r>
            <w:r>
              <w:rPr>
                <w:rFonts w:hint="eastAsia" w:ascii="宋体" w:hAnsi="宋体" w:eastAsia="宋体" w:cs="宋体"/>
                <w:color w:val="auto"/>
                <w:sz w:val="21"/>
                <w:szCs w:val="21"/>
                <w:highlight w:val="none"/>
              </w:rPr>
              <w:t>pdf</w:t>
            </w:r>
            <w:r>
              <w:rPr>
                <w:rFonts w:hint="eastAsia" w:ascii="宋体" w:hAnsi="宋体" w:eastAsia="宋体" w:cs="宋体"/>
                <w:color w:val="auto"/>
                <w:sz w:val="21"/>
                <w:szCs w:val="21"/>
                <w:highlight w:val="none"/>
                <w:lang w:eastAsia="zh-CN"/>
              </w:rPr>
              <w:t>）</w:t>
            </w:r>
          </w:p>
        </w:tc>
      </w:tr>
      <w:tr w14:paraId="67799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61371875">
            <w:pPr>
              <w:pStyle w:val="132"/>
              <w:keepNext w:val="0"/>
              <w:keepLines w:val="0"/>
              <w:pageBreakBefore w:val="0"/>
              <w:widowControl w:val="0"/>
              <w:kinsoku/>
              <w:wordWrap/>
              <w:overflowPunct/>
              <w:topLinePunct w:val="0"/>
              <w:autoSpaceDE/>
              <w:autoSpaceDN/>
              <w:bidi w:val="0"/>
              <w:adjustRightInd/>
              <w:snapToGrid/>
              <w:spacing w:before="76"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49</w:t>
            </w:r>
          </w:p>
        </w:tc>
        <w:tc>
          <w:tcPr>
            <w:tcW w:w="2188" w:type="dxa"/>
            <w:vMerge w:val="restart"/>
            <w:tcBorders>
              <w:bottom w:val="nil"/>
            </w:tcBorders>
            <w:vAlign w:val="center"/>
          </w:tcPr>
          <w:p w14:paraId="60727E55">
            <w:pPr>
              <w:pStyle w:val="132"/>
              <w:keepNext w:val="0"/>
              <w:keepLines w:val="0"/>
              <w:pageBreakBefore w:val="0"/>
              <w:widowControl w:val="0"/>
              <w:kinsoku/>
              <w:wordWrap/>
              <w:overflowPunct/>
              <w:topLinePunct w:val="0"/>
              <w:autoSpaceDE/>
              <w:autoSpaceDN/>
              <w:bidi w:val="0"/>
              <w:adjustRightInd/>
              <w:snapToGrid/>
              <w:spacing w:before="74" w:line="400" w:lineRule="exact"/>
              <w:ind w:left="121" w:right="295"/>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VTE</w:t>
            </w:r>
            <w:r>
              <w:rPr>
                <w:rFonts w:hint="eastAsia" w:ascii="宋体" w:hAnsi="宋体" w:eastAsia="宋体" w:cs="宋体"/>
                <w:color w:val="auto"/>
                <w:spacing w:val="2"/>
                <w:sz w:val="21"/>
                <w:szCs w:val="21"/>
                <w:highlight w:val="none"/>
              </w:rPr>
              <w:t>防治质量控</w:t>
            </w:r>
            <w:r>
              <w:rPr>
                <w:rFonts w:hint="eastAsia" w:ascii="宋体" w:hAnsi="宋体" w:eastAsia="宋体" w:cs="宋体"/>
                <w:color w:val="auto"/>
                <w:spacing w:val="-2"/>
                <w:sz w:val="21"/>
                <w:szCs w:val="21"/>
                <w:highlight w:val="none"/>
              </w:rPr>
              <w:t>制核心指标</w:t>
            </w:r>
          </w:p>
        </w:tc>
        <w:tc>
          <w:tcPr>
            <w:tcW w:w="5748" w:type="dxa"/>
            <w:gridSpan w:val="2"/>
            <w:vAlign w:val="top"/>
          </w:tcPr>
          <w:p w14:paraId="31072C4A">
            <w:pPr>
              <w:pStyle w:val="132"/>
              <w:keepNext w:val="0"/>
              <w:keepLines w:val="0"/>
              <w:pageBreakBefore w:val="0"/>
              <w:widowControl w:val="0"/>
              <w:kinsoku/>
              <w:wordWrap/>
              <w:overflowPunct/>
              <w:topLinePunct w:val="0"/>
              <w:autoSpaceDE/>
              <w:autoSpaceDN/>
              <w:bidi w:val="0"/>
              <w:adjustRightInd/>
              <w:snapToGrid/>
              <w:spacing w:before="52"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VTE风险评估质量指标</w:t>
            </w:r>
          </w:p>
        </w:tc>
      </w:tr>
      <w:tr w14:paraId="64135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662D149E">
            <w:pPr>
              <w:pStyle w:val="132"/>
              <w:keepNext w:val="0"/>
              <w:keepLines w:val="0"/>
              <w:pageBreakBefore w:val="0"/>
              <w:widowControl w:val="0"/>
              <w:kinsoku/>
              <w:wordWrap/>
              <w:overflowPunct/>
              <w:topLinePunct w:val="0"/>
              <w:autoSpaceDE/>
              <w:autoSpaceDN/>
              <w:bidi w:val="0"/>
              <w:adjustRightInd/>
              <w:snapToGrid/>
              <w:spacing w:before="81"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50</w:t>
            </w:r>
          </w:p>
        </w:tc>
        <w:tc>
          <w:tcPr>
            <w:tcW w:w="2188" w:type="dxa"/>
            <w:vMerge w:val="continue"/>
            <w:tcBorders>
              <w:top w:val="nil"/>
              <w:bottom w:val="nil"/>
            </w:tcBorders>
            <w:vAlign w:val="top"/>
          </w:tcPr>
          <w:p w14:paraId="405FD6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54E375A8">
            <w:pPr>
              <w:pStyle w:val="132"/>
              <w:keepNext w:val="0"/>
              <w:keepLines w:val="0"/>
              <w:pageBreakBefore w:val="0"/>
              <w:widowControl w:val="0"/>
              <w:kinsoku/>
              <w:wordWrap/>
              <w:overflowPunct/>
              <w:topLinePunct w:val="0"/>
              <w:autoSpaceDE/>
              <w:autoSpaceDN/>
              <w:bidi w:val="0"/>
              <w:adjustRightInd/>
              <w:snapToGrid/>
              <w:spacing w:before="47"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出血风险评估质量指标</w:t>
            </w:r>
          </w:p>
        </w:tc>
      </w:tr>
      <w:tr w14:paraId="375CA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5076A044">
            <w:pPr>
              <w:pStyle w:val="132"/>
              <w:keepNext w:val="0"/>
              <w:keepLines w:val="0"/>
              <w:pageBreakBefore w:val="0"/>
              <w:widowControl w:val="0"/>
              <w:kinsoku/>
              <w:wordWrap/>
              <w:overflowPunct/>
              <w:topLinePunct w:val="0"/>
              <w:autoSpaceDE/>
              <w:autoSpaceDN/>
              <w:bidi w:val="0"/>
              <w:adjustRightInd/>
              <w:snapToGrid/>
              <w:spacing w:before="92"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51</w:t>
            </w:r>
          </w:p>
        </w:tc>
        <w:tc>
          <w:tcPr>
            <w:tcW w:w="2188" w:type="dxa"/>
            <w:vMerge w:val="continue"/>
            <w:tcBorders>
              <w:top w:val="nil"/>
              <w:bottom w:val="nil"/>
            </w:tcBorders>
            <w:vAlign w:val="top"/>
          </w:tcPr>
          <w:p w14:paraId="5DB3DF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61B177DA">
            <w:pPr>
              <w:pStyle w:val="132"/>
              <w:keepNext w:val="0"/>
              <w:keepLines w:val="0"/>
              <w:pageBreakBefore w:val="0"/>
              <w:widowControl w:val="0"/>
              <w:kinsoku/>
              <w:wordWrap/>
              <w:overflowPunct/>
              <w:topLinePunct w:val="0"/>
              <w:autoSpaceDE/>
              <w:autoSpaceDN/>
              <w:bidi w:val="0"/>
              <w:adjustRightInd/>
              <w:snapToGrid/>
              <w:spacing w:before="41"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药物预防质量指标</w:t>
            </w:r>
          </w:p>
        </w:tc>
      </w:tr>
      <w:tr w14:paraId="45C14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105F04CC">
            <w:pPr>
              <w:pStyle w:val="132"/>
              <w:keepNext w:val="0"/>
              <w:keepLines w:val="0"/>
              <w:pageBreakBefore w:val="0"/>
              <w:widowControl w:val="0"/>
              <w:kinsoku/>
              <w:wordWrap/>
              <w:overflowPunct/>
              <w:topLinePunct w:val="0"/>
              <w:autoSpaceDE/>
              <w:autoSpaceDN/>
              <w:bidi w:val="0"/>
              <w:adjustRightInd/>
              <w:snapToGrid/>
              <w:spacing w:before="83"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52</w:t>
            </w:r>
          </w:p>
        </w:tc>
        <w:tc>
          <w:tcPr>
            <w:tcW w:w="2188" w:type="dxa"/>
            <w:vMerge w:val="continue"/>
            <w:tcBorders>
              <w:top w:val="nil"/>
              <w:bottom w:val="nil"/>
            </w:tcBorders>
            <w:vAlign w:val="top"/>
          </w:tcPr>
          <w:p w14:paraId="266481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ECD5226">
            <w:pPr>
              <w:pStyle w:val="132"/>
              <w:keepNext w:val="0"/>
              <w:keepLines w:val="0"/>
              <w:pageBreakBefore w:val="0"/>
              <w:widowControl w:val="0"/>
              <w:kinsoku/>
              <w:wordWrap/>
              <w:overflowPunct/>
              <w:topLinePunct w:val="0"/>
              <w:autoSpaceDE/>
              <w:autoSpaceDN/>
              <w:bidi w:val="0"/>
              <w:adjustRightInd/>
              <w:snapToGrid/>
              <w:spacing w:before="50"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机械预防质量指标</w:t>
            </w:r>
          </w:p>
        </w:tc>
      </w:tr>
      <w:tr w14:paraId="2DE55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3B67684D">
            <w:pPr>
              <w:pStyle w:val="132"/>
              <w:keepNext w:val="0"/>
              <w:keepLines w:val="0"/>
              <w:pageBreakBefore w:val="0"/>
              <w:widowControl w:val="0"/>
              <w:kinsoku/>
              <w:wordWrap/>
              <w:overflowPunct/>
              <w:topLinePunct w:val="0"/>
              <w:autoSpaceDE/>
              <w:autoSpaceDN/>
              <w:bidi w:val="0"/>
              <w:adjustRightInd/>
              <w:snapToGrid/>
              <w:spacing w:before="74"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53</w:t>
            </w:r>
          </w:p>
        </w:tc>
        <w:tc>
          <w:tcPr>
            <w:tcW w:w="2188" w:type="dxa"/>
            <w:vMerge w:val="continue"/>
            <w:tcBorders>
              <w:top w:val="nil"/>
              <w:bottom w:val="nil"/>
            </w:tcBorders>
            <w:vAlign w:val="top"/>
          </w:tcPr>
          <w:p w14:paraId="6D1D3E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55DBE87B">
            <w:pPr>
              <w:pStyle w:val="132"/>
              <w:keepNext w:val="0"/>
              <w:keepLines w:val="0"/>
              <w:pageBreakBefore w:val="0"/>
              <w:widowControl w:val="0"/>
              <w:kinsoku/>
              <w:wordWrap/>
              <w:overflowPunct/>
              <w:topLinePunct w:val="0"/>
              <w:autoSpaceDE/>
              <w:autoSpaceDN/>
              <w:bidi w:val="0"/>
              <w:adjustRightInd/>
              <w:snapToGrid/>
              <w:spacing w:before="53"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联合预防质量指标</w:t>
            </w:r>
          </w:p>
        </w:tc>
      </w:tr>
      <w:tr w14:paraId="21F4D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6CD8EA50">
            <w:pPr>
              <w:pStyle w:val="132"/>
              <w:keepNext w:val="0"/>
              <w:keepLines w:val="0"/>
              <w:pageBreakBefore w:val="0"/>
              <w:widowControl w:val="0"/>
              <w:kinsoku/>
              <w:wordWrap/>
              <w:overflowPunct/>
              <w:topLinePunct w:val="0"/>
              <w:autoSpaceDE/>
              <w:autoSpaceDN/>
              <w:bidi w:val="0"/>
              <w:adjustRightInd/>
              <w:snapToGrid/>
              <w:spacing w:before="85"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54</w:t>
            </w:r>
          </w:p>
        </w:tc>
        <w:tc>
          <w:tcPr>
            <w:tcW w:w="2188" w:type="dxa"/>
            <w:vMerge w:val="continue"/>
            <w:tcBorders>
              <w:top w:val="nil"/>
              <w:bottom w:val="nil"/>
            </w:tcBorders>
            <w:vAlign w:val="top"/>
          </w:tcPr>
          <w:p w14:paraId="7A3DF5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05E56CA1">
            <w:pPr>
              <w:pStyle w:val="132"/>
              <w:keepNext w:val="0"/>
              <w:keepLines w:val="0"/>
              <w:pageBreakBefore w:val="0"/>
              <w:widowControl w:val="0"/>
              <w:kinsoku/>
              <w:wordWrap/>
              <w:overflowPunct/>
              <w:topLinePunct w:val="0"/>
              <w:autoSpaceDE/>
              <w:autoSpaceDN/>
              <w:bidi w:val="0"/>
              <w:adjustRightInd/>
              <w:snapToGrid/>
              <w:spacing w:before="63"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医院相关性VTE检出率、死亡率指标</w:t>
            </w:r>
          </w:p>
        </w:tc>
      </w:tr>
      <w:tr w14:paraId="37231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24D47297">
            <w:pPr>
              <w:pStyle w:val="132"/>
              <w:keepNext w:val="0"/>
              <w:keepLines w:val="0"/>
              <w:pageBreakBefore w:val="0"/>
              <w:widowControl w:val="0"/>
              <w:kinsoku/>
              <w:wordWrap/>
              <w:overflowPunct/>
              <w:topLinePunct w:val="0"/>
              <w:autoSpaceDE/>
              <w:autoSpaceDN/>
              <w:bidi w:val="0"/>
              <w:adjustRightInd/>
              <w:snapToGrid/>
              <w:spacing w:before="66"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55</w:t>
            </w:r>
          </w:p>
        </w:tc>
        <w:tc>
          <w:tcPr>
            <w:tcW w:w="2188" w:type="dxa"/>
            <w:vMerge w:val="continue"/>
            <w:tcBorders>
              <w:top w:val="nil"/>
              <w:bottom w:val="nil"/>
            </w:tcBorders>
            <w:vAlign w:val="top"/>
          </w:tcPr>
          <w:p w14:paraId="52053B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F290FDF">
            <w:pPr>
              <w:pStyle w:val="132"/>
              <w:keepNext w:val="0"/>
              <w:keepLines w:val="0"/>
              <w:pageBreakBefore w:val="0"/>
              <w:widowControl w:val="0"/>
              <w:kinsoku/>
              <w:wordWrap/>
              <w:overflowPunct/>
              <w:topLinePunct w:val="0"/>
              <w:autoSpaceDE/>
              <w:autoSpaceDN/>
              <w:bidi w:val="0"/>
              <w:adjustRightInd/>
              <w:snapToGrid/>
              <w:spacing w:before="25"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医院相关性</w:t>
            </w:r>
            <w:r>
              <w:rPr>
                <w:rFonts w:hint="eastAsia" w:ascii="宋体" w:hAnsi="宋体" w:eastAsia="宋体" w:cs="宋体"/>
                <w:color w:val="auto"/>
                <w:sz w:val="21"/>
                <w:szCs w:val="21"/>
                <w:highlight w:val="none"/>
              </w:rPr>
              <w:t>VTE</w:t>
            </w:r>
            <w:r>
              <w:rPr>
                <w:rFonts w:hint="eastAsia" w:ascii="宋体" w:hAnsi="宋体" w:eastAsia="宋体" w:cs="宋体"/>
                <w:color w:val="auto"/>
                <w:spacing w:val="1"/>
                <w:sz w:val="21"/>
                <w:szCs w:val="21"/>
                <w:highlight w:val="none"/>
              </w:rPr>
              <w:t>质量指标</w:t>
            </w:r>
          </w:p>
        </w:tc>
      </w:tr>
      <w:tr w14:paraId="234B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06461C50">
            <w:pPr>
              <w:pStyle w:val="132"/>
              <w:keepNext w:val="0"/>
              <w:keepLines w:val="0"/>
              <w:pageBreakBefore w:val="0"/>
              <w:widowControl w:val="0"/>
              <w:kinsoku/>
              <w:wordWrap/>
              <w:overflowPunct/>
              <w:topLinePunct w:val="0"/>
              <w:autoSpaceDE/>
              <w:autoSpaceDN/>
              <w:bidi w:val="0"/>
              <w:adjustRightInd/>
              <w:snapToGrid/>
              <w:spacing w:before="76"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56</w:t>
            </w:r>
          </w:p>
        </w:tc>
        <w:tc>
          <w:tcPr>
            <w:tcW w:w="2188" w:type="dxa"/>
            <w:vMerge w:val="continue"/>
            <w:tcBorders>
              <w:top w:val="nil"/>
              <w:bottom w:val="nil"/>
            </w:tcBorders>
            <w:vAlign w:val="top"/>
          </w:tcPr>
          <w:p w14:paraId="611C30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7906C0B1">
            <w:pPr>
              <w:pStyle w:val="132"/>
              <w:keepNext w:val="0"/>
              <w:keepLines w:val="0"/>
              <w:pageBreakBefore w:val="0"/>
              <w:widowControl w:val="0"/>
              <w:kinsoku/>
              <w:wordWrap/>
              <w:overflowPunct/>
              <w:topLinePunct w:val="0"/>
              <w:autoSpaceDE/>
              <w:autoSpaceDN/>
              <w:bidi w:val="0"/>
              <w:adjustRightInd/>
              <w:snapToGrid/>
              <w:spacing w:before="54"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VTE出血事件质量指标</w:t>
            </w:r>
          </w:p>
        </w:tc>
      </w:tr>
      <w:tr w14:paraId="1292A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697D300F">
            <w:pPr>
              <w:pStyle w:val="132"/>
              <w:keepNext w:val="0"/>
              <w:keepLines w:val="0"/>
              <w:pageBreakBefore w:val="0"/>
              <w:widowControl w:val="0"/>
              <w:kinsoku/>
              <w:wordWrap/>
              <w:overflowPunct/>
              <w:topLinePunct w:val="0"/>
              <w:autoSpaceDE/>
              <w:autoSpaceDN/>
              <w:bidi w:val="0"/>
              <w:adjustRightInd/>
              <w:snapToGrid/>
              <w:spacing w:before="76"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57</w:t>
            </w:r>
          </w:p>
        </w:tc>
        <w:tc>
          <w:tcPr>
            <w:tcW w:w="2188" w:type="dxa"/>
            <w:vMerge w:val="continue"/>
            <w:tcBorders>
              <w:top w:val="nil"/>
              <w:bottom w:val="nil"/>
            </w:tcBorders>
            <w:vAlign w:val="top"/>
          </w:tcPr>
          <w:p w14:paraId="6FFC9C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23332F98">
            <w:pPr>
              <w:pStyle w:val="132"/>
              <w:keepNext w:val="0"/>
              <w:keepLines w:val="0"/>
              <w:pageBreakBefore w:val="0"/>
              <w:widowControl w:val="0"/>
              <w:kinsoku/>
              <w:wordWrap/>
              <w:overflowPunct/>
              <w:topLinePunct w:val="0"/>
              <w:autoSpaceDE/>
              <w:autoSpaceDN/>
              <w:bidi w:val="0"/>
              <w:adjustRightInd/>
              <w:snapToGrid/>
              <w:spacing w:before="42"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临床可能性评估质量指标</w:t>
            </w:r>
          </w:p>
        </w:tc>
      </w:tr>
      <w:tr w14:paraId="5C95F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7E84DE59">
            <w:pPr>
              <w:pStyle w:val="132"/>
              <w:keepNext w:val="0"/>
              <w:keepLines w:val="0"/>
              <w:pageBreakBefore w:val="0"/>
              <w:widowControl w:val="0"/>
              <w:kinsoku/>
              <w:wordWrap/>
              <w:overflowPunct/>
              <w:topLinePunct w:val="0"/>
              <w:autoSpaceDE/>
              <w:autoSpaceDN/>
              <w:bidi w:val="0"/>
              <w:adjustRightInd/>
              <w:snapToGrid/>
              <w:spacing w:before="67"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58</w:t>
            </w:r>
          </w:p>
        </w:tc>
        <w:tc>
          <w:tcPr>
            <w:tcW w:w="2188" w:type="dxa"/>
            <w:vMerge w:val="continue"/>
            <w:tcBorders>
              <w:top w:val="nil"/>
            </w:tcBorders>
            <w:vAlign w:val="top"/>
          </w:tcPr>
          <w:p w14:paraId="063868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59897788">
            <w:pPr>
              <w:pStyle w:val="132"/>
              <w:keepNext w:val="0"/>
              <w:keepLines w:val="0"/>
              <w:pageBreakBefore w:val="0"/>
              <w:widowControl w:val="0"/>
              <w:kinsoku/>
              <w:wordWrap/>
              <w:overflowPunct/>
              <w:topLinePunct w:val="0"/>
              <w:autoSpaceDE/>
              <w:autoSpaceDN/>
              <w:bidi w:val="0"/>
              <w:adjustRightInd/>
              <w:snapToGrid/>
              <w:spacing w:before="36"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规范预防质量指标</w:t>
            </w:r>
          </w:p>
        </w:tc>
      </w:tr>
      <w:tr w14:paraId="2CDA3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7E425CD8">
            <w:pPr>
              <w:pStyle w:val="132"/>
              <w:keepNext w:val="0"/>
              <w:keepLines w:val="0"/>
              <w:pageBreakBefore w:val="0"/>
              <w:widowControl w:val="0"/>
              <w:kinsoku/>
              <w:wordWrap/>
              <w:overflowPunct/>
              <w:topLinePunct w:val="0"/>
              <w:autoSpaceDE/>
              <w:autoSpaceDN/>
              <w:bidi w:val="0"/>
              <w:adjustRightInd/>
              <w:snapToGrid/>
              <w:spacing w:before="77"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59</w:t>
            </w:r>
          </w:p>
        </w:tc>
        <w:tc>
          <w:tcPr>
            <w:tcW w:w="2188" w:type="dxa"/>
            <w:vMerge w:val="restart"/>
            <w:tcBorders>
              <w:bottom w:val="nil"/>
            </w:tcBorders>
            <w:vAlign w:val="center"/>
          </w:tcPr>
          <w:p w14:paraId="3FF42F6F">
            <w:pPr>
              <w:pStyle w:val="132"/>
              <w:keepNext w:val="0"/>
              <w:keepLines w:val="0"/>
              <w:pageBreakBefore w:val="0"/>
              <w:widowControl w:val="0"/>
              <w:kinsoku/>
              <w:wordWrap/>
              <w:overflowPunct/>
              <w:topLinePunct w:val="0"/>
              <w:autoSpaceDE/>
              <w:autoSpaceDN/>
              <w:bidi w:val="0"/>
              <w:adjustRightInd/>
              <w:snapToGrid/>
              <w:spacing w:before="75" w:line="400" w:lineRule="exact"/>
              <w:ind w:left="12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报表统计</w:t>
            </w:r>
          </w:p>
        </w:tc>
        <w:tc>
          <w:tcPr>
            <w:tcW w:w="5748" w:type="dxa"/>
            <w:gridSpan w:val="2"/>
            <w:vAlign w:val="top"/>
          </w:tcPr>
          <w:p w14:paraId="174FD1F6">
            <w:pPr>
              <w:pStyle w:val="132"/>
              <w:keepNext w:val="0"/>
              <w:keepLines w:val="0"/>
              <w:pageBreakBefore w:val="0"/>
              <w:widowControl w:val="0"/>
              <w:kinsoku/>
              <w:wordWrap/>
              <w:overflowPunct/>
              <w:topLinePunct w:val="0"/>
              <w:autoSpaceDE/>
              <w:autoSpaceDN/>
              <w:bidi w:val="0"/>
              <w:adjustRightInd/>
              <w:snapToGrid/>
              <w:spacing w:before="56"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出院患者节点分析统计</w:t>
            </w:r>
          </w:p>
        </w:tc>
      </w:tr>
      <w:tr w14:paraId="2A175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3805CA15">
            <w:pPr>
              <w:pStyle w:val="132"/>
              <w:keepNext w:val="0"/>
              <w:keepLines w:val="0"/>
              <w:pageBreakBefore w:val="0"/>
              <w:widowControl w:val="0"/>
              <w:kinsoku/>
              <w:wordWrap/>
              <w:overflowPunct/>
              <w:topLinePunct w:val="0"/>
              <w:autoSpaceDE/>
              <w:autoSpaceDN/>
              <w:bidi w:val="0"/>
              <w:adjustRightInd/>
              <w:snapToGrid/>
              <w:spacing w:before="98"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60</w:t>
            </w:r>
          </w:p>
        </w:tc>
        <w:tc>
          <w:tcPr>
            <w:tcW w:w="2188" w:type="dxa"/>
            <w:vMerge w:val="continue"/>
            <w:tcBorders>
              <w:top w:val="nil"/>
              <w:bottom w:val="nil"/>
            </w:tcBorders>
            <w:vAlign w:val="top"/>
          </w:tcPr>
          <w:p w14:paraId="0C374C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C4EB937">
            <w:pPr>
              <w:pStyle w:val="132"/>
              <w:keepNext w:val="0"/>
              <w:keepLines w:val="0"/>
              <w:pageBreakBefore w:val="0"/>
              <w:widowControl w:val="0"/>
              <w:kinsoku/>
              <w:wordWrap/>
              <w:overflowPunct/>
              <w:topLinePunct w:val="0"/>
              <w:autoSpaceDE/>
              <w:autoSpaceDN/>
              <w:bidi w:val="0"/>
              <w:adjustRightInd/>
              <w:snapToGrid/>
              <w:spacing w:before="36"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出院患者随访数据统计</w:t>
            </w:r>
          </w:p>
        </w:tc>
      </w:tr>
      <w:tr w14:paraId="2A998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2E395E5B">
            <w:pPr>
              <w:pStyle w:val="132"/>
              <w:keepNext w:val="0"/>
              <w:keepLines w:val="0"/>
              <w:pageBreakBefore w:val="0"/>
              <w:widowControl w:val="0"/>
              <w:kinsoku/>
              <w:wordWrap/>
              <w:overflowPunct/>
              <w:topLinePunct w:val="0"/>
              <w:autoSpaceDE/>
              <w:autoSpaceDN/>
              <w:bidi w:val="0"/>
              <w:adjustRightInd/>
              <w:snapToGrid/>
              <w:spacing w:before="78"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61</w:t>
            </w:r>
          </w:p>
        </w:tc>
        <w:tc>
          <w:tcPr>
            <w:tcW w:w="2188" w:type="dxa"/>
            <w:vMerge w:val="continue"/>
            <w:tcBorders>
              <w:top w:val="nil"/>
              <w:bottom w:val="nil"/>
            </w:tcBorders>
            <w:vAlign w:val="top"/>
          </w:tcPr>
          <w:p w14:paraId="47B77F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42291B91">
            <w:pPr>
              <w:pStyle w:val="132"/>
              <w:keepNext w:val="0"/>
              <w:keepLines w:val="0"/>
              <w:pageBreakBefore w:val="0"/>
              <w:widowControl w:val="0"/>
              <w:kinsoku/>
              <w:wordWrap/>
              <w:overflowPunct/>
              <w:topLinePunct w:val="0"/>
              <w:autoSpaceDE/>
              <w:autoSpaceDN/>
              <w:bidi w:val="0"/>
              <w:adjustRightInd/>
              <w:snapToGrid/>
              <w:spacing w:before="56"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医生护士审核数据统计</w:t>
            </w:r>
          </w:p>
        </w:tc>
      </w:tr>
      <w:tr w14:paraId="16417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45FD1AEB">
            <w:pPr>
              <w:pStyle w:val="132"/>
              <w:keepNext w:val="0"/>
              <w:keepLines w:val="0"/>
              <w:pageBreakBefore w:val="0"/>
              <w:widowControl w:val="0"/>
              <w:kinsoku/>
              <w:wordWrap/>
              <w:overflowPunct/>
              <w:topLinePunct w:val="0"/>
              <w:autoSpaceDE/>
              <w:autoSpaceDN/>
              <w:bidi w:val="0"/>
              <w:adjustRightInd/>
              <w:snapToGrid/>
              <w:spacing w:before="79"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62</w:t>
            </w:r>
          </w:p>
        </w:tc>
        <w:tc>
          <w:tcPr>
            <w:tcW w:w="2188" w:type="dxa"/>
            <w:vMerge w:val="continue"/>
            <w:tcBorders>
              <w:top w:val="nil"/>
              <w:bottom w:val="nil"/>
            </w:tcBorders>
            <w:vAlign w:val="top"/>
          </w:tcPr>
          <w:p w14:paraId="0AEDE8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23F7E8FD">
            <w:pPr>
              <w:pStyle w:val="132"/>
              <w:keepNext w:val="0"/>
              <w:keepLines w:val="0"/>
              <w:pageBreakBefore w:val="0"/>
              <w:widowControl w:val="0"/>
              <w:kinsoku/>
              <w:wordWrap/>
              <w:overflowPunct/>
              <w:topLinePunct w:val="0"/>
              <w:autoSpaceDE/>
              <w:autoSpaceDN/>
              <w:bidi w:val="0"/>
              <w:adjustRightInd/>
              <w:snapToGrid/>
              <w:spacing w:before="57"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VTE项目办公室平台上报数据统计</w:t>
            </w:r>
          </w:p>
        </w:tc>
      </w:tr>
      <w:tr w14:paraId="0B964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3F871F25">
            <w:pPr>
              <w:pStyle w:val="132"/>
              <w:keepNext w:val="0"/>
              <w:keepLines w:val="0"/>
              <w:pageBreakBefore w:val="0"/>
              <w:widowControl w:val="0"/>
              <w:kinsoku/>
              <w:wordWrap/>
              <w:overflowPunct/>
              <w:topLinePunct w:val="0"/>
              <w:autoSpaceDE/>
              <w:autoSpaceDN/>
              <w:bidi w:val="0"/>
              <w:adjustRightInd/>
              <w:snapToGrid/>
              <w:spacing w:before="100"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63</w:t>
            </w:r>
          </w:p>
        </w:tc>
        <w:tc>
          <w:tcPr>
            <w:tcW w:w="2188" w:type="dxa"/>
            <w:vMerge w:val="continue"/>
            <w:tcBorders>
              <w:top w:val="nil"/>
              <w:bottom w:val="nil"/>
            </w:tcBorders>
            <w:vAlign w:val="top"/>
          </w:tcPr>
          <w:p w14:paraId="02001F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62C4188F">
            <w:pPr>
              <w:pStyle w:val="132"/>
              <w:keepNext w:val="0"/>
              <w:keepLines w:val="0"/>
              <w:pageBreakBefore w:val="0"/>
              <w:widowControl w:val="0"/>
              <w:kinsoku/>
              <w:wordWrap/>
              <w:overflowPunct/>
              <w:topLinePunct w:val="0"/>
              <w:autoSpaceDE/>
              <w:autoSpaceDN/>
              <w:bidi w:val="0"/>
              <w:adjustRightInd/>
              <w:snapToGrid/>
              <w:spacing w:before="58"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全国医疗质量控制调查表数据统计</w:t>
            </w:r>
          </w:p>
        </w:tc>
      </w:tr>
      <w:tr w14:paraId="6C3C9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5A849AF4">
            <w:pPr>
              <w:pStyle w:val="132"/>
              <w:keepNext w:val="0"/>
              <w:keepLines w:val="0"/>
              <w:pageBreakBefore w:val="0"/>
              <w:widowControl w:val="0"/>
              <w:kinsoku/>
              <w:wordWrap/>
              <w:overflowPunct/>
              <w:topLinePunct w:val="0"/>
              <w:autoSpaceDE/>
              <w:autoSpaceDN/>
              <w:bidi w:val="0"/>
              <w:adjustRightInd/>
              <w:snapToGrid/>
              <w:spacing w:before="81"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64</w:t>
            </w:r>
          </w:p>
        </w:tc>
        <w:tc>
          <w:tcPr>
            <w:tcW w:w="2188" w:type="dxa"/>
            <w:vMerge w:val="continue"/>
            <w:tcBorders>
              <w:top w:val="nil"/>
            </w:tcBorders>
            <w:vAlign w:val="top"/>
          </w:tcPr>
          <w:p w14:paraId="5F4F8C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7651EE07">
            <w:pPr>
              <w:pStyle w:val="132"/>
              <w:keepNext w:val="0"/>
              <w:keepLines w:val="0"/>
              <w:pageBreakBefore w:val="0"/>
              <w:widowControl w:val="0"/>
              <w:kinsoku/>
              <w:wordWrap/>
              <w:overflowPunct/>
              <w:topLinePunct w:val="0"/>
              <w:autoSpaceDE/>
              <w:autoSpaceDN/>
              <w:bidi w:val="0"/>
              <w:adjustRightInd/>
              <w:snapToGrid/>
              <w:spacing w:before="49"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ICU</w:t>
            </w:r>
            <w:r>
              <w:rPr>
                <w:rFonts w:hint="eastAsia" w:ascii="宋体" w:hAnsi="宋体" w:eastAsia="宋体" w:cs="宋体"/>
                <w:color w:val="auto"/>
                <w:spacing w:val="1"/>
                <w:sz w:val="21"/>
                <w:szCs w:val="21"/>
                <w:highlight w:val="none"/>
              </w:rPr>
              <w:t>医疗质量控制调查表数据统计</w:t>
            </w:r>
          </w:p>
        </w:tc>
      </w:tr>
    </w:tbl>
    <w:p w14:paraId="24ACF0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系统模块要求</w:t>
      </w:r>
    </w:p>
    <w:p w14:paraId="365085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数据采集</w:t>
      </w:r>
    </w:p>
    <w:p w14:paraId="7CFEA8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系统通过整个HIS系统、LIS 系统、PACS 系统、手麻系统、电子病历系统、护理病 历系统等临床业务系统，持续增量获取病例在院期间的全部有效诊疗数据，包括病例基 本数据、医嘱数据、诊断数据、手术数据、检验数据、检查数据、电子病历数据、护理 记录数据，用于VTE 系统的筛查评估。</w:t>
      </w:r>
    </w:p>
    <w:p w14:paraId="338B30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数据智能处理</w:t>
      </w:r>
    </w:p>
    <w:p w14:paraId="4A0A22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患者在住院期间产生大量的临床业务数据，在繁杂的业务数据中包含结构化数据以 及分结构化数据，大部分数据不能直接应用于系统模型的评估筛查，需要进行数据的加 工、标化、归一，从而提升评估的精度和准确度。</w:t>
      </w:r>
    </w:p>
    <w:p w14:paraId="1905A9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（3）评估模型配置</w:t>
      </w:r>
    </w:p>
    <w:p w14:paraId="478102E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系统要根据国家指南内置各种模型，包括Caprini 评估模型、Padua 评估模型、肿  瘤科评估、外科出血风险评估模型、内科出血风险评估模型、禁忌评估模型、临床可能 性评估模型等，并支持新增、修改评估模型。</w:t>
      </w:r>
    </w:p>
    <w:p w14:paraId="066893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系统自动评估</w:t>
      </w:r>
    </w:p>
    <w:p w14:paraId="3A15D22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系统能够实现风险评估、出血评估、临床可能性评估以及病例特征评估，为指标统计、疾病防治提供数据基础。</w:t>
      </w:r>
    </w:p>
    <w:p w14:paraId="3129A1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风险评估</w:t>
      </w:r>
    </w:p>
    <w:p w14:paraId="12A2FF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能够使用Caprini 、Padua等指南推荐的风险评估量表对病例进行自动风险评估。</w:t>
      </w:r>
    </w:p>
    <w:p w14:paraId="7D3736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出血评估</w:t>
      </w:r>
    </w:p>
    <w:p w14:paraId="2DD555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能够使用外科出血量表、内科出血量表等指南推荐的风险评估量表对病例进行自动 出血评估。</w:t>
      </w:r>
    </w:p>
    <w:p w14:paraId="1A8C67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临床可能性评估</w:t>
      </w:r>
    </w:p>
    <w:p w14:paraId="333152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能够自动</w:t>
      </w:r>
      <w:r>
        <w:rPr>
          <w:rFonts w:hint="eastAsia" w:ascii="宋体" w:hAnsi="宋体" w:eastAsia="宋体" w:cs="宋体"/>
          <w:color w:val="auto"/>
          <w:sz w:val="21"/>
          <w:szCs w:val="21"/>
          <w:highlight w:val="none"/>
          <w:lang w:eastAsia="zh-CN"/>
        </w:rPr>
        <w:t>地</w:t>
      </w:r>
      <w:r>
        <w:rPr>
          <w:rFonts w:hint="eastAsia" w:ascii="宋体" w:hAnsi="宋体" w:eastAsia="宋体" w:cs="宋体"/>
          <w:color w:val="auto"/>
          <w:sz w:val="21"/>
          <w:szCs w:val="21"/>
          <w:highlight w:val="none"/>
        </w:rPr>
        <w:t>扫描病例数据集中的VTE 相关症状或者体征关键词，并自动触发VTE 的临床可能性评估。</w:t>
      </w:r>
    </w:p>
    <w:p w14:paraId="285AB9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禁忌评估</w:t>
      </w:r>
    </w:p>
    <w:p w14:paraId="6A96EF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能够自动</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对病例的特征进行评估分析，分析病例在预防、治疗过程中的禁忌特征，为精准</w:t>
      </w:r>
      <w:r>
        <w:rPr>
          <w:rFonts w:hint="eastAsia" w:ascii="宋体" w:hAnsi="宋体" w:eastAsia="宋体" w:cs="宋体"/>
          <w:color w:val="auto"/>
          <w:sz w:val="21"/>
          <w:szCs w:val="21"/>
          <w:highlight w:val="none"/>
          <w:lang w:eastAsia="zh-CN"/>
        </w:rPr>
        <w:t>地</w:t>
      </w:r>
      <w:r>
        <w:rPr>
          <w:rFonts w:hint="eastAsia" w:ascii="宋体" w:hAnsi="宋体" w:eastAsia="宋体" w:cs="宋体"/>
          <w:color w:val="auto"/>
          <w:sz w:val="21"/>
          <w:szCs w:val="21"/>
          <w:highlight w:val="none"/>
        </w:rPr>
        <w:t>推荐防治方案提供数据支撑。</w:t>
      </w:r>
    </w:p>
    <w:p w14:paraId="0FEB05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肺栓塞危险分层</w:t>
      </w:r>
    </w:p>
    <w:p w14:paraId="4DD0A0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针对确诊肺栓塞患者，自动实现肺栓塞危险分层评估，并提供简版评估表单和原版评估表单。</w:t>
      </w:r>
    </w:p>
    <w:p w14:paraId="1AE0FD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护士站智慧护理</w:t>
      </w:r>
    </w:p>
    <w:p w14:paraId="17D9F0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床位图标提醒</w:t>
      </w:r>
    </w:p>
    <w:p w14:paraId="0D417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能够在HIS 护士工作站的床位图上展示VTE 低危、中危、高危、确诊图标以及提 醒评估的图标。</w:t>
      </w:r>
    </w:p>
    <w:p w14:paraId="2F682D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节点自动创建</w:t>
      </w:r>
    </w:p>
    <w:p w14:paraId="227BAA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能够根据患者诊疗数据，自动创建入院、转科、术前、术后、病情变化、定期审核、出院等节点，并提醒临床护士审核。</w:t>
      </w:r>
    </w:p>
    <w:p w14:paraId="0F4D25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节点审核评估</w:t>
      </w:r>
    </w:p>
    <w:p w14:paraId="6B7414A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临床护士可以修改、审核系统自动评估结果，并可以查询条目系统自动触发来源以及条目的新增、删除历史。</w:t>
      </w:r>
    </w:p>
    <w:p w14:paraId="2F0251D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节点趋势图</w:t>
      </w:r>
    </w:p>
    <w:p w14:paraId="7AC0E5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临床护士可以查询患者住院期间风险评估趋势图、出血评估趋势图、临床可能性评估趋势图。</w:t>
      </w:r>
    </w:p>
    <w:p w14:paraId="1253E6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单节点打印表单</w:t>
      </w:r>
    </w:p>
    <w:p w14:paraId="3C852B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临床护士可以单独打印某个节点的风险、出血、临床可能性评估表单。</w:t>
      </w:r>
    </w:p>
    <w:p w14:paraId="33C529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多节点一页纸打印</w:t>
      </w:r>
    </w:p>
    <w:p w14:paraId="15EB27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临床护士可以在一张纸上汇总打印多个节点的风险评估信息。</w:t>
      </w:r>
    </w:p>
    <w:p w14:paraId="56018D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表单CA 签名</w:t>
      </w:r>
    </w:p>
    <w:p w14:paraId="0EBF8D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可以对接院内 CA 签名，并可以在打印表单时，审核人姓名显示CA手写体签名。</w:t>
      </w:r>
    </w:p>
    <w:p w14:paraId="79AF08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查询操作日志</w:t>
      </w:r>
    </w:p>
    <w:p w14:paraId="5525DF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能够查询临床对患者的临床操作日志，包括风险评估日志、出血评估日志、临床可能性评估日志、禁忌评估日志、打印表单日志、删除节点日志等。</w:t>
      </w:r>
    </w:p>
    <w:p w14:paraId="78B321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病区VTE 指标统计</w:t>
      </w:r>
    </w:p>
    <w:p w14:paraId="489A68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能够在HIS页面挂载病区VTE指标统计页面，无需登录，包含综合类指标、评估类指标、预防类指标、治疗类指标、检验检查指标、确诊指标等，并可以查询某指标的患者列表。</w:t>
      </w:r>
    </w:p>
    <w:p w14:paraId="7E6FBC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 xml:space="preserve">  医生站智能辅助</w:t>
      </w:r>
    </w:p>
    <w:p w14:paraId="1E364D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患者列表图标提醒</w:t>
      </w:r>
    </w:p>
    <w:p w14:paraId="7CE653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能够在 HIS医生工作站患者列表显示VTE 低危、中危、高危、确诊图标以及提醒审核图标。</w:t>
      </w:r>
    </w:p>
    <w:p w14:paraId="32B5F0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节点审核评估</w:t>
      </w:r>
    </w:p>
    <w:p w14:paraId="01090D2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临床医生可以修改、审核系统自动评估结果，并可以查询条目系统自动触发来源以及条目的新增、删除历史。</w:t>
      </w:r>
    </w:p>
    <w:p w14:paraId="52AF43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方案推荐</w:t>
      </w:r>
    </w:p>
    <w:p w14:paraId="161D1A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系统能够根据临床审核结果，推荐预防方案。</w:t>
      </w:r>
    </w:p>
    <w:p w14:paraId="761868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医嘱录入</w:t>
      </w:r>
    </w:p>
    <w:p w14:paraId="2E22A9B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系统支持快速把VTE 相关预防医嘱插入医嘱系统</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w:t>
      </w:r>
    </w:p>
    <w:p w14:paraId="3E0037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打印知情同意书</w:t>
      </w:r>
    </w:p>
    <w:p w14:paraId="0D0EDB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系统支持打印预防知情同意书、抗凝/溶栓知情同意书。</w:t>
      </w:r>
    </w:p>
    <w:p w14:paraId="3359A3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修改确诊信息</w:t>
      </w:r>
    </w:p>
    <w:p w14:paraId="4DB2BB2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系统支持临床医生修改患者确诊信息。</w:t>
      </w:r>
    </w:p>
    <w:p w14:paraId="5F64A3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临床智能卡控</w:t>
      </w:r>
    </w:p>
    <w:p w14:paraId="1E1681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系统支持对未评估、未预防的患者进行医嘱卡控或病历卡控。</w:t>
      </w:r>
    </w:p>
    <w:p w14:paraId="598481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节点趋势图</w:t>
      </w:r>
    </w:p>
    <w:p w14:paraId="5AD1D92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临床医生可以查询患者住院期间风险评估趋势图、出血评估趋势图、临床可能性评估趋势图。</w:t>
      </w:r>
    </w:p>
    <w:p w14:paraId="4F25BC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单节点打印表单</w:t>
      </w:r>
    </w:p>
    <w:p w14:paraId="234FA4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临床医生可以单独打印某个节点的风险、出血、临床可能性评估表单。</w:t>
      </w:r>
    </w:p>
    <w:p w14:paraId="494EC2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多节点一页纸打印</w:t>
      </w:r>
    </w:p>
    <w:p w14:paraId="350A95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临床医生可以在一张纸上汇总打印多个节点的风险评估信息。</w:t>
      </w:r>
    </w:p>
    <w:p w14:paraId="1701BF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表单CA 签名</w:t>
      </w:r>
    </w:p>
    <w:p w14:paraId="2447A6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可以对接院内 CA 签名，并可以在打印表单时，审核人姓名显示 CA手写体签名。</w:t>
      </w:r>
    </w:p>
    <w:p w14:paraId="5B087E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查询操作日志</w:t>
      </w:r>
    </w:p>
    <w:p w14:paraId="5E5755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能够查询临床对患者的临床操作日志，包括风险评估日志、出血评估日志、临床可能性评估日志、禁忌评估日志、打印表单日志、删除节点日志等。</w:t>
      </w:r>
    </w:p>
    <w:p w14:paraId="11CE72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科室VTE 指标统计</w:t>
      </w:r>
    </w:p>
    <w:p w14:paraId="75934E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能够在 HIS页面挂载科室VTE指标统计页面，无需登录，包含综合类指标、评估类指标、预防类指标、治疗类指标、检验检查指标、确诊指标等，并可以查询某指标的患者列表。</w:t>
      </w:r>
    </w:p>
    <w:p w14:paraId="735ACC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VTE 随访管理</w:t>
      </w:r>
    </w:p>
    <w:p w14:paraId="07AAB3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患者出院后系统可以自动把中高危以及确诊患者自动带入随访计划，并提醒医生或者护士进行电话随访</w:t>
      </w:r>
      <w:r>
        <w:rPr>
          <w:rFonts w:hint="eastAsia" w:ascii="宋体" w:hAnsi="宋体" w:eastAsia="宋体" w:cs="宋体"/>
          <w:color w:val="auto"/>
          <w:sz w:val="21"/>
          <w:szCs w:val="21"/>
          <w:highlight w:val="none"/>
          <w:lang w:eastAsia="zh-CN"/>
        </w:rPr>
        <w:t>。</w:t>
      </w:r>
    </w:p>
    <w:p w14:paraId="49BB80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随访日历</w:t>
      </w:r>
    </w:p>
    <w:p w14:paraId="714F78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随访日历页面，可以清楚</w:t>
      </w:r>
      <w:r>
        <w:rPr>
          <w:rFonts w:hint="eastAsia" w:ascii="宋体" w:hAnsi="宋体" w:eastAsia="宋体" w:cs="宋体"/>
          <w:color w:val="auto"/>
          <w:sz w:val="21"/>
          <w:szCs w:val="21"/>
          <w:highlight w:val="none"/>
          <w:lang w:eastAsia="zh-CN"/>
        </w:rPr>
        <w:t>地</w:t>
      </w:r>
      <w:r>
        <w:rPr>
          <w:rFonts w:hint="eastAsia" w:ascii="宋体" w:hAnsi="宋体" w:eastAsia="宋体" w:cs="宋体"/>
          <w:color w:val="auto"/>
          <w:sz w:val="21"/>
          <w:szCs w:val="21"/>
          <w:highlight w:val="none"/>
        </w:rPr>
        <w:t>显示某一天应随访多少人、未随访多少人、已随访多少人。</w:t>
      </w:r>
    </w:p>
    <w:p w14:paraId="1A49AC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随访列表</w:t>
      </w:r>
    </w:p>
    <w:p w14:paraId="57E3638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可以根据患者姓名、住院号等，查询未随访患者列表和已随访患者列表，方便临床医护快速找到需随访患者和查询已随访患者的信息。</w:t>
      </w:r>
    </w:p>
    <w:p w14:paraId="6A8AA0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随访表单</w:t>
      </w:r>
    </w:p>
    <w:p w14:paraId="5DC57B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临床医护可以在线填写随访表单，并可以修改历史随访表单以及打印随访表单。</w:t>
      </w:r>
    </w:p>
    <w:p w14:paraId="009D59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在院病例预警提醒</w:t>
      </w:r>
    </w:p>
    <w:p w14:paraId="5B44C7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针对全院病例的评估情况、预防情况、发病情况、治疗情况等相关指标进行实时、动态</w:t>
      </w:r>
      <w:r>
        <w:rPr>
          <w:rFonts w:hint="eastAsia" w:ascii="宋体" w:hAnsi="宋体" w:eastAsia="宋体" w:cs="宋体"/>
          <w:color w:val="auto"/>
          <w:sz w:val="21"/>
          <w:szCs w:val="21"/>
          <w:highlight w:val="none"/>
          <w:lang w:eastAsia="zh-CN"/>
        </w:rPr>
        <w:t>地</w:t>
      </w:r>
      <w:r>
        <w:rPr>
          <w:rFonts w:hint="eastAsia" w:ascii="宋体" w:hAnsi="宋体" w:eastAsia="宋体" w:cs="宋体"/>
          <w:color w:val="auto"/>
          <w:sz w:val="21"/>
          <w:szCs w:val="21"/>
          <w:highlight w:val="none"/>
        </w:rPr>
        <w:t>汇总呈现。按照科室粒度、医师粒度对诊疗过程中的VTE指标进行精细化的统计与管理。</w:t>
      </w:r>
    </w:p>
    <w:p w14:paraId="016AE0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全院指标统计</w:t>
      </w:r>
    </w:p>
    <w:p w14:paraId="674140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在院病例进行全员病例的全面筛查，分评估、预警、疑诊、确诊四个维度进行统计；评估包括：入院24H审核率、风险审核人次、出血审核人次，预警包括：未预防患者、中危患者、高危患者，疑诊包括：肺栓塞疑诊、下肢静脉血栓疑诊、其他血栓疑诊，确诊包括：肺栓塞、下肢静脉血栓、其他血栓；另外还统计预防和治疗措施的比率。</w:t>
      </w:r>
    </w:p>
    <w:p w14:paraId="34633B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科室指标统计</w:t>
      </w:r>
    </w:p>
    <w:p w14:paraId="7B0240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根据科室统计指标方便医务管理者进行科室管理，科室指标包括：在院患者、入院审核、动态审核、中高危患者、未预防患者、预防患者、疑似患者、确诊患者、院内确诊、未治疗患者、治疗患者。</w:t>
      </w:r>
    </w:p>
    <w:p w14:paraId="12B6C4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VTE 指标监评统计</w:t>
      </w:r>
    </w:p>
    <w:p w14:paraId="120BC3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综合统计</w:t>
      </w:r>
    </w:p>
    <w:p w14:paraId="4833228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包括VTE 疑诊指标、确诊指标、院内发生指标、单纯 PTE 指标、单纯 DVT 指标、DVT 合并PTE 指标、确诊死亡指标、健康宣教、确诊平均住院日、随访率等。</w:t>
      </w:r>
    </w:p>
    <w:p w14:paraId="1DCB4A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评估质量</w:t>
      </w:r>
    </w:p>
    <w:p w14:paraId="2C1706D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风险评估率、入院评估率、术前评估率、术后评估率、转科评估率、出院评估率、入院未评估率、术前未评估率、术后未评估率、转科未评估率、出院未评估率、出血评估率、出血高危、高危患者、中危患者、低危患者等。</w:t>
      </w:r>
    </w:p>
    <w:p w14:paraId="5C1ABD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预防质量</w:t>
      </w:r>
    </w:p>
    <w:p w14:paraId="6F6A84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包括需预防患者、预防指标、机械/药物预防指标、含基础预防指标、含机械预防指标、含药物预防指标、未预防指标等。</w:t>
      </w:r>
    </w:p>
    <w:p w14:paraId="15D921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治疗质量</w:t>
      </w:r>
    </w:p>
    <w:p w14:paraId="569D37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包括需治疗指标、治疗指标、含抗凝治疗指标、含溶栓治疗指标、含手术介入治疗 指标、未治疗指标等。</w:t>
      </w:r>
    </w:p>
    <w:p w14:paraId="25028F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检验检查</w:t>
      </w:r>
    </w:p>
    <w:p w14:paraId="31FDAC4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包括D-二聚体指标、中高危 D-二聚体指标、DVT 检查指标、中高危 DVT 检查指标、PTE 检查指标、中高危PTE 检查指标等。</w:t>
      </w:r>
    </w:p>
    <w:p w14:paraId="0661F9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 xml:space="preserve"> VTE 专项报告</w:t>
      </w:r>
    </w:p>
    <w:p w14:paraId="1EE8AB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系统能够根据院内提供的特定模板按照出院日期范围生成对应的VTE专题报告。</w:t>
      </w:r>
    </w:p>
    <w:p w14:paraId="519EC6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（11）</w:t>
      </w:r>
      <w:r>
        <w:rPr>
          <w:rFonts w:hint="eastAsia" w:ascii="宋体" w:hAnsi="宋体" w:eastAsia="宋体" w:cs="宋体"/>
          <w:color w:val="auto"/>
          <w:sz w:val="21"/>
          <w:szCs w:val="21"/>
          <w:highlight w:val="none"/>
        </w:rPr>
        <w:t xml:space="preserve"> VTE 防治质量控制核心指标</w:t>
      </w:r>
    </w:p>
    <w:p w14:paraId="12C046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可根据VTE 项目办公室发布的《VTE 防治质量评价与管理建议》第三章 VTE防治质量控制核心指标内容进行分析统计。</w:t>
      </w:r>
    </w:p>
    <w:p w14:paraId="024237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VTE风险评估质量指标</w:t>
      </w:r>
    </w:p>
    <w:p w14:paraId="01754D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在所有采集范围内的出院患者中，分别采集五类重点人群住院期间于四个关键动态时点完成《VTE风险评估量表》、接受 VTE风险评估的出院患者总例数，通过公式计算得出本指标。</w:t>
      </w:r>
    </w:p>
    <w:p w14:paraId="089029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出血风险评估质量指标</w:t>
      </w:r>
    </w:p>
    <w:p w14:paraId="7952D3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五类重点人群中，分别采集四个关键动态时点的 VTE风险评估结果为中高危的出院患者，并采集这部分患者中，在相应动态时点内完成《出血风险评估表单》、接受出血风险评估的出院患者总例数，通过公式计算得出本指标。</w:t>
      </w:r>
    </w:p>
    <w:p w14:paraId="665EA6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药物预防质量指标</w:t>
      </w:r>
    </w:p>
    <w:p w14:paraId="3B686C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五类重点人群中，分别采集四个关键动态时点的 VTE风险评估结果为中高危，且相应动态时点无出血风险的出院患者，并采集这部分患者中，在相应动态时点内下达了药物预防相关医嘱的出院患者总例数，通过公式计算得出本指标。</w:t>
      </w:r>
    </w:p>
    <w:p w14:paraId="1E49D2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机械预防质量指标</w:t>
      </w:r>
    </w:p>
    <w:p w14:paraId="69CFC3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五类重点人群中，分别采集四个关键动态时点的 VTE风险评估结果为中高危的出院患者，并采集这部分患者中，在相应动态时点内下达了机械预防相关医嘱的出院患者总例数，通过公式计算得出本指标。</w:t>
      </w:r>
    </w:p>
    <w:p w14:paraId="1D2172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联合预防质量指标</w:t>
      </w:r>
    </w:p>
    <w:p w14:paraId="7E0530B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五类重点人群中，分别采集四个关键动态时点的 VTE风险评估结果为中高危，且相应动态时点无出血风险的出院患者，并采集这部分患者中，在相应动态时点内下达了联合预防相关医嘱的出院患者总例数，通过公式计算得出本指标。</w:t>
      </w:r>
    </w:p>
    <w:p w14:paraId="1AF45D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医院相关性 VTE发生情况</w:t>
      </w:r>
    </w:p>
    <w:p w14:paraId="3098D4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在所有采集范围内的电子病历首页出院诊断包含VTE的病例中，由专业人员逐例筛查，判断其是否为医院相关性VTE</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通过公式计算得出医院相关性VTE发生率。</w:t>
      </w:r>
    </w:p>
    <w:p w14:paraId="5758EF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所有采集范围内的电子病历首页信息中疾病转归为“死亡”的患者中，筛选电子病历首页出院诊断包含VTE的病例，并由专业人员逐例筛查，确定因医院相关性VTE而死亡的患者总例数，通过公式计算得医院相关性VTE全因死亡率</w:t>
      </w:r>
      <w:r>
        <w:rPr>
          <w:rFonts w:hint="eastAsia" w:ascii="宋体" w:hAnsi="宋体" w:eastAsia="宋体" w:cs="宋体"/>
          <w:color w:val="auto"/>
          <w:sz w:val="21"/>
          <w:szCs w:val="21"/>
          <w:highlight w:val="none"/>
          <w:lang w:eastAsia="zh-CN"/>
        </w:rPr>
        <w:t>。</w:t>
      </w:r>
    </w:p>
    <w:p w14:paraId="38A067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医院相关性VTE治疗率</w:t>
      </w:r>
    </w:p>
    <w:p w14:paraId="33F512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本次住院期间首次明确为医院相关性 VTE的病例按照指南要求分别实施了规范的抗凝治疗、溶栓治疗、介入治疗或手术治疗的出院患者总例数与同期首次明确为医院 相关性 VTE的出院患者总例数的比值。</w:t>
      </w:r>
    </w:p>
    <w:p w14:paraId="219AC4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出血事件发生率</w:t>
      </w:r>
    </w:p>
    <w:p w14:paraId="6069087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使用抗凝药物预防 VTE</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使用抗凝/溶栓药物治疗医院相关性 VTE的出院患者中，在住院期间发生大出血或临床相关非大出血的出院患者比例</w:t>
      </w:r>
      <w:r>
        <w:rPr>
          <w:rFonts w:hint="eastAsia" w:ascii="宋体" w:hAnsi="宋体" w:eastAsia="宋体" w:cs="宋体"/>
          <w:color w:val="auto"/>
          <w:sz w:val="21"/>
          <w:szCs w:val="21"/>
          <w:highlight w:val="none"/>
          <w:lang w:eastAsia="zh-CN"/>
        </w:rPr>
        <w:t>。</w:t>
      </w:r>
    </w:p>
    <w:p w14:paraId="27ECFF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（12）</w:t>
      </w:r>
      <w:r>
        <w:rPr>
          <w:rFonts w:hint="eastAsia" w:ascii="宋体" w:hAnsi="宋体" w:eastAsia="宋体" w:cs="宋体"/>
          <w:color w:val="auto"/>
          <w:sz w:val="21"/>
          <w:szCs w:val="21"/>
          <w:highlight w:val="none"/>
        </w:rPr>
        <w:t>报表统计</w:t>
      </w:r>
    </w:p>
    <w:p w14:paraId="50ECCA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出院患者节点分析统计</w:t>
      </w:r>
    </w:p>
    <w:p w14:paraId="61D8C0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系统支持根据出院日期，查询患者的每次评估节点信息，一个节点一条记录，可按照姓名、住院号、登记号等查询。</w:t>
      </w:r>
    </w:p>
    <w:p w14:paraId="5B45CC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出院患者随访数据查询</w:t>
      </w:r>
    </w:p>
    <w:p w14:paraId="56FA619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可根据出院日期、随访日期查询全院、科室的随访率、应随访率、未随访率、随访完成率、随访未完成率等，以及根据随访表单统计随访内容，如：随访方式、转归情况统计等。</w:t>
      </w:r>
    </w:p>
    <w:p w14:paraId="156174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医生护士审核数据统计</w:t>
      </w:r>
    </w:p>
    <w:p w14:paraId="19AE0F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系统支持统计医生、护士总的评估次数、每个节点的评估次数，方便院内进行绩效统计。</w:t>
      </w:r>
    </w:p>
    <w:p w14:paraId="509380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VTE 项目办公室数据上报</w:t>
      </w:r>
    </w:p>
    <w:p w14:paraId="052164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可按照《全国肺栓塞和深静脉血栓形成防治能力建设项目》要求，导出上报数据。</w:t>
      </w:r>
    </w:p>
    <w:p w14:paraId="081A5F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NCIS全国医疗质量抽样调查VTE 相关指标上报</w:t>
      </w:r>
    </w:p>
    <w:p w14:paraId="3A1BF54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可按照NCIS 全国医疗质量抽样调查表导出和VTE 有关的数据，方便医院上报</w:t>
      </w:r>
      <w:r>
        <w:rPr>
          <w:rFonts w:hint="eastAsia" w:ascii="宋体" w:hAnsi="宋体" w:eastAsia="宋体" w:cs="宋体"/>
          <w:color w:val="auto"/>
          <w:sz w:val="21"/>
          <w:szCs w:val="21"/>
          <w:highlight w:val="none"/>
          <w:lang w:eastAsia="zh-CN"/>
        </w:rPr>
        <w:t>数据</w:t>
      </w:r>
      <w:r>
        <w:rPr>
          <w:rFonts w:hint="eastAsia" w:ascii="宋体" w:hAnsi="宋体" w:eastAsia="宋体" w:cs="宋体"/>
          <w:color w:val="auto"/>
          <w:sz w:val="21"/>
          <w:szCs w:val="21"/>
          <w:highlight w:val="none"/>
        </w:rPr>
        <w:t>。</w:t>
      </w:r>
    </w:p>
    <w:p w14:paraId="46FD4C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性能要求</w:t>
      </w:r>
    </w:p>
    <w:p w14:paraId="4A3D76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最大并发用户数：不少于100人；</w:t>
      </w:r>
    </w:p>
    <w:p w14:paraId="06EE78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服务器所需性能：8核、16G内存；</w:t>
      </w:r>
    </w:p>
    <w:p w14:paraId="6184D5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客户端</w:t>
      </w:r>
      <w:r>
        <w:rPr>
          <w:rFonts w:hint="eastAsia" w:ascii="宋体" w:hAnsi="宋体" w:eastAsia="宋体" w:cs="宋体"/>
          <w:color w:val="auto"/>
          <w:sz w:val="21"/>
          <w:szCs w:val="21"/>
          <w:highlight w:val="none"/>
          <w:lang w:val="en-US" w:eastAsia="zh-CN"/>
        </w:rPr>
        <w:t>所</w:t>
      </w:r>
      <w:r>
        <w:rPr>
          <w:rFonts w:hint="eastAsia" w:ascii="宋体" w:hAnsi="宋体" w:eastAsia="宋体" w:cs="宋体"/>
          <w:color w:val="auto"/>
          <w:sz w:val="21"/>
          <w:szCs w:val="21"/>
          <w:highlight w:val="none"/>
        </w:rPr>
        <w:t>性能：无特殊要求；</w:t>
      </w:r>
    </w:p>
    <w:p w14:paraId="1DA59F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存储容量：500G 硬盘； 网络带宽：桌面千兆；</w:t>
      </w:r>
    </w:p>
    <w:p w14:paraId="634419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响应时间：一般业务小于1秒，复杂业务小于3秒；</w:t>
      </w:r>
    </w:p>
    <w:p w14:paraId="6D1271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性能：7×24运行； </w:t>
      </w:r>
    </w:p>
    <w:p w14:paraId="2C993E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技术规划说明</w:t>
      </w:r>
    </w:p>
    <w:p w14:paraId="3F6AFE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VTE 信息系统支持虚拟化技术，可部署在医院现有虚拟化资源池下，便于医院更好</w:t>
      </w:r>
      <w:r>
        <w:rPr>
          <w:rFonts w:hint="eastAsia" w:ascii="宋体" w:hAnsi="宋体" w:eastAsia="宋体" w:cs="宋体"/>
          <w:color w:val="auto"/>
          <w:sz w:val="21"/>
          <w:szCs w:val="21"/>
          <w:highlight w:val="none"/>
          <w:lang w:eastAsia="zh-CN"/>
        </w:rPr>
        <w:t>地</w:t>
      </w:r>
      <w:r>
        <w:rPr>
          <w:rFonts w:hint="eastAsia" w:ascii="宋体" w:hAnsi="宋体" w:eastAsia="宋体" w:cs="宋体"/>
          <w:color w:val="auto"/>
          <w:sz w:val="21"/>
          <w:szCs w:val="21"/>
          <w:highlight w:val="none"/>
        </w:rPr>
        <w:t>管理存储计算资源。</w:t>
      </w:r>
    </w:p>
    <w:p w14:paraId="2A65C8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487B75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3B7FACB3">
      <w:pPr>
        <w:rPr>
          <w:rFonts w:hint="eastAsia" w:ascii="宋体" w:hAnsi="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附件3：</w:t>
      </w:r>
    </w:p>
    <w:p w14:paraId="43D25BE3">
      <w:pPr>
        <w:kinsoku w:val="0"/>
        <w:autoSpaceDE w:val="0"/>
        <w:autoSpaceDN w:val="0"/>
        <w:adjustRightInd w:val="0"/>
        <w:snapToGrid w:val="0"/>
        <w:spacing w:before="127" w:line="219" w:lineRule="auto"/>
        <w:ind w:left="2545"/>
        <w:jc w:val="left"/>
        <w:textAlignment w:val="baseline"/>
        <w:outlineLvl w:val="0"/>
        <w:rPr>
          <w:rFonts w:hint="eastAsia" w:ascii="宋体" w:hAnsi="宋体" w:eastAsia="宋体" w:cs="宋体"/>
          <w:snapToGrid w:val="0"/>
          <w:color w:val="auto"/>
          <w:kern w:val="0"/>
          <w:sz w:val="44"/>
          <w:szCs w:val="44"/>
          <w:highlight w:val="none"/>
          <w:lang w:val="en-US" w:eastAsia="en-US" w:bidi="ar-SA"/>
        </w:rPr>
      </w:pPr>
      <w:r>
        <w:rPr>
          <w:rFonts w:hint="eastAsia" w:ascii="宋体" w:hAnsi="宋体" w:eastAsia="宋体" w:cs="宋体"/>
          <w:snapToGrid w:val="0"/>
          <w:color w:val="auto"/>
          <w:spacing w:val="-23"/>
          <w:kern w:val="0"/>
          <w:sz w:val="44"/>
          <w:szCs w:val="44"/>
          <w:highlight w:val="none"/>
          <w:lang w:val="en-US" w:eastAsia="en-US" w:bidi="ar-SA"/>
        </w:rPr>
        <w:t>HIS</w:t>
      </w:r>
      <w:r>
        <w:rPr>
          <w:rFonts w:hint="eastAsia" w:ascii="宋体" w:hAnsi="宋体" w:eastAsia="宋体" w:cs="宋体"/>
          <w:snapToGrid w:val="0"/>
          <w:color w:val="auto"/>
          <w:spacing w:val="-16"/>
          <w:kern w:val="0"/>
          <w:sz w:val="44"/>
          <w:szCs w:val="44"/>
          <w:highlight w:val="none"/>
          <w:lang w:val="en-US" w:eastAsia="en-US" w:bidi="ar-SA"/>
        </w:rPr>
        <w:t xml:space="preserve"> </w:t>
      </w:r>
      <w:r>
        <w:rPr>
          <w:rFonts w:hint="eastAsia" w:ascii="宋体" w:hAnsi="宋体" w:eastAsia="宋体" w:cs="宋体"/>
          <w:b/>
          <w:bCs/>
          <w:snapToGrid w:val="0"/>
          <w:color w:val="auto"/>
          <w:spacing w:val="-23"/>
          <w:kern w:val="0"/>
          <w:sz w:val="44"/>
          <w:szCs w:val="44"/>
          <w:highlight w:val="none"/>
          <w:lang w:val="en-US" w:eastAsia="en-US" w:bidi="ar-SA"/>
        </w:rPr>
        <w:t>维保服务考核标准</w:t>
      </w:r>
    </w:p>
    <w:p w14:paraId="6F8D36B5">
      <w:pPr>
        <w:keepNext w:val="0"/>
        <w:keepLines w:val="0"/>
        <w:pageBreakBefore w:val="0"/>
        <w:widowControl w:val="0"/>
        <w:kinsoku/>
        <w:wordWrap/>
        <w:overflowPunct/>
        <w:topLinePunct w:val="0"/>
        <w:autoSpaceDE/>
        <w:autoSpaceDN/>
        <w:bidi w:val="0"/>
        <w:adjustRightInd/>
        <w:snapToGrid/>
        <w:spacing w:beforeLines="50" w:line="264"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说明：</w:t>
      </w:r>
      <w:r>
        <w:rPr>
          <w:rFonts w:hint="eastAsia" w:ascii="宋体" w:hAnsi="宋体" w:eastAsia="宋体" w:cs="宋体"/>
          <w:color w:val="auto"/>
          <w:sz w:val="21"/>
          <w:szCs w:val="21"/>
          <w:highlight w:val="none"/>
        </w:rPr>
        <w:t>指标分为开发指标、系统维护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人员与工作量</w:t>
      </w:r>
      <w:r>
        <w:rPr>
          <w:rFonts w:hint="eastAsia" w:ascii="宋体" w:hAnsi="宋体" w:eastAsia="宋体" w:cs="宋体"/>
          <w:color w:val="auto"/>
          <w:sz w:val="21"/>
          <w:szCs w:val="21"/>
          <w:highlight w:val="none"/>
        </w:rPr>
        <w:t>和安全保障</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大项，分数占比分别为</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，满分100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，每个</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rPr>
        <w:t>得分达</w:t>
      </w: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分及以上，足额支付当</w:t>
      </w:r>
      <w:r>
        <w:rPr>
          <w:rFonts w:hint="eastAsia" w:ascii="宋体" w:hAnsi="宋体" w:eastAsia="宋体" w:cs="宋体"/>
          <w:color w:val="auto"/>
          <w:sz w:val="21"/>
          <w:szCs w:val="21"/>
          <w:highlight w:val="none"/>
          <w:lang w:val="en-US" w:eastAsia="zh-CN"/>
        </w:rPr>
        <w:t>季维保</w:t>
      </w:r>
      <w:r>
        <w:rPr>
          <w:rFonts w:hint="eastAsia" w:ascii="宋体" w:hAnsi="宋体" w:eastAsia="宋体" w:cs="宋体"/>
          <w:color w:val="auto"/>
          <w:sz w:val="21"/>
          <w:szCs w:val="21"/>
          <w:highlight w:val="none"/>
        </w:rPr>
        <w:t>费，达到</w:t>
      </w: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84</w:t>
      </w:r>
      <w:r>
        <w:rPr>
          <w:rFonts w:hint="eastAsia" w:ascii="宋体" w:hAnsi="宋体" w:eastAsia="宋体" w:cs="宋体"/>
          <w:color w:val="auto"/>
          <w:sz w:val="21"/>
          <w:szCs w:val="21"/>
          <w:highlight w:val="none"/>
        </w:rPr>
        <w:t>分，支付90%</w:t>
      </w:r>
      <w:r>
        <w:rPr>
          <w:rFonts w:hint="eastAsia" w:ascii="宋体" w:hAnsi="宋体" w:eastAsia="宋体" w:cs="宋体"/>
          <w:color w:val="auto"/>
          <w:sz w:val="21"/>
          <w:szCs w:val="21"/>
          <w:highlight w:val="none"/>
          <w:lang w:val="en-US" w:eastAsia="zh-CN"/>
        </w:rPr>
        <w:t>维保</w:t>
      </w:r>
      <w:r>
        <w:rPr>
          <w:rFonts w:hint="eastAsia" w:ascii="宋体" w:hAnsi="宋体" w:eastAsia="宋体" w:cs="宋体"/>
          <w:color w:val="auto"/>
          <w:sz w:val="21"/>
          <w:szCs w:val="21"/>
          <w:highlight w:val="none"/>
        </w:rPr>
        <w:t>费，达到</w:t>
      </w:r>
      <w:r>
        <w:rPr>
          <w:rFonts w:hint="eastAsia" w:ascii="宋体" w:hAnsi="宋体" w:eastAsia="宋体" w:cs="宋体"/>
          <w:color w:val="auto"/>
          <w:sz w:val="21"/>
          <w:szCs w:val="21"/>
          <w:highlight w:val="none"/>
          <w:lang w:val="en-US" w:eastAsia="zh-CN"/>
        </w:rPr>
        <w:t>65</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分，支付80%</w:t>
      </w:r>
      <w:r>
        <w:rPr>
          <w:rFonts w:hint="eastAsia" w:ascii="宋体" w:hAnsi="宋体" w:eastAsia="宋体" w:cs="宋体"/>
          <w:color w:val="auto"/>
          <w:sz w:val="21"/>
          <w:szCs w:val="21"/>
          <w:highlight w:val="none"/>
          <w:lang w:val="en-US" w:eastAsia="zh-CN"/>
        </w:rPr>
        <w:t>维保</w:t>
      </w:r>
      <w:r>
        <w:rPr>
          <w:rFonts w:hint="eastAsia" w:ascii="宋体" w:hAnsi="宋体" w:eastAsia="宋体" w:cs="宋体"/>
          <w:color w:val="auto"/>
          <w:sz w:val="21"/>
          <w:szCs w:val="21"/>
          <w:highlight w:val="none"/>
        </w:rPr>
        <w:t>费，达到</w:t>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lang w:val="en-US" w:eastAsia="zh-CN"/>
        </w:rPr>
        <w:t>64</w:t>
      </w:r>
      <w:r>
        <w:rPr>
          <w:rFonts w:hint="eastAsia" w:ascii="宋体" w:hAnsi="宋体" w:eastAsia="宋体" w:cs="宋体"/>
          <w:color w:val="auto"/>
          <w:sz w:val="21"/>
          <w:szCs w:val="21"/>
          <w:highlight w:val="none"/>
        </w:rPr>
        <w:t>分，支付70%</w:t>
      </w:r>
      <w:r>
        <w:rPr>
          <w:rFonts w:hint="eastAsia" w:ascii="宋体" w:hAnsi="宋体" w:eastAsia="宋体" w:cs="宋体"/>
          <w:color w:val="auto"/>
          <w:sz w:val="21"/>
          <w:szCs w:val="21"/>
          <w:highlight w:val="none"/>
          <w:lang w:val="en-US" w:eastAsia="zh-CN"/>
        </w:rPr>
        <w:t>维保</w:t>
      </w:r>
      <w:r>
        <w:rPr>
          <w:rFonts w:hint="eastAsia" w:ascii="宋体" w:hAnsi="宋体" w:eastAsia="宋体" w:cs="宋体"/>
          <w:color w:val="auto"/>
          <w:sz w:val="21"/>
          <w:szCs w:val="21"/>
          <w:highlight w:val="none"/>
        </w:rPr>
        <w:t>费，50-</w:t>
      </w:r>
      <w:r>
        <w:rPr>
          <w:rFonts w:hint="eastAsia" w:ascii="宋体" w:hAnsi="宋体" w:eastAsia="宋体" w:cs="宋体"/>
          <w:color w:val="auto"/>
          <w:sz w:val="21"/>
          <w:szCs w:val="21"/>
          <w:highlight w:val="none"/>
          <w:lang w:val="en-US" w:eastAsia="zh-CN"/>
        </w:rPr>
        <w:t>59</w:t>
      </w:r>
      <w:r>
        <w:rPr>
          <w:rFonts w:hint="eastAsia" w:ascii="宋体" w:hAnsi="宋体" w:eastAsia="宋体" w:cs="宋体"/>
          <w:color w:val="auto"/>
          <w:sz w:val="21"/>
          <w:szCs w:val="21"/>
          <w:highlight w:val="none"/>
        </w:rPr>
        <w:t>分，支付50%</w:t>
      </w:r>
      <w:r>
        <w:rPr>
          <w:rFonts w:hint="eastAsia" w:ascii="宋体" w:hAnsi="宋体" w:eastAsia="宋体" w:cs="宋体"/>
          <w:color w:val="auto"/>
          <w:sz w:val="21"/>
          <w:szCs w:val="21"/>
          <w:highlight w:val="none"/>
          <w:lang w:val="en-US" w:eastAsia="zh-CN"/>
        </w:rPr>
        <w:t>维保</w:t>
      </w:r>
      <w:r>
        <w:rPr>
          <w:rFonts w:hint="eastAsia" w:ascii="宋体" w:hAnsi="宋体" w:eastAsia="宋体" w:cs="宋体"/>
          <w:color w:val="auto"/>
          <w:sz w:val="21"/>
          <w:szCs w:val="21"/>
          <w:highlight w:val="none"/>
        </w:rPr>
        <w:t>费，不足50分不予支付</w:t>
      </w:r>
      <w:r>
        <w:rPr>
          <w:rFonts w:hint="eastAsia" w:ascii="宋体" w:hAnsi="宋体" w:eastAsia="宋体" w:cs="宋体"/>
          <w:color w:val="auto"/>
          <w:sz w:val="21"/>
          <w:szCs w:val="21"/>
          <w:highlight w:val="none"/>
          <w:lang w:val="en-US" w:eastAsia="zh-CN"/>
        </w:rPr>
        <w:t>维保</w:t>
      </w:r>
      <w:r>
        <w:rPr>
          <w:rFonts w:hint="eastAsia" w:ascii="宋体" w:hAnsi="宋体" w:eastAsia="宋体" w:cs="宋体"/>
          <w:color w:val="auto"/>
          <w:sz w:val="21"/>
          <w:szCs w:val="21"/>
          <w:highlight w:val="none"/>
        </w:rPr>
        <w:t>费。  </w:t>
      </w:r>
    </w:p>
    <w:p w14:paraId="65C1CF1D">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color w:val="auto"/>
          <w:szCs w:val="21"/>
          <w:highlight w:val="none"/>
        </w:rPr>
      </w:pPr>
    </w:p>
    <w:tbl>
      <w:tblPr>
        <w:tblStyle w:val="49"/>
        <w:tblW w:w="105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1"/>
        <w:gridCol w:w="671"/>
        <w:gridCol w:w="4897"/>
        <w:gridCol w:w="617"/>
        <w:gridCol w:w="3276"/>
        <w:gridCol w:w="575"/>
      </w:tblGrid>
      <w:tr w14:paraId="1159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429E">
            <w:pPr>
              <w:pStyle w:val="132"/>
              <w:keepNext w:val="0"/>
              <w:keepLines w:val="0"/>
              <w:pageBreakBefore w:val="0"/>
              <w:widowControl/>
              <w:kinsoku w:val="0"/>
              <w:wordWrap/>
              <w:overflowPunct/>
              <w:topLinePunct w:val="0"/>
              <w:autoSpaceDE w:val="0"/>
              <w:autoSpaceDN w:val="0"/>
              <w:bidi w:val="0"/>
              <w:adjustRightInd w:val="0"/>
              <w:snapToGrid w:val="0"/>
              <w:spacing w:before="251" w:line="264" w:lineRule="auto"/>
              <w:ind w:left="65" w:leftChars="0"/>
              <w:jc w:val="center"/>
              <w:textAlignment w:val="baseline"/>
              <w:rPr>
                <w:rFonts w:hint="eastAsia" w:ascii="宋体" w:hAnsi="宋体" w:eastAsia="宋体" w:cs="宋体"/>
                <w:b/>
                <w:bCs/>
                <w:color w:val="auto"/>
                <w:kern w:val="16"/>
                <w:sz w:val="21"/>
                <w:szCs w:val="21"/>
                <w:highlight w:val="none"/>
                <w:lang w:val="en-US" w:eastAsia="en-US" w:bidi="ar-SA"/>
              </w:rPr>
            </w:pPr>
            <w:r>
              <w:rPr>
                <w:rFonts w:hint="eastAsia" w:ascii="宋体" w:hAnsi="宋体" w:eastAsia="宋体" w:cs="宋体"/>
                <w:b/>
                <w:bCs/>
                <w:color w:val="auto"/>
                <w:spacing w:val="-2"/>
                <w:sz w:val="21"/>
                <w:szCs w:val="21"/>
                <w:highlight w:val="none"/>
              </w:rPr>
              <w:t>评价项</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90F6">
            <w:pPr>
              <w:pStyle w:val="132"/>
              <w:keepNext w:val="0"/>
              <w:keepLines w:val="0"/>
              <w:pageBreakBefore w:val="0"/>
              <w:widowControl/>
              <w:kinsoku w:val="0"/>
              <w:wordWrap/>
              <w:overflowPunct/>
              <w:topLinePunct w:val="0"/>
              <w:autoSpaceDE w:val="0"/>
              <w:autoSpaceDN w:val="0"/>
              <w:bidi w:val="0"/>
              <w:adjustRightInd w:val="0"/>
              <w:snapToGrid w:val="0"/>
              <w:spacing w:before="101" w:line="264" w:lineRule="auto"/>
              <w:ind w:left="120"/>
              <w:jc w:val="center"/>
              <w:textAlignment w:val="baseline"/>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评价</w:t>
            </w:r>
          </w:p>
          <w:p w14:paraId="37CA2DDF">
            <w:pPr>
              <w:pStyle w:val="132"/>
              <w:keepNext w:val="0"/>
              <w:keepLines w:val="0"/>
              <w:pageBreakBefore w:val="0"/>
              <w:widowControl/>
              <w:kinsoku w:val="0"/>
              <w:wordWrap/>
              <w:overflowPunct/>
              <w:topLinePunct w:val="0"/>
              <w:autoSpaceDE w:val="0"/>
              <w:autoSpaceDN w:val="0"/>
              <w:bidi w:val="0"/>
              <w:adjustRightInd w:val="0"/>
              <w:snapToGrid w:val="0"/>
              <w:spacing w:before="101" w:line="264" w:lineRule="auto"/>
              <w:ind w:left="120" w:leftChars="0"/>
              <w:jc w:val="center"/>
              <w:textAlignment w:val="baseline"/>
              <w:rPr>
                <w:rFonts w:hint="eastAsia" w:ascii="宋体" w:hAnsi="宋体" w:eastAsia="宋体" w:cs="宋体"/>
                <w:b/>
                <w:bCs/>
                <w:color w:val="auto"/>
                <w:kern w:val="16"/>
                <w:sz w:val="21"/>
                <w:szCs w:val="21"/>
                <w:highlight w:val="none"/>
                <w:lang w:val="en-US" w:eastAsia="en-US" w:bidi="ar-SA"/>
              </w:rPr>
            </w:pPr>
            <w:r>
              <w:rPr>
                <w:rFonts w:hint="eastAsia" w:ascii="宋体" w:hAnsi="宋体" w:eastAsia="宋体" w:cs="宋体"/>
                <w:b/>
                <w:bCs/>
                <w:color w:val="auto"/>
                <w:spacing w:val="-3"/>
                <w:sz w:val="21"/>
                <w:szCs w:val="21"/>
                <w:highlight w:val="none"/>
              </w:rPr>
              <w:t>细项</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936A">
            <w:pPr>
              <w:pStyle w:val="132"/>
              <w:keepNext w:val="0"/>
              <w:keepLines w:val="0"/>
              <w:pageBreakBefore w:val="0"/>
              <w:widowControl/>
              <w:kinsoku w:val="0"/>
              <w:wordWrap/>
              <w:overflowPunct/>
              <w:topLinePunct w:val="0"/>
              <w:autoSpaceDE w:val="0"/>
              <w:autoSpaceDN w:val="0"/>
              <w:bidi w:val="0"/>
              <w:adjustRightInd w:val="0"/>
              <w:snapToGrid w:val="0"/>
              <w:spacing w:before="253" w:line="264" w:lineRule="auto"/>
              <w:jc w:val="center"/>
              <w:textAlignment w:val="baseline"/>
              <w:rPr>
                <w:rFonts w:hint="eastAsia" w:ascii="宋体" w:hAnsi="宋体" w:eastAsia="宋体" w:cs="宋体"/>
                <w:b/>
                <w:bCs/>
                <w:color w:val="auto"/>
                <w:kern w:val="16"/>
                <w:sz w:val="21"/>
                <w:szCs w:val="21"/>
                <w:highlight w:val="none"/>
                <w:lang w:val="en-US" w:eastAsia="en-US" w:bidi="ar-SA"/>
              </w:rPr>
            </w:pPr>
            <w:r>
              <w:rPr>
                <w:rFonts w:hint="eastAsia" w:ascii="宋体" w:hAnsi="宋体" w:eastAsia="宋体" w:cs="宋体"/>
                <w:b/>
                <w:bCs/>
                <w:color w:val="auto"/>
                <w:spacing w:val="-2"/>
                <w:sz w:val="21"/>
                <w:szCs w:val="21"/>
                <w:highlight w:val="none"/>
              </w:rPr>
              <w:t>评分标准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CCCA">
            <w:pPr>
              <w:pStyle w:val="132"/>
              <w:keepNext w:val="0"/>
              <w:keepLines w:val="0"/>
              <w:pageBreakBefore w:val="0"/>
              <w:widowControl/>
              <w:kinsoku w:val="0"/>
              <w:wordWrap/>
              <w:overflowPunct/>
              <w:topLinePunct w:val="0"/>
              <w:autoSpaceDE w:val="0"/>
              <w:autoSpaceDN w:val="0"/>
              <w:bidi w:val="0"/>
              <w:adjustRightInd w:val="0"/>
              <w:snapToGrid w:val="0"/>
              <w:spacing w:before="92" w:line="264" w:lineRule="auto"/>
              <w:jc w:val="center"/>
              <w:textAlignment w:val="baseline"/>
              <w:rPr>
                <w:rFonts w:hint="eastAsia" w:ascii="宋体" w:hAnsi="宋体" w:eastAsia="宋体" w:cs="宋体"/>
                <w:b/>
                <w:bCs/>
                <w:color w:val="auto"/>
                <w:kern w:val="16"/>
                <w:sz w:val="21"/>
                <w:szCs w:val="21"/>
                <w:highlight w:val="none"/>
                <w:lang w:val="en-US" w:eastAsia="en-US" w:bidi="ar-SA"/>
              </w:rPr>
            </w:pPr>
            <w:r>
              <w:rPr>
                <w:rFonts w:hint="eastAsia" w:ascii="宋体" w:hAnsi="宋体" w:eastAsia="宋体" w:cs="宋体"/>
                <w:b/>
                <w:bCs/>
                <w:color w:val="auto"/>
                <w:spacing w:val="-2"/>
                <w:sz w:val="21"/>
                <w:szCs w:val="21"/>
                <w:highlight w:val="none"/>
              </w:rPr>
              <w:t>满分</w:t>
            </w:r>
            <w:r>
              <w:rPr>
                <w:rFonts w:hint="eastAsia" w:ascii="宋体" w:hAnsi="宋体" w:eastAsia="宋体" w:cs="宋体"/>
                <w:b/>
                <w:bCs/>
                <w:color w:val="auto"/>
                <w:spacing w:val="-3"/>
                <w:sz w:val="21"/>
                <w:szCs w:val="21"/>
                <w:highlight w:val="none"/>
              </w:rPr>
              <w:t>分值</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6D5D">
            <w:pPr>
              <w:pStyle w:val="132"/>
              <w:keepNext w:val="0"/>
              <w:keepLines w:val="0"/>
              <w:pageBreakBefore w:val="0"/>
              <w:widowControl/>
              <w:kinsoku w:val="0"/>
              <w:wordWrap/>
              <w:overflowPunct/>
              <w:topLinePunct w:val="0"/>
              <w:autoSpaceDE w:val="0"/>
              <w:autoSpaceDN w:val="0"/>
              <w:bidi w:val="0"/>
              <w:adjustRightInd w:val="0"/>
              <w:snapToGrid w:val="0"/>
              <w:spacing w:before="252" w:line="264" w:lineRule="auto"/>
              <w:ind w:left="1276" w:leftChars="0"/>
              <w:jc w:val="both"/>
              <w:textAlignment w:val="baseline"/>
              <w:rPr>
                <w:rFonts w:hint="eastAsia" w:ascii="宋体" w:hAnsi="宋体" w:eastAsia="宋体" w:cs="宋体"/>
                <w:b/>
                <w:bCs/>
                <w:color w:val="auto"/>
                <w:kern w:val="16"/>
                <w:sz w:val="21"/>
                <w:szCs w:val="21"/>
                <w:highlight w:val="none"/>
                <w:lang w:val="en-US" w:eastAsia="en-US" w:bidi="ar-SA"/>
              </w:rPr>
            </w:pPr>
            <w:r>
              <w:rPr>
                <w:rFonts w:hint="eastAsia" w:ascii="宋体" w:hAnsi="宋体" w:eastAsia="宋体" w:cs="宋体"/>
                <w:b/>
                <w:bCs/>
                <w:color w:val="auto"/>
                <w:spacing w:val="-2"/>
                <w:sz w:val="21"/>
                <w:szCs w:val="21"/>
                <w:highlight w:val="none"/>
              </w:rPr>
              <w:t>分值标准</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7334">
            <w:pPr>
              <w:pStyle w:val="132"/>
              <w:keepNext w:val="0"/>
              <w:keepLines w:val="0"/>
              <w:pageBreakBefore w:val="0"/>
              <w:widowControl/>
              <w:kinsoku w:val="0"/>
              <w:wordWrap/>
              <w:overflowPunct/>
              <w:topLinePunct w:val="0"/>
              <w:autoSpaceDE w:val="0"/>
              <w:autoSpaceDN w:val="0"/>
              <w:bidi w:val="0"/>
              <w:adjustRightInd w:val="0"/>
              <w:snapToGrid w:val="0"/>
              <w:spacing w:before="252" w:line="264" w:lineRule="auto"/>
              <w:jc w:val="center"/>
              <w:textAlignment w:val="baseline"/>
              <w:rPr>
                <w:rFonts w:hint="eastAsia" w:ascii="宋体" w:hAnsi="宋体" w:eastAsia="宋体" w:cs="宋体"/>
                <w:b/>
                <w:bCs/>
                <w:color w:val="auto"/>
                <w:kern w:val="16"/>
                <w:sz w:val="21"/>
                <w:szCs w:val="21"/>
                <w:highlight w:val="none"/>
                <w:lang w:val="en-US" w:eastAsia="en-US" w:bidi="ar-SA"/>
              </w:rPr>
            </w:pPr>
            <w:r>
              <w:rPr>
                <w:rFonts w:hint="eastAsia" w:ascii="宋体" w:hAnsi="宋体" w:eastAsia="宋体" w:cs="宋体"/>
                <w:b/>
                <w:bCs/>
                <w:color w:val="auto"/>
                <w:spacing w:val="-3"/>
                <w:sz w:val="21"/>
                <w:szCs w:val="21"/>
                <w:highlight w:val="none"/>
              </w:rPr>
              <w:t>得分</w:t>
            </w:r>
          </w:p>
        </w:tc>
      </w:tr>
      <w:tr w14:paraId="70AF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FD16">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b/>
                <w:bCs/>
                <w:i w:val="0"/>
                <w:iCs w:val="0"/>
                <w:color w:val="auto"/>
                <w:kern w:val="16"/>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开发指标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4EFD">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kern w:val="16"/>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需求完成达标率</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4E81">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kern w:val="16"/>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1.需求数量的确定方式：由业务科室提出，经主管部门审核同意，由信息中心全局审核同意并最终提交的需求认定为有效需求；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2.HIS厂家收到需求应于5个工作日内反馈开发进度计划，每月按进度计划考核；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3.若因用户原因或其他第三方原因，导致开发计划推后，HIS厂家公司必须在计划时限前提交计划变更申请，并说明缘由，信息中心负责人审批后可变更进度计划；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4.按照进度计划提交《需求分析文档》、《用户手册》等文档；必要时安排培训或者现场驻场支持。</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EEF0">
            <w:pPr>
              <w:keepNext w:val="0"/>
              <w:keepLines w:val="0"/>
              <w:pageBreakBefore w:val="0"/>
              <w:widowControl/>
              <w:suppressLineNumbers w:val="0"/>
              <w:wordWrap/>
              <w:overflowPunct/>
              <w:topLinePunct w:val="0"/>
              <w:bidi w:val="0"/>
              <w:spacing w:line="264" w:lineRule="auto"/>
              <w:jc w:val="center"/>
              <w:textAlignment w:val="center"/>
              <w:rPr>
                <w:rFonts w:hint="eastAsia" w:ascii="宋体" w:hAnsi="宋体" w:eastAsia="宋体" w:cs="宋体"/>
                <w:i w:val="0"/>
                <w:iCs w:val="0"/>
                <w:color w:val="auto"/>
                <w:kern w:val="16"/>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D7C6">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kern w:val="16"/>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每月达标率，考核基准：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90%-100%，30分；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80%-89%，25分；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70%-79%，20分；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60%-69%，15分；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50%-59%，10分；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＜50% 0分。</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0157">
            <w:pPr>
              <w:keepNext w:val="0"/>
              <w:keepLines w:val="0"/>
              <w:pageBreakBefore w:val="0"/>
              <w:wordWrap/>
              <w:overflowPunct/>
              <w:topLinePunct w:val="0"/>
              <w:bidi w:val="0"/>
              <w:spacing w:line="264" w:lineRule="auto"/>
              <w:rPr>
                <w:rFonts w:hint="eastAsia" w:ascii="宋体" w:hAnsi="宋体" w:eastAsia="宋体" w:cs="宋体"/>
                <w:i w:val="0"/>
                <w:iCs w:val="0"/>
                <w:color w:val="auto"/>
                <w:sz w:val="21"/>
                <w:szCs w:val="21"/>
                <w:highlight w:val="none"/>
                <w:u w:val="none"/>
              </w:rPr>
            </w:pPr>
          </w:p>
        </w:tc>
      </w:tr>
      <w:tr w14:paraId="0635B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5D1A1">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系统维护</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5E77">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系统故障处理</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F4CC">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故障等级评定标准：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一级故障：由于HIS系统故障原因导致医院全院瘫痪，时间大于60分钟。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二级故障：由于HIS系统故障原因导致医院门诊或住院工作流程被迫中断，影响超过60分钟。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三级故障：由于HIS系统故障原因导致医院某个局部区域工作流程中断，影响超过60分钟。</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D529">
            <w:pPr>
              <w:keepNext w:val="0"/>
              <w:keepLines w:val="0"/>
              <w:pageBreakBefore w:val="0"/>
              <w:widowControl/>
              <w:suppressLineNumbers w:val="0"/>
              <w:wordWrap/>
              <w:overflowPunct/>
              <w:topLinePunct w:val="0"/>
              <w:bidi w:val="0"/>
              <w:spacing w:line="264"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4B1F">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系统故障均须在5分钟内响应，30分钟内给出故障解决方案并及时处理完毕。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1.出现一级故障扣5分，3天内提交故障报告，未按照要求提交报告扣3分；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2.出现二级故障扣3分，3天内提交故障报告，未按照要求提交报告扣2分；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3.出现三级故障扣2分，3天内提交故障报告，未按照要求提交报告扣1分。</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8EDE">
            <w:pPr>
              <w:keepNext w:val="0"/>
              <w:keepLines w:val="0"/>
              <w:pageBreakBefore w:val="0"/>
              <w:wordWrap/>
              <w:overflowPunct/>
              <w:topLinePunct w:val="0"/>
              <w:bidi w:val="0"/>
              <w:spacing w:line="264" w:lineRule="auto"/>
              <w:rPr>
                <w:rFonts w:hint="eastAsia" w:ascii="宋体" w:hAnsi="宋体" w:eastAsia="宋体" w:cs="宋体"/>
                <w:i w:val="0"/>
                <w:iCs w:val="0"/>
                <w:color w:val="auto"/>
                <w:sz w:val="21"/>
                <w:szCs w:val="21"/>
                <w:highlight w:val="none"/>
                <w:u w:val="none"/>
              </w:rPr>
            </w:pPr>
          </w:p>
        </w:tc>
      </w:tr>
      <w:tr w14:paraId="1C23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84802">
            <w:pPr>
              <w:keepNext w:val="0"/>
              <w:keepLines w:val="0"/>
              <w:pageBreakBefore w:val="0"/>
              <w:wordWrap/>
              <w:overflowPunct/>
              <w:topLinePunct w:val="0"/>
              <w:bidi w:val="0"/>
              <w:spacing w:line="264" w:lineRule="auto"/>
              <w:rPr>
                <w:rFonts w:hint="eastAsia" w:ascii="宋体" w:hAnsi="宋体" w:eastAsia="宋体" w:cs="宋体"/>
                <w:b/>
                <w:bCs/>
                <w:i w:val="0"/>
                <w:iCs w:val="0"/>
                <w:color w:val="auto"/>
                <w:sz w:val="21"/>
                <w:szCs w:val="21"/>
                <w:highlight w:val="none"/>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B87F">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例行业务巡查</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8778">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每季度走访不少于10个业务科室（门诊/病区），提交《调研报告》，报告应包括调研出现的问题，问题分析、解决方案及解决计划，形成需求。</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58BA">
            <w:pPr>
              <w:keepNext w:val="0"/>
              <w:keepLines w:val="0"/>
              <w:pageBreakBefore w:val="0"/>
              <w:widowControl/>
              <w:suppressLineNumbers w:val="0"/>
              <w:wordWrap/>
              <w:overflowPunct/>
              <w:topLinePunct w:val="0"/>
              <w:bidi w:val="0"/>
              <w:spacing w:line="264"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9F3C">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1.完成调研得10分；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2.调研＞5＜10个科室（病区）扣8分；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3.＜5个科室扣5分。</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B22E">
            <w:pPr>
              <w:keepNext w:val="0"/>
              <w:keepLines w:val="0"/>
              <w:pageBreakBefore w:val="0"/>
              <w:wordWrap/>
              <w:overflowPunct/>
              <w:topLinePunct w:val="0"/>
              <w:bidi w:val="0"/>
              <w:spacing w:line="264" w:lineRule="auto"/>
              <w:rPr>
                <w:rFonts w:hint="eastAsia" w:ascii="宋体" w:hAnsi="宋体" w:eastAsia="宋体" w:cs="宋体"/>
                <w:i w:val="0"/>
                <w:iCs w:val="0"/>
                <w:color w:val="auto"/>
                <w:sz w:val="21"/>
                <w:szCs w:val="21"/>
                <w:highlight w:val="none"/>
                <w:u w:val="none"/>
              </w:rPr>
            </w:pPr>
          </w:p>
        </w:tc>
      </w:tr>
      <w:tr w14:paraId="487F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23931">
            <w:pPr>
              <w:keepNext w:val="0"/>
              <w:keepLines w:val="0"/>
              <w:pageBreakBefore w:val="0"/>
              <w:wordWrap/>
              <w:overflowPunct/>
              <w:topLinePunct w:val="0"/>
              <w:bidi w:val="0"/>
              <w:spacing w:line="264" w:lineRule="auto"/>
              <w:rPr>
                <w:rFonts w:hint="eastAsia" w:ascii="宋体" w:hAnsi="宋体" w:eastAsia="宋体" w:cs="宋体"/>
                <w:b/>
                <w:bCs/>
                <w:i w:val="0"/>
                <w:iCs w:val="0"/>
                <w:color w:val="auto"/>
                <w:sz w:val="21"/>
                <w:szCs w:val="21"/>
                <w:highlight w:val="none"/>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E2C7">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应用及数据库性能优化</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15A6">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1.提供每月一次的数据库基本维护服务，检查表空间使用情况、数据库备份、数据文件存储情况、</w:t>
            </w:r>
            <w:r>
              <w:rPr>
                <w:rFonts w:hint="eastAsia" w:ascii="宋体" w:hAnsi="宋体" w:eastAsia="宋体" w:cs="宋体"/>
                <w:i w:val="0"/>
                <w:iCs w:val="0"/>
                <w:color w:val="auto"/>
                <w:kern w:val="0"/>
                <w:sz w:val="21"/>
                <w:szCs w:val="21"/>
                <w:highlight w:val="none"/>
                <w:u w:val="none"/>
                <w:lang w:val="en-US" w:eastAsia="zh-CN" w:bidi="ar"/>
              </w:rPr>
              <w:t>数据库服务器的错误日志情况、系统任务执行情况、mirror运行情况</w:t>
            </w:r>
            <w:r>
              <w:rPr>
                <w:rFonts w:hint="eastAsia" w:ascii="宋体" w:hAnsi="宋体" w:eastAsia="宋体" w:cs="宋体"/>
                <w:i w:val="0"/>
                <w:iCs w:val="0"/>
                <w:color w:val="auto"/>
                <w:kern w:val="0"/>
                <w:sz w:val="21"/>
                <w:szCs w:val="21"/>
                <w:highlight w:val="none"/>
                <w:u w:val="none"/>
                <w:lang w:val="en-US" w:eastAsia="zh-CN" w:bidi="ar"/>
              </w:rPr>
              <w:t>等，维持数据库稳定性，提供巡检报告。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strike w:val="0"/>
                <w:dstrike w:val="0"/>
                <w:color w:val="auto"/>
                <w:kern w:val="0"/>
                <w:sz w:val="21"/>
                <w:szCs w:val="21"/>
                <w:highlight w:val="none"/>
                <w:u w:val="none"/>
                <w:lang w:val="en-US" w:eastAsia="zh-CN" w:bidi="ar"/>
              </w:rPr>
              <w:t>2.提供</w:t>
            </w:r>
            <w:r>
              <w:rPr>
                <w:rFonts w:hint="eastAsia" w:ascii="宋体" w:hAnsi="宋体" w:eastAsia="宋体" w:cs="宋体"/>
                <w:i w:val="0"/>
                <w:iCs w:val="0"/>
                <w:strike w:val="0"/>
                <w:dstrike w:val="0"/>
                <w:color w:val="auto"/>
                <w:kern w:val="0"/>
                <w:sz w:val="21"/>
                <w:szCs w:val="21"/>
                <w:highlight w:val="none"/>
                <w:u w:val="none"/>
                <w:lang w:val="en-US" w:eastAsia="zh-CN" w:bidi="ar"/>
              </w:rPr>
              <w:t>每季度</w:t>
            </w:r>
            <w:r>
              <w:rPr>
                <w:rFonts w:hint="eastAsia" w:ascii="宋体" w:hAnsi="宋体" w:eastAsia="宋体" w:cs="宋体"/>
                <w:i w:val="0"/>
                <w:iCs w:val="0"/>
                <w:strike w:val="0"/>
                <w:dstrike w:val="0"/>
                <w:color w:val="auto"/>
                <w:kern w:val="0"/>
                <w:sz w:val="21"/>
                <w:szCs w:val="21"/>
                <w:highlight w:val="none"/>
                <w:u w:val="none"/>
                <w:lang w:val="en-US" w:eastAsia="zh-CN" w:bidi="ar"/>
              </w:rPr>
              <w:t>一次数据库优化服务，清理垃圾数据，从应用系统角度来优化数据库，如建立并优化索引、优化存储过程、数据库表拆分等，对数据库运行参数进行优化，提高应用系统运行速度。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C3C7">
            <w:pPr>
              <w:keepNext w:val="0"/>
              <w:keepLines w:val="0"/>
              <w:pageBreakBefore w:val="0"/>
              <w:widowControl/>
              <w:suppressLineNumbers w:val="0"/>
              <w:wordWrap/>
              <w:overflowPunct/>
              <w:topLinePunct w:val="0"/>
              <w:bidi w:val="0"/>
              <w:spacing w:line="264"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589A">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完成巡检得10分，未按要求完成扣10分。</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6E1D">
            <w:pPr>
              <w:keepNext w:val="0"/>
              <w:keepLines w:val="0"/>
              <w:pageBreakBefore w:val="0"/>
              <w:wordWrap/>
              <w:overflowPunct/>
              <w:topLinePunct w:val="0"/>
              <w:bidi w:val="0"/>
              <w:spacing w:line="264" w:lineRule="auto"/>
              <w:rPr>
                <w:rFonts w:hint="eastAsia" w:ascii="宋体" w:hAnsi="宋体" w:eastAsia="宋体" w:cs="宋体"/>
                <w:i w:val="0"/>
                <w:iCs w:val="0"/>
                <w:color w:val="auto"/>
                <w:sz w:val="21"/>
                <w:szCs w:val="21"/>
                <w:highlight w:val="none"/>
                <w:u w:val="none"/>
              </w:rPr>
            </w:pPr>
          </w:p>
        </w:tc>
      </w:tr>
      <w:tr w14:paraId="6198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EF64">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人员与工作量</w:t>
            </w:r>
          </w:p>
        </w:tc>
        <w:tc>
          <w:tcPr>
            <w:tcW w:w="671" w:type="dxa"/>
            <w:tcBorders>
              <w:top w:val="single" w:color="000000" w:sz="4" w:space="0"/>
              <w:left w:val="single" w:color="000000" w:sz="4" w:space="0"/>
              <w:right w:val="single" w:color="000000" w:sz="4" w:space="0"/>
            </w:tcBorders>
            <w:shd w:val="clear" w:color="auto" w:fill="auto"/>
            <w:vAlign w:val="center"/>
          </w:tcPr>
          <w:p w14:paraId="77D34CC0">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驻场工程师人员保障</w:t>
            </w:r>
          </w:p>
        </w:tc>
        <w:tc>
          <w:tcPr>
            <w:tcW w:w="4897" w:type="dxa"/>
            <w:tcBorders>
              <w:top w:val="single" w:color="000000" w:sz="4" w:space="0"/>
              <w:left w:val="single" w:color="000000" w:sz="4" w:space="0"/>
              <w:right w:val="single" w:color="000000" w:sz="4" w:space="0"/>
            </w:tcBorders>
            <w:shd w:val="clear" w:color="auto" w:fill="auto"/>
            <w:vAlign w:val="center"/>
          </w:tcPr>
          <w:p w14:paraId="1A0F3A92">
            <w:pPr>
              <w:keepNext w:val="0"/>
              <w:keepLines w:val="0"/>
              <w:pageBreakBefore w:val="0"/>
              <w:widowControl/>
              <w:numPr>
                <w:ilvl w:val="0"/>
                <w:numId w:val="0"/>
              </w:numPr>
              <w:suppressLineNumbers w:val="0"/>
              <w:wordWrap/>
              <w:overflowPunct/>
              <w:topLinePunct w:val="0"/>
              <w:bidi w:val="0"/>
              <w:spacing w:line="264"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1.现场驻场人数每个月不少于5人；</w:t>
            </w:r>
          </w:p>
          <w:p w14:paraId="5E9DC819">
            <w:pPr>
              <w:keepNext w:val="0"/>
              <w:keepLines w:val="0"/>
              <w:pageBreakBefore w:val="0"/>
              <w:widowControl/>
              <w:numPr>
                <w:ilvl w:val="0"/>
                <w:numId w:val="0"/>
              </w:numPr>
              <w:suppressLineNumbers w:val="0"/>
              <w:wordWrap/>
              <w:overflowPunct/>
              <w:topLinePunct w:val="0"/>
              <w:bidi w:val="0"/>
              <w:spacing w:line="264"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2.安排人员7*24小时</w:t>
            </w:r>
            <w:r>
              <w:rPr>
                <w:rFonts w:hint="eastAsia" w:ascii="宋体" w:hAnsi="宋体" w:eastAsia="宋体" w:cs="宋体"/>
                <w:i w:val="0"/>
                <w:iCs w:val="0"/>
                <w:color w:val="auto"/>
                <w:kern w:val="0"/>
                <w:sz w:val="21"/>
                <w:szCs w:val="21"/>
                <w:highlight w:val="none"/>
                <w:u w:val="none"/>
                <w:lang w:val="en-US" w:eastAsia="zh-CN" w:bidi="ar"/>
              </w:rPr>
              <w:t>现场+线上</w:t>
            </w:r>
            <w:r>
              <w:rPr>
                <w:rFonts w:hint="eastAsia" w:ascii="宋体" w:hAnsi="宋体" w:eastAsia="宋体" w:cs="宋体"/>
                <w:i w:val="0"/>
                <w:iCs w:val="0"/>
                <w:color w:val="auto"/>
                <w:kern w:val="0"/>
                <w:sz w:val="21"/>
                <w:szCs w:val="21"/>
                <w:highlight w:val="none"/>
                <w:u w:val="none"/>
                <w:lang w:val="en-US" w:eastAsia="zh-CN" w:bidi="ar"/>
              </w:rPr>
              <w:t>值班，至少提前1周提供排班表；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3.更换人员至少提前2周报告信息中心，人员更换必须进行工作交接，交接工作不到位等，造成服务响应不及时扣罚1分/人次；</w:t>
            </w:r>
          </w:p>
          <w:p w14:paraId="22ECBE89">
            <w:pPr>
              <w:keepNext w:val="0"/>
              <w:keepLines w:val="0"/>
              <w:pageBreakBefore w:val="0"/>
              <w:widowControl/>
              <w:numPr>
                <w:ilvl w:val="0"/>
                <w:numId w:val="0"/>
              </w:numPr>
              <w:suppressLineNumbers w:val="0"/>
              <w:wordWrap/>
              <w:overflowPunct/>
              <w:topLinePunct w:val="0"/>
              <w:bidi w:val="0"/>
              <w:spacing w:line="264"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4.远程维保纳入考核范围，包括通过音视频软件进行线上需求沟通，问题讨论、在线问卷调研等；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3.新模块上线前根据需要，增加远程+驻场人员的方式监控系统运行；</w:t>
            </w:r>
          </w:p>
          <w:p w14:paraId="3F68F7C8">
            <w:pPr>
              <w:keepNext w:val="0"/>
              <w:keepLines w:val="0"/>
              <w:pageBreakBefore w:val="0"/>
              <w:widowControl/>
              <w:numPr>
                <w:ilvl w:val="0"/>
                <w:numId w:val="0"/>
              </w:numPr>
              <w:suppressLineNumbers w:val="0"/>
              <w:wordWrap/>
              <w:overflowPunct/>
              <w:topLinePunct w:val="0"/>
              <w:bidi w:val="0"/>
              <w:spacing w:line="264"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5.每季度服务时长不少于45人月（上班时长8小时/天，20工作日算1人月，如24小时值班算3人）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8FAC">
            <w:pPr>
              <w:keepNext w:val="0"/>
              <w:keepLines w:val="0"/>
              <w:pageBreakBefore w:val="0"/>
              <w:widowControl/>
              <w:suppressLineNumbers w:val="0"/>
              <w:wordWrap/>
              <w:overflowPunct/>
              <w:topLinePunct w:val="0"/>
              <w:bidi w:val="0"/>
              <w:spacing w:line="264"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276" w:type="dxa"/>
            <w:tcBorders>
              <w:top w:val="single" w:color="000000" w:sz="4" w:space="0"/>
              <w:left w:val="single" w:color="000000" w:sz="4" w:space="0"/>
              <w:right w:val="single" w:color="000000" w:sz="4" w:space="0"/>
            </w:tcBorders>
            <w:shd w:val="clear" w:color="auto" w:fill="auto"/>
            <w:vAlign w:val="center"/>
          </w:tcPr>
          <w:p w14:paraId="741652CD">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由信息中心进行考勤，按考勤情况酌情扣分。</w:t>
            </w:r>
            <w:r>
              <w:rPr>
                <w:rFonts w:hint="eastAsia" w:ascii="宋体" w:hAnsi="宋体" w:eastAsia="宋体" w:cs="宋体"/>
                <w:i w:val="0"/>
                <w:iCs w:val="0"/>
                <w:color w:val="auto"/>
                <w:kern w:val="0"/>
                <w:sz w:val="21"/>
                <w:szCs w:val="21"/>
                <w:highlight w:val="none"/>
                <w:u w:val="none"/>
                <w:lang w:val="en-US" w:eastAsia="zh-CN" w:bidi="ar"/>
              </w:rPr>
              <w:br w:type="textWrapping"/>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2573">
            <w:pPr>
              <w:keepNext w:val="0"/>
              <w:keepLines w:val="0"/>
              <w:pageBreakBefore w:val="0"/>
              <w:wordWrap/>
              <w:overflowPunct/>
              <w:topLinePunct w:val="0"/>
              <w:bidi w:val="0"/>
              <w:spacing w:line="264" w:lineRule="auto"/>
              <w:rPr>
                <w:rFonts w:hint="eastAsia" w:ascii="宋体" w:hAnsi="宋体" w:eastAsia="宋体" w:cs="宋体"/>
                <w:i w:val="0"/>
                <w:iCs w:val="0"/>
                <w:color w:val="auto"/>
                <w:sz w:val="21"/>
                <w:szCs w:val="21"/>
                <w:highlight w:val="none"/>
                <w:u w:val="none"/>
              </w:rPr>
            </w:pPr>
          </w:p>
        </w:tc>
      </w:tr>
      <w:tr w14:paraId="524A1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5B122">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安全保障</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4D68">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数据与系统安全</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7C2D">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1.HIS厂家系统必须严格执行相关法律法规，保障数据安全。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2.当发现系统安全漏洞，须即刻响应，并在3天内提交解决方案，并于约定时间内完成加固；</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F6018">
            <w:pPr>
              <w:keepNext w:val="0"/>
              <w:keepLines w:val="0"/>
              <w:pageBreakBefore w:val="0"/>
              <w:widowControl/>
              <w:suppressLineNumbers w:val="0"/>
              <w:wordWrap/>
              <w:overflowPunct/>
              <w:topLinePunct w:val="0"/>
              <w:bidi w:val="0"/>
              <w:spacing w:line="264"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8D16">
            <w:pPr>
              <w:keepNext w:val="0"/>
              <w:keepLines w:val="0"/>
              <w:pageBreakBefore w:val="0"/>
              <w:widowControl/>
              <w:numPr>
                <w:ilvl w:val="0"/>
                <w:numId w:val="7"/>
              </w:numPr>
              <w:suppressLineNumbers w:val="0"/>
              <w:wordWrap/>
              <w:overflowPunct/>
              <w:topLinePunct w:val="0"/>
              <w:bidi w:val="0"/>
              <w:spacing w:line="264"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由于系统原因导致数据出现泄漏、丢失、破坏，但未造成严重后果的，扣5分/次；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2.若HIS厂家人员人为导致病人敏感信息等重要信息泄露，导致严重后果（如造成患者投诉索赔、舆情负面事件），一经核实扣20分/次，并另行追究公司责任。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3.若因应用软件系统漏洞导致出现用户非法入侵、恶意篡改代码、系统遭到恶意攻击，导致严重后果（如核心业务功能瘫痪等），扣20分/次，并另行追究公司责任。</w:t>
            </w:r>
          </w:p>
          <w:p w14:paraId="49A15BD5">
            <w:pPr>
              <w:keepNext w:val="0"/>
              <w:keepLines w:val="0"/>
              <w:pageBreakBefore w:val="0"/>
              <w:widowControl/>
              <w:numPr>
                <w:ilvl w:val="-1"/>
                <w:numId w:val="0"/>
              </w:numPr>
              <w:suppressLineNumbers w:val="0"/>
              <w:wordWrap/>
              <w:overflowPunct/>
              <w:topLinePunct w:val="0"/>
              <w:bidi w:val="0"/>
              <w:spacing w:line="264" w:lineRule="auto"/>
              <w:jc w:val="left"/>
              <w:textAlignment w:val="center"/>
              <w:rPr>
                <w:rFonts w:hint="default" w:ascii="宋体" w:hAnsi="宋体" w:eastAsia="宋体" w:cs="宋体"/>
                <w:i w:val="0"/>
                <w:iCs w:val="0"/>
                <w:color w:val="auto"/>
                <w:sz w:val="21"/>
                <w:szCs w:val="21"/>
                <w:highlight w:val="none"/>
                <w:u w:val="none"/>
                <w:lang w:val="en-US"/>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23B3">
            <w:pPr>
              <w:keepNext w:val="0"/>
              <w:keepLines w:val="0"/>
              <w:pageBreakBefore w:val="0"/>
              <w:wordWrap/>
              <w:overflowPunct/>
              <w:topLinePunct w:val="0"/>
              <w:bidi w:val="0"/>
              <w:spacing w:line="264" w:lineRule="auto"/>
              <w:rPr>
                <w:rFonts w:hint="eastAsia" w:ascii="宋体" w:hAnsi="宋体" w:eastAsia="宋体" w:cs="宋体"/>
                <w:i w:val="0"/>
                <w:iCs w:val="0"/>
                <w:color w:val="auto"/>
                <w:sz w:val="21"/>
                <w:szCs w:val="21"/>
                <w:highlight w:val="none"/>
                <w:u w:val="none"/>
              </w:rPr>
            </w:pPr>
          </w:p>
        </w:tc>
      </w:tr>
      <w:tr w14:paraId="06C1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AA4EA">
            <w:pPr>
              <w:keepNext w:val="0"/>
              <w:keepLines w:val="0"/>
              <w:pageBreakBefore w:val="0"/>
              <w:wordWrap/>
              <w:overflowPunct/>
              <w:topLinePunct w:val="0"/>
              <w:bidi w:val="0"/>
              <w:spacing w:line="264" w:lineRule="auto"/>
              <w:rPr>
                <w:rFonts w:hint="eastAsia" w:ascii="宋体" w:hAnsi="宋体" w:eastAsia="宋体" w:cs="宋体"/>
                <w:b/>
                <w:bCs/>
                <w:i w:val="0"/>
                <w:iCs w:val="0"/>
                <w:color w:val="auto"/>
                <w:sz w:val="21"/>
                <w:szCs w:val="21"/>
                <w:highlight w:val="none"/>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AEBB">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法律法规、管理制度</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E5C6">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公司人员应遵守相关法律法规，遵守我院信息系统安全管理规定。</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3A4D5">
            <w:pPr>
              <w:keepNext w:val="0"/>
              <w:keepLines w:val="0"/>
              <w:pageBreakBefore w:val="0"/>
              <w:wordWrap/>
              <w:overflowPunct/>
              <w:topLinePunct w:val="0"/>
              <w:bidi w:val="0"/>
              <w:spacing w:line="264" w:lineRule="auto"/>
              <w:jc w:val="center"/>
              <w:rPr>
                <w:rFonts w:hint="eastAsia" w:ascii="宋体" w:hAnsi="宋体" w:eastAsia="宋体" w:cs="宋体"/>
                <w:i w:val="0"/>
                <w:iCs w:val="0"/>
                <w:color w:val="auto"/>
                <w:sz w:val="21"/>
                <w:szCs w:val="21"/>
                <w:highlight w:val="none"/>
                <w:u w:val="none"/>
              </w:rPr>
            </w:pP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38AE">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违反医院管理规定一次扣减3分，若公司人员在对我院进行维保服务过程中做出违法行为，一经核实扣10分/次，并另行追究公司责任。</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7627">
            <w:pPr>
              <w:keepNext w:val="0"/>
              <w:keepLines w:val="0"/>
              <w:pageBreakBefore w:val="0"/>
              <w:wordWrap/>
              <w:overflowPunct/>
              <w:topLinePunct w:val="0"/>
              <w:bidi w:val="0"/>
              <w:spacing w:line="264" w:lineRule="auto"/>
              <w:rPr>
                <w:rFonts w:hint="eastAsia" w:ascii="宋体" w:hAnsi="宋体" w:eastAsia="宋体" w:cs="宋体"/>
                <w:i w:val="0"/>
                <w:iCs w:val="0"/>
                <w:color w:val="auto"/>
                <w:sz w:val="21"/>
                <w:szCs w:val="21"/>
                <w:highlight w:val="none"/>
                <w:u w:val="none"/>
              </w:rPr>
            </w:pPr>
          </w:p>
        </w:tc>
      </w:tr>
      <w:tr w14:paraId="55D99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D29FB">
            <w:pPr>
              <w:keepNext w:val="0"/>
              <w:keepLines w:val="0"/>
              <w:pageBreakBefore w:val="0"/>
              <w:wordWrap/>
              <w:overflowPunct/>
              <w:topLinePunct w:val="0"/>
              <w:bidi w:val="0"/>
              <w:spacing w:line="264" w:lineRule="auto"/>
              <w:rPr>
                <w:rFonts w:hint="eastAsia" w:ascii="宋体" w:hAnsi="宋体" w:eastAsia="宋体" w:cs="宋体"/>
                <w:b/>
                <w:bCs/>
                <w:i w:val="0"/>
                <w:iCs w:val="0"/>
                <w:color w:val="auto"/>
                <w:sz w:val="21"/>
                <w:szCs w:val="21"/>
                <w:highlight w:val="none"/>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2D0B">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有效投诉</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0642">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因服务态度导致医院或信息中心被投诉。</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F3AEC">
            <w:pPr>
              <w:keepNext w:val="0"/>
              <w:keepLines w:val="0"/>
              <w:pageBreakBefore w:val="0"/>
              <w:wordWrap/>
              <w:overflowPunct/>
              <w:topLinePunct w:val="0"/>
              <w:bidi w:val="0"/>
              <w:spacing w:line="264" w:lineRule="auto"/>
              <w:jc w:val="center"/>
              <w:rPr>
                <w:rFonts w:hint="eastAsia" w:ascii="宋体" w:hAnsi="宋体" w:eastAsia="宋体" w:cs="宋体"/>
                <w:i w:val="0"/>
                <w:iCs w:val="0"/>
                <w:color w:val="auto"/>
                <w:sz w:val="21"/>
                <w:szCs w:val="21"/>
                <w:highlight w:val="none"/>
                <w:u w:val="none"/>
              </w:rPr>
            </w:pP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1E7F">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经医德医风办或信息中心核定是有效投诉的，投诉视问题严重程度扣1-3分/次。</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CA2E">
            <w:pPr>
              <w:keepNext w:val="0"/>
              <w:keepLines w:val="0"/>
              <w:pageBreakBefore w:val="0"/>
              <w:wordWrap/>
              <w:overflowPunct/>
              <w:topLinePunct w:val="0"/>
              <w:bidi w:val="0"/>
              <w:spacing w:line="264" w:lineRule="auto"/>
              <w:rPr>
                <w:rFonts w:hint="eastAsia" w:ascii="宋体" w:hAnsi="宋体" w:eastAsia="宋体" w:cs="宋体"/>
                <w:i w:val="0"/>
                <w:iCs w:val="0"/>
                <w:color w:val="auto"/>
                <w:sz w:val="21"/>
                <w:szCs w:val="21"/>
                <w:highlight w:val="none"/>
                <w:u w:val="none"/>
              </w:rPr>
            </w:pPr>
          </w:p>
        </w:tc>
      </w:tr>
    </w:tbl>
    <w:p w14:paraId="6DF800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en-US"/>
        </w:rPr>
      </w:pPr>
    </w:p>
    <w:p w14:paraId="15EC7D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p>
    <w:p w14:paraId="0F71B1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sectPr>
          <w:footerReference r:id="rId8" w:type="default"/>
          <w:pgSz w:w="11906" w:h="16838"/>
          <w:pgMar w:top="1134" w:right="1134" w:bottom="2269" w:left="1134" w:header="851" w:footer="567" w:gutter="0"/>
          <w:pgNumType w:fmt="decimal" w:start="1"/>
          <w:cols w:space="720" w:num="1"/>
          <w:docGrid w:linePitch="312" w:charSpace="0"/>
        </w:sectPr>
      </w:pPr>
    </w:p>
    <w:p w14:paraId="53EAD25A">
      <w:pPr>
        <w:pStyle w:val="2"/>
        <w:jc w:val="center"/>
        <w:rPr>
          <w:rFonts w:hint="eastAsia"/>
          <w:color w:val="auto"/>
          <w:highlight w:val="none"/>
        </w:rPr>
      </w:pPr>
      <w:bookmarkStart w:id="41" w:name="_Toc10714"/>
      <w:r>
        <w:rPr>
          <w:rFonts w:hint="eastAsia"/>
          <w:color w:val="auto"/>
          <w:highlight w:val="none"/>
        </w:rPr>
        <w:t>第三章  投标人须知</w:t>
      </w:r>
      <w:bookmarkEnd w:id="41"/>
    </w:p>
    <w:p w14:paraId="77A0A5B6">
      <w:pPr>
        <w:jc w:val="center"/>
        <w:rPr>
          <w:rFonts w:hint="eastAsia"/>
          <w:color w:val="auto"/>
          <w:sz w:val="36"/>
          <w:szCs w:val="36"/>
          <w:highlight w:val="none"/>
        </w:rPr>
      </w:pPr>
      <w:bookmarkStart w:id="42" w:name="_Toc254970526"/>
      <w:bookmarkStart w:id="43" w:name="_Toc254970667"/>
      <w:r>
        <w:rPr>
          <w:rFonts w:hint="eastAsia"/>
          <w:color w:val="auto"/>
          <w:sz w:val="36"/>
          <w:szCs w:val="36"/>
          <w:highlight w:val="none"/>
        </w:rPr>
        <w:t>投标人须知前附表</w:t>
      </w:r>
      <w:bookmarkEnd w:id="42"/>
      <w:bookmarkEnd w:id="43"/>
    </w:p>
    <w:p w14:paraId="00184D8B">
      <w:pPr>
        <w:jc w:val="center"/>
        <w:rPr>
          <w:rFonts w:hint="eastAsia"/>
          <w:color w:val="auto"/>
          <w:sz w:val="36"/>
          <w:szCs w:val="36"/>
          <w:highlight w:val="none"/>
        </w:rPr>
      </w:pPr>
    </w:p>
    <w:tbl>
      <w:tblPr>
        <w:tblStyle w:val="49"/>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1B61D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14AF18C">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B999FE9">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38C01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489DE37">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1C123D9">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投标人的资格要求：详见招标公告。</w:t>
            </w:r>
          </w:p>
        </w:tc>
      </w:tr>
      <w:tr w14:paraId="5A215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1AF93DD">
            <w:pPr>
              <w:spacing w:line="400" w:lineRule="exact"/>
              <w:jc w:val="center"/>
              <w:rPr>
                <w:rFonts w:ascii="宋体" w:hAnsi="宋体"/>
                <w:color w:val="auto"/>
                <w:szCs w:val="21"/>
                <w:highlight w:val="none"/>
              </w:rPr>
            </w:pPr>
            <w:bookmarkStart w:id="44" w:name="_5"/>
            <w:bookmarkEnd w:id="44"/>
            <w:bookmarkStart w:id="45" w:name="_9.2"/>
            <w:bookmarkEnd w:id="45"/>
            <w:bookmarkStart w:id="46" w:name="_8.1"/>
            <w:bookmarkEnd w:id="46"/>
            <w:r>
              <w:rPr>
                <w:rFonts w:hint="eastAsia" w:ascii="宋体" w:hAnsi="宋体"/>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1E1E106">
            <w:pPr>
              <w:pStyle w:val="18"/>
              <w:spacing w:line="400" w:lineRule="exact"/>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3A9A1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4368CCC">
            <w:pPr>
              <w:spacing w:line="400" w:lineRule="exact"/>
              <w:jc w:val="center"/>
              <w:rPr>
                <w:rFonts w:hint="eastAsia" w:ascii="宋体" w:hAnsi="宋体"/>
                <w:color w:val="auto"/>
                <w:szCs w:val="21"/>
                <w:highlight w:val="none"/>
              </w:rPr>
            </w:pPr>
            <w:r>
              <w:rPr>
                <w:rFonts w:ascii="宋体" w:hAnsi="宋体"/>
                <w:color w:val="auto"/>
                <w:szCs w:val="21"/>
                <w:highlight w:val="none"/>
              </w:rPr>
              <w:t>6.2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1EA790A">
            <w:pPr>
              <w:autoSpaceDE w:val="0"/>
              <w:autoSpaceDN w:val="0"/>
              <w:snapToGrid w:val="0"/>
              <w:spacing w:line="400" w:lineRule="exact"/>
              <w:textAlignment w:val="bottom"/>
              <w:rPr>
                <w:rFonts w:hint="eastAsia" w:ascii="宋体" w:hAnsi="宋体"/>
                <w:color w:val="auto"/>
                <w:szCs w:val="21"/>
                <w:highlight w:val="none"/>
              </w:rPr>
            </w:pPr>
            <w:bookmarkStart w:id="47" w:name="_Hlk54105293"/>
            <w:r>
              <w:rPr>
                <w:rFonts w:hint="eastAsia" w:ascii="宋体" w:hAnsi="宋体"/>
                <w:color w:val="auto"/>
                <w:szCs w:val="21"/>
                <w:highlight w:val="none"/>
              </w:rPr>
              <w:t>如接受联合体投标，</w:t>
            </w:r>
            <w:bookmarkEnd w:id="47"/>
            <w:r>
              <w:rPr>
                <w:rFonts w:hint="eastAsia" w:ascii="宋体" w:hAnsi="宋体"/>
                <w:color w:val="auto"/>
                <w:szCs w:val="21"/>
                <w:highlight w:val="none"/>
              </w:rPr>
              <w:t>联合体投标要求如下：</w:t>
            </w:r>
          </w:p>
          <w:p w14:paraId="22E24C38">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1、两个以上投标人可以组成一个投标联合体，以一个投标人的身份共同参加投标，联合体投标人的名称应统一按“XXX 公司与 XXX 公司的联合体”的规则填写。</w:t>
            </w:r>
            <w:r>
              <w:rPr>
                <w:rFonts w:hint="eastAsia" w:ascii="宋体" w:hAnsi="宋体"/>
                <w:color w:val="auto"/>
                <w:szCs w:val="21"/>
                <w:highlight w:val="none"/>
              </w:rPr>
              <w:tab/>
            </w:r>
          </w:p>
          <w:p w14:paraId="6836F696">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5AF66B77">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olor w:val="auto"/>
                <w:szCs w:val="21"/>
                <w:highlight w:val="none"/>
              </w:rPr>
              <w:tab/>
            </w:r>
          </w:p>
          <w:p w14:paraId="673D6697">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4、以联合体形式参加政府采购活动的，联合体各方不得再单独参加或者与其他投标人另外组成联合体参加同一合同项下的政府采购活动，否则与之相关的投标文件作废。</w:t>
            </w:r>
            <w:r>
              <w:rPr>
                <w:rFonts w:hint="eastAsia" w:ascii="宋体" w:hAnsi="宋体"/>
                <w:color w:val="auto"/>
                <w:szCs w:val="21"/>
                <w:highlight w:val="none"/>
              </w:rPr>
              <w:tab/>
            </w:r>
            <w:r>
              <w:rPr>
                <w:rFonts w:hint="eastAsia" w:ascii="宋体" w:hAnsi="宋体"/>
                <w:color w:val="auto"/>
                <w:szCs w:val="21"/>
                <w:highlight w:val="none"/>
              </w:rPr>
              <w:tab/>
            </w:r>
          </w:p>
          <w:p w14:paraId="6359718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5、联合体中有同类资质的投标人按照联合体分工承担相同工作的，应当按照资质等级较低的投标人确定资质等级。</w:t>
            </w:r>
            <w:r>
              <w:rPr>
                <w:rFonts w:hint="eastAsia" w:ascii="宋体" w:hAnsi="宋体"/>
                <w:color w:val="auto"/>
                <w:szCs w:val="21"/>
                <w:highlight w:val="none"/>
              </w:rPr>
              <w:tab/>
            </w:r>
            <w:r>
              <w:rPr>
                <w:rFonts w:hint="eastAsia" w:ascii="宋体" w:hAnsi="宋体"/>
                <w:color w:val="auto"/>
                <w:szCs w:val="21"/>
                <w:highlight w:val="none"/>
              </w:rPr>
              <w:tab/>
            </w:r>
          </w:p>
          <w:p w14:paraId="6774FA4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6、联合体投标业绩、履约能力按照联合体各方其中较高的一方认定并计算（招标文件另有规定的除外）。</w:t>
            </w:r>
            <w:r>
              <w:rPr>
                <w:rFonts w:hint="eastAsia" w:ascii="宋体" w:hAnsi="宋体"/>
                <w:color w:val="auto"/>
                <w:szCs w:val="21"/>
                <w:highlight w:val="none"/>
              </w:rPr>
              <w:tab/>
            </w:r>
            <w:r>
              <w:rPr>
                <w:rFonts w:hint="eastAsia" w:ascii="宋体" w:hAnsi="宋体"/>
                <w:color w:val="auto"/>
                <w:szCs w:val="21"/>
                <w:highlight w:val="none"/>
              </w:rPr>
              <w:tab/>
            </w:r>
            <w:r>
              <w:rPr>
                <w:rFonts w:hint="eastAsia" w:ascii="宋体" w:hAnsi="宋体"/>
                <w:color w:val="auto"/>
                <w:szCs w:val="21"/>
                <w:highlight w:val="none"/>
              </w:rPr>
              <w:tab/>
            </w:r>
          </w:p>
          <w:p w14:paraId="5874B21C">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7、联合体各方均应按照招标文件的规定提交资格证明文件。</w:t>
            </w:r>
          </w:p>
        </w:tc>
      </w:tr>
      <w:tr w14:paraId="7A1B7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7BA6AE2">
            <w:pPr>
              <w:spacing w:line="400" w:lineRule="exact"/>
              <w:jc w:val="center"/>
              <w:rPr>
                <w:rFonts w:ascii="宋体" w:hAnsi="宋体"/>
                <w:color w:val="auto"/>
                <w:szCs w:val="21"/>
                <w:highlight w:val="none"/>
              </w:rPr>
            </w:pPr>
            <w:r>
              <w:rPr>
                <w:rFonts w:hint="eastAsia" w:ascii="宋体" w:hAnsi="宋体"/>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72B5320">
            <w:pPr>
              <w:pStyle w:val="18"/>
              <w:spacing w:line="400" w:lineRule="exact"/>
              <w:rPr>
                <w:rFonts w:hint="eastAsia" w:ascii="宋体" w:hAnsi="宋体"/>
                <w:color w:val="auto"/>
                <w:szCs w:val="21"/>
                <w:highlight w:val="none"/>
              </w:rPr>
            </w:pPr>
            <w:r>
              <w:rPr>
                <w:rFonts w:hint="eastAsia" w:ascii="宋体" w:hAnsi="宋体"/>
                <w:color w:val="auto"/>
                <w:szCs w:val="21"/>
                <w:highlight w:val="none"/>
              </w:rPr>
              <w:t>本项目不允许转包、分包。</w:t>
            </w:r>
          </w:p>
        </w:tc>
      </w:tr>
      <w:tr w14:paraId="33F12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08A7150D">
            <w:pPr>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5</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DB08338">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本项目不组织现场考察。</w:t>
            </w:r>
          </w:p>
        </w:tc>
      </w:tr>
      <w:tr w14:paraId="1F684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95" w:type="dxa"/>
            <w:vMerge w:val="continue"/>
            <w:tcBorders>
              <w:left w:val="single" w:color="auto" w:sz="4" w:space="0"/>
              <w:bottom w:val="single" w:color="auto" w:sz="4" w:space="0"/>
              <w:right w:val="single" w:color="auto" w:sz="4" w:space="0"/>
            </w:tcBorders>
            <w:noWrap w:val="0"/>
            <w:vAlign w:val="center"/>
          </w:tcPr>
          <w:p w14:paraId="07623206">
            <w:pPr>
              <w:spacing w:line="400" w:lineRule="exact"/>
              <w:jc w:val="center"/>
              <w:rPr>
                <w:rFonts w:hint="eastAsia" w:ascii="宋体" w:hAnsi="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ADE11B2">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本项目不组织召开开标前答疑会</w:t>
            </w:r>
          </w:p>
        </w:tc>
      </w:tr>
      <w:tr w14:paraId="0443F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noWrap w:val="0"/>
            <w:vAlign w:val="center"/>
          </w:tcPr>
          <w:p w14:paraId="2B00730D">
            <w:pPr>
              <w:spacing w:line="400" w:lineRule="exact"/>
              <w:jc w:val="center"/>
              <w:rPr>
                <w:rFonts w:hint="eastAsia" w:ascii="宋体" w:hAnsi="宋体"/>
                <w:color w:val="auto"/>
                <w:szCs w:val="21"/>
                <w:highlight w:val="none"/>
              </w:rPr>
            </w:pPr>
            <w:bookmarkStart w:id="48" w:name="_13.1"/>
            <w:bookmarkEnd w:id="48"/>
            <w:r>
              <w:rPr>
                <w:rFonts w:hint="eastAsia" w:ascii="宋体" w:hAnsi="宋体"/>
                <w:color w:val="auto"/>
                <w:szCs w:val="21"/>
                <w:highlight w:val="none"/>
              </w:rPr>
              <w:t>13.</w:t>
            </w:r>
            <w:bookmarkStart w:id="49" w:name="_Hlt19632543"/>
            <w:r>
              <w:rPr>
                <w:rFonts w:hint="eastAsia" w:ascii="宋体" w:hAnsi="宋体"/>
                <w:color w:val="auto"/>
                <w:szCs w:val="21"/>
                <w:highlight w:val="none"/>
              </w:rPr>
              <w:t>1</w:t>
            </w:r>
            <w:bookmarkEnd w:id="49"/>
          </w:p>
        </w:tc>
        <w:tc>
          <w:tcPr>
            <w:tcW w:w="8708" w:type="dxa"/>
            <w:tcBorders>
              <w:top w:val="single" w:color="auto" w:sz="4" w:space="0"/>
              <w:left w:val="single" w:color="auto" w:sz="4" w:space="0"/>
              <w:bottom w:val="single" w:color="auto" w:sz="4" w:space="0"/>
              <w:right w:val="single" w:color="auto" w:sz="4" w:space="0"/>
            </w:tcBorders>
            <w:noWrap w:val="0"/>
            <w:vAlign w:val="center"/>
          </w:tcPr>
          <w:p w14:paraId="1E826BFF">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32D84857">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5BD4984E">
            <w:pPr>
              <w:tabs>
                <w:tab w:val="left" w:pos="459"/>
              </w:tabs>
              <w:snapToGrid w:val="0"/>
              <w:spacing w:line="400" w:lineRule="exact"/>
              <w:jc w:val="left"/>
              <w:rPr>
                <w:rFonts w:hint="eastAsia" w:ascii="宋体" w:hAnsi="宋体"/>
                <w:color w:val="auto"/>
                <w:szCs w:val="21"/>
                <w:highlight w:val="none"/>
              </w:rPr>
            </w:pPr>
            <w:bookmarkStart w:id="50" w:name="_Hlk71299233"/>
            <w:r>
              <w:rPr>
                <w:rFonts w:hint="eastAsia" w:ascii="宋体" w:hAnsi="宋体"/>
                <w:color w:val="auto"/>
                <w:szCs w:val="21"/>
                <w:highlight w:val="none"/>
              </w:rPr>
              <w:t>2、开标一览表</w:t>
            </w:r>
            <w:bookmarkEnd w:id="50"/>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334E43C">
            <w:pPr>
              <w:pStyle w:val="85"/>
              <w:rPr>
                <w:rFonts w:hint="eastAsia" w:ascii="宋体" w:hAnsi="宋体"/>
                <w:color w:val="auto"/>
                <w:sz w:val="21"/>
                <w:szCs w:val="21"/>
                <w:highlight w:val="none"/>
              </w:rPr>
            </w:pPr>
            <w:r>
              <w:rPr>
                <w:rFonts w:hint="eastAsia" w:ascii="宋体" w:hAnsi="宋体"/>
                <w:color w:val="auto"/>
                <w:sz w:val="21"/>
                <w:szCs w:val="21"/>
                <w:highlight w:val="none"/>
              </w:rPr>
              <w:t>3、中小企业声明函（格式后附）；（如有请提供）</w:t>
            </w:r>
          </w:p>
          <w:p w14:paraId="5589AA67">
            <w:pPr>
              <w:pStyle w:val="85"/>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关于符合本国产品标准的声明函（格式后附）；（如有请提供）</w:t>
            </w:r>
          </w:p>
          <w:p w14:paraId="27C335F2">
            <w:pPr>
              <w:tabs>
                <w:tab w:val="left" w:pos="459"/>
              </w:tabs>
              <w:snapToGrid w:val="0"/>
              <w:spacing w:line="400" w:lineRule="exact"/>
              <w:jc w:val="left"/>
              <w:rPr>
                <w:rFonts w:hint="eastAsia" w:ascii="宋体" w:hAnsi="宋体"/>
                <w:color w:val="auto"/>
                <w:szCs w:val="21"/>
                <w:highlight w:val="none"/>
              </w:rPr>
            </w:pPr>
            <w:r>
              <w:rPr>
                <w:rFonts w:hint="eastAsia" w:ascii="宋体" w:hAnsi="宋体"/>
                <w:bCs/>
                <w:color w:val="auto"/>
                <w:szCs w:val="21"/>
                <w:highlight w:val="none"/>
                <w:lang w:val="en-US" w:eastAsia="zh-CN"/>
              </w:rPr>
              <w:t>5</w:t>
            </w:r>
            <w:r>
              <w:rPr>
                <w:rFonts w:hint="eastAsia" w:ascii="宋体" w:hAnsi="宋体"/>
                <w:bCs/>
                <w:color w:val="auto"/>
                <w:szCs w:val="21"/>
                <w:highlight w:val="none"/>
              </w:rPr>
              <w:t>、</w:t>
            </w:r>
            <w:r>
              <w:rPr>
                <w:rFonts w:hint="eastAsia" w:ascii="宋体" w:hAnsi="宋体"/>
                <w:color w:val="auto"/>
                <w:szCs w:val="21"/>
                <w:highlight w:val="none"/>
              </w:rPr>
              <w:t>投标人针对报价需要说明的其他文件和说明（格式自拟）。</w:t>
            </w:r>
            <w:r>
              <w:rPr>
                <w:rFonts w:hint="eastAsia" w:ascii="宋体" w:hAnsi="宋体"/>
                <w:color w:val="auto"/>
                <w:sz w:val="21"/>
                <w:szCs w:val="21"/>
                <w:highlight w:val="none"/>
              </w:rPr>
              <w:t>（如有请提供）</w:t>
            </w:r>
          </w:p>
          <w:p w14:paraId="7FA3F1B7">
            <w:pPr>
              <w:snapToGrid w:val="0"/>
              <w:spacing w:line="400" w:lineRule="exact"/>
              <w:ind w:firstLine="420"/>
              <w:jc w:val="left"/>
              <w:rPr>
                <w:rFonts w:hint="eastAsia" w:ascii="宋体" w:hAnsi="宋体"/>
                <w:color w:val="auto"/>
                <w:szCs w:val="21"/>
                <w:highlight w:val="none"/>
              </w:rPr>
            </w:pPr>
            <w:r>
              <w:rPr>
                <w:rFonts w:hint="eastAsia" w:ascii="宋体" w:hAnsi="宋体"/>
                <w:b/>
                <w:bCs/>
                <w:color w:val="auto"/>
                <w:szCs w:val="21"/>
                <w:highlight w:val="none"/>
              </w:rPr>
              <w:t>注：投标函、开标一览表必须由法定代表人或者委托代理人在规定签章处逐一签字并加盖投标人公章，否则按无效投标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0EDDE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noWrap w:val="0"/>
            <w:vAlign w:val="center"/>
          </w:tcPr>
          <w:p w14:paraId="61102154">
            <w:pPr>
              <w:spacing w:line="400" w:lineRule="exact"/>
              <w:rPr>
                <w:rFonts w:hint="eastAsia" w:ascii="宋体" w:hAnsi="宋体"/>
                <w:color w:val="auto"/>
                <w:szCs w:val="21"/>
                <w:highlight w:val="none"/>
              </w:rPr>
            </w:pPr>
            <w:bookmarkStart w:id="51" w:name="_13.2"/>
            <w:bookmarkEnd w:id="51"/>
          </w:p>
        </w:tc>
        <w:tc>
          <w:tcPr>
            <w:tcW w:w="8708" w:type="dxa"/>
            <w:tcBorders>
              <w:top w:val="single" w:color="auto" w:sz="4" w:space="0"/>
              <w:left w:val="single" w:color="auto" w:sz="4" w:space="0"/>
              <w:bottom w:val="single" w:color="auto" w:sz="4" w:space="0"/>
              <w:right w:val="single" w:color="auto" w:sz="4" w:space="0"/>
            </w:tcBorders>
            <w:noWrap w:val="0"/>
            <w:vAlign w:val="center"/>
          </w:tcPr>
          <w:p w14:paraId="39152152">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4C53CD45">
            <w:pPr>
              <w:autoSpaceDE w:val="0"/>
              <w:autoSpaceDN w:val="0"/>
              <w:snapToGrid w:val="0"/>
              <w:spacing w:line="400" w:lineRule="exact"/>
              <w:textAlignment w:val="bottom"/>
              <w:rPr>
                <w:rFonts w:hint="eastAsia" w:ascii="宋体" w:hAnsi="宋体"/>
                <w:b/>
                <w:color w:val="auto"/>
                <w:szCs w:val="21"/>
                <w:highlight w:val="none"/>
              </w:rPr>
            </w:pPr>
            <w:r>
              <w:rPr>
                <w:rFonts w:hint="eastAsia" w:ascii="宋体" w:hAnsi="宋体" w:cs="宋体"/>
                <w:color w:val="auto"/>
                <w:szCs w:val="21"/>
                <w:highlight w:val="none"/>
              </w:rPr>
              <w:t>1、投标人为法人或者其他组织的，</w:t>
            </w:r>
            <w:r>
              <w:rPr>
                <w:rFonts w:hint="eastAsia" w:ascii="宋体" w:hAnsi="宋体"/>
                <w:color w:val="auto"/>
                <w:szCs w:val="21"/>
                <w:highlight w:val="none"/>
              </w:rPr>
              <w:t>证明文件为其营业执照复印件（如营业执照或者事业单位法人证书或者执业许可证等）；投标人为自然人的，证明文件为其身份证复印件；</w:t>
            </w:r>
            <w:r>
              <w:rPr>
                <w:rFonts w:hint="eastAsia" w:ascii="宋体" w:hAnsi="宋体"/>
                <w:b/>
                <w:color w:val="auto"/>
                <w:szCs w:val="21"/>
                <w:highlight w:val="none"/>
              </w:rPr>
              <w:t>（必须提供，否则投标文件按无效响应处理</w:t>
            </w:r>
            <w:r>
              <w:rPr>
                <w:rFonts w:ascii="宋体" w:hAnsi="宋体"/>
                <w:b/>
                <w:color w:val="auto"/>
                <w:szCs w:val="21"/>
                <w:highlight w:val="none"/>
              </w:rPr>
              <w:t>）</w:t>
            </w:r>
          </w:p>
          <w:p w14:paraId="6D67F3DE">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2、投标人依法缴纳税收的相关材料（投标</w:t>
            </w:r>
            <w:r>
              <w:rPr>
                <w:rFonts w:hint="eastAsia" w:ascii="宋体" w:hAnsi="宋体" w:cs="宋体"/>
                <w:color w:val="auto"/>
                <w:szCs w:val="21"/>
                <w:highlight w:val="none"/>
                <w:lang w:val="en-US" w:eastAsia="zh-CN"/>
              </w:rPr>
              <w:t>截止时间前半年内</w:t>
            </w:r>
            <w:r>
              <w:rPr>
                <w:rFonts w:hint="eastAsia" w:ascii="宋体" w:hAnsi="宋体" w:cs="宋体"/>
                <w:color w:val="auto"/>
                <w:szCs w:val="21"/>
                <w:highlight w:val="none"/>
              </w:rPr>
              <w:t>连续3个月的依法缴纳税收的凭据复印件；依法免税的投标人，必须提供相应文件证明其依法免税。从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之日起的依法缴纳税收相应证明文件）；</w:t>
            </w:r>
            <w:r>
              <w:rPr>
                <w:rFonts w:hint="eastAsia" w:ascii="宋体" w:hAnsi="宋体" w:cs="宋体"/>
                <w:b/>
                <w:color w:val="auto"/>
                <w:szCs w:val="21"/>
                <w:highlight w:val="none"/>
              </w:rPr>
              <w:t>（必须提供，否则按无效投标处理）</w:t>
            </w:r>
          </w:p>
          <w:p w14:paraId="0F3FA740">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3、投标人依法缴纳社会保障资金的相关材料[投标</w:t>
            </w:r>
            <w:r>
              <w:rPr>
                <w:rFonts w:hint="eastAsia" w:ascii="宋体" w:hAnsi="宋体" w:cs="宋体"/>
                <w:color w:val="auto"/>
                <w:szCs w:val="21"/>
                <w:highlight w:val="none"/>
                <w:lang w:val="en-US" w:eastAsia="zh-CN"/>
              </w:rPr>
              <w:t>截止时间前半年内</w:t>
            </w:r>
            <w:r>
              <w:rPr>
                <w:rFonts w:hint="eastAsia" w:ascii="宋体" w:hAnsi="宋体" w:cs="宋体"/>
                <w:color w:val="auto"/>
                <w:szCs w:val="21"/>
                <w:highlight w:val="none"/>
              </w:rPr>
              <w:t>连续3个月的依法缴纳社会保障资金的缴费凭证（专用收据或者社会保险缴纳清单）复印件；依法不需要缴纳社会保障资金的投标人，必须提供相应文件证明不需要缴纳社会保障资金。从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之日起的依法缴纳社会保障资金的相应证明文件]；</w:t>
            </w:r>
            <w:r>
              <w:rPr>
                <w:rFonts w:hint="eastAsia" w:ascii="宋体" w:hAnsi="宋体" w:cs="宋体"/>
                <w:b/>
                <w:color w:val="auto"/>
                <w:szCs w:val="21"/>
                <w:highlight w:val="none"/>
              </w:rPr>
              <w:t>（必须提供，否则按无效投标处理）</w:t>
            </w:r>
          </w:p>
          <w:p w14:paraId="7B02B4BF">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4、投标人财务状况报告（</w:t>
            </w:r>
            <w:r>
              <w:rPr>
                <w:rFonts w:hint="eastAsia"/>
                <w:color w:val="auto"/>
                <w:highlight w:val="none"/>
                <w:lang w:val="en-US" w:eastAsia="zh-CN"/>
              </w:rPr>
              <w:t>2025</w:t>
            </w:r>
            <w:r>
              <w:rPr>
                <w:rFonts w:hint="eastAsia"/>
                <w:color w:val="auto"/>
                <w:highlight w:val="none"/>
              </w:rPr>
              <w:t>年</w:t>
            </w:r>
            <w:r>
              <w:rPr>
                <w:rFonts w:hint="eastAsia" w:ascii="宋体" w:hAnsi="宋体" w:cs="宋体"/>
                <w:color w:val="auto"/>
                <w:szCs w:val="21"/>
                <w:highlight w:val="none"/>
              </w:rPr>
              <w:t>财务报表复印件或者银行出具的资信证明；投标人属于成立</w:t>
            </w:r>
            <w:r>
              <w:rPr>
                <w:rFonts w:ascii="宋体" w:hAnsi="宋体" w:cs="宋体"/>
                <w:color w:val="auto"/>
                <w:szCs w:val="21"/>
                <w:highlight w:val="none"/>
              </w:rPr>
              <w:t>时间</w:t>
            </w:r>
            <w:r>
              <w:rPr>
                <w:rFonts w:hint="eastAsia" w:ascii="宋体" w:hAnsi="宋体" w:cs="宋体"/>
                <w:color w:val="auto"/>
                <w:szCs w:val="21"/>
                <w:highlight w:val="none"/>
              </w:rPr>
              <w:t>在规定年度之后</w:t>
            </w:r>
            <w:r>
              <w:rPr>
                <w:rFonts w:ascii="宋体" w:hAnsi="宋体" w:cs="宋体"/>
                <w:color w:val="auto"/>
                <w:szCs w:val="21"/>
                <w:highlight w:val="none"/>
              </w:rPr>
              <w:t>的</w:t>
            </w:r>
            <w:r>
              <w:rPr>
                <w:rFonts w:hint="eastAsia" w:ascii="宋体" w:hAnsi="宋体" w:cs="宋体"/>
                <w:color w:val="auto"/>
                <w:szCs w:val="21"/>
                <w:highlight w:val="none"/>
              </w:rPr>
              <w:t>法人或其他组织</w:t>
            </w:r>
            <w:r>
              <w:rPr>
                <w:rFonts w:ascii="宋体" w:hAnsi="宋体" w:cs="宋体"/>
                <w:color w:val="auto"/>
                <w:szCs w:val="21"/>
                <w:highlight w:val="none"/>
              </w:rPr>
              <w:t>，需提供成立</w:t>
            </w:r>
            <w:r>
              <w:rPr>
                <w:rFonts w:hint="eastAsia" w:ascii="宋体" w:hAnsi="宋体" w:cs="宋体"/>
                <w:color w:val="auto"/>
                <w:szCs w:val="21"/>
                <w:highlight w:val="none"/>
              </w:rPr>
              <w:t>之日起至投标截止时间前</w:t>
            </w:r>
            <w:r>
              <w:rPr>
                <w:rFonts w:ascii="宋体" w:hAnsi="宋体" w:cs="宋体"/>
                <w:color w:val="auto"/>
                <w:szCs w:val="21"/>
                <w:highlight w:val="none"/>
              </w:rPr>
              <w:t>的月报表</w:t>
            </w:r>
            <w:r>
              <w:rPr>
                <w:rFonts w:hint="eastAsia" w:ascii="宋体" w:hAnsi="宋体" w:cs="宋体"/>
                <w:color w:val="auto"/>
                <w:szCs w:val="21"/>
                <w:highlight w:val="none"/>
              </w:rPr>
              <w:t>或银行出具的资信证明；资信证明应在有效期内，未注明有效期的，银行出具时间至投标截止时间不超过一年）；</w:t>
            </w:r>
            <w:r>
              <w:rPr>
                <w:rFonts w:hint="eastAsia" w:ascii="宋体" w:hAnsi="宋体" w:cs="宋体"/>
                <w:b/>
                <w:color w:val="auto"/>
                <w:szCs w:val="21"/>
                <w:highlight w:val="none"/>
              </w:rPr>
              <w:t>（除自然人外必须提供，否则按无效投标处理）</w:t>
            </w:r>
          </w:p>
          <w:p w14:paraId="753CD2BF">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p>
          <w:p w14:paraId="5DC5C6DC">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（必须提供，否则按无效投标处理）</w:t>
            </w:r>
          </w:p>
          <w:p w14:paraId="2A669822">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7、联合体协议书（格式后附）；</w:t>
            </w:r>
            <w:r>
              <w:rPr>
                <w:rFonts w:hint="eastAsia" w:ascii="宋体" w:hAnsi="宋体" w:cs="宋体"/>
                <w:b/>
                <w:color w:val="auto"/>
                <w:szCs w:val="21"/>
                <w:highlight w:val="none"/>
              </w:rPr>
              <w:t>（联合体投标时必须提供，否则按无效投标处理）</w:t>
            </w:r>
          </w:p>
          <w:p w14:paraId="778F8683">
            <w:pPr>
              <w:pStyle w:val="85"/>
              <w:rPr>
                <w:rFonts w:hint="eastAsia" w:ascii="宋体" w:hAnsi="宋体"/>
                <w:b/>
                <w:bCs w:val="0"/>
                <w:color w:val="auto"/>
                <w:szCs w:val="21"/>
                <w:highlight w:val="none"/>
              </w:rPr>
            </w:pPr>
            <w:r>
              <w:rPr>
                <w:rFonts w:hint="eastAsia" w:ascii="宋体" w:hAnsi="宋体" w:cs="宋体"/>
                <w:bCs w:val="0"/>
                <w:color w:val="auto"/>
                <w:spacing w:val="0"/>
                <w:kern w:val="2"/>
                <w:sz w:val="21"/>
                <w:szCs w:val="21"/>
                <w:highlight w:val="none"/>
                <w:lang w:val="en-US" w:eastAsia="zh-CN"/>
              </w:rPr>
              <w:t>8</w:t>
            </w:r>
            <w:r>
              <w:rPr>
                <w:rFonts w:hint="eastAsia" w:ascii="宋体" w:hAnsi="宋体" w:cs="宋体"/>
                <w:bCs w:val="0"/>
                <w:color w:val="auto"/>
                <w:spacing w:val="0"/>
                <w:kern w:val="2"/>
                <w:sz w:val="21"/>
                <w:szCs w:val="21"/>
                <w:highlight w:val="none"/>
              </w:rPr>
              <w:t>、除招标文件规定必须提供以外，投标人认为需要提供的其他证明材料。</w:t>
            </w:r>
          </w:p>
          <w:p w14:paraId="0EC7A1A2">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注：</w:t>
            </w:r>
          </w:p>
          <w:p w14:paraId="1E52FC14">
            <w:pPr>
              <w:snapToGrid w:val="0"/>
              <w:spacing w:line="400" w:lineRule="exact"/>
              <w:ind w:firstLine="422"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1、以上标明“必须提供”的材料属于复印件的，必须加盖投标人公章，否则按无效投标</w:t>
            </w:r>
            <w:r>
              <w:rPr>
                <w:rFonts w:hint="eastAsia" w:ascii="宋体" w:hAnsi="宋体" w:cs="Courier New"/>
                <w:b/>
                <w:color w:val="auto"/>
                <w:szCs w:val="21"/>
                <w:highlight w:val="none"/>
              </w:rPr>
              <w:t>处理。</w:t>
            </w:r>
          </w:p>
          <w:p w14:paraId="44B019CA">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投标声明必须由法定代表人在规定签章处签字并加盖投标人公章，否则按无效投标处理。</w:t>
            </w:r>
          </w:p>
          <w:p w14:paraId="2D494EEA">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3、投标人直接控股、管理关系信息表必须由法定代表人或者委托代理人在规定签章处签字并加盖投标人公章，否则按无效投标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38B994A5">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4、联合体投标时，第1-5项资格证明文件联合体各方均必须分别提供，联合体各方分别盖章和签字，否则按无效投标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69C02D86">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5、分公司参加投标的，应当取得总公司授权，否则按无效投标处理。</w:t>
            </w:r>
          </w:p>
        </w:tc>
      </w:tr>
      <w:tr w14:paraId="76B40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noWrap w:val="0"/>
            <w:vAlign w:val="center"/>
          </w:tcPr>
          <w:p w14:paraId="3CAB72C4">
            <w:pPr>
              <w:spacing w:line="400" w:lineRule="exact"/>
              <w:rPr>
                <w:rFonts w:hint="eastAsia" w:ascii="宋体" w:hAnsi="宋体"/>
                <w:color w:val="auto"/>
                <w:szCs w:val="21"/>
                <w:highlight w:val="none"/>
              </w:rPr>
            </w:pPr>
            <w:bookmarkStart w:id="52" w:name="_13.3"/>
            <w:bookmarkEnd w:id="52"/>
          </w:p>
        </w:tc>
        <w:tc>
          <w:tcPr>
            <w:tcW w:w="8708" w:type="dxa"/>
            <w:tcBorders>
              <w:top w:val="single" w:color="auto" w:sz="4" w:space="0"/>
              <w:left w:val="single" w:color="auto" w:sz="4" w:space="0"/>
              <w:bottom w:val="single" w:color="auto" w:sz="4" w:space="0"/>
              <w:right w:val="single" w:color="auto" w:sz="4" w:space="0"/>
            </w:tcBorders>
            <w:noWrap w:val="0"/>
            <w:vAlign w:val="center"/>
          </w:tcPr>
          <w:p w14:paraId="74BC7346">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商务文件：</w:t>
            </w:r>
          </w:p>
          <w:p w14:paraId="6F2FEC77">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40B2608">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如要求提交投标保证金的则必须提供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4D419129">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8DB322C">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40DC440A">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318C719">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、服务承诺（格式自拟）；（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3757DA0">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、投标人情况介绍（格式自拟）；</w:t>
            </w:r>
            <w:r>
              <w:rPr>
                <w:rFonts w:hint="eastAsia" w:ascii="宋体" w:hAnsi="宋体"/>
                <w:color w:val="auto"/>
                <w:sz w:val="21"/>
                <w:szCs w:val="21"/>
                <w:highlight w:val="none"/>
              </w:rPr>
              <w:t>（如有请提供）</w:t>
            </w:r>
          </w:p>
          <w:p w14:paraId="57E89812">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w:t>
            </w:r>
            <w:r>
              <w:rPr>
                <w:rFonts w:hint="eastAsia" w:ascii="宋体" w:hAnsi="宋体"/>
                <w:color w:val="auto"/>
                <w:sz w:val="21"/>
                <w:szCs w:val="21"/>
                <w:highlight w:val="none"/>
              </w:rPr>
              <w:t>（如有请提供）</w:t>
            </w:r>
          </w:p>
          <w:p w14:paraId="1EA116C2">
            <w:pPr>
              <w:snapToGrid w:val="0"/>
              <w:spacing w:line="400" w:lineRule="exact"/>
              <w:ind w:firstLine="422" w:firstLineChars="200"/>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00415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noWrap w:val="0"/>
            <w:vAlign w:val="center"/>
          </w:tcPr>
          <w:p w14:paraId="0E90EA2E">
            <w:pPr>
              <w:spacing w:line="400" w:lineRule="exact"/>
              <w:rPr>
                <w:rFonts w:hint="eastAsia" w:ascii="宋体" w:hAnsi="宋体"/>
                <w:color w:val="auto"/>
                <w:szCs w:val="21"/>
                <w:highlight w:val="none"/>
              </w:rPr>
            </w:pPr>
            <w:bookmarkStart w:id="53" w:name="_13.4"/>
            <w:bookmarkEnd w:id="53"/>
          </w:p>
        </w:tc>
        <w:tc>
          <w:tcPr>
            <w:tcW w:w="8708" w:type="dxa"/>
            <w:tcBorders>
              <w:top w:val="single" w:color="auto" w:sz="4" w:space="0"/>
              <w:left w:val="single" w:color="auto" w:sz="4" w:space="0"/>
              <w:bottom w:val="single" w:color="auto" w:sz="4" w:space="0"/>
              <w:right w:val="single" w:color="auto" w:sz="4" w:space="0"/>
            </w:tcBorders>
            <w:noWrap w:val="0"/>
            <w:vAlign w:val="center"/>
          </w:tcPr>
          <w:p w14:paraId="03E2088F">
            <w:pPr>
              <w:snapToGrid w:val="0"/>
              <w:spacing w:line="360" w:lineRule="exact"/>
              <w:jc w:val="left"/>
              <w:rPr>
                <w:rFonts w:hint="eastAsia" w:ascii="宋体" w:hAnsi="宋体" w:cs="Courier New"/>
                <w:b/>
                <w:i/>
                <w:color w:val="auto"/>
                <w:szCs w:val="21"/>
                <w:highlight w:val="none"/>
              </w:rPr>
            </w:pPr>
            <w:r>
              <w:rPr>
                <w:rFonts w:hint="eastAsia" w:ascii="宋体" w:hAnsi="宋体" w:cs="Courier New"/>
                <w:b/>
                <w:color w:val="auto"/>
                <w:szCs w:val="21"/>
                <w:highlight w:val="none"/>
              </w:rPr>
              <w:t>技术文件：</w:t>
            </w:r>
          </w:p>
          <w:p w14:paraId="00C1C4C9">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p>
          <w:p w14:paraId="08958875">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、服务方案（格式自拟）；</w:t>
            </w:r>
            <w:r>
              <w:rPr>
                <w:rFonts w:hint="eastAsia" w:ascii="宋体" w:hAnsi="宋体"/>
                <w:b/>
                <w:color w:val="auto"/>
                <w:szCs w:val="21"/>
                <w:highlight w:val="none"/>
              </w:rPr>
              <w:t>（必须提供，否则按无效投标处理）</w:t>
            </w:r>
          </w:p>
          <w:p w14:paraId="60B0B7D6">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、项目实施人员一览表（格式后附）；</w:t>
            </w:r>
            <w:r>
              <w:rPr>
                <w:rFonts w:hint="eastAsia" w:ascii="宋体" w:hAnsi="宋体"/>
                <w:b/>
                <w:color w:val="auto"/>
                <w:szCs w:val="21"/>
                <w:highlight w:val="none"/>
              </w:rPr>
              <w:t>（必须提供，否则按无效投标处理）</w:t>
            </w:r>
          </w:p>
          <w:p w14:paraId="5105E6AB">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、除招标文件规定必须提供以外，投标人需要说明的其他文件和说明（格式自拟）。</w:t>
            </w:r>
            <w:r>
              <w:rPr>
                <w:rFonts w:hint="eastAsia" w:ascii="宋体" w:hAnsi="宋体"/>
                <w:color w:val="auto"/>
                <w:sz w:val="21"/>
                <w:szCs w:val="21"/>
                <w:highlight w:val="none"/>
              </w:rPr>
              <w:t>（如有请提供）</w:t>
            </w:r>
          </w:p>
          <w:p w14:paraId="23D1642D">
            <w:pPr>
              <w:snapToGrid w:val="0"/>
              <w:spacing w:line="360" w:lineRule="exact"/>
              <w:ind w:firstLine="316" w:firstLineChars="150"/>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4C51D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AF8816B">
            <w:pPr>
              <w:spacing w:line="400" w:lineRule="exact"/>
              <w:jc w:val="center"/>
              <w:rPr>
                <w:rFonts w:hint="eastAsia" w:ascii="宋体" w:hAnsi="宋体"/>
                <w:color w:val="auto"/>
                <w:szCs w:val="21"/>
                <w:highlight w:val="none"/>
              </w:rPr>
            </w:pPr>
            <w:bookmarkStart w:id="54" w:name="_16.2"/>
            <w:bookmarkEnd w:id="54"/>
            <w:bookmarkStart w:id="55" w:name="_13.5"/>
            <w:bookmarkEnd w:id="55"/>
            <w:r>
              <w:rPr>
                <w:rFonts w:hint="eastAsia" w:ascii="宋体" w:hAnsi="宋体"/>
                <w:color w:val="auto"/>
                <w:szCs w:val="21"/>
                <w:highlight w:val="none"/>
              </w:rPr>
              <w:t>16</w:t>
            </w:r>
            <w:bookmarkStart w:id="56" w:name="_Hlt19194066"/>
            <w:bookmarkStart w:id="57" w:name="_Hlt19693759"/>
            <w:bookmarkStart w:id="58" w:name="_Hlt19194067"/>
            <w:bookmarkStart w:id="59" w:name="_Hlt19693758"/>
            <w:r>
              <w:rPr>
                <w:rFonts w:hint="eastAsia" w:ascii="宋体" w:hAnsi="宋体"/>
                <w:color w:val="auto"/>
                <w:szCs w:val="21"/>
                <w:highlight w:val="none"/>
              </w:rPr>
              <w:t>.</w:t>
            </w:r>
            <w:bookmarkEnd w:id="56"/>
            <w:bookmarkEnd w:id="57"/>
            <w:bookmarkEnd w:id="58"/>
            <w:bookmarkEnd w:id="59"/>
            <w:r>
              <w:rPr>
                <w:rFonts w:hint="eastAsia"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7B62ECF">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本项目实行包干总价；投标报价包含完成本项目所有服务内容、所涉及的配件、备品备件、工具、材料、实施、调试、验收、培训等各种费用和售后服务、税金及其它所有成本费用的总和。</w:t>
            </w:r>
          </w:p>
        </w:tc>
      </w:tr>
      <w:tr w14:paraId="1C049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B9957CD">
            <w:pPr>
              <w:spacing w:line="400" w:lineRule="exact"/>
              <w:jc w:val="center"/>
              <w:rPr>
                <w:rFonts w:hint="eastAsia" w:ascii="宋体" w:hAnsi="宋体"/>
                <w:color w:val="auto"/>
                <w:szCs w:val="21"/>
                <w:highlight w:val="none"/>
              </w:rPr>
            </w:pPr>
            <w:bookmarkStart w:id="60" w:name="_17.1"/>
            <w:bookmarkEnd w:id="60"/>
            <w:r>
              <w:rPr>
                <w:rFonts w:hint="eastAsia" w:ascii="宋体" w:hAnsi="宋体"/>
                <w:color w:val="auto"/>
                <w:szCs w:val="21"/>
                <w:highlight w:val="none"/>
              </w:rPr>
              <w:t>17.</w:t>
            </w:r>
            <w:r>
              <w:rPr>
                <w:rFonts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A258C3E">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投标有效期：投标截止之日起60天内。</w:t>
            </w:r>
          </w:p>
        </w:tc>
      </w:tr>
      <w:tr w14:paraId="7FDC2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AF3D80F">
            <w:pPr>
              <w:spacing w:line="400" w:lineRule="exact"/>
              <w:jc w:val="center"/>
              <w:rPr>
                <w:rFonts w:hint="eastAsia" w:ascii="宋体" w:hAnsi="宋体"/>
                <w:color w:val="auto"/>
                <w:szCs w:val="21"/>
                <w:highlight w:val="none"/>
              </w:rPr>
            </w:pPr>
            <w:bookmarkStart w:id="61" w:name="_18"/>
            <w:bookmarkEnd w:id="61"/>
            <w:r>
              <w:rPr>
                <w:rFonts w:hint="eastAsia" w:ascii="宋体" w:hAnsi="宋体"/>
                <w:color w:val="auto"/>
                <w:szCs w:val="21"/>
                <w:highlight w:val="none"/>
              </w:rPr>
              <w:t>18</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D5EAC6A">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本项目收取投标保证金，具体规定如下：</w:t>
            </w:r>
          </w:p>
          <w:p w14:paraId="6D4338CA">
            <w:pPr>
              <w:snapToGrid w:val="0"/>
              <w:spacing w:line="400" w:lineRule="exac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  投标保证金人民币</w:t>
            </w:r>
            <w:r>
              <w:rPr>
                <w:rFonts w:hint="eastAsia" w:ascii="宋体" w:hAnsi="宋体" w:cs="宋体"/>
                <w:color w:val="auto"/>
                <w:kern w:val="0"/>
                <w:szCs w:val="21"/>
                <w:highlight w:val="none"/>
                <w:u w:val="single"/>
                <w:lang w:eastAsia="zh-CN"/>
              </w:rPr>
              <w:t>：</w:t>
            </w:r>
            <w:r>
              <w:rPr>
                <w:rFonts w:hint="eastAsia" w:ascii="宋体" w:hAnsi="宋体" w:cs="宋体"/>
                <w:color w:val="auto"/>
                <w:kern w:val="0"/>
                <w:szCs w:val="21"/>
                <w:highlight w:val="none"/>
                <w:u w:val="single"/>
                <w:lang w:val="en-US" w:eastAsia="zh-CN"/>
              </w:rPr>
              <w:t>2万元</w:t>
            </w:r>
            <w:r>
              <w:rPr>
                <w:rFonts w:hint="eastAsia" w:ascii="宋体" w:hAnsi="宋体" w:cs="宋体"/>
                <w:color w:val="auto"/>
                <w:kern w:val="0"/>
                <w:szCs w:val="21"/>
                <w:highlight w:val="none"/>
                <w:u w:val="single"/>
                <w:lang w:eastAsia="zh-CN"/>
              </w:rPr>
              <w:t>。</w:t>
            </w:r>
          </w:p>
          <w:p w14:paraId="3DC9EDF7">
            <w:pPr>
              <w:snapToGrid w:val="0"/>
              <w:spacing w:line="400" w:lineRule="exact"/>
              <w:rPr>
                <w:rFonts w:hint="eastAsia"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投标保证金的交纳方式：银行转账、支票、汇票、本票或者金融、担保机构出具的保函，禁止采用现钞方式。采用银行转账方式的，在投标截止时间前交至指定账户并且到账（</w:t>
            </w:r>
            <w:r>
              <w:rPr>
                <w:rFonts w:hint="eastAsia" w:ascii="宋体" w:hAnsi="宋体" w:cs="宋体"/>
                <w:color w:val="auto"/>
                <w:szCs w:val="21"/>
                <w:highlight w:val="none"/>
              </w:rPr>
              <w:t>开户名称：广西科文招标有限公司，开户银行：广西北部湾银行南宁分行营业部，银行账号：0101012090615689</w:t>
            </w:r>
            <w:r>
              <w:rPr>
                <w:rFonts w:hint="eastAsia" w:ascii="宋体" w:hAnsi="宋体" w:cs="宋体"/>
                <w:color w:val="auto"/>
                <w:kern w:val="0"/>
                <w:szCs w:val="21"/>
                <w:highlight w:val="none"/>
              </w:rPr>
              <w:t>）；采用支票、汇票、本票或者保函等方式的，在投标截止时间前，投标人必须递交支票、汇票、本票或者保函原件。否则视为无效投标保证金。</w:t>
            </w:r>
          </w:p>
          <w:p w14:paraId="6669F60B">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相关要求：</w:t>
            </w:r>
          </w:p>
          <w:p w14:paraId="0725D993">
            <w:pPr>
              <w:pStyle w:val="18"/>
              <w:spacing w:line="400" w:lineRule="exact"/>
              <w:rPr>
                <w:rFonts w:hint="eastAsia" w:ascii="宋体" w:hAnsi="宋体"/>
                <w:color w:val="auto"/>
                <w:szCs w:val="21"/>
                <w:highlight w:val="none"/>
              </w:rPr>
            </w:pPr>
            <w:r>
              <w:rPr>
                <w:rFonts w:hint="eastAsia" w:ascii="宋体" w:hAnsi="宋体"/>
                <w:color w:val="auto"/>
                <w:szCs w:val="21"/>
                <w:highlight w:val="none"/>
              </w:rPr>
              <w:t>1、投标保证金采用银行转账交纳方式的，在投标截止时间前交至指定账户并且到账，投标人应将银行转账底单的复印件作为投标保证金提交凭证，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4C0CEB89">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w:t>
            </w:r>
            <w:r>
              <w:rPr>
                <w:rFonts w:hint="eastAsia" w:ascii="宋体" w:hAnsi="宋体"/>
                <w:b/>
                <w:color w:val="auto"/>
                <w:szCs w:val="21"/>
                <w:highlight w:val="none"/>
              </w:rPr>
              <w:t>投标人必须在投标截止时间前将支票、汇票、本票或者金融、担保机构出具的保函原件提交给采购代理机构，由采购代理机构向投标人出具回执，并妥善保管。</w:t>
            </w:r>
          </w:p>
          <w:p w14:paraId="57F9863D">
            <w:pPr>
              <w:snapToGrid w:val="0"/>
              <w:spacing w:line="400" w:lineRule="exact"/>
              <w:rPr>
                <w:rFonts w:hint="eastAsia" w:ascii="宋体" w:hAnsi="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5E967888">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 xml:space="preserve">备注： </w:t>
            </w:r>
          </w:p>
          <w:p w14:paraId="54920EC2">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1、投标保证金在投标截止时间后提交的，或者不按规定交纳方式交纳的，或者未足额交纳的（包含保函额度不足的），视为无效投标保证金。</w:t>
            </w:r>
          </w:p>
          <w:p w14:paraId="36730761">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4BF36A13">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5E79A48B">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58EB6779">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5、采用金融、担保机构出具保函的，必须为无条件保函，否则视为无效投标保证金。</w:t>
            </w:r>
          </w:p>
          <w:p w14:paraId="307A99A4">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6、保证金凭证应注明正确的项目编号、分标号（如有）等信息，否则，信息不明确或有误的将可能被视为无效投标保证金，并有可能影响保证金的及时退付。</w:t>
            </w:r>
          </w:p>
        </w:tc>
      </w:tr>
      <w:tr w14:paraId="016FA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977A300">
            <w:pPr>
              <w:spacing w:line="400" w:lineRule="exact"/>
              <w:jc w:val="center"/>
              <w:rPr>
                <w:rFonts w:hint="eastAsia" w:ascii="宋体" w:hAnsi="宋体"/>
                <w:color w:val="auto"/>
                <w:szCs w:val="21"/>
                <w:highlight w:val="none"/>
              </w:rPr>
            </w:pPr>
            <w:bookmarkStart w:id="62" w:name="_19.2"/>
            <w:bookmarkEnd w:id="62"/>
            <w:r>
              <w:rPr>
                <w:rFonts w:hint="eastAsia" w:ascii="宋体" w:hAnsi="宋体"/>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79225FB">
            <w:pPr>
              <w:autoSpaceDE w:val="0"/>
              <w:autoSpaceDN w:val="0"/>
              <w:snapToGrid w:val="0"/>
              <w:spacing w:line="400" w:lineRule="exact"/>
              <w:textAlignment w:val="bottom"/>
              <w:rPr>
                <w:rFonts w:hint="eastAsia" w:ascii="宋体" w:hAnsi="宋体"/>
                <w:color w:val="auto"/>
                <w:szCs w:val="21"/>
                <w:highlight w:val="none"/>
              </w:rPr>
            </w:pPr>
            <w:r>
              <w:rPr>
                <w:rFonts w:hint="eastAsia" w:hAnsi="宋体"/>
                <w:color w:val="auto"/>
                <w:szCs w:val="21"/>
                <w:highlight w:val="none"/>
              </w:rPr>
              <w:t>投标文件应按报价文件、资格证明文件、商务文件、技术文件分别编制，</w:t>
            </w:r>
            <w:r>
              <w:rPr>
                <w:rFonts w:hint="eastAsia" w:ascii="宋体" w:hAnsi="宋体" w:cs="宋体"/>
                <w:color w:val="auto"/>
                <w:szCs w:val="21"/>
                <w:highlight w:val="none"/>
                <w:lang w:bidi="ar"/>
              </w:rPr>
              <w:t>并按广西政府采购云平台的要求编制、加密、上传。</w:t>
            </w:r>
          </w:p>
        </w:tc>
      </w:tr>
      <w:tr w14:paraId="23928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15D15B4">
            <w:pPr>
              <w:spacing w:line="400" w:lineRule="exact"/>
              <w:jc w:val="center"/>
              <w:rPr>
                <w:rFonts w:hint="eastAsia" w:ascii="宋体" w:hAnsi="宋体"/>
                <w:color w:val="auto"/>
                <w:szCs w:val="21"/>
                <w:highlight w:val="none"/>
              </w:rPr>
            </w:pPr>
            <w:r>
              <w:rPr>
                <w:rFonts w:hint="eastAsia" w:ascii="宋体" w:hAnsi="宋体"/>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E1A20BF">
            <w:pPr>
              <w:autoSpaceDE w:val="0"/>
              <w:autoSpaceDN w:val="0"/>
              <w:snapToGrid w:val="0"/>
              <w:spacing w:line="400" w:lineRule="exact"/>
              <w:textAlignment w:val="bottom"/>
              <w:rPr>
                <w:rFonts w:hint="eastAsia" w:hAnsi="宋体"/>
                <w:color w:val="auto"/>
                <w:szCs w:val="21"/>
                <w:highlight w:val="none"/>
              </w:rPr>
            </w:pPr>
            <w:r>
              <w:rPr>
                <w:rFonts w:hint="eastAsia" w:ascii="宋体" w:hAnsi="宋体"/>
                <w:color w:val="auto"/>
                <w:szCs w:val="21"/>
                <w:highlight w:val="none"/>
              </w:rPr>
              <w:t>电子投标文件应在制作完成后，投标人应按广西政府采购云平台的要求进行加密，并在规定时间内解密，否则，由此产生的后果由投标人自行负责。</w:t>
            </w:r>
          </w:p>
        </w:tc>
      </w:tr>
      <w:tr w14:paraId="3E947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0A23701">
            <w:pPr>
              <w:spacing w:line="400" w:lineRule="exact"/>
              <w:jc w:val="center"/>
              <w:rPr>
                <w:rFonts w:hint="eastAsia" w:ascii="宋体" w:hAnsi="宋体"/>
                <w:color w:val="auto"/>
                <w:szCs w:val="21"/>
                <w:highlight w:val="none"/>
              </w:rPr>
            </w:pPr>
            <w:bookmarkStart w:id="63" w:name="_21.1"/>
            <w:bookmarkEnd w:id="63"/>
            <w:r>
              <w:rPr>
                <w:rFonts w:hint="eastAsia" w:ascii="宋体" w:hAnsi="宋体"/>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49D5228">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1、投标截止时间：详见招标公告</w:t>
            </w:r>
          </w:p>
          <w:p w14:paraId="2ABB82F3">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34060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F03493F">
            <w:pPr>
              <w:spacing w:line="400" w:lineRule="exact"/>
              <w:jc w:val="center"/>
              <w:rPr>
                <w:rFonts w:hint="eastAsia" w:ascii="宋体" w:hAnsi="宋体"/>
                <w:color w:val="auto"/>
                <w:szCs w:val="21"/>
                <w:highlight w:val="none"/>
              </w:rPr>
            </w:pPr>
            <w:bookmarkStart w:id="64" w:name="_23"/>
            <w:bookmarkEnd w:id="64"/>
            <w:r>
              <w:rPr>
                <w:rFonts w:hint="eastAsia" w:ascii="宋体" w:hAnsi="宋体"/>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8665B21">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1、开标时间：详见招标公告</w:t>
            </w:r>
          </w:p>
          <w:p w14:paraId="6AD15577">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4C419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E0758A9">
            <w:pPr>
              <w:spacing w:line="400" w:lineRule="exact"/>
              <w:jc w:val="center"/>
              <w:rPr>
                <w:rFonts w:hint="eastAsia" w:ascii="宋体" w:hAnsi="宋体"/>
                <w:color w:val="auto"/>
                <w:szCs w:val="21"/>
                <w:highlight w:val="none"/>
              </w:rPr>
            </w:pPr>
            <w:r>
              <w:rPr>
                <w:rFonts w:hint="eastAsia" w:ascii="宋体" w:hAnsi="宋体"/>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237E0A1">
            <w:pPr>
              <w:snapToGrid w:val="0"/>
              <w:spacing w:line="400" w:lineRule="exact"/>
              <w:rPr>
                <w:rFonts w:hint="eastAsia" w:ascii="宋体" w:hAnsi="宋体"/>
                <w:color w:val="auto"/>
                <w:szCs w:val="21"/>
                <w:highlight w:val="none"/>
              </w:rPr>
            </w:pPr>
            <w:r>
              <w:rPr>
                <w:rFonts w:hint="eastAsia" w:ascii="宋体" w:hAnsi="宋体"/>
                <w:bCs/>
                <w:color w:val="auto"/>
                <w:szCs w:val="21"/>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p>
        </w:tc>
      </w:tr>
      <w:tr w14:paraId="6DB33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E89ABEC">
            <w:pPr>
              <w:spacing w:line="400" w:lineRule="exact"/>
              <w:jc w:val="center"/>
              <w:rPr>
                <w:rFonts w:hint="eastAsia" w:ascii="宋体" w:hAnsi="宋体"/>
                <w:color w:val="auto"/>
                <w:szCs w:val="21"/>
                <w:highlight w:val="none"/>
              </w:rPr>
            </w:pPr>
            <w:bookmarkStart w:id="65" w:name="_25.3"/>
            <w:bookmarkEnd w:id="65"/>
            <w:r>
              <w:rPr>
                <w:rFonts w:hint="eastAsia" w:ascii="宋体" w:hAnsi="宋体"/>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9AD6FD1">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5E2180D6">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查询渠道：</w:t>
            </w:r>
            <w:r>
              <w:rPr>
                <w:rFonts w:ascii="宋体" w:hAnsi="宋体"/>
                <w:color w:val="auto"/>
                <w:szCs w:val="21"/>
                <w:highlight w:val="none"/>
              </w:rPr>
              <w:t>“信用中国”网站（www.creditchina.gov.cn）、中国政府采购网（</w:t>
            </w:r>
            <w:r>
              <w:rPr>
                <w:rFonts w:ascii="宋体" w:hAnsi="宋体"/>
                <w:color w:val="auto"/>
                <w:szCs w:val="21"/>
                <w:highlight w:val="none"/>
              </w:rPr>
              <w:fldChar w:fldCharType="begin"/>
            </w:r>
            <w:r>
              <w:rPr>
                <w:rFonts w:ascii="宋体" w:hAnsi="宋体"/>
                <w:color w:val="auto"/>
                <w:szCs w:val="21"/>
                <w:highlight w:val="none"/>
              </w:rPr>
              <w:instrText xml:space="preserve"> HYPERLINK "http://www.ccgp.gov.cn" </w:instrText>
            </w:r>
            <w:r>
              <w:rPr>
                <w:rFonts w:ascii="宋体" w:hAnsi="宋体"/>
                <w:color w:val="auto"/>
                <w:szCs w:val="21"/>
                <w:highlight w:val="none"/>
              </w:rPr>
              <w:fldChar w:fldCharType="separate"/>
            </w:r>
            <w:r>
              <w:rPr>
                <w:rStyle w:val="57"/>
                <w:rFonts w:ascii="宋体" w:hAnsi="宋体"/>
                <w:color w:val="auto"/>
                <w:szCs w:val="21"/>
                <w:highlight w:val="none"/>
              </w:rPr>
              <w:t>www.ccgp.gov.cn</w:t>
            </w:r>
            <w:r>
              <w:rPr>
                <w:rFonts w:ascii="宋体" w:hAnsi="宋体"/>
                <w:color w:val="auto"/>
                <w:szCs w:val="21"/>
                <w:highlight w:val="none"/>
              </w:rPr>
              <w:fldChar w:fldCharType="end"/>
            </w:r>
            <w:r>
              <w:rPr>
                <w:rFonts w:ascii="宋体" w:hAnsi="宋体"/>
                <w:color w:val="auto"/>
                <w:szCs w:val="21"/>
                <w:highlight w:val="none"/>
              </w:rPr>
              <w:t>）</w:t>
            </w:r>
            <w:r>
              <w:rPr>
                <w:rFonts w:hint="eastAsia" w:ascii="宋体" w:hAnsi="宋体"/>
                <w:color w:val="auto"/>
                <w:szCs w:val="21"/>
                <w:highlight w:val="none"/>
              </w:rPr>
              <w:t>。</w:t>
            </w:r>
          </w:p>
          <w:p w14:paraId="71C71F76">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信用查询截止时点：</w:t>
            </w:r>
            <w:r>
              <w:rPr>
                <w:rFonts w:ascii="宋体" w:hAnsi="宋体" w:cs="宋体"/>
                <w:color w:val="auto"/>
                <w:szCs w:val="21"/>
                <w:highlight w:val="none"/>
              </w:rPr>
              <w:t>资格审查结束前</w:t>
            </w:r>
            <w:r>
              <w:rPr>
                <w:rFonts w:hint="eastAsia" w:ascii="宋体" w:hAnsi="宋体" w:cs="宋体"/>
                <w:color w:val="auto"/>
                <w:szCs w:val="21"/>
                <w:highlight w:val="none"/>
              </w:rPr>
              <w:t>。</w:t>
            </w:r>
          </w:p>
          <w:p w14:paraId="799E6EB1">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查询记录和证据留存方式：</w:t>
            </w:r>
            <w:r>
              <w:rPr>
                <w:rFonts w:hint="eastAsia" w:ascii="宋体" w:hAnsi="宋体" w:cs="宋体"/>
                <w:color w:val="auto"/>
                <w:szCs w:val="21"/>
                <w:highlight w:val="none"/>
              </w:rPr>
              <w:t>将查询网站中的查询记录截图并作为评审资料保存。</w:t>
            </w:r>
          </w:p>
          <w:p w14:paraId="282194C6">
            <w:pPr>
              <w:snapToGrid w:val="0"/>
              <w:spacing w:line="400" w:lineRule="exact"/>
              <w:rPr>
                <w:rFonts w:hint="eastAsia" w:ascii="宋体" w:hAnsi="宋体"/>
                <w:b/>
                <w:color w:val="auto"/>
                <w:szCs w:val="21"/>
                <w:highlight w:val="none"/>
              </w:rPr>
            </w:pPr>
            <w:r>
              <w:rPr>
                <w:rFonts w:hint="eastAsia" w:ascii="宋体" w:hAnsi="宋体"/>
                <w:color w:val="auto"/>
                <w:szCs w:val="21"/>
                <w:highlight w:val="none"/>
              </w:rPr>
              <w:t>信用信息使用规则：根据财政部《关于在政府采购活动中查询及使用信用记录有关问题的通知》（财库〔2016〕125号）的规定，</w:t>
            </w:r>
            <w:r>
              <w:rPr>
                <w:rFonts w:hint="eastAsia" w:ascii="宋体" w:hAnsi="宋体" w:cs="宋体"/>
                <w:color w:val="auto"/>
                <w:szCs w:val="21"/>
                <w:highlight w:val="none"/>
                <w:lang w:bidi="ar"/>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tc>
      </w:tr>
      <w:tr w14:paraId="416F7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F32DF00">
            <w:pPr>
              <w:spacing w:line="400" w:lineRule="exact"/>
              <w:jc w:val="center"/>
              <w:rPr>
                <w:rFonts w:hint="eastAsia" w:ascii="宋体" w:hAnsi="宋体"/>
                <w:color w:val="auto"/>
                <w:szCs w:val="21"/>
                <w:highlight w:val="none"/>
              </w:rPr>
            </w:pPr>
            <w:bookmarkStart w:id="66" w:name="_26"/>
            <w:bookmarkEnd w:id="66"/>
            <w:r>
              <w:rPr>
                <w:rFonts w:hint="eastAsia" w:ascii="宋体" w:hAnsi="宋体"/>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18237A1">
            <w:pPr>
              <w:autoSpaceDE w:val="0"/>
              <w:autoSpaceDN w:val="0"/>
              <w:snapToGrid w:val="0"/>
              <w:spacing w:line="400" w:lineRule="exact"/>
              <w:textAlignment w:val="bottom"/>
              <w:rPr>
                <w:rFonts w:hint="eastAsia" w:ascii="宋体" w:hAnsi="宋体" w:cs="宋体"/>
                <w:color w:val="auto"/>
                <w:szCs w:val="21"/>
                <w:highlight w:val="none"/>
                <w:lang w:bidi="ar"/>
              </w:rPr>
            </w:pPr>
            <w:r>
              <w:rPr>
                <w:rFonts w:hint="eastAsia" w:ascii="宋体" w:hAnsi="宋体" w:cs="宋体"/>
                <w:color w:val="auto"/>
                <w:szCs w:val="21"/>
                <w:highlight w:val="none"/>
                <w:lang w:bidi="ar"/>
              </w:rPr>
              <w:t>评标委员会的人数：5人。</w:t>
            </w:r>
          </w:p>
        </w:tc>
      </w:tr>
      <w:tr w14:paraId="73163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5BCD5F5">
            <w:pPr>
              <w:spacing w:line="400" w:lineRule="exact"/>
              <w:jc w:val="center"/>
              <w:rPr>
                <w:rFonts w:hint="eastAsia" w:ascii="宋体" w:hAnsi="宋体"/>
                <w:color w:val="auto"/>
                <w:szCs w:val="21"/>
                <w:highlight w:val="none"/>
              </w:rPr>
            </w:pPr>
            <w:bookmarkStart w:id="67" w:name="_28.3"/>
            <w:bookmarkEnd w:id="67"/>
            <w:r>
              <w:rPr>
                <w:rFonts w:ascii="宋体" w:hAnsi="宋体"/>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3506C1D">
            <w:pPr>
              <w:autoSpaceDE w:val="0"/>
              <w:autoSpaceDN w:val="0"/>
              <w:snapToGrid w:val="0"/>
              <w:spacing w:line="400" w:lineRule="exact"/>
              <w:textAlignment w:val="bottom"/>
              <w:rPr>
                <w:rFonts w:hint="eastAsia" w:ascii="宋体" w:hAnsi="宋体" w:cs="宋体"/>
                <w:color w:val="auto"/>
                <w:szCs w:val="21"/>
                <w:highlight w:val="none"/>
                <w:lang w:bidi="ar"/>
              </w:rPr>
            </w:pPr>
            <w:r>
              <w:rPr>
                <w:rFonts w:hint="eastAsia" w:ascii="宋体" w:hAnsi="宋体" w:cs="宋体"/>
                <w:color w:val="auto"/>
                <w:szCs w:val="21"/>
                <w:highlight w:val="none"/>
                <w:lang w:bidi="ar"/>
              </w:rPr>
              <w:t>评标方法：综合评分法</w:t>
            </w:r>
          </w:p>
        </w:tc>
      </w:tr>
      <w:tr w14:paraId="22CFF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895" w:type="dxa"/>
            <w:tcBorders>
              <w:top w:val="single" w:color="auto" w:sz="4" w:space="0"/>
              <w:left w:val="single" w:color="auto" w:sz="4" w:space="0"/>
              <w:right w:val="single" w:color="auto" w:sz="4" w:space="0"/>
            </w:tcBorders>
            <w:noWrap w:val="0"/>
            <w:vAlign w:val="center"/>
          </w:tcPr>
          <w:p w14:paraId="4FA35E1A">
            <w:pPr>
              <w:spacing w:line="400" w:lineRule="exact"/>
              <w:jc w:val="center"/>
              <w:rPr>
                <w:rFonts w:hint="eastAsia" w:ascii="宋体" w:hAnsi="宋体"/>
                <w:color w:val="auto"/>
                <w:szCs w:val="21"/>
                <w:highlight w:val="none"/>
              </w:rPr>
            </w:pPr>
            <w:bookmarkStart w:id="68" w:name="_29.2.2（2）"/>
            <w:bookmarkEnd w:id="68"/>
            <w:r>
              <w:rPr>
                <w:rFonts w:hint="eastAsia" w:ascii="宋体" w:hAnsi="宋体"/>
                <w:color w:val="auto"/>
                <w:szCs w:val="21"/>
                <w:highlight w:val="none"/>
              </w:rPr>
              <w:t>29</w:t>
            </w:r>
            <w:r>
              <w:rPr>
                <w:rFonts w:ascii="宋体" w:hAnsi="宋体"/>
                <w:color w:val="auto"/>
                <w:szCs w:val="21"/>
                <w:highlight w:val="none"/>
              </w:rPr>
              <w:t>.2</w:t>
            </w:r>
          </w:p>
        </w:tc>
        <w:tc>
          <w:tcPr>
            <w:tcW w:w="8708" w:type="dxa"/>
            <w:tcBorders>
              <w:top w:val="single" w:color="auto" w:sz="4" w:space="0"/>
              <w:left w:val="single" w:color="auto" w:sz="4" w:space="0"/>
              <w:right w:val="single" w:color="auto" w:sz="4" w:space="0"/>
            </w:tcBorders>
            <w:noWrap w:val="0"/>
            <w:vAlign w:val="center"/>
          </w:tcPr>
          <w:p w14:paraId="26FD7DAD">
            <w:pPr>
              <w:snapToGrid w:val="0"/>
              <w:spacing w:line="400" w:lineRule="exact"/>
              <w:rPr>
                <w:rFonts w:hint="eastAsia" w:ascii="宋体" w:hAnsi="宋体" w:cs="宋体"/>
                <w:color w:val="auto"/>
                <w:szCs w:val="21"/>
                <w:highlight w:val="none"/>
                <w:u w:val="single"/>
              </w:rPr>
            </w:pPr>
            <w:r>
              <w:rPr>
                <w:rFonts w:hAnsi="宋体"/>
                <w:color w:val="auto"/>
                <w:highlight w:val="none"/>
              </w:rPr>
              <w:t>中标候选人推荐数量</w:t>
            </w:r>
            <w:r>
              <w:rPr>
                <w:rFonts w:hint="eastAsia" w:hAnsi="宋体"/>
                <w:color w:val="auto"/>
                <w:highlight w:val="none"/>
              </w:rPr>
              <w:t>：3家</w:t>
            </w:r>
          </w:p>
        </w:tc>
      </w:tr>
      <w:tr w14:paraId="02876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82D8C16">
            <w:pPr>
              <w:spacing w:line="400" w:lineRule="exact"/>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61076EE">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采用综合评分法的采购项目，采购人确定中标人时，出现中标候选人并列的情形，采购人按以下的方式确定中标人：按综合评分中</w:t>
            </w:r>
            <w:r>
              <w:rPr>
                <w:rFonts w:hint="eastAsia" w:ascii="宋体" w:hAnsi="宋体"/>
                <w:color w:val="auto"/>
                <w:szCs w:val="21"/>
                <w:highlight w:val="none"/>
                <w:lang w:val="en-US" w:eastAsia="zh-CN"/>
              </w:rPr>
              <w:t>价格分、</w:t>
            </w:r>
            <w:r>
              <w:rPr>
                <w:rFonts w:hint="eastAsia" w:hAnsi="宋体" w:cs="宋体"/>
                <w:bCs/>
                <w:color w:val="auto"/>
                <w:sz w:val="21"/>
                <w:highlight w:val="none"/>
              </w:rPr>
              <w:t>技术</w:t>
            </w:r>
            <w:r>
              <w:rPr>
                <w:rFonts w:hint="eastAsia" w:hAnsi="宋体" w:cs="宋体"/>
                <w:bCs/>
                <w:color w:val="auto"/>
                <w:sz w:val="21"/>
                <w:highlight w:val="none"/>
                <w:lang w:val="en-US" w:eastAsia="zh-CN"/>
              </w:rPr>
              <w:t>分</w:t>
            </w:r>
            <w:r>
              <w:rPr>
                <w:rFonts w:hint="eastAsia" w:hAnsi="宋体" w:cs="宋体"/>
                <w:bCs/>
                <w:color w:val="auto"/>
                <w:sz w:val="21"/>
                <w:highlight w:val="none"/>
              </w:rPr>
              <w:t>、</w:t>
            </w:r>
            <w:r>
              <w:rPr>
                <w:rFonts w:hint="eastAsia" w:hAnsi="宋体" w:cs="宋体"/>
                <w:bCs/>
                <w:color w:val="auto"/>
                <w:sz w:val="21"/>
                <w:highlight w:val="none"/>
                <w:lang w:val="en-US" w:eastAsia="zh-CN"/>
              </w:rPr>
              <w:t>商务分</w:t>
            </w:r>
            <w:r>
              <w:rPr>
                <w:rFonts w:hint="eastAsia" w:ascii="宋体" w:hAnsi="宋体"/>
                <w:color w:val="auto"/>
                <w:szCs w:val="21"/>
                <w:highlight w:val="none"/>
              </w:rPr>
              <w:t>得分高低依次确定。</w:t>
            </w:r>
          </w:p>
          <w:p w14:paraId="58D3A4AD">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采用最低评标价法的采购项目，采购人确定中标人时，出现中标候选人并列的情形，采购人按以下的方式确定中标人：按服务水平</w:t>
            </w:r>
            <w:r>
              <w:rPr>
                <w:rFonts w:ascii="宋体" w:hAnsi="宋体"/>
                <w:color w:val="auto"/>
                <w:szCs w:val="21"/>
                <w:highlight w:val="none"/>
              </w:rPr>
              <w:t>技术指标高优先、</w:t>
            </w:r>
            <w:r>
              <w:rPr>
                <w:rFonts w:hint="eastAsia" w:ascii="宋体" w:hAnsi="宋体"/>
                <w:color w:val="auto"/>
                <w:szCs w:val="21"/>
                <w:highlight w:val="none"/>
              </w:rPr>
              <w:t>服务方案好</w:t>
            </w:r>
            <w:r>
              <w:rPr>
                <w:rFonts w:ascii="宋体" w:hAnsi="宋体"/>
                <w:color w:val="auto"/>
                <w:szCs w:val="21"/>
                <w:highlight w:val="none"/>
              </w:rPr>
              <w:t>优先、</w:t>
            </w:r>
            <w:r>
              <w:rPr>
                <w:rFonts w:hint="eastAsia" w:ascii="宋体" w:hAnsi="宋体"/>
                <w:color w:val="auto"/>
                <w:szCs w:val="21"/>
                <w:highlight w:val="none"/>
              </w:rPr>
              <w:t>拟投入人员多</w:t>
            </w:r>
            <w:r>
              <w:rPr>
                <w:rFonts w:ascii="宋体" w:hAnsi="宋体"/>
                <w:color w:val="auto"/>
                <w:szCs w:val="21"/>
                <w:highlight w:val="none"/>
              </w:rPr>
              <w:t>优先、</w:t>
            </w:r>
            <w:r>
              <w:rPr>
                <w:rFonts w:hint="eastAsia" w:ascii="宋体" w:hAnsi="宋体"/>
                <w:color w:val="auto"/>
                <w:szCs w:val="21"/>
                <w:highlight w:val="none"/>
              </w:rPr>
              <w:t>服务</w:t>
            </w:r>
            <w:r>
              <w:rPr>
                <w:rFonts w:ascii="宋体" w:hAnsi="宋体"/>
                <w:color w:val="auto"/>
                <w:szCs w:val="21"/>
                <w:highlight w:val="none"/>
              </w:rPr>
              <w:t>响应时间短优先的</w:t>
            </w:r>
            <w:r>
              <w:rPr>
                <w:rFonts w:hint="eastAsia" w:ascii="宋体" w:hAnsi="宋体"/>
                <w:color w:val="auto"/>
                <w:szCs w:val="21"/>
                <w:highlight w:val="none"/>
              </w:rPr>
              <w:t>顺序依次确定。</w:t>
            </w:r>
          </w:p>
        </w:tc>
      </w:tr>
      <w:tr w14:paraId="106F6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7977AF3">
            <w:pPr>
              <w:spacing w:line="400" w:lineRule="exact"/>
              <w:jc w:val="center"/>
              <w:rPr>
                <w:rFonts w:hint="eastAsia" w:ascii="宋体" w:hAnsi="宋体"/>
                <w:color w:val="auto"/>
                <w:szCs w:val="21"/>
                <w:highlight w:val="none"/>
              </w:rPr>
            </w:pPr>
            <w:bookmarkStart w:id="69" w:name="_39.1"/>
            <w:bookmarkEnd w:id="69"/>
            <w:r>
              <w:rPr>
                <w:rFonts w:hint="eastAsia" w:ascii="宋体" w:hAnsi="宋体"/>
                <w:color w:val="auto"/>
                <w:szCs w:val="21"/>
                <w:highlight w:val="none"/>
              </w:rPr>
              <w:t>35</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906096A">
            <w:pPr>
              <w:autoSpaceDE w:val="0"/>
              <w:autoSpaceDN w:val="0"/>
              <w:snapToGrid w:val="0"/>
              <w:spacing w:line="360" w:lineRule="auto"/>
              <w:textAlignment w:val="bottom"/>
              <w:rPr>
                <w:rFonts w:ascii="宋体" w:hAnsi="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b/>
                <w:bCs/>
                <w:color w:val="auto"/>
                <w:szCs w:val="21"/>
                <w:highlight w:val="none"/>
              </w:rPr>
              <w:t>本项目不收取履约保证金。</w:t>
            </w:r>
          </w:p>
          <w:p w14:paraId="627A42A4">
            <w:pPr>
              <w:autoSpaceDE w:val="0"/>
              <w:autoSpaceDN w:val="0"/>
              <w:snapToGrid w:val="0"/>
              <w:spacing w:line="360" w:lineRule="auto"/>
              <w:textAlignment w:val="bottom"/>
              <w:rPr>
                <w:rFonts w:hint="eastAsia" w:ascii="宋体" w:hAnsi="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b w:val="0"/>
                <w:bCs w:val="0"/>
                <w:color w:val="auto"/>
                <w:szCs w:val="21"/>
                <w:highlight w:val="none"/>
              </w:rPr>
              <w:t>本项目收取履约保证金，具体规定如下：</w:t>
            </w:r>
          </w:p>
          <w:p w14:paraId="0DE5B474">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履约保证金金额：按暂定合同金额（</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年采购预算）的5%（如中标供应商为中小微企业，按2%）。</w:t>
            </w:r>
          </w:p>
          <w:p w14:paraId="0241FC14">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履约保证金提交方式：银行转账、支票、汇票、本票或者金融、担保机构出具的保函等非现金方式。</w:t>
            </w:r>
          </w:p>
          <w:p w14:paraId="28652580">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由成交供应商向履约保证金收取单位提供《广西壮族自治区政府采购项目合同验收书》（详见桂财采〔2015〕22号），保证金收取单位在收到合格材料后5个工作日内办理退还手续（不计利息） 。</w:t>
            </w:r>
          </w:p>
          <w:p w14:paraId="75433C96">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2E63DFEF">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lang w:eastAsia="zh-CN"/>
              </w:rPr>
              <w:t>广西医科大学第一附属医院</w:t>
            </w:r>
            <w:r>
              <w:rPr>
                <w:rFonts w:hint="eastAsia" w:ascii="宋体" w:hAnsi="宋体" w:cs="宋体"/>
                <w:color w:val="auto"/>
                <w:szCs w:val="21"/>
                <w:highlight w:val="none"/>
                <w:u w:val="single"/>
              </w:rPr>
              <w:t xml:space="preserve">                   </w:t>
            </w:r>
          </w:p>
          <w:p w14:paraId="783AD880">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中国建设银行股份有限公司南宁医科大支行      </w:t>
            </w:r>
          </w:p>
          <w:p w14:paraId="27BCD31A">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45001604560050501061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1EFF1D13">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备注：</w:t>
            </w:r>
          </w:p>
          <w:p w14:paraId="176EA494">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1</w:t>
            </w:r>
            <w:bookmarkStart w:id="70" w:name="_Hlk54170335"/>
            <w:r>
              <w:rPr>
                <w:rFonts w:hint="eastAsia" w:ascii="宋体" w:hAnsi="宋体" w:cs="宋体"/>
                <w:b/>
                <w:color w:val="auto"/>
                <w:szCs w:val="21"/>
                <w:highlight w:val="none"/>
              </w:rPr>
              <w:t>、</w:t>
            </w:r>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70"/>
          </w:p>
          <w:p w14:paraId="5250FE3C">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76DB7270">
            <w:pPr>
              <w:spacing w:line="360" w:lineRule="auto"/>
              <w:contextualSpacing/>
              <w:rPr>
                <w:rFonts w:hint="eastAsia" w:ascii="宋体" w:hAns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、采用金融、担保机构出具的保函的，必须为无条件保函，否则不予签订合同。</w:t>
            </w:r>
          </w:p>
          <w:p w14:paraId="3149E442">
            <w:pPr>
              <w:autoSpaceDE w:val="0"/>
              <w:autoSpaceDN w:val="0"/>
              <w:snapToGrid w:val="0"/>
              <w:spacing w:line="400" w:lineRule="exact"/>
              <w:textAlignment w:val="bottom"/>
              <w:rPr>
                <w:rFonts w:hint="eastAsia" w:ascii="宋体" w:hAnsi="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4523C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9BAFAF3">
            <w:pPr>
              <w:spacing w:line="400" w:lineRule="exact"/>
              <w:jc w:val="center"/>
              <w:rPr>
                <w:rFonts w:hint="eastAsia" w:ascii="宋体" w:hAnsi="宋体"/>
                <w:color w:val="auto"/>
                <w:szCs w:val="21"/>
                <w:highlight w:val="none"/>
              </w:rPr>
            </w:pPr>
            <w:bookmarkStart w:id="71" w:name="_40.1"/>
            <w:bookmarkEnd w:id="71"/>
            <w:r>
              <w:rPr>
                <w:rFonts w:hint="eastAsia" w:ascii="宋体" w:hAnsi="宋体"/>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6C0681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1AB82FB7">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1、委托代理人负责签订合同的，须携带授权委托书及委托代理人身份证原件等其他资格证件。</w:t>
            </w:r>
          </w:p>
          <w:p w14:paraId="72939B64">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2、法定代表人负责签订合同的，须携带法定代表人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67942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B33C650">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8A1426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接收质疑函方式：以纸质书面形式。</w:t>
            </w:r>
          </w:p>
          <w:p w14:paraId="04C749FE">
            <w:pPr>
              <w:pStyle w:val="26"/>
              <w:snapToGrid w:val="0"/>
              <w:spacing w:line="360" w:lineRule="auto"/>
              <w:rPr>
                <w:rFonts w:hint="eastAsia" w:hAnsi="宋体" w:cs="宋体"/>
                <w:color w:val="auto"/>
                <w:sz w:val="21"/>
                <w:highlight w:val="none"/>
              </w:rPr>
            </w:pPr>
            <w:r>
              <w:rPr>
                <w:rFonts w:hint="eastAsia" w:hAnsi="宋体" w:cs="宋体"/>
                <w:color w:val="auto"/>
                <w:kern w:val="2"/>
                <w:sz w:val="21"/>
                <w:highlight w:val="none"/>
              </w:rPr>
              <w:t>质疑联系部门及联系方式：</w:t>
            </w:r>
            <w:r>
              <w:rPr>
                <w:rFonts w:hint="eastAsia" w:hAnsi="宋体" w:cs="宋体"/>
                <w:color w:val="auto"/>
                <w:sz w:val="21"/>
                <w:highlight w:val="none"/>
              </w:rPr>
              <w:t>广西科文招标有限公司，质疑联系人：蒙颖、郑辉海  联系电话：</w:t>
            </w:r>
            <w:r>
              <w:rPr>
                <w:rFonts w:hint="eastAsia" w:hAnsi="宋体" w:cs="Arial"/>
                <w:color w:val="auto"/>
                <w:highlight w:val="none"/>
              </w:rPr>
              <w:t>0771-2023875</w:t>
            </w:r>
            <w:r>
              <w:rPr>
                <w:rFonts w:hint="eastAsia" w:hAnsi="宋体" w:cs="宋体"/>
                <w:color w:val="auto"/>
                <w:sz w:val="21"/>
                <w:highlight w:val="none"/>
              </w:rPr>
              <w:t>，</w:t>
            </w:r>
            <w:r>
              <w:rPr>
                <w:rFonts w:hAnsi="宋体" w:cs="宋体"/>
                <w:color w:val="auto"/>
                <w:sz w:val="21"/>
                <w:highlight w:val="none"/>
              </w:rPr>
              <w:t>通讯地址</w:t>
            </w:r>
            <w:r>
              <w:rPr>
                <w:rFonts w:hint="eastAsia" w:hAnsi="宋体" w:cs="宋体"/>
                <w:color w:val="auto"/>
                <w:sz w:val="21"/>
                <w:highlight w:val="none"/>
              </w:rPr>
              <w:t>：广西南宁市民族大道141号中鼎万象东方大厦D区五层</w:t>
            </w:r>
          </w:p>
          <w:p w14:paraId="56B868D9">
            <w:pPr>
              <w:pStyle w:val="26"/>
              <w:snapToGrid w:val="0"/>
              <w:spacing w:line="360" w:lineRule="auto"/>
              <w:rPr>
                <w:rFonts w:hint="eastAsia" w:hAnsi="宋体" w:cs="宋体"/>
                <w:color w:val="auto"/>
                <w:kern w:val="2"/>
                <w:sz w:val="21"/>
                <w:highlight w:val="none"/>
              </w:rPr>
            </w:pPr>
            <w:r>
              <w:rPr>
                <w:rFonts w:hint="eastAsia" w:hAnsi="宋体" w:cs="宋体"/>
                <w:color w:val="auto"/>
                <w:sz w:val="21"/>
                <w:highlight w:val="none"/>
              </w:rPr>
              <w:t>业务时间：每天上午8时3</w:t>
            </w:r>
            <w:r>
              <w:rPr>
                <w:rFonts w:hAnsi="宋体" w:cs="宋体"/>
                <w:color w:val="auto"/>
                <w:sz w:val="21"/>
                <w:highlight w:val="none"/>
              </w:rPr>
              <w:t>0</w:t>
            </w:r>
            <w:r>
              <w:rPr>
                <w:rFonts w:hint="eastAsia" w:hAnsi="宋体" w:cs="宋体"/>
                <w:color w:val="auto"/>
                <w:sz w:val="21"/>
                <w:highlight w:val="none"/>
              </w:rPr>
              <w:t>分至12时，下午15时至18时（北京时间，</w:t>
            </w:r>
            <w:r>
              <w:rPr>
                <w:rFonts w:hAnsi="宋体" w:cs="宋体"/>
                <w:color w:val="auto"/>
                <w:sz w:val="21"/>
                <w:highlight w:val="none"/>
              </w:rPr>
              <w:t>法定节假日</w:t>
            </w:r>
            <w:r>
              <w:rPr>
                <w:rFonts w:hint="eastAsia" w:hAnsi="宋体" w:cs="宋体"/>
                <w:color w:val="auto"/>
                <w:sz w:val="21"/>
                <w:highlight w:val="none"/>
              </w:rPr>
              <w:t xml:space="preserve">除外 ） </w:t>
            </w:r>
          </w:p>
        </w:tc>
      </w:tr>
      <w:tr w14:paraId="720DC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EC80A1E">
            <w:pPr>
              <w:spacing w:line="400" w:lineRule="exact"/>
              <w:jc w:val="center"/>
              <w:rPr>
                <w:rFonts w:hint="eastAsia" w:ascii="宋体" w:hAnsi="宋体"/>
                <w:color w:val="auto"/>
                <w:szCs w:val="21"/>
                <w:highlight w:val="none"/>
              </w:rPr>
            </w:pPr>
            <w:bookmarkStart w:id="72" w:name="_42"/>
            <w:bookmarkEnd w:id="72"/>
            <w:bookmarkStart w:id="73" w:name="_41"/>
            <w:bookmarkEnd w:id="73"/>
            <w:bookmarkStart w:id="74" w:name="_Hlt17709148"/>
            <w:r>
              <w:rPr>
                <w:rFonts w:hint="eastAsia" w:ascii="宋体" w:hAnsi="宋体"/>
                <w:color w:val="auto"/>
                <w:szCs w:val="21"/>
                <w:highlight w:val="none"/>
              </w:rPr>
              <w:t>3</w:t>
            </w:r>
            <w:bookmarkEnd w:id="74"/>
            <w:r>
              <w:rPr>
                <w:rFonts w:ascii="宋体" w:hAnsi="宋体"/>
                <w:color w:val="auto"/>
                <w:szCs w:val="21"/>
                <w:highlight w:val="none"/>
              </w:rPr>
              <w:t>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1EB0723">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1、采购代理服务费支付方式：本项目的招标代理服务费按以下收费标准向成交投标人收取，领取成交通知书前，成交投标人应向采购代理机构一次付清招标代理服务费，否则采购代理机构有权不予以办理。</w:t>
            </w:r>
          </w:p>
          <w:p w14:paraId="766FF213">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2、采购代理服务费收取标准：</w:t>
            </w:r>
          </w:p>
          <w:p w14:paraId="741F2C15">
            <w:pPr>
              <w:pStyle w:val="26"/>
              <w:snapToGrid w:val="0"/>
              <w:spacing w:line="360" w:lineRule="auto"/>
              <w:rPr>
                <w:rFonts w:hAnsi="宋体" w:cs="宋体"/>
                <w:color w:val="auto"/>
                <w:sz w:val="21"/>
                <w:highlight w:val="none"/>
              </w:rPr>
            </w:pPr>
            <w:r>
              <w:rPr>
                <w:rFonts w:hint="eastAsia" w:hAnsi="宋体" w:cs="宋体"/>
                <w:color w:val="auto"/>
                <w:sz w:val="21"/>
                <w:highlight w:val="none"/>
              </w:rPr>
              <w:t>以成交金额为计费额，按本须知正文第</w:t>
            </w:r>
            <w:r>
              <w:rPr>
                <w:rFonts w:hAnsi="宋体" w:cs="宋体"/>
                <w:color w:val="auto"/>
                <w:sz w:val="21"/>
                <w:highlight w:val="none"/>
              </w:rPr>
              <w:t>3</w:t>
            </w:r>
            <w:r>
              <w:rPr>
                <w:rFonts w:hint="eastAsia" w:hAnsi="宋体" w:cs="宋体"/>
                <w:color w:val="auto"/>
                <w:sz w:val="21"/>
                <w:highlight w:val="none"/>
              </w:rPr>
              <w:t>9.</w:t>
            </w:r>
            <w:r>
              <w:rPr>
                <w:rFonts w:hAnsi="宋体" w:cs="宋体"/>
                <w:color w:val="auto"/>
                <w:sz w:val="21"/>
                <w:highlight w:val="none"/>
              </w:rPr>
              <w:t>2</w:t>
            </w:r>
            <w:r>
              <w:rPr>
                <w:rFonts w:hint="eastAsia" w:hAnsi="宋体" w:cs="宋体"/>
                <w:color w:val="auto"/>
                <w:sz w:val="21"/>
                <w:highlight w:val="none"/>
              </w:rPr>
              <w:t>条规定的收费计算标准（服务类）采用差额定率累进法计算出收费基准价格，采购代理服务费收费以收费基准价格下浮</w:t>
            </w:r>
            <w:r>
              <w:rPr>
                <w:rFonts w:hint="eastAsia" w:hAnsi="宋体" w:cs="宋体"/>
                <w:color w:val="auto"/>
                <w:sz w:val="21"/>
                <w:highlight w:val="none"/>
                <w:lang w:val="en-US" w:eastAsia="zh-CN"/>
              </w:rPr>
              <w:t>20</w:t>
            </w:r>
            <w:r>
              <w:rPr>
                <w:rFonts w:hint="eastAsia" w:hAnsi="宋体" w:cs="宋体"/>
                <w:color w:val="auto"/>
                <w:sz w:val="21"/>
                <w:highlight w:val="none"/>
              </w:rPr>
              <w:t>%收取。</w:t>
            </w:r>
          </w:p>
          <w:p w14:paraId="3DDE31CE">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3、开户名称：广西科文招标有限公司南宁三分公司</w:t>
            </w:r>
          </w:p>
          <w:p w14:paraId="302A02E1">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开户银行：广西北部湾银行股份有限公司南宁市云景支行</w:t>
            </w:r>
          </w:p>
          <w:p w14:paraId="1EDA0B91">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银行账号：805029874400001</w:t>
            </w:r>
          </w:p>
        </w:tc>
      </w:tr>
      <w:tr w14:paraId="1C7DC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DE2298C">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26D2052">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6EB4D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C4749DD">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033399F">
            <w:pPr>
              <w:pStyle w:val="26"/>
              <w:snapToGrid w:val="0"/>
              <w:spacing w:line="400" w:lineRule="exact"/>
              <w:rPr>
                <w:rFonts w:hint="eastAsia"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含电子印章），除本招标文件有特殊规定外，投标人的财务章、部门章、分公司章、工会章、合同章、投标专用章、业务专用章及银行的转账章、现金收讫章、现金付讫章等其他形式印章均不能代替公章。</w:t>
            </w:r>
          </w:p>
          <w:p w14:paraId="639950DC">
            <w:pPr>
              <w:pStyle w:val="26"/>
              <w:snapToGrid w:val="0"/>
              <w:spacing w:line="400" w:lineRule="exact"/>
              <w:rPr>
                <w:rFonts w:hint="eastAsia" w:hAnsi="宋体" w:cs="宋体"/>
                <w:bCs/>
                <w:color w:val="auto"/>
                <w:sz w:val="21"/>
                <w:highlight w:val="none"/>
              </w:rPr>
            </w:pPr>
            <w:r>
              <w:rPr>
                <w:rFonts w:hint="eastAsia" w:hAnsi="宋体" w:cs="宋体"/>
                <w:bCs/>
                <w:color w:val="auto"/>
                <w:sz w:val="21"/>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7B09DFF">
            <w:pPr>
              <w:pStyle w:val="26"/>
              <w:snapToGrid w:val="0"/>
              <w:spacing w:line="400" w:lineRule="exact"/>
              <w:rPr>
                <w:rFonts w:hint="eastAsia" w:hAnsi="宋体" w:cs="宋体"/>
                <w:bCs/>
                <w:color w:val="auto"/>
                <w:sz w:val="21"/>
                <w:highlight w:val="none"/>
              </w:rPr>
            </w:pPr>
            <w:r>
              <w:rPr>
                <w:rFonts w:hint="eastAsia" w:hAnsi="宋体" w:cs="宋体"/>
                <w:bCs/>
                <w:color w:val="auto"/>
                <w:sz w:val="21"/>
                <w:highlight w:val="none"/>
              </w:rPr>
              <w:t>3、本招标文件中描述投标人的“签字”是指投标人的法定代表人或者委托代理人在文件规定签署处签名（含电子签名）的行为，私章、印鉴等其他形式均不能代替签字。</w:t>
            </w:r>
          </w:p>
          <w:p w14:paraId="3CFD8585">
            <w:pPr>
              <w:pStyle w:val="26"/>
              <w:snapToGrid w:val="0"/>
              <w:spacing w:line="400" w:lineRule="exact"/>
              <w:rPr>
                <w:rFonts w:hint="eastAsia" w:hAnsi="宋体" w:cs="宋体"/>
                <w:bCs/>
                <w:color w:val="auto"/>
                <w:sz w:val="21"/>
                <w:highlight w:val="none"/>
              </w:rPr>
            </w:pPr>
            <w:r>
              <w:rPr>
                <w:rFonts w:hint="eastAsia" w:hAnsi="宋体" w:cs="宋体"/>
                <w:bCs/>
                <w:color w:val="auto"/>
                <w:sz w:val="21"/>
                <w:highlight w:val="none"/>
              </w:rPr>
              <w:t>4、自然人投标的，招标文件规定盖公章处由自然人摁手指指印。</w:t>
            </w:r>
          </w:p>
          <w:p w14:paraId="2DEA2694">
            <w:pPr>
              <w:spacing w:line="400" w:lineRule="exact"/>
              <w:jc w:val="left"/>
              <w:rPr>
                <w:rFonts w:hint="eastAsia" w:ascii="宋体" w:hAnsi="宋体"/>
                <w:color w:val="auto"/>
                <w:szCs w:val="21"/>
                <w:highlight w:val="none"/>
              </w:rPr>
            </w:pPr>
            <w:r>
              <w:rPr>
                <w:rFonts w:hint="eastAsia" w:ascii="宋体" w:hAnsi="宋体" w:cs="宋体"/>
                <w:bCs/>
                <w:color w:val="auto"/>
                <w:kern w:val="0"/>
                <w:szCs w:val="21"/>
                <w:highlight w:val="none"/>
              </w:rPr>
              <w:t>5、本招标文件所称的“以上”“以下”“以内”“届满”，包括本数；所称的“不满”“超过”“以外”，不包括本数。</w:t>
            </w:r>
          </w:p>
        </w:tc>
      </w:tr>
    </w:tbl>
    <w:p w14:paraId="2DE756D0">
      <w:pPr>
        <w:pStyle w:val="4"/>
        <w:keepNext w:val="0"/>
        <w:keepLines w:val="0"/>
        <w:jc w:val="center"/>
        <w:rPr>
          <w:rFonts w:hint="eastAsia"/>
          <w:color w:val="auto"/>
          <w:highlight w:val="none"/>
        </w:rPr>
      </w:pPr>
      <w:r>
        <w:rPr>
          <w:rFonts w:hint="eastAsia"/>
          <w:color w:val="auto"/>
          <w:highlight w:val="none"/>
        </w:rPr>
        <w:br w:type="page"/>
      </w:r>
      <w:r>
        <w:rPr>
          <w:rFonts w:hint="eastAsia"/>
          <w:color w:val="auto"/>
          <w:highlight w:val="none"/>
        </w:rPr>
        <w:t>投标人须知正文</w:t>
      </w:r>
    </w:p>
    <w:p w14:paraId="6B6BE934">
      <w:pPr>
        <w:pStyle w:val="4"/>
        <w:keepNext w:val="0"/>
        <w:keepLines w:val="0"/>
        <w:jc w:val="center"/>
        <w:rPr>
          <w:rFonts w:hint="eastAsia"/>
          <w:color w:val="auto"/>
          <w:highlight w:val="none"/>
        </w:rPr>
      </w:pPr>
      <w:r>
        <w:rPr>
          <w:rFonts w:hint="eastAsia"/>
          <w:color w:val="auto"/>
          <w:highlight w:val="none"/>
        </w:rPr>
        <w:t>一、总  则</w:t>
      </w:r>
    </w:p>
    <w:p w14:paraId="74054AE1">
      <w:pPr>
        <w:pStyle w:val="6"/>
        <w:keepNext w:val="0"/>
        <w:keepLines w:val="0"/>
        <w:spacing w:before="0" w:after="0" w:line="360" w:lineRule="auto"/>
        <w:ind w:left="420" w:leftChars="200"/>
        <w:rPr>
          <w:rFonts w:hint="eastAsia" w:ascii="黑体" w:hAnsi="黑体" w:eastAsia="黑体"/>
          <w:color w:val="auto"/>
          <w:sz w:val="24"/>
          <w:highlight w:val="none"/>
        </w:rPr>
      </w:pPr>
      <w:bookmarkStart w:id="75" w:name="_Toc254970527"/>
      <w:bookmarkStart w:id="76" w:name="_Toc254970668"/>
      <w:r>
        <w:rPr>
          <w:rFonts w:hint="eastAsia" w:ascii="黑体" w:hAnsi="黑体" w:eastAsia="黑体"/>
          <w:color w:val="auto"/>
          <w:sz w:val="24"/>
          <w:highlight w:val="none"/>
        </w:rPr>
        <w:t>1.适用范围</w:t>
      </w:r>
      <w:bookmarkEnd w:id="75"/>
      <w:bookmarkEnd w:id="76"/>
    </w:p>
    <w:p w14:paraId="17A3A1C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CFD160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7B006D6">
      <w:pPr>
        <w:pStyle w:val="6"/>
        <w:keepNext w:val="0"/>
        <w:keepLines w:val="0"/>
        <w:spacing w:before="0" w:after="0" w:line="360" w:lineRule="auto"/>
        <w:ind w:left="420" w:leftChars="200"/>
        <w:rPr>
          <w:rFonts w:hint="eastAsia" w:ascii="黑体" w:hAnsi="黑体" w:eastAsia="黑体"/>
          <w:color w:val="auto"/>
          <w:sz w:val="24"/>
          <w:highlight w:val="none"/>
        </w:rPr>
      </w:pPr>
      <w:bookmarkStart w:id="77" w:name="_Toc254970528"/>
      <w:bookmarkStart w:id="78" w:name="_Toc254970669"/>
      <w:r>
        <w:rPr>
          <w:rFonts w:hint="eastAsia" w:ascii="黑体" w:hAnsi="黑体" w:eastAsia="黑体"/>
          <w:color w:val="auto"/>
          <w:sz w:val="24"/>
          <w:highlight w:val="none"/>
        </w:rPr>
        <w:t>2.定义</w:t>
      </w:r>
      <w:bookmarkEnd w:id="77"/>
      <w:bookmarkEnd w:id="78"/>
    </w:p>
    <w:p w14:paraId="743B050F">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49FFC540">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12B63A7D">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2.3“投标人”是指向采购人提供货物、工程或者服务的法人、其他组织或者自然人。</w:t>
      </w:r>
    </w:p>
    <w:p w14:paraId="40875E36">
      <w:pPr>
        <w:pStyle w:val="8"/>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16FF06DA">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2.5“货物”是指各种形态和种类的物品，包括原材料、燃料、设备、产品等；“服务”是指除货物和工程以外的其他政府采购对象。</w:t>
      </w:r>
    </w:p>
    <w:p w14:paraId="52389B9E">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4F0E778A">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27B0CFDE">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27070F89">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61647773">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4F84C328">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79" w:name="_Toc254970670"/>
      <w:bookmarkStart w:id="80" w:name="_Toc254970529"/>
    </w:p>
    <w:p w14:paraId="4109ACFB">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79"/>
      <w:bookmarkEnd w:id="80"/>
      <w:r>
        <w:rPr>
          <w:rFonts w:hint="eastAsia" w:ascii="黑体" w:hAnsi="黑体" w:eastAsia="黑体"/>
          <w:color w:val="auto"/>
          <w:sz w:val="24"/>
          <w:highlight w:val="none"/>
        </w:rPr>
        <w:t>投标人的资格要求</w:t>
      </w:r>
    </w:p>
    <w:p w14:paraId="703729D8">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5223EFBB">
      <w:pPr>
        <w:pStyle w:val="6"/>
        <w:keepNext w:val="0"/>
        <w:keepLines w:val="0"/>
        <w:spacing w:before="0" w:after="0" w:line="360" w:lineRule="auto"/>
        <w:ind w:left="420" w:leftChars="200"/>
        <w:rPr>
          <w:rFonts w:hint="eastAsia" w:ascii="黑体" w:hAnsi="黑体" w:eastAsia="黑体"/>
          <w:color w:val="auto"/>
          <w:sz w:val="24"/>
          <w:highlight w:val="none"/>
        </w:rPr>
      </w:pPr>
      <w:bookmarkStart w:id="81" w:name="_Toc254970530"/>
      <w:bookmarkStart w:id="82" w:name="_Toc254970671"/>
      <w:r>
        <w:rPr>
          <w:rFonts w:hint="eastAsia" w:ascii="黑体" w:hAnsi="黑体" w:eastAsia="黑体"/>
          <w:color w:val="auto"/>
          <w:sz w:val="24"/>
          <w:highlight w:val="none"/>
        </w:rPr>
        <w:t>4.投标委托</w:t>
      </w:r>
      <w:bookmarkEnd w:id="81"/>
      <w:bookmarkEnd w:id="82"/>
    </w:p>
    <w:p w14:paraId="15D27DD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78D1C45D">
      <w:pPr>
        <w:pStyle w:val="6"/>
        <w:keepNext w:val="0"/>
        <w:keepLines w:val="0"/>
        <w:spacing w:before="0" w:after="0" w:line="360" w:lineRule="auto"/>
        <w:ind w:left="420" w:leftChars="200"/>
        <w:rPr>
          <w:rFonts w:hint="eastAsia" w:ascii="黑体" w:hAnsi="黑体" w:eastAsia="黑体"/>
          <w:color w:val="auto"/>
          <w:sz w:val="24"/>
          <w:highlight w:val="none"/>
        </w:rPr>
      </w:pPr>
      <w:bookmarkStart w:id="83" w:name="_5.投标费用"/>
      <w:bookmarkEnd w:id="83"/>
      <w:bookmarkStart w:id="84" w:name="_Toc254970672"/>
      <w:bookmarkStart w:id="85" w:name="_Toc254970531"/>
      <w:r>
        <w:rPr>
          <w:rFonts w:hint="eastAsia" w:ascii="黑体" w:hAnsi="黑体" w:eastAsia="黑体"/>
          <w:color w:val="auto"/>
          <w:sz w:val="24"/>
          <w:highlight w:val="none"/>
        </w:rPr>
        <w:t>5.投标费用</w:t>
      </w:r>
      <w:bookmarkEnd w:id="84"/>
      <w:bookmarkEnd w:id="85"/>
    </w:p>
    <w:p w14:paraId="35A5DD7C">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DCB1D1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40736461">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42E1B43D">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6AECCF8B">
      <w:pPr>
        <w:pStyle w:val="6"/>
        <w:keepNext w:val="0"/>
        <w:keepLines w:val="0"/>
        <w:spacing w:before="0" w:after="0" w:line="360" w:lineRule="auto"/>
        <w:ind w:firstLine="424" w:firstLineChars="202"/>
        <w:rPr>
          <w:rFonts w:hint="eastAsia" w:ascii="黑体" w:hAnsi="黑体" w:eastAsia="黑体"/>
          <w:color w:val="auto"/>
          <w:sz w:val="24"/>
          <w:highlight w:val="none"/>
        </w:rPr>
      </w:pPr>
      <w:r>
        <w:rPr>
          <w:rFonts w:hint="eastAsia" w:ascii="宋体" w:hAnsi="宋体"/>
          <w:b w:val="0"/>
          <w:bCs/>
          <w:color w:val="auto"/>
          <w:sz w:val="21"/>
          <w:szCs w:val="21"/>
          <w:highlight w:val="none"/>
        </w:rPr>
        <w:t>6.3</w:t>
      </w:r>
      <w:r>
        <w:rPr>
          <w:rFonts w:ascii="宋体" w:hAnsi="宋体"/>
          <w:b w:val="0"/>
          <w:bCs/>
          <w:color w:val="auto"/>
          <w:sz w:val="21"/>
          <w:szCs w:val="21"/>
          <w:highlight w:val="none"/>
        </w:rPr>
        <w:t xml:space="preserve"> </w:t>
      </w:r>
      <w:bookmarkStart w:id="86" w:name="_Hlk65857072"/>
      <w:r>
        <w:rPr>
          <w:rFonts w:hint="eastAsia" w:ascii="宋体" w:hAnsi="宋体"/>
          <w:b w:val="0"/>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bookmarkEnd w:id="86"/>
    </w:p>
    <w:p w14:paraId="332DA43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3C024003">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43DD9EEB">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8049DB0">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817F033">
      <w:pPr>
        <w:pStyle w:val="6"/>
        <w:keepNext w:val="0"/>
        <w:keepLines w:val="0"/>
        <w:spacing w:before="0" w:after="0" w:line="360" w:lineRule="auto"/>
        <w:ind w:left="420" w:leftChars="200"/>
        <w:rPr>
          <w:rFonts w:hint="eastAsia" w:ascii="黑体" w:hAnsi="黑体" w:eastAsia="黑体"/>
          <w:color w:val="auto"/>
          <w:sz w:val="24"/>
          <w:highlight w:val="none"/>
        </w:rPr>
      </w:pPr>
      <w:bookmarkStart w:id="87" w:name="_Toc254970673"/>
      <w:bookmarkStart w:id="88" w:name="_Toc254970532"/>
      <w:r>
        <w:rPr>
          <w:rFonts w:hint="eastAsia" w:ascii="黑体" w:hAnsi="黑体" w:eastAsia="黑体"/>
          <w:color w:val="auto"/>
          <w:sz w:val="24"/>
          <w:highlight w:val="none"/>
        </w:rPr>
        <w:t>8.特别说明</w:t>
      </w:r>
      <w:bookmarkEnd w:id="87"/>
      <w:bookmarkEnd w:id="88"/>
    </w:p>
    <w:p w14:paraId="29CB8781">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89" w:name="_8.1提供相同品牌产品且通过资格审查、符合性审查的不同投标人参加同一合"/>
      <w:bookmarkEnd w:id="89"/>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66451E3B">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0946D1BC">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8.3投标人在投标活动中提供任何虚假材料，将报监管部门查处；中标后发现的，中标人须依法赔偿采购人，且民事赔偿并不免除违法投标人的行政与刑事责任。</w:t>
      </w:r>
    </w:p>
    <w:p w14:paraId="482AAF6E">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6A319C68">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投标人</w:t>
      </w:r>
      <w:r>
        <w:rPr>
          <w:rFonts w:ascii="宋体" w:hAnsi="宋体"/>
          <w:b w:val="0"/>
          <w:color w:val="auto"/>
          <w:sz w:val="21"/>
          <w:szCs w:val="21"/>
          <w:highlight w:val="none"/>
        </w:rPr>
        <w:t>有下列利害关系之一的，应当回避：</w:t>
      </w:r>
    </w:p>
    <w:p w14:paraId="5C67071E">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投标人</w:t>
      </w:r>
      <w:r>
        <w:rPr>
          <w:rFonts w:hAnsi="宋体"/>
          <w:color w:val="auto"/>
          <w:kern w:val="2"/>
          <w:sz w:val="21"/>
          <w:highlight w:val="none"/>
        </w:rPr>
        <w:t>存在劳动关系；</w:t>
      </w:r>
    </w:p>
    <w:p w14:paraId="45D173CC">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投标人</w:t>
      </w:r>
      <w:r>
        <w:rPr>
          <w:rFonts w:hAnsi="宋体"/>
          <w:color w:val="auto"/>
          <w:kern w:val="2"/>
          <w:sz w:val="21"/>
          <w:highlight w:val="none"/>
        </w:rPr>
        <w:t>的董事、监事；</w:t>
      </w:r>
    </w:p>
    <w:p w14:paraId="41795C5D">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投标人</w:t>
      </w:r>
      <w:r>
        <w:rPr>
          <w:rFonts w:hAnsi="宋体"/>
          <w:color w:val="auto"/>
          <w:kern w:val="2"/>
          <w:sz w:val="21"/>
          <w:highlight w:val="none"/>
        </w:rPr>
        <w:t>的控股股东或者实际控制人；</w:t>
      </w:r>
    </w:p>
    <w:p w14:paraId="34F98D54">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投标人</w:t>
      </w:r>
      <w:r>
        <w:rPr>
          <w:rFonts w:hAnsi="宋体"/>
          <w:color w:val="auto"/>
          <w:kern w:val="2"/>
          <w:sz w:val="21"/>
          <w:highlight w:val="none"/>
        </w:rPr>
        <w:t>的法定代表人或者负责人有夫妻、直系血亲、三代以内旁系血亲或者近姻亲关系；</w:t>
      </w:r>
    </w:p>
    <w:p w14:paraId="5B426762">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投标人</w:t>
      </w:r>
      <w:r>
        <w:rPr>
          <w:rFonts w:hAnsi="宋体"/>
          <w:color w:val="auto"/>
          <w:kern w:val="2"/>
          <w:sz w:val="21"/>
          <w:highlight w:val="none"/>
        </w:rPr>
        <w:t>有其他可能影响政府采购活动公平、公正进行的关系。</w:t>
      </w:r>
    </w:p>
    <w:p w14:paraId="1316FE9C">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投标人</w:t>
      </w:r>
      <w:r>
        <w:rPr>
          <w:rFonts w:hAnsi="宋体"/>
          <w:color w:val="auto"/>
          <w:kern w:val="2"/>
          <w:sz w:val="21"/>
          <w:highlight w:val="none"/>
        </w:rPr>
        <w:t>认为采购人员及相关人员与其他</w:t>
      </w:r>
      <w:r>
        <w:rPr>
          <w:rFonts w:hint="eastAsia" w:hAnsi="宋体"/>
          <w:color w:val="auto"/>
          <w:kern w:val="2"/>
          <w:sz w:val="21"/>
          <w:highlight w:val="none"/>
        </w:rPr>
        <w:t>投标人</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475335CA">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343A71F7">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1AED912E">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5080E736">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5F089D6E">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3C427729">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4A66BA18">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62031A3F">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投标人有下列情形之一的，属于恶意串通行为，将报同级监督管理部门：</w:t>
      </w:r>
    </w:p>
    <w:p w14:paraId="1ADAFA71">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（1）投标人直接或者间接从采购人或者采购代理机构处获得其他投标人的相关信息并修改其投标文件或者响应文件；</w:t>
      </w:r>
    </w:p>
    <w:p w14:paraId="01731006">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（2）投标人按照采购人或者采购代理机构的授意撤换、修改投标文件或者响应文件；</w:t>
      </w:r>
    </w:p>
    <w:p w14:paraId="623FE1B5">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（3）投标人之间协商报价、技术方案等投标文件或者响应文件的实质性内容；</w:t>
      </w:r>
    </w:p>
    <w:p w14:paraId="6ED5D8AE">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（4）属于同一集团、协会、商会等组织成员的投标人按照该组织要求协同参加政府采购活动；</w:t>
      </w:r>
    </w:p>
    <w:p w14:paraId="50BC27B5">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（5）投标人之间事先约定一致抬高或者压低投标报价，或者在招标项目中事先约定轮流以高价位或者低价位中标，或者事先约定由某一特定投标人中标，然后再参加投标；</w:t>
      </w:r>
    </w:p>
    <w:p w14:paraId="47879473">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（6）投标人之间商定部分投标人放弃参加政府采购活动或者放弃中标；</w:t>
      </w:r>
    </w:p>
    <w:p w14:paraId="5B7EE1FD">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（7）投标人与采购人或者采购代理机构之间、投标人相互之间，为谋求特定投标人中标或者排斥其他投标人的其他串通行为。</w:t>
      </w:r>
    </w:p>
    <w:p w14:paraId="2279068A">
      <w:pPr>
        <w:pStyle w:val="26"/>
        <w:snapToGrid w:val="0"/>
        <w:spacing w:line="360" w:lineRule="auto"/>
        <w:ind w:left="2" w:leftChars="1" w:firstLine="422" w:firstLineChars="200"/>
        <w:rPr>
          <w:rFonts w:hint="eastAsia" w:hAnsi="宋体"/>
          <w:b/>
          <w:color w:val="auto"/>
          <w:kern w:val="2"/>
          <w:sz w:val="21"/>
          <w:highlight w:val="none"/>
        </w:rPr>
      </w:pPr>
    </w:p>
    <w:p w14:paraId="3B49F33D">
      <w:pPr>
        <w:pStyle w:val="4"/>
        <w:keepNext w:val="0"/>
        <w:keepLines w:val="0"/>
        <w:jc w:val="center"/>
        <w:rPr>
          <w:rFonts w:hint="eastAsia"/>
          <w:color w:val="auto"/>
          <w:highlight w:val="none"/>
        </w:rPr>
      </w:pPr>
      <w:bookmarkStart w:id="90" w:name="_Toc254970675"/>
      <w:bookmarkStart w:id="91" w:name="_Toc254970534"/>
      <w:r>
        <w:rPr>
          <w:rFonts w:hint="eastAsia"/>
          <w:color w:val="auto"/>
          <w:highlight w:val="none"/>
        </w:rPr>
        <w:t>二、招标文件</w:t>
      </w:r>
      <w:bookmarkEnd w:id="90"/>
      <w:bookmarkEnd w:id="91"/>
    </w:p>
    <w:p w14:paraId="1235A9C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3EB13878">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62F98FE5">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1523FC6B">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10AFDFD7">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5F980619">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0BD7B139">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503099E1">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466B053E">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7CB75E5F">
      <w:pPr>
        <w:pStyle w:val="6"/>
        <w:keepNext w:val="0"/>
        <w:keepLines w:val="0"/>
        <w:numPr>
          <w:ilvl w:val="0"/>
          <w:numId w:val="0"/>
        </w:numPr>
        <w:spacing w:before="0" w:after="0" w:line="360" w:lineRule="auto"/>
        <w:ind w:firstLine="420" w:firstLineChars="200"/>
        <w:rPr>
          <w:rFonts w:hint="eastAsia" w:ascii="宋体" w:hAnsi="宋体"/>
          <w:color w:val="auto"/>
          <w:highlight w:val="none"/>
        </w:rPr>
      </w:pPr>
      <w:r>
        <w:rPr>
          <w:rFonts w:hint="eastAsia" w:ascii="宋体" w:hAnsi="宋体"/>
          <w:b w:val="0"/>
          <w:color w:val="auto"/>
          <w:sz w:val="21"/>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1AE63151">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11.3采购人和采购代理机构可以视采购具体情况，变更投标截止时间和开标时间，并</w:t>
      </w:r>
      <w:r>
        <w:rPr>
          <w:rFonts w:hint="eastAsia" w:ascii="宋体" w:hAnsi="宋体"/>
          <w:color w:val="auto"/>
          <w:szCs w:val="21"/>
          <w:highlight w:val="none"/>
        </w:rPr>
        <w:t>在原公告发布媒体上发布更正公告。</w:t>
      </w:r>
    </w:p>
    <w:p w14:paraId="4CA164DD">
      <w:pPr>
        <w:spacing w:line="360" w:lineRule="auto"/>
        <w:ind w:firstLine="420" w:firstLineChars="200"/>
        <w:rPr>
          <w:rFonts w:hint="eastAsia" w:hAnsi="宋体"/>
          <w:color w:val="auto"/>
          <w:highlight w:val="none"/>
        </w:rPr>
      </w:pPr>
      <w:r>
        <w:rPr>
          <w:rFonts w:hint="eastAsia" w:ascii="宋体" w:hAnsi="宋体"/>
          <w:color w:val="auto"/>
          <w:szCs w:val="21"/>
          <w:highlight w:val="none"/>
        </w:rPr>
        <w:t>11.4招标文件澄清、答复、修改、补充的内容为招标文件的组成部分。</w:t>
      </w:r>
      <w:r>
        <w:rPr>
          <w:rFonts w:hint="eastAsia" w:ascii="宋体" w:hAnsi="宋体"/>
          <w:b/>
          <w:color w:val="auto"/>
          <w:szCs w:val="21"/>
          <w:highlight w:val="none"/>
        </w:rPr>
        <w:t>当招标文件与招标文件的澄清、答复、修改、补充通知就同一内容的表述不一致时，以最后发出的文件为准。</w:t>
      </w:r>
    </w:p>
    <w:p w14:paraId="4283FD92">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w:t>
      </w:r>
      <w:bookmarkStart w:id="92" w:name="_Hlk53134511"/>
      <w:r>
        <w:rPr>
          <w:rFonts w:hint="eastAsia" w:hAnsi="宋体"/>
          <w:color w:val="auto"/>
          <w:sz w:val="21"/>
          <w:highlight w:val="none"/>
        </w:rPr>
        <w:t>5采购人或者采购代理机构可以在招标文件提供期限截止后，组织已获取招标文件的潜在投标人现场考察或者召开开标前答疑会，具体详见“投标人须知前附表”。</w:t>
      </w:r>
    </w:p>
    <w:p w14:paraId="37F08124">
      <w:pPr>
        <w:pStyle w:val="26"/>
        <w:snapToGrid w:val="0"/>
        <w:spacing w:line="360" w:lineRule="auto"/>
        <w:ind w:firstLine="420" w:firstLineChars="200"/>
        <w:rPr>
          <w:rFonts w:hint="eastAsia" w:hAnsi="宋体"/>
          <w:color w:val="auto"/>
          <w:sz w:val="21"/>
          <w:highlight w:val="none"/>
        </w:rPr>
      </w:pPr>
    </w:p>
    <w:bookmarkEnd w:id="92"/>
    <w:p w14:paraId="7CA3BB11">
      <w:pPr>
        <w:pStyle w:val="4"/>
        <w:keepNext w:val="0"/>
        <w:keepLines w:val="0"/>
        <w:jc w:val="center"/>
        <w:rPr>
          <w:rFonts w:hint="eastAsia"/>
          <w:color w:val="auto"/>
          <w:highlight w:val="none"/>
        </w:rPr>
      </w:pPr>
      <w:bookmarkStart w:id="93" w:name="_Toc254970535"/>
      <w:bookmarkStart w:id="94" w:name="_Toc254970676"/>
      <w:r>
        <w:rPr>
          <w:rFonts w:hint="eastAsia"/>
          <w:color w:val="auto"/>
          <w:highlight w:val="none"/>
        </w:rPr>
        <w:t>三、投标文件的编制</w:t>
      </w:r>
      <w:bookmarkEnd w:id="93"/>
      <w:bookmarkEnd w:id="94"/>
    </w:p>
    <w:p w14:paraId="1453DA73">
      <w:pPr>
        <w:pStyle w:val="6"/>
        <w:keepNext w:val="0"/>
        <w:keepLines w:val="0"/>
        <w:spacing w:before="0" w:after="0" w:line="360" w:lineRule="auto"/>
        <w:ind w:left="420" w:leftChars="200"/>
        <w:rPr>
          <w:rFonts w:hint="eastAsia" w:ascii="黑体" w:hAnsi="黑体" w:eastAsia="黑体"/>
          <w:color w:val="auto"/>
          <w:sz w:val="24"/>
          <w:highlight w:val="none"/>
        </w:rPr>
      </w:pPr>
      <w:bookmarkStart w:id="95" w:name="_Toc254970677"/>
      <w:bookmarkStart w:id="96" w:name="_Toc254970536"/>
      <w:r>
        <w:rPr>
          <w:rFonts w:hint="eastAsia" w:ascii="黑体" w:hAnsi="黑体" w:eastAsia="黑体"/>
          <w:color w:val="auto"/>
          <w:sz w:val="24"/>
          <w:highlight w:val="none"/>
        </w:rPr>
        <w:t>12.投标文件的编制原则</w:t>
      </w:r>
    </w:p>
    <w:p w14:paraId="20362ECA">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209B500F">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5"/>
      <w:bookmarkEnd w:id="96"/>
    </w:p>
    <w:p w14:paraId="36CFE4CB">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13B0AA4B">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97" w:name="_13.1报价文件:_具体材料见“投标人须知前附表”。"/>
      <w:bookmarkEnd w:id="97"/>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具体材料见“投标人须知前附表”</w:t>
      </w:r>
      <w:r>
        <w:rPr>
          <w:rFonts w:hint="eastAsia" w:ascii="宋体" w:hAnsi="宋体"/>
          <w:b w:val="0"/>
          <w:color w:val="auto"/>
          <w:sz w:val="21"/>
          <w:szCs w:val="21"/>
          <w:highlight w:val="none"/>
        </w:rPr>
        <w:t>。</w:t>
      </w:r>
    </w:p>
    <w:p w14:paraId="1F6F1C9B">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98" w:name="_13.2资格证明文件：具体材料见“投标人须知前附表”。"/>
      <w:bookmarkEnd w:id="98"/>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7DCEBC73">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99" w:name="_13.3商务文件:_具体材料见“投标人须知前附表”。"/>
      <w:bookmarkEnd w:id="99"/>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5E1856C">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0" w:name="_13.4技术文件：具体材料见“投标人须知前附表”。"/>
      <w:bookmarkEnd w:id="100"/>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bookmarkStart w:id="101" w:name="_13.5投标文件电子版：具体材料见“投标人须知前附表”。"/>
      <w:bookmarkEnd w:id="101"/>
    </w:p>
    <w:p w14:paraId="5B904752">
      <w:pPr>
        <w:pStyle w:val="6"/>
        <w:keepNext w:val="0"/>
        <w:keepLines w:val="0"/>
        <w:spacing w:before="0" w:after="0" w:line="360" w:lineRule="auto"/>
        <w:ind w:left="420" w:leftChars="200"/>
        <w:rPr>
          <w:rFonts w:hint="eastAsia" w:ascii="黑体" w:hAnsi="黑体" w:eastAsia="黑体"/>
          <w:color w:val="auto"/>
          <w:sz w:val="24"/>
          <w:highlight w:val="none"/>
        </w:rPr>
      </w:pPr>
      <w:bookmarkStart w:id="102" w:name="_Toc254970678"/>
      <w:bookmarkStart w:id="103" w:name="_Toc254970537"/>
      <w:r>
        <w:rPr>
          <w:rFonts w:hint="eastAsia" w:ascii="黑体" w:hAnsi="黑体" w:eastAsia="黑体"/>
          <w:color w:val="auto"/>
          <w:sz w:val="24"/>
          <w:highlight w:val="none"/>
        </w:rPr>
        <w:t>14.投标文件的语言及计量</w:t>
      </w:r>
      <w:bookmarkEnd w:id="102"/>
      <w:bookmarkEnd w:id="103"/>
    </w:p>
    <w:p w14:paraId="47771334">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127149F5">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8509568">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7BB4875B">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3F796126">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3D394557">
      <w:pPr>
        <w:pStyle w:val="26"/>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6D2C9712">
      <w:pPr>
        <w:pStyle w:val="6"/>
        <w:keepNext w:val="0"/>
        <w:keepLines w:val="0"/>
        <w:spacing w:before="0" w:after="0" w:line="360" w:lineRule="auto"/>
        <w:ind w:left="420" w:leftChars="200"/>
        <w:rPr>
          <w:rFonts w:hint="eastAsia" w:ascii="黑体" w:hAnsi="黑体" w:eastAsia="黑体"/>
          <w:color w:val="auto"/>
          <w:sz w:val="24"/>
          <w:highlight w:val="none"/>
        </w:rPr>
      </w:pPr>
      <w:bookmarkStart w:id="104" w:name="_Toc254970679"/>
      <w:bookmarkStart w:id="105" w:name="_Toc254970538"/>
      <w:r>
        <w:rPr>
          <w:rFonts w:hint="eastAsia" w:ascii="黑体" w:hAnsi="黑体" w:eastAsia="黑体"/>
          <w:color w:val="auto"/>
          <w:sz w:val="24"/>
          <w:highlight w:val="none"/>
        </w:rPr>
        <w:t>16.投标报价</w:t>
      </w:r>
      <w:bookmarkEnd w:id="104"/>
      <w:bookmarkEnd w:id="105"/>
    </w:p>
    <w:p w14:paraId="1D1C42B3">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5650AF95">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6" w:name="_16.2投标报价具体定义见投标人须知前附表。"/>
      <w:bookmarkEnd w:id="106"/>
      <w:r>
        <w:rPr>
          <w:rFonts w:hint="eastAsia" w:ascii="宋体" w:hAnsi="宋体"/>
          <w:b w:val="0"/>
          <w:color w:val="auto"/>
          <w:sz w:val="21"/>
          <w:szCs w:val="21"/>
          <w:highlight w:val="none"/>
        </w:rPr>
        <w:t>16.2投标报价具体包括内容详见“投标人须知前附表”。</w:t>
      </w:r>
    </w:p>
    <w:p w14:paraId="1269C439">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2FF0C71F">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58CE0497">
      <w:pPr>
        <w:pStyle w:val="6"/>
        <w:keepNext w:val="0"/>
        <w:keepLines w:val="0"/>
        <w:spacing w:before="0" w:after="0" w:line="360" w:lineRule="auto"/>
        <w:ind w:firstLine="420" w:firstLineChars="200"/>
        <w:rPr>
          <w:rFonts w:hint="eastAsia" w:ascii="宋体" w:hAnsi="宋体"/>
          <w:b w:val="0"/>
          <w:color w:val="auto"/>
          <w:sz w:val="21"/>
          <w:szCs w:val="21"/>
          <w:highlight w:val="none"/>
        </w:rPr>
      </w:pPr>
      <w:bookmarkStart w:id="107" w:name="_17.1投标有效期应按“投标人须知中的前附表”规定的期限。"/>
      <w:bookmarkEnd w:id="107"/>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5DBDB3AA">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08" w:name="_Toc254970540"/>
      <w:bookmarkStart w:id="109" w:name="_Toc254970681"/>
      <w:r>
        <w:rPr>
          <w:rFonts w:hint="eastAsia" w:ascii="宋体" w:hAnsi="宋体"/>
          <w:b w:val="0"/>
          <w:color w:val="auto"/>
          <w:sz w:val="21"/>
          <w:szCs w:val="21"/>
          <w:highlight w:val="none"/>
        </w:rPr>
        <w:t xml:space="preserve"> 投标有效期应按规定的期限作出承诺，具体详见“投标人须知前附表”。</w:t>
      </w:r>
    </w:p>
    <w:p w14:paraId="672B6727">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08"/>
      <w:bookmarkEnd w:id="109"/>
    </w:p>
    <w:p w14:paraId="20212ED2">
      <w:pPr>
        <w:pStyle w:val="6"/>
        <w:keepNext w:val="0"/>
        <w:keepLines w:val="0"/>
        <w:spacing w:before="0" w:after="0" w:line="360" w:lineRule="auto"/>
        <w:ind w:left="420" w:leftChars="200"/>
        <w:rPr>
          <w:rFonts w:hint="eastAsia" w:ascii="黑体" w:hAnsi="黑体" w:eastAsia="黑体"/>
          <w:color w:val="auto"/>
          <w:sz w:val="24"/>
          <w:highlight w:val="none"/>
        </w:rPr>
      </w:pPr>
      <w:bookmarkStart w:id="110" w:name="_18.投标保证金"/>
      <w:bookmarkEnd w:id="110"/>
      <w:bookmarkStart w:id="111" w:name="_Toc254970682"/>
      <w:bookmarkStart w:id="112" w:name="_Toc254970541"/>
      <w:r>
        <w:rPr>
          <w:rFonts w:hint="eastAsia" w:ascii="黑体" w:hAnsi="黑体" w:eastAsia="黑体"/>
          <w:color w:val="auto"/>
          <w:sz w:val="24"/>
          <w:highlight w:val="none"/>
        </w:rPr>
        <w:t>18.投标保证金</w:t>
      </w:r>
      <w:bookmarkEnd w:id="111"/>
      <w:bookmarkEnd w:id="112"/>
    </w:p>
    <w:p w14:paraId="33196F55">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18F29B4F">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7BA97CB1">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2F324363">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69F177B9">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7416D4D2">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1522104D">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73061AF4">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7CFAC20D">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6F595F3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02EA018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5F0CBE87">
      <w:pPr>
        <w:pStyle w:val="6"/>
        <w:keepNext w:val="0"/>
        <w:keepLines w:val="0"/>
        <w:spacing w:before="0" w:after="0" w:line="360" w:lineRule="auto"/>
        <w:ind w:left="420" w:leftChars="200"/>
        <w:rPr>
          <w:rFonts w:hint="eastAsia" w:ascii="黑体" w:hAnsi="黑体" w:eastAsia="黑体"/>
          <w:color w:val="auto"/>
          <w:sz w:val="24"/>
          <w:highlight w:val="none"/>
        </w:rPr>
      </w:pPr>
      <w:bookmarkStart w:id="113" w:name="_Toc254970542"/>
      <w:bookmarkStart w:id="114" w:name="_Toc254970683"/>
      <w:r>
        <w:rPr>
          <w:rFonts w:hint="eastAsia" w:ascii="黑体" w:hAnsi="黑体" w:eastAsia="黑体"/>
          <w:color w:val="auto"/>
          <w:sz w:val="24"/>
          <w:highlight w:val="none"/>
        </w:rPr>
        <w:t>19.投标文件的</w:t>
      </w:r>
      <w:bookmarkEnd w:id="113"/>
      <w:bookmarkEnd w:id="114"/>
      <w:r>
        <w:rPr>
          <w:rFonts w:hint="eastAsia" w:ascii="黑体" w:hAnsi="黑体" w:eastAsia="黑体"/>
          <w:color w:val="auto"/>
          <w:sz w:val="24"/>
          <w:highlight w:val="none"/>
        </w:rPr>
        <w:t>编制</w:t>
      </w:r>
    </w:p>
    <w:p w14:paraId="417D346C">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64FE4236">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bookmarkStart w:id="115" w:name="_19.2投标文件应按报价文件、资格证明文件、商务文件、技术文件分别编制"/>
      <w:bookmarkEnd w:id="115"/>
      <w:r>
        <w:rPr>
          <w:rFonts w:hint="eastAsia" w:ascii="宋体" w:hAnsi="宋体"/>
          <w:b w:val="0"/>
          <w:color w:val="auto"/>
          <w:sz w:val="21"/>
          <w:szCs w:val="21"/>
          <w:highlight w:val="none"/>
        </w:rPr>
        <w:t>19.2投标文件应按报价文件、资格证明文件、商务文件、技术文件分别编制电子文件，并按广西政府采购云平台的要求编制、加密、上传。</w:t>
      </w:r>
    </w:p>
    <w:p w14:paraId="5A646B83">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19.</w:t>
      </w:r>
      <w:bookmarkStart w:id="116" w:name="_Hlk65832616"/>
      <w:r>
        <w:rPr>
          <w:rFonts w:hint="eastAsia" w:ascii="宋体" w:hAnsi="宋体"/>
          <w:b w:val="0"/>
          <w:color w:val="auto"/>
          <w:sz w:val="21"/>
          <w:szCs w:val="21"/>
          <w:highlight w:val="none"/>
        </w:rPr>
        <w:t>3投标文件须由投标人在规定位置盖公章并签字</w:t>
      </w:r>
      <w:bookmarkStart w:id="117" w:name="_Hlk65832569"/>
      <w:r>
        <w:rPr>
          <w:rFonts w:hint="eastAsia" w:ascii="宋体" w:hAnsi="宋体"/>
          <w:b w:val="0"/>
          <w:color w:val="auto"/>
          <w:sz w:val="21"/>
          <w:szCs w:val="21"/>
          <w:highlight w:val="none"/>
        </w:rPr>
        <w:t>（具体以投标人须知前附表或投标文件格式规定为准）</w:t>
      </w:r>
      <w:bookmarkEnd w:id="116"/>
      <w:bookmarkEnd w:id="117"/>
      <w:r>
        <w:rPr>
          <w:rFonts w:hint="eastAsia" w:ascii="宋体" w:hAnsi="宋体"/>
          <w:b w:val="0"/>
          <w:color w:val="auto"/>
          <w:sz w:val="21"/>
          <w:szCs w:val="21"/>
          <w:highlight w:val="none"/>
        </w:rPr>
        <w:t>，</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41D01FA1">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19.4投标文件中标注的投标人名称应与主体资格证明（如营业执照、事业单位法人证书、执业许可证、自然人身份证等）及公章一致，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63BC6FC5">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5EADA66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20.投标文件的加密、解密</w:t>
      </w:r>
    </w:p>
    <w:p w14:paraId="549A4B0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20.1电子投标文件编制完成后，投标人应按广西政府采购云平台的要求进行加密，并在规定时间内解密，否则，由此产生的后果由投标人自行负责。</w:t>
      </w:r>
    </w:p>
    <w:p w14:paraId="7F96C66B">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1280F87F">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bookmarkStart w:id="118" w:name="_21.1投标人必须在“投标人须知中的前附表”规定的投标文件接收时间和投"/>
      <w:bookmarkEnd w:id="118"/>
      <w:r>
        <w:rPr>
          <w:rFonts w:hint="eastAsia" w:ascii="宋体" w:hAnsi="宋体"/>
          <w:b w:val="0"/>
          <w:color w:val="auto"/>
          <w:sz w:val="21"/>
          <w:szCs w:val="21"/>
          <w:highlight w:val="none"/>
        </w:rPr>
        <w:t>21.1投标人必须在“投标人须知前附表”规定的投标文件接收时间和投标地点提交投标文件。</w:t>
      </w:r>
    </w:p>
    <w:p w14:paraId="3A0D98C4">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投标人在广西政府采购云平台提交电子版投标文件时，请填写参加远程开标活动经办人联系方式。</w:t>
      </w:r>
    </w:p>
    <w:p w14:paraId="40CA5792">
      <w:pPr>
        <w:pStyle w:val="6"/>
        <w:keepNext w:val="0"/>
        <w:keepLines w:val="0"/>
        <w:numPr>
          <w:ilvl w:val="0"/>
          <w:numId w:val="0"/>
        </w:numPr>
        <w:spacing w:before="0" w:after="0" w:line="360" w:lineRule="auto"/>
        <w:ind w:firstLine="420" w:firstLineChars="200"/>
        <w:jc w:val="left"/>
        <w:rPr>
          <w:rFonts w:hint="eastAsia" w:ascii="宋体" w:hAnsi="宋体"/>
          <w:b w:val="0"/>
          <w:color w:val="auto"/>
          <w:sz w:val="21"/>
          <w:szCs w:val="21"/>
          <w:highlight w:val="none"/>
        </w:rPr>
      </w:pPr>
      <w:r>
        <w:rPr>
          <w:rFonts w:hint="eastAsia" w:ascii="宋体" w:hAnsi="宋体"/>
          <w:b w:val="0"/>
          <w:color w:val="auto"/>
          <w:sz w:val="21"/>
          <w:szCs w:val="21"/>
          <w:highlight w:val="none"/>
        </w:rPr>
        <w:t>21.3未在规定时间内上传或者未按广西政府采购云平台的要求编制、加密的电子投标文件，广西政府采购云平台将拒收。</w:t>
      </w:r>
    </w:p>
    <w:p w14:paraId="3A41EA13">
      <w:pPr>
        <w:pStyle w:val="8"/>
        <w:rPr>
          <w:rFonts w:hint="eastAsia"/>
          <w:color w:val="auto"/>
          <w:highlight w:val="none"/>
        </w:rPr>
      </w:pPr>
      <w:r>
        <w:rPr>
          <w:rFonts w:hint="eastAsia" w:ascii="宋体" w:hAnsi="宋体"/>
          <w:color w:val="auto"/>
          <w:szCs w:val="21"/>
          <w:highlight w:val="none"/>
        </w:rPr>
        <w:t>21.4电子投标文件提交方式见“招标公告”中“四、提交投标文件截止时间、开标时间和地点”</w:t>
      </w:r>
    </w:p>
    <w:p w14:paraId="7A67ACEA">
      <w:pPr>
        <w:pStyle w:val="8"/>
        <w:rPr>
          <w:rFonts w:hint="eastAsia"/>
          <w:color w:val="auto"/>
          <w:highlight w:val="none"/>
        </w:rPr>
      </w:pPr>
    </w:p>
    <w:p w14:paraId="291CC0B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6D407095">
      <w:pPr>
        <w:snapToGrid w:val="0"/>
        <w:spacing w:line="360" w:lineRule="auto"/>
        <w:ind w:firstLine="420"/>
        <w:jc w:val="left"/>
        <w:rPr>
          <w:rFonts w:hint="eastAsia" w:ascii="宋体" w:hAnsi="宋体"/>
          <w:color w:val="auto"/>
          <w:szCs w:val="21"/>
          <w:highlight w:val="none"/>
        </w:rPr>
      </w:pPr>
      <w:bookmarkStart w:id="119" w:name="_Toc254970684"/>
      <w:bookmarkStart w:id="120" w:name="_Toc254970543"/>
      <w:r>
        <w:rPr>
          <w:rFonts w:hint="eastAsia" w:ascii="宋体" w:hAnsi="宋体"/>
          <w:color w:val="auto"/>
          <w:szCs w:val="21"/>
          <w:highlight w:val="none"/>
        </w:rPr>
        <w:t>2</w:t>
      </w:r>
      <w:r>
        <w:rPr>
          <w:rFonts w:ascii="宋体" w:hAnsi="宋体"/>
          <w:color w:val="auto"/>
          <w:szCs w:val="21"/>
          <w:highlight w:val="none"/>
        </w:rPr>
        <w:t>2.1</w:t>
      </w:r>
      <w:r>
        <w:rPr>
          <w:rFonts w:hint="eastAsia" w:ascii="宋体" w:hAnsi="宋体"/>
          <w:color w:val="auto"/>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19"/>
    <w:bookmarkEnd w:id="120"/>
    <w:p w14:paraId="510EEEF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2</w:t>
      </w:r>
      <w:r>
        <w:rPr>
          <w:rFonts w:hint="eastAsia" w:ascii="宋体" w:hAnsi="宋体"/>
          <w:color w:val="auto"/>
          <w:szCs w:val="21"/>
          <w:highlight w:val="none"/>
        </w:rPr>
        <w:t>在投标截止时间止提交投标文件的投标人不足3家时，不得开标，采购代理机构将根据广西政府采购云平台的操作将电子版投标文件退回，除此之外采购人和采购代理机构对已提交的投标文件概不退回。</w:t>
      </w:r>
    </w:p>
    <w:p w14:paraId="6286A9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2.3</w:t>
      </w:r>
      <w:r>
        <w:rPr>
          <w:rFonts w:hint="eastAsia" w:ascii="宋体" w:hAnsi="宋体" w:cs="宋体"/>
          <w:color w:val="auto"/>
          <w:szCs w:val="21"/>
          <w:highlight w:val="none"/>
        </w:rPr>
        <w:t xml:space="preserve"> 投标人在投标截止时间后书面通知采购人、采购代理机构撤销投标文件的，将根据本须知正文1</w:t>
      </w:r>
      <w:r>
        <w:rPr>
          <w:rFonts w:ascii="宋体" w:hAnsi="宋体" w:cs="宋体"/>
          <w:color w:val="auto"/>
          <w:szCs w:val="21"/>
          <w:highlight w:val="none"/>
        </w:rPr>
        <w:t>8</w:t>
      </w:r>
      <w:r>
        <w:rPr>
          <w:rFonts w:hint="eastAsia" w:ascii="宋体" w:hAnsi="宋体" w:cs="宋体"/>
          <w:color w:val="auto"/>
          <w:szCs w:val="21"/>
          <w:highlight w:val="none"/>
        </w:rPr>
        <w:t>.4的规定不予退还其投标保证金。</w:t>
      </w:r>
    </w:p>
    <w:p w14:paraId="538630DC">
      <w:pPr>
        <w:pStyle w:val="21"/>
        <w:snapToGrid w:val="0"/>
        <w:spacing w:line="360" w:lineRule="auto"/>
        <w:ind w:firstLine="739"/>
        <w:rPr>
          <w:rFonts w:hint="eastAsia" w:ascii="宋体" w:hAnsi="宋体" w:eastAsia="宋体"/>
          <w:snapToGrid w:val="0"/>
          <w:color w:val="auto"/>
          <w:sz w:val="21"/>
          <w:szCs w:val="21"/>
          <w:highlight w:val="none"/>
        </w:rPr>
      </w:pPr>
    </w:p>
    <w:p w14:paraId="4A097787">
      <w:pPr>
        <w:pStyle w:val="4"/>
        <w:keepNext w:val="0"/>
        <w:keepLines w:val="0"/>
        <w:jc w:val="center"/>
        <w:rPr>
          <w:rFonts w:hint="eastAsia"/>
          <w:color w:val="auto"/>
          <w:highlight w:val="none"/>
        </w:rPr>
      </w:pPr>
      <w:bookmarkStart w:id="121" w:name="_Toc254970544"/>
      <w:bookmarkStart w:id="122" w:name="_Toc254970685"/>
      <w:r>
        <w:rPr>
          <w:rFonts w:hint="eastAsia"/>
          <w:color w:val="auto"/>
          <w:highlight w:val="none"/>
        </w:rPr>
        <w:t>四、开    标</w:t>
      </w:r>
      <w:bookmarkEnd w:id="121"/>
      <w:bookmarkEnd w:id="122"/>
    </w:p>
    <w:p w14:paraId="527CD8F3">
      <w:pPr>
        <w:pStyle w:val="6"/>
        <w:keepNext w:val="0"/>
        <w:keepLines w:val="0"/>
        <w:spacing w:before="0" w:after="0" w:line="360" w:lineRule="auto"/>
        <w:ind w:left="420" w:leftChars="200"/>
        <w:rPr>
          <w:rFonts w:hint="eastAsia" w:ascii="黑体" w:hAnsi="黑体" w:eastAsia="黑体"/>
          <w:color w:val="auto"/>
          <w:sz w:val="24"/>
          <w:highlight w:val="none"/>
        </w:rPr>
      </w:pPr>
      <w:bookmarkStart w:id="123" w:name="_23.开标时间和地点"/>
      <w:bookmarkEnd w:id="123"/>
      <w:r>
        <w:rPr>
          <w:rFonts w:hint="eastAsia" w:ascii="黑体" w:hAnsi="黑体" w:eastAsia="黑体"/>
          <w:color w:val="auto"/>
          <w:sz w:val="24"/>
          <w:highlight w:val="none"/>
        </w:rPr>
        <w:t>23.开标时间和地点</w:t>
      </w:r>
    </w:p>
    <w:p w14:paraId="453FE0E9">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23.1开标时间及地点详见“投标人须知前附表”</w:t>
      </w:r>
    </w:p>
    <w:p w14:paraId="1D402C3C">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23.2如投标人成功解密投标文件，但未在“政采云”电子开标大厅参加开标的，视同认可开标过程和结果，由此产生的后果由投标人自行负责。成功解密投标文件的投标人不足3家的，不得开标。</w:t>
      </w:r>
    </w:p>
    <w:p w14:paraId="5B59D158">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2E750657">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1768E7EF">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采购代理机构将按照招标文件规定的时间通过广西政府采购云平台组织线上开标活动、开启投标文件，所有投标人均应当准时在线参加。投标人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0EE5BE15">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3EAA62DB">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r>
        <w:rPr>
          <w:rFonts w:hint="eastAsia" w:ascii="宋体" w:hAnsi="宋体"/>
          <w:bCs/>
          <w:color w:val="auto"/>
          <w:szCs w:val="21"/>
          <w:highlight w:val="none"/>
        </w:rPr>
        <w:t>（解密异常情况处理：详见本章29.4 电子交易活动的中止）</w:t>
      </w:r>
    </w:p>
    <w:p w14:paraId="7BB55815">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（2）电子唱标。投标文件解密结束，各投标人报价均在广西政府采购云平台远程不见面开标大厅展示；</w:t>
      </w:r>
    </w:p>
    <w:p w14:paraId="7545BC76">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（3）签署电子《政府采购活动现场确认声明书》。通过邮件形式在远程不见面开标大厅发送各投标人签署电子《政府采购活动现场确认声明书》。</w:t>
      </w:r>
    </w:p>
    <w:p w14:paraId="7F6EEFC9">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5B70EC8D">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B1632AC">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（6）开标结束。</w:t>
      </w:r>
    </w:p>
    <w:p w14:paraId="7DA93856">
      <w:pPr>
        <w:autoSpaceDE w:val="0"/>
        <w:autoSpaceDN w:val="0"/>
        <w:adjustRightInd w:val="0"/>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特别说明：如遇广西政府采购云平台电子化开标或评审程序调整的，按调整后执行。</w:t>
      </w:r>
    </w:p>
    <w:p w14:paraId="24E01416">
      <w:pPr>
        <w:pStyle w:val="26"/>
        <w:snapToGrid w:val="0"/>
        <w:spacing w:line="360" w:lineRule="auto"/>
        <w:ind w:left="689" w:leftChars="228" w:hanging="210" w:hangingChars="100"/>
        <w:rPr>
          <w:rFonts w:hint="eastAsia" w:hAnsi="宋体"/>
          <w:color w:val="auto"/>
          <w:sz w:val="21"/>
          <w:highlight w:val="none"/>
        </w:rPr>
      </w:pPr>
    </w:p>
    <w:p w14:paraId="4ED91798">
      <w:pPr>
        <w:pStyle w:val="4"/>
        <w:keepNext w:val="0"/>
        <w:keepLines w:val="0"/>
        <w:jc w:val="center"/>
        <w:rPr>
          <w:rFonts w:hint="eastAsia"/>
          <w:color w:val="auto"/>
          <w:highlight w:val="none"/>
        </w:rPr>
      </w:pPr>
      <w:r>
        <w:rPr>
          <w:rFonts w:hint="eastAsia"/>
          <w:color w:val="auto"/>
          <w:highlight w:val="none"/>
        </w:rPr>
        <w:t>五、资格审查</w:t>
      </w:r>
    </w:p>
    <w:p w14:paraId="0070D90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3D2B52E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w:t>
      </w:r>
      <w:r>
        <w:rPr>
          <w:rFonts w:ascii="宋体" w:hAnsi="宋体"/>
          <w:b w:val="0"/>
          <w:color w:val="auto"/>
          <w:sz w:val="21"/>
          <w:szCs w:val="21"/>
          <w:highlight w:val="none"/>
        </w:rPr>
        <w:t>依法对投标人的资格进行审查。</w:t>
      </w:r>
    </w:p>
    <w:p w14:paraId="69D13065">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3E08F1FB">
      <w:pPr>
        <w:pStyle w:val="6"/>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124" w:name="_25.3_投标人有下列情形之一的，资格审查不通过而导致其投标无效："/>
      <w:bookmarkEnd w:id="124"/>
      <w:r>
        <w:rPr>
          <w:rFonts w:hint="eastAsia" w:ascii="宋体" w:hAnsi="宋体"/>
          <w:color w:val="auto"/>
          <w:sz w:val="21"/>
          <w:szCs w:val="21"/>
          <w:highlight w:val="none"/>
        </w:rPr>
        <w:t>25.3 投标人有下列情形之一的，资格审查不通过，作无效投标处理：</w:t>
      </w:r>
    </w:p>
    <w:p w14:paraId="302CFCFD">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（1）未按招标文件规定的方式获取本招标文件的投标人；</w:t>
      </w:r>
    </w:p>
    <w:p w14:paraId="6D3793FA">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（2）不具备招标文件中规定的资格要求的；</w:t>
      </w:r>
    </w:p>
    <w:p w14:paraId="7365F40E">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4A3B8647">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（4）同一合同项下的不同投标人，单位负责人为同一人或者存在直接控股、管理关系的；为本项目提供过整体设计、规范编制或者项目管理、监理、检测等服务的投标人，再参加该采购项目的其他采购活动的；</w:t>
      </w:r>
    </w:p>
    <w:p w14:paraId="43A5560D">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5</w:t>
      </w:r>
      <w:r>
        <w:rPr>
          <w:rFonts w:hint="eastAsia" w:hAnsi="宋体"/>
          <w:b/>
          <w:color w:val="auto"/>
          <w:sz w:val="21"/>
          <w:highlight w:val="none"/>
        </w:rPr>
        <w:t>）投标文件中的资格证明文件缺少任一项“投标人须知前附表”资格证明文件规定“必须提供”的文件资料的；</w:t>
      </w:r>
    </w:p>
    <w:p w14:paraId="2F609A64">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6</w:t>
      </w:r>
      <w:r>
        <w:rPr>
          <w:rFonts w:hint="eastAsia" w:hAnsi="宋体"/>
          <w:b/>
          <w:color w:val="auto"/>
          <w:sz w:val="21"/>
          <w:highlight w:val="none"/>
        </w:rPr>
        <w:t>）投标文件中的资格证明文件出现任一项不符合“投标人须知前附表”资格证明文件规定“必须提供”的文件资料要求或者无效的。</w:t>
      </w:r>
    </w:p>
    <w:p w14:paraId="09532BB1">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722B3C99">
      <w:pPr>
        <w:pStyle w:val="26"/>
        <w:snapToGrid w:val="0"/>
        <w:spacing w:line="360" w:lineRule="auto"/>
        <w:ind w:left="689" w:leftChars="228" w:hanging="210" w:hangingChars="100"/>
        <w:rPr>
          <w:rFonts w:hint="eastAsia" w:hAnsi="宋体"/>
          <w:color w:val="auto"/>
          <w:sz w:val="21"/>
          <w:highlight w:val="none"/>
        </w:rPr>
      </w:pPr>
    </w:p>
    <w:p w14:paraId="0C441BD4">
      <w:pPr>
        <w:pStyle w:val="4"/>
        <w:keepNext w:val="0"/>
        <w:keepLines w:val="0"/>
        <w:jc w:val="center"/>
        <w:rPr>
          <w:rFonts w:hint="eastAsia"/>
          <w:color w:val="auto"/>
          <w:highlight w:val="none"/>
        </w:rPr>
      </w:pPr>
      <w:r>
        <w:rPr>
          <w:rFonts w:hint="eastAsia"/>
          <w:color w:val="auto"/>
          <w:highlight w:val="none"/>
        </w:rPr>
        <w:t>六、评   标</w:t>
      </w:r>
    </w:p>
    <w:p w14:paraId="4F09756B">
      <w:pPr>
        <w:pStyle w:val="6"/>
        <w:keepNext w:val="0"/>
        <w:keepLines w:val="0"/>
        <w:spacing w:before="0" w:after="0" w:line="360" w:lineRule="auto"/>
        <w:ind w:left="420" w:leftChars="200"/>
        <w:rPr>
          <w:rFonts w:hint="eastAsia" w:ascii="黑体" w:hAnsi="黑体" w:eastAsia="黑体"/>
          <w:color w:val="auto"/>
          <w:sz w:val="24"/>
          <w:highlight w:val="none"/>
        </w:rPr>
      </w:pPr>
      <w:bookmarkStart w:id="125" w:name="_26.组建评标委员会"/>
      <w:bookmarkEnd w:id="125"/>
      <w:r>
        <w:rPr>
          <w:rFonts w:hint="eastAsia" w:ascii="黑体" w:hAnsi="黑体" w:eastAsia="黑体"/>
          <w:color w:val="auto"/>
          <w:sz w:val="24"/>
          <w:highlight w:val="none"/>
        </w:rPr>
        <w:t>26.组建评标委员会</w:t>
      </w:r>
    </w:p>
    <w:p w14:paraId="6046F281">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评标委员会由采购人代表和评审专家组成，具体人数详见“投标人须知前附表”，其中评审专家不得少于成员总数的三分之二。</w:t>
      </w:r>
    </w:p>
    <w:p w14:paraId="2974753C">
      <w:pPr>
        <w:pStyle w:val="26"/>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参加过采购项目前期咨询论证的专家，不得参加该采购项目的评审活动。</w:t>
      </w:r>
    </w:p>
    <w:p w14:paraId="371AE82B">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01449BB7">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657D130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25D2F64D">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DC7BAA9">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26" w:name="_28.3评标方法。本项目将按须知前附表规定的评标办法进行评标，具体评标"/>
      <w:bookmarkEnd w:id="126"/>
      <w:r>
        <w:rPr>
          <w:rFonts w:hint="eastAsia" w:hAnsi="宋体"/>
          <w:color w:val="auto"/>
          <w:sz w:val="21"/>
          <w:highlight w:val="none"/>
        </w:rPr>
        <w:t>评委表决。评标委员会成员对需要共同认定的事项存在争议的，应当按照少数服从多数的原则作出结论。</w:t>
      </w:r>
    </w:p>
    <w:p w14:paraId="38DE3A08">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ADBC1EA">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评标过程的监控。本项目评标过程实行全程录音、录像监控，</w:t>
      </w:r>
      <w:r>
        <w:rPr>
          <w:rFonts w:hint="eastAsia" w:hAnsi="宋体"/>
          <w:b/>
          <w:bCs/>
          <w:color w:val="auto"/>
          <w:sz w:val="21"/>
          <w:highlight w:val="none"/>
        </w:rPr>
        <w:t>投标人在评标过程中所进行的试图影响评标结果的不公正活动，可能导致其投标无效</w:t>
      </w:r>
      <w:r>
        <w:rPr>
          <w:rFonts w:hint="eastAsia" w:hAnsi="宋体"/>
          <w:color w:val="auto"/>
          <w:sz w:val="21"/>
          <w:highlight w:val="none"/>
        </w:rPr>
        <w:t>。</w:t>
      </w:r>
    </w:p>
    <w:p w14:paraId="603A7E0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29.评标方法及中标候选人推荐</w:t>
      </w:r>
    </w:p>
    <w:p w14:paraId="6109DDD7">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0B99FD8B">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4DC299BD">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w:t>
      </w:r>
      <w:r>
        <w:rPr>
          <w:rFonts w:hint="eastAsia" w:hAnsi="宋体"/>
          <w:color w:val="auto"/>
          <w:sz w:val="21"/>
          <w:highlight w:val="none"/>
        </w:rPr>
        <w:t>3</w:t>
      </w:r>
      <w:r>
        <w:rPr>
          <w:rFonts w:hAnsi="宋体"/>
          <w:color w:val="auto"/>
          <w:sz w:val="21"/>
          <w:highlight w:val="none"/>
        </w:rPr>
        <w:t>评标委员会</w:t>
      </w:r>
      <w:r>
        <w:rPr>
          <w:rFonts w:hint="eastAsia" w:hAnsi="宋体"/>
          <w:color w:val="auto"/>
          <w:sz w:val="21"/>
          <w:highlight w:val="none"/>
        </w:rPr>
        <w:t>将</w:t>
      </w:r>
      <w:r>
        <w:rPr>
          <w:rFonts w:hAnsi="宋体"/>
          <w:color w:val="auto"/>
          <w:sz w:val="21"/>
          <w:highlight w:val="none"/>
        </w:rPr>
        <w:t>按照</w:t>
      </w:r>
      <w:r>
        <w:rPr>
          <w:rFonts w:hint="eastAsia" w:hAnsi="宋体"/>
          <w:color w:val="auto"/>
          <w:sz w:val="21"/>
          <w:highlight w:val="none"/>
        </w:rPr>
        <w:t>“第四章 评标方法和评标标准”</w:t>
      </w:r>
      <w:r>
        <w:rPr>
          <w:rFonts w:hAnsi="宋体"/>
          <w:color w:val="auto"/>
          <w:sz w:val="21"/>
          <w:highlight w:val="none"/>
        </w:rPr>
        <w:t>规定的方法、评审因素、标准和程序对投标文件进行评审。</w:t>
      </w:r>
    </w:p>
    <w:p w14:paraId="703DB8A5">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4A013612">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0F4625EF">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3B58415A">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39697AC7">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46C9053A">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（4）其他无法保证电子交易的公平、公正和安全的情况。</w:t>
      </w:r>
    </w:p>
    <w:p w14:paraId="37E9515F">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4F32D608">
      <w:pPr>
        <w:pStyle w:val="26"/>
        <w:snapToGrid w:val="0"/>
        <w:spacing w:line="360" w:lineRule="auto"/>
        <w:rPr>
          <w:rFonts w:hint="eastAsia" w:hAnsi="宋体"/>
          <w:color w:val="auto"/>
          <w:sz w:val="21"/>
          <w:highlight w:val="none"/>
        </w:rPr>
      </w:pPr>
    </w:p>
    <w:p w14:paraId="0EBD2CAF">
      <w:pPr>
        <w:pStyle w:val="4"/>
        <w:keepNext w:val="0"/>
        <w:keepLines w:val="0"/>
        <w:jc w:val="center"/>
        <w:rPr>
          <w:rFonts w:hint="eastAsia"/>
          <w:color w:val="auto"/>
          <w:highlight w:val="none"/>
        </w:rPr>
      </w:pPr>
      <w:bookmarkStart w:id="127" w:name="_Toc254970687"/>
      <w:bookmarkStart w:id="128" w:name="_Toc254970546"/>
      <w:r>
        <w:rPr>
          <w:rFonts w:hint="eastAsia"/>
          <w:color w:val="auto"/>
          <w:highlight w:val="none"/>
        </w:rPr>
        <w:t>七、</w:t>
      </w:r>
      <w:bookmarkEnd w:id="127"/>
      <w:bookmarkEnd w:id="128"/>
      <w:r>
        <w:rPr>
          <w:rFonts w:hint="eastAsia"/>
          <w:color w:val="auto"/>
          <w:highlight w:val="none"/>
        </w:rPr>
        <w:t>中标和合同</w:t>
      </w:r>
    </w:p>
    <w:p w14:paraId="6C66136E">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确定中标人</w:t>
      </w:r>
    </w:p>
    <w:p w14:paraId="665CB2EA">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04F80C34">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295DF3D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30.3出现下列情形之一的，应予废标：</w:t>
      </w:r>
    </w:p>
    <w:p w14:paraId="7B78B4D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（1）符合专业条件的投标人或者对招标文件作实质响应的投标人不足三家的；</w:t>
      </w:r>
    </w:p>
    <w:p w14:paraId="7D26258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071E22D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6FD55B9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7414F62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17BA2ED5">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 中标人拒绝签订政府采购合同（包括但不限于放弃中标、因不可抗力不能履行合同而放弃签订合同），采购人可以按照评审报告推荐的中标候选人名单排序，确定下一候选人为中标投标人，也可以重新开展政府采购活动。</w:t>
      </w:r>
      <w:r>
        <w:rPr>
          <w:rFonts w:ascii="宋体" w:hAnsi="宋体" w:cs="Courier New"/>
          <w:color w:val="auto"/>
          <w:szCs w:val="21"/>
          <w:highlight w:val="none"/>
        </w:rPr>
        <w:t>拒绝签订政府采购合同的</w:t>
      </w:r>
      <w:r>
        <w:rPr>
          <w:rFonts w:hint="eastAsia" w:ascii="宋体" w:hAnsi="宋体" w:cs="Courier New"/>
          <w:color w:val="auto"/>
          <w:szCs w:val="21"/>
          <w:highlight w:val="none"/>
        </w:rPr>
        <w:t>中标人</w:t>
      </w:r>
      <w:r>
        <w:rPr>
          <w:rFonts w:ascii="宋体" w:hAnsi="宋体" w:cs="Courier New"/>
          <w:color w:val="auto"/>
          <w:szCs w:val="21"/>
          <w:highlight w:val="none"/>
        </w:rPr>
        <w:t>不得参加对该项目重新开展的采购活动。</w:t>
      </w:r>
    </w:p>
    <w:p w14:paraId="3B09DE7C">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2F5A90C0">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w:t>
      </w:r>
      <w:r>
        <w:rPr>
          <w:rFonts w:hint="eastAsia" w:ascii="宋体" w:hAnsi="宋体"/>
          <w:color w:val="auto"/>
          <w:sz w:val="21"/>
          <w:szCs w:val="21"/>
          <w:highlight w:val="none"/>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b w:val="0"/>
          <w:color w:val="auto"/>
          <w:sz w:val="21"/>
          <w:szCs w:val="21"/>
          <w:highlight w:val="none"/>
        </w:rPr>
        <w:t>排名第二的中标候选人因前款规定的同样原因被取消中标资格的，采购人可以确定排名第三的中标候选人为中标人，以此类推。以上信息查询记录及相关证据与采购文件一并保存。</w:t>
      </w:r>
    </w:p>
    <w:p w14:paraId="71529681">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31.2中标投标人享受《政府采购促进中小企业发展管理办法》（财库〔2020〕46号）规定的中小企业扶持政策的，采购人、采购代理机构应当随中标结果公开中标投标人的《中小企业声明函》。</w:t>
      </w:r>
    </w:p>
    <w:p w14:paraId="7CAFA1C0">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44700F6F">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1FD61E2B">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2E2E0984">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采购代理机构无义务向未中标的投标人解释未中标原因和退还投标文件。</w:t>
      </w:r>
    </w:p>
    <w:p w14:paraId="30AC56FF">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50A0638C">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3A7FEFC3">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49E8B4E2">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29" w:name="_39.1中标人须于签订合同前按本须知前附表规定的金额转账或电汇到指定账"/>
      <w:bookmarkEnd w:id="129"/>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w:t>
      </w:r>
    </w:p>
    <w:p w14:paraId="4CAB62C9">
      <w:pPr>
        <w:pStyle w:val="6"/>
        <w:keepNext w:val="0"/>
        <w:keepLines w:val="0"/>
        <w:spacing w:before="0" w:after="0" w:line="360" w:lineRule="auto"/>
        <w:ind w:firstLine="316" w:firstLineChars="15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35.2在履约保证金退还日期前，若中标人的开户名称、开户银行、帐号有变动的，请以书面形式通知履约保证金收取单位，否则由此产生的后果由中标人自行承担。</w:t>
      </w:r>
    </w:p>
    <w:p w14:paraId="75781C24">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4564BFAD">
      <w:pPr>
        <w:pStyle w:val="6"/>
        <w:keepNext w:val="0"/>
        <w:keepLines w:val="0"/>
        <w:spacing w:before="0" w:after="0" w:line="360" w:lineRule="auto"/>
        <w:ind w:firstLine="315" w:firstLineChars="150"/>
        <w:rPr>
          <w:rFonts w:hint="eastAsia" w:ascii="宋体" w:hAnsi="宋体"/>
          <w:b w:val="0"/>
          <w:bCs/>
          <w:color w:val="auto"/>
          <w:sz w:val="21"/>
          <w:szCs w:val="21"/>
          <w:highlight w:val="none"/>
        </w:rPr>
      </w:pPr>
      <w:bookmarkStart w:id="130" w:name="_40.1投标人接到中标通知书后，按须知前附表规定向采购人出示相关资格证"/>
      <w:bookmarkEnd w:id="130"/>
      <w:r>
        <w:rPr>
          <w:rFonts w:hint="eastAsia" w:ascii="宋体" w:hAnsi="宋体"/>
          <w:b w:val="0"/>
          <w:color w:val="auto"/>
          <w:sz w:val="21"/>
          <w:szCs w:val="21"/>
          <w:highlight w:val="none"/>
        </w:rPr>
        <w:t xml:space="preserve"> 36.1投标人领取中标通知书（书面或电子）后，按“投标人须知前附表”规定向采购人出示相关证明材料，经采购人核验合格后方可签订采购合同（书面或电子）。</w:t>
      </w:r>
      <w:r>
        <w:rPr>
          <w:rFonts w:hint="eastAsia" w:ascii="宋体" w:hAnsi="宋体"/>
          <w:b w:val="0"/>
          <w:bCs/>
          <w:color w:val="auto"/>
          <w:sz w:val="21"/>
          <w:szCs w:val="21"/>
          <w:highlight w:val="none"/>
        </w:rPr>
        <w:t>如中标人为联合体的，</w:t>
      </w:r>
      <w:r>
        <w:rPr>
          <w:rFonts w:ascii="宋体" w:hAnsi="宋体"/>
          <w:b w:val="0"/>
          <w:bCs/>
          <w:color w:val="auto"/>
          <w:sz w:val="21"/>
          <w:szCs w:val="21"/>
          <w:highlight w:val="none"/>
        </w:rPr>
        <w:t>联合体各方应当共同与采购人签订采购合同，就采购合同约定的事项对采购人承担连带责任。</w:t>
      </w:r>
    </w:p>
    <w:p w14:paraId="0C0D651B">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36.2签订合同时间：按中标通知书规定的时间与采购人签订合同（最长不能超过25日）。</w:t>
      </w:r>
    </w:p>
    <w:p w14:paraId="10015DF7">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中标人拒绝与采购人签订合同的，按照本须知正文第3</w:t>
      </w:r>
      <w:r>
        <w:rPr>
          <w:rFonts w:ascii="宋体" w:hAnsi="宋体"/>
          <w:b w:val="0"/>
          <w:color w:val="auto"/>
          <w:sz w:val="21"/>
          <w:szCs w:val="21"/>
          <w:highlight w:val="none"/>
        </w:rPr>
        <w:t>0.4条</w:t>
      </w:r>
      <w:r>
        <w:rPr>
          <w:rFonts w:hint="eastAsia" w:ascii="宋体" w:hAnsi="宋体"/>
          <w:b w:val="0"/>
          <w:color w:val="auto"/>
          <w:sz w:val="21"/>
          <w:szCs w:val="21"/>
          <w:highlight w:val="none"/>
        </w:rPr>
        <w:t>的规定执行。</w:t>
      </w:r>
    </w:p>
    <w:p w14:paraId="32DBD673">
      <w:pPr>
        <w:pStyle w:val="6"/>
        <w:keepNext w:val="0"/>
        <w:keepLines w:val="0"/>
        <w:spacing w:before="0" w:after="0" w:line="360" w:lineRule="auto"/>
        <w:ind w:left="420" w:leftChars="200"/>
        <w:rPr>
          <w:rFonts w:hint="eastAsia" w:ascii="黑体" w:hAnsi="黑体" w:eastAsia="黑体"/>
          <w:color w:val="auto"/>
          <w:sz w:val="24"/>
          <w:highlight w:val="none"/>
        </w:rPr>
      </w:pPr>
      <w:bookmarkStart w:id="131" w:name="_41.政府采购合同公告"/>
      <w:bookmarkEnd w:id="131"/>
      <w:r>
        <w:rPr>
          <w:rFonts w:hint="eastAsia" w:ascii="黑体" w:hAnsi="黑体" w:eastAsia="黑体"/>
          <w:color w:val="auto"/>
          <w:sz w:val="24"/>
          <w:highlight w:val="none"/>
        </w:rPr>
        <w:t>37.政府采购合同公告</w:t>
      </w:r>
    </w:p>
    <w:p w14:paraId="33FA5F29">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4E67E5EC">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48ED5D1E">
      <w:pPr>
        <w:pStyle w:val="8"/>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投标人对政府采购活动事项有疑问的，可以向采购人提出询问，采购人或者采购代理机构应当在3个工作日内对投标人依法提出的询问作出答复，但答复的内容不得涉及商业秘密。</w:t>
      </w:r>
    </w:p>
    <w:p w14:paraId="49570B29">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投标人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434FD477">
      <w:pPr>
        <w:pStyle w:val="26"/>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4E070C4C">
      <w:pPr>
        <w:pStyle w:val="26"/>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4256DEC2">
      <w:pPr>
        <w:pStyle w:val="26"/>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67A7BC10">
      <w:pPr>
        <w:pStyle w:val="6"/>
        <w:keepNext w:val="0"/>
        <w:keepLines w:val="0"/>
        <w:spacing w:before="0" w:after="0" w:line="360" w:lineRule="auto"/>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int="eastAsia" w:hAnsi="宋体"/>
          <w:bCs/>
          <w:color w:val="auto"/>
          <w:sz w:val="21"/>
          <w:highlight w:val="none"/>
        </w:rPr>
        <w:t>投标人</w:t>
      </w:r>
      <w:r>
        <w:rPr>
          <w:rFonts w:hAnsi="宋体"/>
          <w:bCs/>
          <w:color w:val="auto"/>
          <w:sz w:val="21"/>
          <w:highlight w:val="none"/>
        </w:rPr>
        <w:t>提出质疑应当提交质疑函和必要的证明材料</w:t>
      </w:r>
      <w:r>
        <w:rPr>
          <w:rFonts w:hint="eastAsia" w:hAnsi="宋体"/>
          <w:bCs/>
          <w:color w:val="auto"/>
          <w:sz w:val="21"/>
          <w:highlight w:val="none"/>
        </w:rPr>
        <w:t>，</w:t>
      </w:r>
      <w:r>
        <w:rPr>
          <w:rFonts w:hAnsi="宋体"/>
          <w:bCs/>
          <w:color w:val="auto"/>
          <w:sz w:val="21"/>
          <w:highlight w:val="none"/>
        </w:rPr>
        <w:t>针对同一采购程序环节的质疑</w:t>
      </w:r>
      <w:r>
        <w:rPr>
          <w:rFonts w:hint="eastAsia" w:hAnsi="宋体"/>
          <w:bCs/>
          <w:color w:val="auto"/>
          <w:sz w:val="21"/>
          <w:highlight w:val="none"/>
        </w:rPr>
        <w:t>必须</w:t>
      </w:r>
      <w:r>
        <w:rPr>
          <w:rFonts w:hAnsi="宋体"/>
          <w:bCs/>
          <w:color w:val="auto"/>
          <w:sz w:val="21"/>
          <w:highlight w:val="none"/>
        </w:rPr>
        <w:t>在法定质疑期内一次性提出。质疑函应当包括下列内容</w:t>
      </w:r>
      <w:r>
        <w:rPr>
          <w:rFonts w:hint="eastAsia" w:hAnsi="宋体"/>
          <w:bCs/>
          <w:color w:val="auto"/>
          <w:sz w:val="21"/>
          <w:highlight w:val="none"/>
        </w:rPr>
        <w:t>（质疑函格式后附）</w:t>
      </w:r>
      <w:r>
        <w:rPr>
          <w:rFonts w:hAnsi="宋体"/>
          <w:bCs/>
          <w:color w:val="auto"/>
          <w:sz w:val="21"/>
          <w:highlight w:val="none"/>
        </w:rPr>
        <w:t>：</w:t>
      </w:r>
    </w:p>
    <w:p w14:paraId="028942E0">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w:t>
      </w:r>
      <w:r>
        <w:rPr>
          <w:rFonts w:hint="eastAsia" w:hAnsi="宋体"/>
          <w:bCs/>
          <w:color w:val="auto"/>
          <w:sz w:val="21"/>
          <w:highlight w:val="none"/>
        </w:rPr>
        <w:t>投标人</w:t>
      </w:r>
      <w:r>
        <w:rPr>
          <w:rFonts w:hAnsi="宋体"/>
          <w:bCs/>
          <w:color w:val="auto"/>
          <w:sz w:val="21"/>
          <w:highlight w:val="none"/>
        </w:rPr>
        <w:t>的姓名或者名称、地址、邮编、联系人及联系电话；</w:t>
      </w:r>
    </w:p>
    <w:p w14:paraId="135AB8D9">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6353B68D">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760B2047">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6ECBAC4F">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25BA9066">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0E2C7712">
      <w:pPr>
        <w:pStyle w:val="26"/>
        <w:snapToGrid w:val="0"/>
        <w:spacing w:line="360" w:lineRule="auto"/>
        <w:ind w:firstLine="420" w:firstLineChars="200"/>
        <w:rPr>
          <w:rFonts w:hint="eastAsia" w:hAnsi="宋体"/>
          <w:bCs/>
          <w:color w:val="auto"/>
          <w:sz w:val="21"/>
          <w:highlight w:val="none"/>
        </w:rPr>
      </w:pPr>
      <w:r>
        <w:rPr>
          <w:rFonts w:hint="eastAsia" w:hAnsi="宋体"/>
          <w:bCs/>
          <w:color w:val="auto"/>
          <w:sz w:val="21"/>
          <w:highlight w:val="none"/>
        </w:rPr>
        <w:t>投标人</w:t>
      </w:r>
      <w:r>
        <w:rPr>
          <w:rFonts w:hAnsi="宋体"/>
          <w:bCs/>
          <w:color w:val="auto"/>
          <w:sz w:val="21"/>
          <w:highlight w:val="none"/>
        </w:rPr>
        <w:t>为自然人的，应当由本人签字；</w:t>
      </w:r>
      <w:r>
        <w:rPr>
          <w:rFonts w:hint="eastAsia" w:hAnsi="宋体"/>
          <w:bCs/>
          <w:color w:val="auto"/>
          <w:sz w:val="21"/>
          <w:highlight w:val="none"/>
        </w:rPr>
        <w:t>投标人</w:t>
      </w:r>
      <w:r>
        <w:rPr>
          <w:rFonts w:hAnsi="宋体"/>
          <w:bCs/>
          <w:color w:val="auto"/>
          <w:sz w:val="21"/>
          <w:highlight w:val="none"/>
        </w:rPr>
        <w:t>为法人或者其他组织的，应当由法定代表人、主要负责人，或者其委托代理人签字或者盖章，并加盖公章</w:t>
      </w:r>
      <w:r>
        <w:rPr>
          <w:rFonts w:hint="eastAsia" w:hAnsi="宋体"/>
          <w:bCs/>
          <w:color w:val="auto"/>
          <w:sz w:val="21"/>
          <w:highlight w:val="none"/>
        </w:rPr>
        <w:t>。</w:t>
      </w:r>
    </w:p>
    <w:p w14:paraId="7A555314">
      <w:pPr>
        <w:pStyle w:val="6"/>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采购人、采购代理机构认为投标人质疑不成立，或者成立但未对中标结果构成影响的，继续开展采购活动；认为投标人质疑成立且影响或者可能影响中标结果的，按照下列情况处理：</w:t>
      </w:r>
    </w:p>
    <w:p w14:paraId="782961C4">
      <w:pPr>
        <w:pStyle w:val="26"/>
        <w:snapToGrid w:val="0"/>
        <w:spacing w:line="360" w:lineRule="auto"/>
        <w:rPr>
          <w:rFonts w:hint="eastAsia" w:hAnsi="宋体"/>
          <w:bCs/>
          <w:color w:val="auto"/>
          <w:sz w:val="21"/>
          <w:highlight w:val="none"/>
        </w:rPr>
      </w:pPr>
      <w:r>
        <w:rPr>
          <w:rFonts w:hint="eastAsia" w:hAnsi="宋体"/>
          <w:bCs/>
          <w:color w:val="auto"/>
          <w:sz w:val="21"/>
          <w:highlight w:val="none"/>
        </w:rPr>
        <w:t>　　（1）对招标文件提出的质疑，依法通过澄清或者修改可以继续开展采购活动的，澄清或者修改招标文件后继续开展采购活动；否则应当修改招标文件后重新开展采购活动。</w:t>
      </w:r>
    </w:p>
    <w:p w14:paraId="5DF33D94">
      <w:pPr>
        <w:pStyle w:val="26"/>
        <w:snapToGrid w:val="0"/>
        <w:spacing w:line="360" w:lineRule="auto"/>
        <w:rPr>
          <w:rFonts w:hint="eastAsia" w:hAnsi="宋体"/>
          <w:bCs/>
          <w:color w:val="auto"/>
          <w:sz w:val="21"/>
          <w:highlight w:val="none"/>
        </w:rPr>
      </w:pPr>
      <w:r>
        <w:rPr>
          <w:rFonts w:hint="eastAsia" w:hAnsi="宋体"/>
          <w:bCs/>
          <w:color w:val="auto"/>
          <w:sz w:val="21"/>
          <w:highlight w:val="none"/>
        </w:rPr>
        <w:t>　　（2）对采购过程、中标结果提出的质疑，合格投标人符合法定数量时，可以从合格的中标候选人中另行确定中标投标人的，应当依法另行确定中标投标人；否则应当重新开展采购活动。</w:t>
      </w:r>
    </w:p>
    <w:p w14:paraId="42AD84D0">
      <w:pPr>
        <w:pStyle w:val="26"/>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22E72C5E">
      <w:pPr>
        <w:pStyle w:val="26"/>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投标人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2" w:name="_八、其他事项"/>
      <w:bookmarkEnd w:id="132"/>
    </w:p>
    <w:p w14:paraId="32BED810">
      <w:pPr>
        <w:pStyle w:val="26"/>
        <w:snapToGrid w:val="0"/>
        <w:spacing w:line="360" w:lineRule="auto"/>
        <w:ind w:firstLine="400" w:firstLineChars="200"/>
        <w:rPr>
          <w:rFonts w:hint="eastAsia"/>
          <w:color w:val="auto"/>
          <w:highlight w:val="none"/>
        </w:rPr>
      </w:pPr>
      <w:r>
        <w:rPr>
          <w:rFonts w:hint="eastAsia"/>
          <w:color w:val="auto"/>
          <w:highlight w:val="none"/>
        </w:rPr>
        <w:t xml:space="preserve"> </w:t>
      </w:r>
    </w:p>
    <w:p w14:paraId="528EAAA1">
      <w:pPr>
        <w:pStyle w:val="4"/>
        <w:keepNext w:val="0"/>
        <w:keepLines w:val="0"/>
        <w:jc w:val="center"/>
        <w:rPr>
          <w:rFonts w:hint="eastAsia"/>
          <w:color w:val="auto"/>
          <w:highlight w:val="none"/>
        </w:rPr>
      </w:pPr>
      <w:r>
        <w:rPr>
          <w:rFonts w:hint="eastAsia"/>
          <w:color w:val="auto"/>
          <w:highlight w:val="none"/>
        </w:rPr>
        <w:t>八、其他事项</w:t>
      </w:r>
    </w:p>
    <w:p w14:paraId="4650DC25">
      <w:pPr>
        <w:pStyle w:val="6"/>
        <w:keepNext w:val="0"/>
        <w:keepLines w:val="0"/>
        <w:spacing w:before="0" w:after="0" w:line="360" w:lineRule="auto"/>
        <w:ind w:left="420" w:leftChars="200"/>
        <w:rPr>
          <w:rFonts w:hint="eastAsia" w:ascii="黑体" w:hAnsi="黑体" w:eastAsia="黑体"/>
          <w:color w:val="auto"/>
          <w:sz w:val="24"/>
          <w:highlight w:val="none"/>
        </w:rPr>
      </w:pPr>
      <w:bookmarkStart w:id="133" w:name="_42.代理服务费"/>
      <w:bookmarkEnd w:id="133"/>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746DB630">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.1代理服务收取标准及缴费账户详见“投标人须知前附表”，投标人为联合体的，可以由联合体中的一方或者多方共同交纳代理服务费。</w:t>
      </w:r>
    </w:p>
    <w:p w14:paraId="4CFF4ADE">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.2代理服务收费标准：</w:t>
      </w:r>
    </w:p>
    <w:p w14:paraId="7C0736F3">
      <w:pPr>
        <w:pStyle w:val="26"/>
        <w:snapToGrid w:val="0"/>
        <w:spacing w:line="360" w:lineRule="auto"/>
        <w:ind w:firstLine="420" w:firstLineChars="200"/>
        <w:rPr>
          <w:rFonts w:hint="eastAsia" w:hAnsi="宋体"/>
          <w:color w:val="auto"/>
          <w:sz w:val="21"/>
          <w:highlight w:val="none"/>
        </w:rPr>
      </w:pPr>
    </w:p>
    <w:tbl>
      <w:tblPr>
        <w:tblStyle w:val="4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6DF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2" w:type="dxa"/>
            <w:tcBorders>
              <w:tl2br w:val="single" w:color="auto" w:sz="4" w:space="0"/>
            </w:tcBorders>
            <w:noWrap w:val="0"/>
            <w:vAlign w:val="top"/>
          </w:tcPr>
          <w:p w14:paraId="0651F50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4DE9F34F">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noWrap w:val="0"/>
            <w:vAlign w:val="center"/>
          </w:tcPr>
          <w:p w14:paraId="2B58561F">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noWrap w:val="0"/>
            <w:vAlign w:val="center"/>
          </w:tcPr>
          <w:p w14:paraId="35CF82EB">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noWrap w:val="0"/>
            <w:vAlign w:val="center"/>
          </w:tcPr>
          <w:p w14:paraId="3D4B3885">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38DC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7440A97">
            <w:pPr>
              <w:spacing w:line="360" w:lineRule="auto"/>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noWrap w:val="0"/>
            <w:vAlign w:val="top"/>
          </w:tcPr>
          <w:p w14:paraId="5BCDE18A">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noWrap w:val="0"/>
            <w:vAlign w:val="top"/>
          </w:tcPr>
          <w:p w14:paraId="315C4911">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noWrap w:val="0"/>
            <w:vAlign w:val="top"/>
          </w:tcPr>
          <w:p w14:paraId="19BFA560">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1.0% </w:t>
            </w:r>
          </w:p>
        </w:tc>
      </w:tr>
      <w:tr w14:paraId="5D0B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67FC088">
            <w:pPr>
              <w:spacing w:line="360" w:lineRule="auto"/>
              <w:rPr>
                <w:rFonts w:hint="eastAsia" w:ascii="宋体" w:hAnsi="宋体"/>
                <w:color w:val="auto"/>
                <w:szCs w:val="21"/>
                <w:highlight w:val="none"/>
              </w:rPr>
            </w:pPr>
            <w:r>
              <w:rPr>
                <w:rFonts w:hint="eastAsia" w:ascii="宋体" w:hAnsi="宋体"/>
                <w:color w:val="auto"/>
                <w:szCs w:val="21"/>
                <w:highlight w:val="none"/>
              </w:rPr>
              <w:t>100～500万元</w:t>
            </w:r>
          </w:p>
        </w:tc>
        <w:tc>
          <w:tcPr>
            <w:tcW w:w="1659" w:type="dxa"/>
            <w:noWrap w:val="0"/>
            <w:vAlign w:val="top"/>
          </w:tcPr>
          <w:p w14:paraId="539A6E31">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687" w:type="dxa"/>
            <w:noWrap w:val="0"/>
            <w:vAlign w:val="top"/>
          </w:tcPr>
          <w:p w14:paraId="7AFAAF4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noWrap w:val="0"/>
            <w:vAlign w:val="top"/>
          </w:tcPr>
          <w:p w14:paraId="7470DE84">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0.7% </w:t>
            </w:r>
          </w:p>
        </w:tc>
      </w:tr>
      <w:tr w14:paraId="6E1C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0F5781E">
            <w:pPr>
              <w:spacing w:line="360" w:lineRule="auto"/>
              <w:rPr>
                <w:rFonts w:hint="eastAsia" w:ascii="宋体" w:hAnsi="宋体"/>
                <w:color w:val="auto"/>
                <w:szCs w:val="21"/>
                <w:highlight w:val="none"/>
              </w:rPr>
            </w:pPr>
            <w:r>
              <w:rPr>
                <w:rFonts w:hint="eastAsia" w:ascii="宋体" w:hAnsi="宋体"/>
                <w:color w:val="auto"/>
                <w:szCs w:val="21"/>
                <w:highlight w:val="none"/>
              </w:rPr>
              <w:t>500～1000万元</w:t>
            </w:r>
          </w:p>
        </w:tc>
        <w:tc>
          <w:tcPr>
            <w:tcW w:w="1659" w:type="dxa"/>
            <w:noWrap w:val="0"/>
            <w:vAlign w:val="top"/>
          </w:tcPr>
          <w:p w14:paraId="04182C3D">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687" w:type="dxa"/>
            <w:noWrap w:val="0"/>
            <w:vAlign w:val="top"/>
          </w:tcPr>
          <w:p w14:paraId="26EEBFB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noWrap w:val="0"/>
            <w:vAlign w:val="top"/>
          </w:tcPr>
          <w:p w14:paraId="5E9453BE">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4CA1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DFABB9D">
            <w:pPr>
              <w:spacing w:line="360" w:lineRule="auto"/>
              <w:rPr>
                <w:rFonts w:hint="eastAsia" w:ascii="宋体" w:hAnsi="宋体"/>
                <w:color w:val="auto"/>
                <w:szCs w:val="21"/>
                <w:highlight w:val="none"/>
              </w:rPr>
            </w:pPr>
            <w:r>
              <w:rPr>
                <w:rFonts w:hint="eastAsia" w:ascii="宋体" w:hAnsi="宋体"/>
                <w:color w:val="auto"/>
                <w:szCs w:val="21"/>
                <w:highlight w:val="none"/>
              </w:rPr>
              <w:t>1000～5000万元</w:t>
            </w:r>
          </w:p>
        </w:tc>
        <w:tc>
          <w:tcPr>
            <w:tcW w:w="1659" w:type="dxa"/>
            <w:noWrap w:val="0"/>
            <w:vAlign w:val="top"/>
          </w:tcPr>
          <w:p w14:paraId="744CD3A9">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687" w:type="dxa"/>
            <w:noWrap w:val="0"/>
            <w:vAlign w:val="top"/>
          </w:tcPr>
          <w:p w14:paraId="4E0DE34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noWrap w:val="0"/>
            <w:vAlign w:val="top"/>
          </w:tcPr>
          <w:p w14:paraId="2B7A4FFC">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0.35% </w:t>
            </w:r>
          </w:p>
        </w:tc>
      </w:tr>
      <w:tr w14:paraId="6348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E071466">
            <w:pPr>
              <w:spacing w:line="360" w:lineRule="auto"/>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noWrap w:val="0"/>
            <w:vAlign w:val="top"/>
          </w:tcPr>
          <w:p w14:paraId="71E9F4BE">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noWrap w:val="0"/>
            <w:vAlign w:val="top"/>
          </w:tcPr>
          <w:p w14:paraId="524E187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noWrap w:val="0"/>
            <w:vAlign w:val="top"/>
          </w:tcPr>
          <w:p w14:paraId="242F8BA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7EA4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B517862">
            <w:pPr>
              <w:spacing w:line="360" w:lineRule="auto"/>
              <w:rPr>
                <w:rFonts w:hint="eastAsia" w:ascii="宋体" w:hAnsi="宋体"/>
                <w:color w:val="auto"/>
                <w:szCs w:val="21"/>
                <w:highlight w:val="none"/>
              </w:rPr>
            </w:pPr>
            <w:r>
              <w:rPr>
                <w:rFonts w:hint="eastAsia" w:ascii="宋体" w:hAnsi="宋体"/>
                <w:color w:val="auto"/>
                <w:szCs w:val="21"/>
                <w:highlight w:val="none"/>
              </w:rPr>
              <w:t>1～5亿元</w:t>
            </w:r>
          </w:p>
        </w:tc>
        <w:tc>
          <w:tcPr>
            <w:tcW w:w="1659" w:type="dxa"/>
            <w:noWrap w:val="0"/>
            <w:vAlign w:val="top"/>
          </w:tcPr>
          <w:p w14:paraId="4D38F63E">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noWrap w:val="0"/>
            <w:vAlign w:val="top"/>
          </w:tcPr>
          <w:p w14:paraId="3E57097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noWrap w:val="0"/>
            <w:vAlign w:val="top"/>
          </w:tcPr>
          <w:p w14:paraId="10250787">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r>
      <w:tr w14:paraId="0AED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20965DA">
            <w:pPr>
              <w:spacing w:line="360" w:lineRule="auto"/>
              <w:rPr>
                <w:rFonts w:hint="eastAsia" w:ascii="宋体" w:hAnsi="宋体"/>
                <w:color w:val="auto"/>
                <w:szCs w:val="21"/>
                <w:highlight w:val="none"/>
              </w:rPr>
            </w:pPr>
            <w:r>
              <w:rPr>
                <w:rFonts w:hint="eastAsia" w:ascii="宋体" w:hAnsi="宋体"/>
                <w:color w:val="auto"/>
                <w:szCs w:val="21"/>
                <w:highlight w:val="none"/>
              </w:rPr>
              <w:t>5～10亿元</w:t>
            </w:r>
          </w:p>
        </w:tc>
        <w:tc>
          <w:tcPr>
            <w:tcW w:w="1659" w:type="dxa"/>
            <w:noWrap w:val="0"/>
            <w:vAlign w:val="top"/>
          </w:tcPr>
          <w:p w14:paraId="5F8528F7">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noWrap w:val="0"/>
            <w:vAlign w:val="top"/>
          </w:tcPr>
          <w:p w14:paraId="6FFC1DF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noWrap w:val="0"/>
            <w:vAlign w:val="top"/>
          </w:tcPr>
          <w:p w14:paraId="4AF7DE67">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134F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4511369">
            <w:pPr>
              <w:spacing w:line="360" w:lineRule="auto"/>
              <w:rPr>
                <w:rFonts w:hint="eastAsia" w:ascii="宋体" w:hAnsi="宋体"/>
                <w:color w:val="auto"/>
                <w:szCs w:val="21"/>
                <w:highlight w:val="none"/>
              </w:rPr>
            </w:pPr>
            <w:r>
              <w:rPr>
                <w:rFonts w:hint="eastAsia" w:ascii="宋体" w:hAnsi="宋体"/>
                <w:color w:val="auto"/>
                <w:szCs w:val="21"/>
                <w:highlight w:val="none"/>
              </w:rPr>
              <w:t>10～50亿元</w:t>
            </w:r>
          </w:p>
        </w:tc>
        <w:tc>
          <w:tcPr>
            <w:tcW w:w="1659" w:type="dxa"/>
            <w:noWrap w:val="0"/>
            <w:vAlign w:val="top"/>
          </w:tcPr>
          <w:p w14:paraId="4C69A67C">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noWrap w:val="0"/>
            <w:vAlign w:val="top"/>
          </w:tcPr>
          <w:p w14:paraId="15ADADE0">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noWrap w:val="0"/>
            <w:vAlign w:val="top"/>
          </w:tcPr>
          <w:p w14:paraId="2447FCEB">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305F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A2DDE86">
            <w:pPr>
              <w:spacing w:line="360" w:lineRule="auto"/>
              <w:rPr>
                <w:rFonts w:hint="eastAsia" w:ascii="宋体" w:hAnsi="宋体"/>
                <w:color w:val="auto"/>
                <w:szCs w:val="21"/>
                <w:highlight w:val="none"/>
              </w:rPr>
            </w:pPr>
            <w:r>
              <w:rPr>
                <w:rFonts w:hint="eastAsia" w:ascii="宋体" w:hAnsi="宋体"/>
                <w:color w:val="auto"/>
                <w:szCs w:val="21"/>
                <w:highlight w:val="none"/>
              </w:rPr>
              <w:t>50～100亿元</w:t>
            </w:r>
          </w:p>
        </w:tc>
        <w:tc>
          <w:tcPr>
            <w:tcW w:w="1659" w:type="dxa"/>
            <w:noWrap w:val="0"/>
            <w:vAlign w:val="top"/>
          </w:tcPr>
          <w:p w14:paraId="708DB0B9">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noWrap w:val="0"/>
            <w:vAlign w:val="top"/>
          </w:tcPr>
          <w:p w14:paraId="3BA3E6F0">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noWrap w:val="0"/>
            <w:vAlign w:val="top"/>
          </w:tcPr>
          <w:p w14:paraId="781BEBE1">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32B8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308294B">
            <w:pPr>
              <w:spacing w:line="360" w:lineRule="auto"/>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noWrap w:val="0"/>
            <w:vAlign w:val="top"/>
          </w:tcPr>
          <w:p w14:paraId="64E50D6E">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noWrap w:val="0"/>
            <w:vAlign w:val="top"/>
          </w:tcPr>
          <w:p w14:paraId="3F760107">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noWrap w:val="0"/>
            <w:vAlign w:val="top"/>
          </w:tcPr>
          <w:p w14:paraId="6929B5D7">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5C528DBC">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1F1C32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7A601F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324D6D1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224D858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3F5B395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×0.8%＝0.8万元</w:t>
      </w:r>
    </w:p>
    <w:p w14:paraId="6BA8C65C">
      <w:pPr>
        <w:pStyle w:val="26"/>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33195FE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xml:space="preserve">32.9 </w:t>
      </w:r>
      <w:r>
        <w:rPr>
          <w:rFonts w:hint="eastAsia" w:ascii="宋体" w:hAnsi="宋体" w:cs="宋体"/>
          <w:color w:val="auto"/>
          <w:szCs w:val="21"/>
          <w:highlight w:val="none"/>
        </w:rPr>
        <w:t>代理服务费交纳</w:t>
      </w:r>
      <w:r>
        <w:rPr>
          <w:rFonts w:ascii="宋体" w:hAnsi="宋体" w:cs="宋体"/>
          <w:color w:val="auto"/>
          <w:szCs w:val="21"/>
          <w:highlight w:val="none"/>
        </w:rPr>
        <w:t>银行帐号信息</w:t>
      </w:r>
    </w:p>
    <w:p w14:paraId="620DA586">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开户名称：广西科文招标有限公司南宁三分公司</w:t>
      </w:r>
    </w:p>
    <w:p w14:paraId="6E9FDDE2">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开户银行：广西北部湾银行股份有限公司南宁市云景支行</w:t>
      </w:r>
    </w:p>
    <w:p w14:paraId="79A3B3CC">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银行账号：805029874400001</w:t>
      </w:r>
    </w:p>
    <w:p w14:paraId="2DAA35B3">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40. 需要补充的其他内容</w:t>
      </w:r>
    </w:p>
    <w:p w14:paraId="3C30FADA">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35B192D4">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676BA07A">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40.3</w:t>
      </w:r>
      <w:bookmarkStart w:id="134"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招标文件规定的中小企业扶持政策：</w:t>
      </w:r>
    </w:p>
    <w:p w14:paraId="1778F615">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05996E8">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1FF17AA4">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4DCCB71">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投标人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43B46396">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4"/>
    </w:p>
    <w:p w14:paraId="198829E1">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lang w:val="en-US" w:eastAsia="zh-CN"/>
        </w:rPr>
        <w:t>40.4</w:t>
      </w:r>
      <w:r>
        <w:rPr>
          <w:rFonts w:hint="eastAsia" w:hAnsi="宋体" w:cs="宋体"/>
          <w:color w:val="auto"/>
          <w:sz w:val="21"/>
          <w:highlight w:val="none"/>
        </w:rPr>
        <w:t>本国产品标准</w:t>
      </w:r>
    </w:p>
    <w:p w14:paraId="1BBD1C52">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本国产品应当符合以下条件：</w:t>
      </w:r>
    </w:p>
    <w:p w14:paraId="2F58D19F">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（一）在中国境内生产</w:t>
      </w:r>
    </w:p>
    <w:p w14:paraId="37D8D029">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产品应当在中国境内生产，即在中华人民共和国关境内实现从原材料、组件到产品的属性改变。</w:t>
      </w:r>
    </w:p>
    <w:p w14:paraId="09681E4E">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属性改变是指经过制造、加工或者组装等工序，产生完全不同于原材料、组件的新产品，并具有新的名称和特征（用途）。属性改变不包括以下细微操作：</w:t>
      </w:r>
    </w:p>
    <w:p w14:paraId="5B2BF899">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1.为确保产品在运输或者储存期间保持某种状态而进行的操作；</w:t>
      </w:r>
    </w:p>
    <w:p w14:paraId="2E60FA97">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2.为产品运输或者销售进行的包装或者展示；</w:t>
      </w:r>
    </w:p>
    <w:p w14:paraId="4C938744">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3.在产品或者其包装上粘贴或者印刷品牌、标志、标识以及其他用于区别的标记；</w:t>
      </w:r>
    </w:p>
    <w:p w14:paraId="6717DBB5">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4.简单的上漆、磨光和分装；</w:t>
      </w:r>
    </w:p>
    <w:p w14:paraId="50C1D45D">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5.其他不属于属性改变的情形。</w:t>
      </w:r>
    </w:p>
    <w:p w14:paraId="625831AF">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（二）在中国境内生产的组件成本占比达到规定比例</w:t>
      </w:r>
    </w:p>
    <w:p w14:paraId="4C234E79">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产品在中国境内生产的组件成本占比应当达到规定比例，计算公式为：</w:t>
      </w:r>
    </w:p>
    <w:p w14:paraId="3CA95C43">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drawing>
          <wp:inline distT="0" distB="0" distL="114300" distR="114300">
            <wp:extent cx="4829175" cy="762000"/>
            <wp:effectExtent l="0" t="0" r="9525"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4"/>
                    <a:stretch>
                      <a:fillRect/>
                    </a:stretch>
                  </pic:blipFill>
                  <pic:spPr>
                    <a:xfrm>
                      <a:off x="0" y="0"/>
                      <a:ext cx="4829175" cy="762000"/>
                    </a:xfrm>
                    <a:prstGeom prst="rect">
                      <a:avLst/>
                    </a:prstGeom>
                    <a:noFill/>
                    <a:ln w="9525">
                      <a:noFill/>
                    </a:ln>
                  </pic:spPr>
                </pic:pic>
              </a:graphicData>
            </a:graphic>
          </wp:inline>
        </w:drawing>
      </w:r>
    </w:p>
    <w:p w14:paraId="33A5C3C4">
      <w:pPr>
        <w:pStyle w:val="26"/>
        <w:spacing w:before="120" w:after="120" w:line="360" w:lineRule="auto"/>
        <w:ind w:firstLine="420" w:firstLineChars="200"/>
        <w:contextualSpacing/>
        <w:rPr>
          <w:rFonts w:hint="eastAsia" w:hAnsi="宋体" w:cs="宋体"/>
          <w:color w:val="auto"/>
          <w:sz w:val="21"/>
          <w:highlight w:val="none"/>
        </w:rPr>
      </w:pPr>
    </w:p>
    <w:p w14:paraId="351F47B4">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D0D656D">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（三）特定产品的关键组件、关键工序符合相关要求</w:t>
      </w:r>
    </w:p>
    <w:p w14:paraId="709B69E5">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对特定产品，在符合本通知第一条第（一）项和第（二）项条件的基础上，应当符合财政部会同有关行业主管部门确定的其关键组件、关键工序在中国境内生产、完成等要求。</w:t>
      </w:r>
    </w:p>
    <w:p w14:paraId="573C15DD">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6DE9BB1">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40.5本国产品标准的适用范围</w:t>
      </w:r>
    </w:p>
    <w:p w14:paraId="68A71358">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143598A">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40.6对本国产品的支持政策</w:t>
      </w:r>
    </w:p>
    <w:p w14:paraId="0E7ABA12">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6C04194D">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3DA6EBD">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40.7政府采购异常低价审查</w:t>
      </w:r>
    </w:p>
    <w:p w14:paraId="7C9AA702">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（一）政府采购评审中出现下列情形之一的，评审委员会应当启动异常低价投标（响应）审查程序：</w:t>
      </w:r>
    </w:p>
    <w:p w14:paraId="11653D10">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1.投标（响应）报价低于全部通过符合性审查供应商投标（响应）报价平均值50%的，即投标（响应）报价&lt;全部通过符合性审查供应商投标（响应）报价平均值×50%；</w:t>
      </w:r>
    </w:p>
    <w:p w14:paraId="586DA7B1">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2.投标（响应）报价低于通过符合性审查的次低报价供应商投标（响应）报价50%的，即投标（响应）报价&lt;通过符合性审查的次低报价供应商投标（响应）报价×50%；</w:t>
      </w:r>
    </w:p>
    <w:p w14:paraId="2BE7242F">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3.投标（响应）报价低于采购项目最高限价45%的，即投标（响应）报价&lt;采购项目最高限价×45%；</w:t>
      </w:r>
    </w:p>
    <w:p w14:paraId="2B13C164">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4.评审委员会基于专业判断，认为供应商报价过低，有可能影响产品质量或者不能诚信履约的其他情形。</w:t>
      </w:r>
    </w:p>
    <w:p w14:paraId="7D5BBA54">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相关法律法规对供应商报价有规定的，从其规定。</w:t>
      </w:r>
    </w:p>
    <w:p w14:paraId="11DD5BE3">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29A76DE">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A04F2CD">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2EC6AE2">
      <w:pPr>
        <w:pStyle w:val="26"/>
        <w:spacing w:before="120" w:after="120" w:line="360" w:lineRule="auto"/>
        <w:ind w:firstLine="420" w:firstLineChars="200"/>
        <w:contextualSpacing/>
        <w:rPr>
          <w:rFonts w:hint="default" w:hAnsi="宋体" w:cs="宋体"/>
          <w:color w:val="auto"/>
          <w:sz w:val="21"/>
          <w:highlight w:val="none"/>
          <w:lang w:val="en-US" w:eastAsia="zh-CN"/>
        </w:rPr>
      </w:pPr>
      <w:r>
        <w:rPr>
          <w:rFonts w:hint="eastAsia" w:hAnsi="宋体" w:cs="宋体"/>
          <w:color w:val="auto"/>
          <w:sz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22A54CA4">
      <w:pPr>
        <w:pStyle w:val="26"/>
        <w:spacing w:before="120" w:after="120" w:line="360" w:lineRule="auto"/>
        <w:ind w:firstLine="420" w:firstLineChars="200"/>
        <w:contextualSpacing/>
        <w:rPr>
          <w:rFonts w:hint="default" w:hAnsi="宋体" w:cs="宋体"/>
          <w:color w:val="auto"/>
          <w:sz w:val="21"/>
          <w:highlight w:val="none"/>
          <w:lang w:val="en-US" w:eastAsia="zh-CN"/>
        </w:rPr>
      </w:pPr>
    </w:p>
    <w:p w14:paraId="7F7F733C">
      <w:pPr>
        <w:pStyle w:val="26"/>
        <w:spacing w:before="120" w:after="120" w:line="360" w:lineRule="auto"/>
        <w:ind w:firstLine="420" w:firstLineChars="200"/>
        <w:contextualSpacing/>
        <w:rPr>
          <w:rFonts w:hint="default" w:hAnsi="宋体" w:eastAsia="宋体" w:cs="宋体"/>
          <w:color w:val="auto"/>
          <w:sz w:val="21"/>
          <w:highlight w:val="none"/>
          <w:lang w:val="en-US" w:eastAsia="zh-CN"/>
        </w:rPr>
      </w:pPr>
    </w:p>
    <w:p w14:paraId="7B6D70DE">
      <w:pPr>
        <w:pStyle w:val="20"/>
        <w:ind w:left="479" w:leftChars="114" w:hanging="240" w:hangingChars="100"/>
        <w:rPr>
          <w:rFonts w:hAnsi="宋体"/>
          <w:color w:val="auto"/>
          <w:highlight w:val="none"/>
        </w:rPr>
      </w:pPr>
    </w:p>
    <w:p w14:paraId="773DD5D1">
      <w:pPr>
        <w:pStyle w:val="20"/>
        <w:ind w:left="479" w:leftChars="114" w:hanging="240" w:hangingChars="100"/>
        <w:rPr>
          <w:rFonts w:hAnsi="宋体"/>
          <w:color w:val="auto"/>
          <w:highlight w:val="none"/>
        </w:rPr>
      </w:pPr>
    </w:p>
    <w:p w14:paraId="6BBEE6FC">
      <w:pPr>
        <w:pStyle w:val="20"/>
        <w:ind w:left="479" w:leftChars="114" w:hanging="240" w:hangingChars="100"/>
        <w:rPr>
          <w:rFonts w:hAnsi="宋体"/>
          <w:color w:val="auto"/>
          <w:highlight w:val="none"/>
        </w:rPr>
      </w:pPr>
    </w:p>
    <w:p w14:paraId="5F6DE1AA">
      <w:pPr>
        <w:pStyle w:val="20"/>
        <w:ind w:left="479" w:leftChars="114" w:hanging="240" w:hangingChars="100"/>
        <w:rPr>
          <w:rFonts w:hint="eastAsia" w:hAnsi="宋体"/>
          <w:color w:val="auto"/>
          <w:highlight w:val="none"/>
        </w:rPr>
      </w:pPr>
    </w:p>
    <w:p w14:paraId="16FB7BCB">
      <w:pPr>
        <w:pStyle w:val="26"/>
        <w:snapToGrid w:val="0"/>
        <w:spacing w:before="120" w:after="120"/>
        <w:rPr>
          <w:rFonts w:hint="eastAsia" w:hAnsi="宋体"/>
          <w:color w:val="auto"/>
          <w:highlight w:val="none"/>
        </w:rPr>
      </w:pPr>
    </w:p>
    <w:p w14:paraId="46174001">
      <w:pPr>
        <w:pStyle w:val="26"/>
        <w:snapToGrid w:val="0"/>
        <w:spacing w:before="120" w:after="120"/>
        <w:rPr>
          <w:rFonts w:hint="eastAsia" w:hAnsi="宋体"/>
          <w:color w:val="auto"/>
          <w:highlight w:val="none"/>
        </w:rPr>
      </w:pPr>
    </w:p>
    <w:p w14:paraId="6C81D836">
      <w:pPr>
        <w:pStyle w:val="26"/>
        <w:snapToGrid w:val="0"/>
        <w:spacing w:before="120" w:after="120"/>
        <w:rPr>
          <w:rFonts w:hint="eastAsia" w:hAnsi="宋体"/>
          <w:color w:val="auto"/>
          <w:highlight w:val="none"/>
        </w:rPr>
      </w:pPr>
    </w:p>
    <w:p w14:paraId="492C911A">
      <w:pPr>
        <w:pStyle w:val="26"/>
        <w:snapToGrid w:val="0"/>
        <w:spacing w:before="120" w:after="120"/>
        <w:rPr>
          <w:rFonts w:hint="eastAsia" w:hAnsi="宋体"/>
          <w:color w:val="auto"/>
          <w:highlight w:val="none"/>
        </w:rPr>
      </w:pPr>
    </w:p>
    <w:p w14:paraId="29A791DB">
      <w:pPr>
        <w:pStyle w:val="26"/>
        <w:snapToGrid w:val="0"/>
        <w:spacing w:before="120" w:after="120"/>
        <w:rPr>
          <w:rFonts w:hint="eastAsia" w:hAnsi="宋体"/>
          <w:color w:val="auto"/>
          <w:highlight w:val="none"/>
        </w:rPr>
      </w:pPr>
    </w:p>
    <w:p w14:paraId="39BE35D5">
      <w:pPr>
        <w:pStyle w:val="26"/>
        <w:snapToGrid w:val="0"/>
        <w:spacing w:before="120" w:after="120"/>
        <w:rPr>
          <w:rFonts w:hint="eastAsia" w:hAnsi="宋体"/>
          <w:color w:val="auto"/>
          <w:highlight w:val="none"/>
        </w:rPr>
      </w:pPr>
    </w:p>
    <w:p w14:paraId="1126E849">
      <w:pPr>
        <w:pStyle w:val="2"/>
        <w:jc w:val="center"/>
        <w:rPr>
          <w:rFonts w:hint="eastAsia"/>
          <w:color w:val="auto"/>
          <w:highlight w:val="none"/>
        </w:rPr>
      </w:pPr>
      <w:bookmarkStart w:id="135" w:name="_Toc330456896"/>
      <w:bookmarkStart w:id="136" w:name="_Toc22041"/>
      <w:bookmarkStart w:id="137" w:name="_Toc254970689"/>
      <w:bookmarkStart w:id="138" w:name="_Toc254970548"/>
      <w:r>
        <w:rPr>
          <w:rFonts w:hint="eastAsia"/>
          <w:color w:val="auto"/>
          <w:highlight w:val="none"/>
        </w:rPr>
        <w:t>第四章  评标方法及评标标准</w:t>
      </w:r>
      <w:bookmarkEnd w:id="135"/>
      <w:bookmarkEnd w:id="136"/>
      <w:bookmarkEnd w:id="137"/>
      <w:bookmarkEnd w:id="138"/>
    </w:p>
    <w:p w14:paraId="63542D06">
      <w:pPr>
        <w:pStyle w:val="26"/>
        <w:spacing w:before="120" w:after="120"/>
        <w:outlineLvl w:val="0"/>
        <w:rPr>
          <w:rFonts w:hint="eastAsia" w:hAnsi="宋体"/>
          <w:b/>
          <w:color w:val="auto"/>
          <w:highlight w:val="none"/>
        </w:rPr>
      </w:pPr>
      <w:bookmarkStart w:id="139" w:name="_Toc254970690"/>
      <w:bookmarkStart w:id="140" w:name="_Toc254970549"/>
    </w:p>
    <w:bookmarkEnd w:id="139"/>
    <w:bookmarkEnd w:id="140"/>
    <w:p w14:paraId="56062313">
      <w:pPr>
        <w:pStyle w:val="26"/>
        <w:spacing w:before="120" w:after="120"/>
        <w:outlineLvl w:val="0"/>
        <w:rPr>
          <w:rFonts w:hint="eastAsia" w:hAnsi="宋体"/>
          <w:bCs/>
          <w:color w:val="auto"/>
          <w:sz w:val="32"/>
          <w:szCs w:val="32"/>
          <w:highlight w:val="none"/>
        </w:rPr>
      </w:pPr>
    </w:p>
    <w:p w14:paraId="5937ADC9">
      <w:pPr>
        <w:pStyle w:val="26"/>
        <w:spacing w:before="120" w:after="120"/>
        <w:outlineLvl w:val="0"/>
        <w:rPr>
          <w:rFonts w:hint="eastAsia" w:hAnsi="宋体"/>
          <w:bCs/>
          <w:color w:val="auto"/>
          <w:sz w:val="32"/>
          <w:szCs w:val="32"/>
          <w:highlight w:val="none"/>
        </w:rPr>
      </w:pPr>
    </w:p>
    <w:p w14:paraId="2937DC36">
      <w:pPr>
        <w:pStyle w:val="26"/>
        <w:spacing w:before="120" w:after="120"/>
        <w:outlineLvl w:val="0"/>
        <w:rPr>
          <w:rFonts w:hint="eastAsia" w:hAnsi="宋体"/>
          <w:bCs/>
          <w:color w:val="auto"/>
          <w:sz w:val="32"/>
          <w:szCs w:val="32"/>
          <w:highlight w:val="none"/>
        </w:rPr>
      </w:pPr>
    </w:p>
    <w:p w14:paraId="7541DD08">
      <w:pPr>
        <w:spacing w:before="120" w:beforeLines="50" w:after="120" w:afterLines="50" w:line="400" w:lineRule="exact"/>
        <w:rPr>
          <w:rFonts w:hint="eastAsia" w:ascii="宋体" w:hAnsi="宋体"/>
          <w:b/>
          <w:color w:val="auto"/>
          <w:sz w:val="24"/>
          <w:highlight w:val="none"/>
        </w:rPr>
      </w:pPr>
    </w:p>
    <w:p w14:paraId="1F412162">
      <w:pPr>
        <w:spacing w:before="120" w:beforeLines="50" w:after="120" w:afterLines="50" w:line="400" w:lineRule="exact"/>
        <w:rPr>
          <w:rFonts w:hint="eastAsia" w:ascii="宋体" w:hAnsi="宋体"/>
          <w:b/>
          <w:color w:val="auto"/>
          <w:sz w:val="24"/>
          <w:highlight w:val="none"/>
        </w:rPr>
      </w:pPr>
    </w:p>
    <w:p w14:paraId="2B892785">
      <w:pPr>
        <w:spacing w:before="120" w:beforeLines="50" w:after="120" w:afterLines="50" w:line="400" w:lineRule="exact"/>
        <w:rPr>
          <w:rFonts w:hint="eastAsia" w:ascii="宋体" w:hAnsi="宋体"/>
          <w:b/>
          <w:color w:val="auto"/>
          <w:sz w:val="24"/>
          <w:highlight w:val="none"/>
        </w:rPr>
      </w:pPr>
    </w:p>
    <w:p w14:paraId="021D3C9D">
      <w:pPr>
        <w:spacing w:before="120" w:beforeLines="50" w:after="120" w:afterLines="50" w:line="400" w:lineRule="exact"/>
        <w:rPr>
          <w:rFonts w:hint="eastAsia" w:ascii="宋体" w:hAnsi="宋体"/>
          <w:b/>
          <w:color w:val="auto"/>
          <w:sz w:val="24"/>
          <w:highlight w:val="none"/>
        </w:rPr>
      </w:pPr>
    </w:p>
    <w:p w14:paraId="3B6013F5">
      <w:pPr>
        <w:spacing w:before="120" w:beforeLines="50" w:after="120" w:afterLines="50" w:line="400" w:lineRule="exact"/>
        <w:rPr>
          <w:rFonts w:hint="eastAsia" w:ascii="宋体" w:hAnsi="宋体"/>
          <w:b/>
          <w:color w:val="auto"/>
          <w:sz w:val="24"/>
          <w:highlight w:val="none"/>
        </w:rPr>
      </w:pPr>
    </w:p>
    <w:p w14:paraId="011CFAFD">
      <w:pPr>
        <w:spacing w:before="120" w:beforeLines="50" w:after="120" w:afterLines="50" w:line="400" w:lineRule="exact"/>
        <w:rPr>
          <w:rFonts w:hint="eastAsia" w:ascii="宋体" w:hAnsi="宋体"/>
          <w:b/>
          <w:color w:val="auto"/>
          <w:sz w:val="24"/>
          <w:highlight w:val="none"/>
        </w:rPr>
      </w:pPr>
    </w:p>
    <w:p w14:paraId="4E0CEE4F">
      <w:pPr>
        <w:spacing w:before="120" w:beforeLines="50" w:after="120" w:afterLines="50" w:line="400" w:lineRule="exact"/>
        <w:rPr>
          <w:rFonts w:hint="eastAsia" w:ascii="宋体" w:hAnsi="宋体"/>
          <w:b/>
          <w:color w:val="auto"/>
          <w:sz w:val="24"/>
          <w:highlight w:val="none"/>
        </w:rPr>
      </w:pPr>
    </w:p>
    <w:p w14:paraId="5AED94F0">
      <w:pPr>
        <w:pStyle w:val="26"/>
        <w:spacing w:line="360" w:lineRule="exact"/>
        <w:rPr>
          <w:rFonts w:hint="eastAsia" w:hAnsi="宋体"/>
          <w:b/>
          <w:color w:val="auto"/>
          <w:sz w:val="24"/>
          <w:highlight w:val="none"/>
        </w:rPr>
      </w:pPr>
    </w:p>
    <w:p w14:paraId="47283005">
      <w:pPr>
        <w:pStyle w:val="4"/>
        <w:keepNext w:val="0"/>
        <w:keepLines w:val="0"/>
        <w:jc w:val="center"/>
        <w:rPr>
          <w:color w:val="auto"/>
          <w:sz w:val="30"/>
          <w:szCs w:val="30"/>
          <w:highlight w:val="none"/>
        </w:rPr>
      </w:pPr>
      <w:r>
        <w:rPr>
          <w:color w:val="auto"/>
          <w:sz w:val="30"/>
          <w:szCs w:val="30"/>
          <w:highlight w:val="none"/>
        </w:rPr>
        <w:br w:type="page"/>
      </w:r>
      <w:r>
        <w:rPr>
          <w:rFonts w:hint="eastAsia"/>
          <w:color w:val="auto"/>
          <w:sz w:val="30"/>
          <w:szCs w:val="30"/>
          <w:highlight w:val="none"/>
        </w:rPr>
        <w:t>一、评标方法</w:t>
      </w:r>
    </w:p>
    <w:p w14:paraId="04B24F53">
      <w:pPr>
        <w:pStyle w:val="26"/>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2E1CD3B3">
      <w:pPr>
        <w:pStyle w:val="26"/>
        <w:spacing w:line="360" w:lineRule="auto"/>
        <w:ind w:firstLine="420"/>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0F23C27A">
      <w:pPr>
        <w:pStyle w:val="4"/>
        <w:keepNext w:val="0"/>
        <w:keepLines w:val="0"/>
        <w:jc w:val="center"/>
        <w:rPr>
          <w:rFonts w:hint="eastAsia"/>
          <w:color w:val="auto"/>
          <w:sz w:val="30"/>
          <w:szCs w:val="30"/>
          <w:highlight w:val="none"/>
        </w:rPr>
      </w:pPr>
      <w:r>
        <w:rPr>
          <w:rFonts w:hint="eastAsia"/>
          <w:color w:val="auto"/>
          <w:sz w:val="30"/>
          <w:szCs w:val="30"/>
          <w:highlight w:val="none"/>
        </w:rPr>
        <w:t>二、评标程序</w:t>
      </w:r>
    </w:p>
    <w:p w14:paraId="05AFA1CA">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001686F4">
      <w:pPr>
        <w:pStyle w:val="26"/>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161ABADA">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3736B254">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51EF0ABD">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304A414C">
      <w:pPr>
        <w:pStyle w:val="8"/>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038B5A4B">
      <w:pPr>
        <w:pStyle w:val="8"/>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6B47F6A2">
      <w:pPr>
        <w:pStyle w:val="8"/>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58950F7D">
      <w:pPr>
        <w:pStyle w:val="8"/>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D1B54A1">
      <w:pPr>
        <w:pStyle w:val="8"/>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2D806ECC">
      <w:pPr>
        <w:pStyle w:val="8"/>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51DF1FD8">
      <w:pPr>
        <w:pStyle w:val="8"/>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8874C19">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5516612E">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64C570BE">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2CB7325B">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4A5CE632">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2F4CC7AC">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50A2102D">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4F8B9DFB">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51202809">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5BC35BFF">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4E53E533">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2FCF68C7">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102727AA">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71520D4C">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03D99A0B">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715F3E13">
      <w:pPr>
        <w:pStyle w:val="21"/>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（1）技术要求评审允许负偏离的条款数超过“投标人须知前附表”规定项数的；</w:t>
      </w:r>
    </w:p>
    <w:p w14:paraId="628A9CCF">
      <w:pPr>
        <w:pStyle w:val="21"/>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6C1A6FC6">
      <w:pPr>
        <w:pStyle w:val="21"/>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314586EF">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41"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41"/>
    </w:p>
    <w:p w14:paraId="4672DEA0">
      <w:pPr>
        <w:pStyle w:val="21"/>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3B243710">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2.4通过符合性审查的投标人不足3家，评标委员会不得继续评标，并出具评标报告。</w:t>
      </w:r>
    </w:p>
    <w:p w14:paraId="341E88D7">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316CE12D">
      <w:pPr>
        <w:snapToGrid w:val="0"/>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w:t>
      </w:r>
      <w:r>
        <w:rPr>
          <w:rFonts w:hint="eastAsia" w:ascii="宋体" w:hAnsi="宋体" w:cs="宋体"/>
          <w:color w:val="auto"/>
          <w:szCs w:val="21"/>
          <w:highlight w:val="none"/>
        </w:rPr>
        <w:t>电子澄清函形式</w:t>
      </w:r>
      <w:r>
        <w:rPr>
          <w:rFonts w:hint="eastAsia" w:ascii="宋体" w:hAnsi="宋体" w:cs="Courier New"/>
          <w:color w:val="auto"/>
          <w:szCs w:val="21"/>
          <w:highlight w:val="none"/>
        </w:rPr>
        <w:t>要求投标人在规定时间内作出必要的澄清、说明或者纠正。投标人的澄清、说明或者补正必须采用</w:t>
      </w:r>
      <w:r>
        <w:rPr>
          <w:rFonts w:hint="eastAsia" w:ascii="宋体" w:hAnsi="宋体" w:cs="宋体"/>
          <w:color w:val="auto"/>
          <w:szCs w:val="21"/>
          <w:highlight w:val="none"/>
        </w:rPr>
        <w:t>电子回函形式</w:t>
      </w:r>
      <w:r>
        <w:rPr>
          <w:rFonts w:hint="eastAsia" w:ascii="宋体" w:hAnsi="宋体" w:cs="Courier New"/>
          <w:color w:val="auto"/>
          <w:szCs w:val="21"/>
          <w:highlight w:val="none"/>
        </w:rPr>
        <w:t>，并加盖投标人公章，或者由法定代表人或者其授权的代表签字。投标人的澄清、说明或者补正不得超出投标文件的范围或者改变投标文件的实质性内容。</w:t>
      </w:r>
    </w:p>
    <w:p w14:paraId="7DBC00A9">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2F2CD269">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557743AB">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6CEE6DD2">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264437AC">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28FAC565">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261107E7">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5B2E9D0D">
      <w:pPr>
        <w:pStyle w:val="6"/>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67894018">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4122200A">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1C8732E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712ED16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599B1F4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6E577C9A">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政府采购异常低价审查</w:t>
      </w:r>
    </w:p>
    <w:p w14:paraId="01AED15D">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（一）政府采购评审中出现下列情形之一的，评审委员会应当启动异常低价投标（响应）审查程序：</w:t>
      </w:r>
    </w:p>
    <w:p w14:paraId="081E4628">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1.投标（响应）报价低于全部通过符合性审查供应商投标（响应）报价平均值50%的，即投标（响应）报价&lt;全部通过符合性审查供应商投标（响应）报价平均值×50%；</w:t>
      </w:r>
    </w:p>
    <w:p w14:paraId="1B60CB21">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2.投标（响应）报价低于通过符合性审查的次低报价供应商投标（响应）报价50%的，即投标（响应）报价&lt;通过符合性审查的次低报价供应商投标（响应）报价×50%；</w:t>
      </w:r>
    </w:p>
    <w:p w14:paraId="12706477">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3.投标（响应）报价低于采购项目最高限价45%的，即投标（响应）报价&lt;采购项目最高限价×45%；</w:t>
      </w:r>
    </w:p>
    <w:p w14:paraId="3FCE7518">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4.评审委员会基于专业判断，认为供应商报价过低，有可能影响产品质量或者不能诚信履约的其他情形。</w:t>
      </w:r>
    </w:p>
    <w:p w14:paraId="25439509">
      <w:pPr>
        <w:pStyle w:val="26"/>
        <w:spacing w:before="120" w:after="120" w:line="360" w:lineRule="auto"/>
        <w:ind w:firstLine="420" w:firstLineChars="200"/>
        <w:contextualSpacing/>
        <w:rPr>
          <w:rFonts w:hint="eastAsia" w:ascii="宋体" w:hAnsi="宋体"/>
          <w:color w:val="auto"/>
          <w:szCs w:val="21"/>
          <w:highlight w:val="none"/>
        </w:rPr>
      </w:pPr>
      <w:r>
        <w:rPr>
          <w:rFonts w:hint="eastAsia" w:hAnsi="宋体" w:cs="宋体"/>
          <w:color w:val="auto"/>
          <w:sz w:val="21"/>
          <w:highlight w:val="none"/>
          <w:lang w:val="en-US" w:eastAsia="zh-CN"/>
        </w:rPr>
        <w:t>相关法律法规对供应商报价有规定的，从其规定。</w:t>
      </w:r>
    </w:p>
    <w:p w14:paraId="54490B4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1AA1FAB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5E71A66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5E562CF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299BD9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701CEDFE">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1D1A0AD4">
      <w:pPr>
        <w:pStyle w:val="26"/>
        <w:spacing w:before="120" w:after="120" w:line="360" w:lineRule="auto"/>
        <w:ind w:firstLine="376" w:firstLineChars="200"/>
        <w:contextualSpacing/>
        <w:rPr>
          <w:rFonts w:hint="eastAsia" w:hAnsi="宋体" w:cs="宋体"/>
          <w:color w:val="auto"/>
          <w:sz w:val="21"/>
          <w:highlight w:val="none"/>
          <w:lang w:val="en-US" w:eastAsia="zh-CN"/>
        </w:rPr>
      </w:pPr>
      <w:r>
        <w:rPr>
          <w:rFonts w:hint="eastAsia" w:ascii="宋体" w:hAnsi="宋体"/>
          <w:color w:val="auto"/>
          <w:spacing w:val="-6"/>
          <w:szCs w:val="21"/>
          <w:highlight w:val="none"/>
        </w:rPr>
        <w:t>（2）</w:t>
      </w:r>
      <w:r>
        <w:rPr>
          <w:rFonts w:hint="eastAsia" w:hAnsi="宋体" w:cs="宋体"/>
          <w:color w:val="auto"/>
          <w:sz w:val="21"/>
          <w:highlight w:val="none"/>
          <w:lang w:val="en-US" w:eastAsia="zh-CN"/>
        </w:rPr>
        <w:t>政府采购异常低价审查</w:t>
      </w:r>
    </w:p>
    <w:p w14:paraId="2DE15136">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（一）政府采购评审中出现下列情形之一的，评审委员会应当启动异常低价投标（响应）审查程序：</w:t>
      </w:r>
    </w:p>
    <w:p w14:paraId="7F9ABD44">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1.投标（响应）报价低于全部通过符合性审查供应商投标（响应）报价平均值50%的，即投标（响应）报价&lt;全部通过符合性审查供应商投标（响应）报价平均值×50%；</w:t>
      </w:r>
    </w:p>
    <w:p w14:paraId="2DA6CDF3">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2.投标（响应）报价低于通过符合性审查的次低报价供应商投标（响应）报价50%的，即投标（响应）报价&lt;通过符合性审查的次低报价供应商投标（响应）报价×50%；</w:t>
      </w:r>
    </w:p>
    <w:p w14:paraId="3E9DA7EC">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3.投标（响应）报价低于采购项目最高限价45%的，即投标（响应）报价&lt;采购项目最高限价×45%；</w:t>
      </w:r>
    </w:p>
    <w:p w14:paraId="1D918EE9">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4.评审委员会基于专业判断，认为供应商报价过低，有可能影响产品质量或者不能诚信履约的其他情形。</w:t>
      </w:r>
    </w:p>
    <w:p w14:paraId="37EE7524">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相关法律法规对供应商报价有规定的，从其规定。</w:t>
      </w:r>
    </w:p>
    <w:p w14:paraId="71D2365F">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03C5BAA9">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0D508F7">
      <w:pPr>
        <w:snapToGrid w:val="0"/>
        <w:spacing w:line="360" w:lineRule="auto"/>
        <w:jc w:val="center"/>
        <w:rPr>
          <w:rFonts w:hint="eastAsia"/>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11E648ED">
      <w:pPr>
        <w:pStyle w:val="26"/>
        <w:spacing w:line="400" w:lineRule="exact"/>
        <w:ind w:firstLine="48" w:firstLineChars="20"/>
        <w:rPr>
          <w:rFonts w:hint="eastAsia" w:hAnsi="宋体" w:cs="宋体"/>
          <w:bCs/>
          <w:color w:val="auto"/>
          <w:sz w:val="24"/>
          <w:szCs w:val="24"/>
          <w:highlight w:val="none"/>
        </w:rPr>
      </w:pPr>
    </w:p>
    <w:p w14:paraId="17C84EBF">
      <w:pPr>
        <w:pStyle w:val="26"/>
        <w:spacing w:line="400" w:lineRule="exact"/>
        <w:ind w:firstLine="48" w:firstLineChars="20"/>
        <w:rPr>
          <w:rFonts w:hAnsi="宋体" w:cs="宋体"/>
          <w:bCs/>
          <w:color w:val="auto"/>
          <w:sz w:val="24"/>
          <w:szCs w:val="24"/>
          <w:highlight w:val="none"/>
        </w:rPr>
      </w:pPr>
      <w:r>
        <w:rPr>
          <w:rFonts w:hint="eastAsia" w:hAnsi="宋体" w:cs="宋体"/>
          <w:bCs/>
          <w:color w:val="auto"/>
          <w:sz w:val="24"/>
          <w:szCs w:val="24"/>
          <w:highlight w:val="none"/>
        </w:rPr>
        <w:t>本项目评标方法：综合评分法</w:t>
      </w:r>
    </w:p>
    <w:p w14:paraId="473CA6E0">
      <w:pPr>
        <w:pStyle w:val="26"/>
        <w:spacing w:line="360" w:lineRule="auto"/>
        <w:rPr>
          <w:rFonts w:hint="eastAsia" w:hAnsi="宋体" w:cs="Courier New"/>
          <w:b/>
          <w:bCs/>
          <w:color w:val="auto"/>
          <w:kern w:val="2"/>
          <w:sz w:val="21"/>
          <w:highlight w:val="none"/>
        </w:rPr>
      </w:pPr>
    </w:p>
    <w:p w14:paraId="05FEE4B7">
      <w:pPr>
        <w:pStyle w:val="26"/>
        <w:spacing w:line="400" w:lineRule="exact"/>
        <w:ind w:firstLine="42" w:firstLineChars="20"/>
        <w:rPr>
          <w:rFonts w:hAnsi="宋体" w:cs="宋体"/>
          <w:bCs/>
          <w:color w:val="auto"/>
          <w:sz w:val="21"/>
          <w:highlight w:val="none"/>
        </w:rPr>
      </w:pPr>
      <w:r>
        <w:rPr>
          <w:rFonts w:hint="eastAsia" w:hAnsi="宋体" w:cs="宋体"/>
          <w:bCs/>
          <w:color w:val="auto"/>
          <w:sz w:val="21"/>
          <w:highlight w:val="none"/>
        </w:rPr>
        <w:t>一、评标原则</w:t>
      </w:r>
    </w:p>
    <w:p w14:paraId="612154CB">
      <w:pPr>
        <w:pStyle w:val="26"/>
        <w:spacing w:line="400" w:lineRule="exact"/>
        <w:ind w:firstLine="420"/>
        <w:rPr>
          <w:rFonts w:hAnsi="宋体" w:cs="宋体"/>
          <w:bCs/>
          <w:color w:val="auto"/>
          <w:sz w:val="21"/>
          <w:highlight w:val="none"/>
        </w:rPr>
      </w:pPr>
      <w:r>
        <w:rPr>
          <w:rFonts w:hint="eastAsia" w:hAnsi="宋体" w:cs="宋体"/>
          <w:bCs/>
          <w:color w:val="auto"/>
          <w:sz w:val="21"/>
          <w:highlight w:val="none"/>
        </w:rPr>
        <w:t>（一）评委构成：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545FA663">
      <w:pPr>
        <w:pStyle w:val="26"/>
        <w:spacing w:line="400" w:lineRule="exact"/>
        <w:ind w:firstLine="420"/>
        <w:rPr>
          <w:rFonts w:hAnsi="宋体" w:cs="宋体"/>
          <w:bCs/>
          <w:color w:val="auto"/>
          <w:sz w:val="21"/>
          <w:highlight w:val="none"/>
        </w:rPr>
      </w:pPr>
      <w:r>
        <w:rPr>
          <w:rFonts w:hint="eastAsia" w:hAnsi="宋体" w:cs="宋体"/>
          <w:bCs/>
          <w:color w:val="auto"/>
          <w:sz w:val="21"/>
          <w:highlight w:val="none"/>
        </w:rPr>
        <w:t>（二）评标依据：评委将以招投标文件为评标依据，对投标人的投标报价、技术、</w:t>
      </w:r>
      <w:r>
        <w:rPr>
          <w:rFonts w:hint="eastAsia" w:hAnsi="宋体" w:cs="宋体"/>
          <w:bCs/>
          <w:color w:val="auto"/>
          <w:sz w:val="21"/>
          <w:highlight w:val="none"/>
          <w:lang w:val="en-US" w:eastAsia="zh-CN"/>
        </w:rPr>
        <w:t>商务</w:t>
      </w:r>
      <w:r>
        <w:rPr>
          <w:rFonts w:hint="eastAsia" w:hAnsi="宋体" w:cs="宋体"/>
          <w:bCs/>
          <w:color w:val="auto"/>
          <w:sz w:val="21"/>
          <w:highlight w:val="none"/>
        </w:rPr>
        <w:t>等方面内容打分。</w:t>
      </w:r>
    </w:p>
    <w:p w14:paraId="0294934A">
      <w:pPr>
        <w:pStyle w:val="26"/>
        <w:spacing w:line="400" w:lineRule="exact"/>
        <w:ind w:firstLine="420"/>
        <w:rPr>
          <w:rFonts w:hint="eastAsia" w:hAnsi="宋体" w:cs="宋体"/>
          <w:bCs/>
          <w:color w:val="auto"/>
          <w:sz w:val="21"/>
          <w:highlight w:val="none"/>
        </w:rPr>
      </w:pPr>
      <w:r>
        <w:rPr>
          <w:rFonts w:hint="eastAsia" w:hAnsi="宋体" w:cs="宋体"/>
          <w:bCs/>
          <w:color w:val="auto"/>
          <w:sz w:val="21"/>
          <w:highlight w:val="none"/>
        </w:rPr>
        <w:t>（三）评标方式：以封闭方式进行。</w:t>
      </w:r>
    </w:p>
    <w:p w14:paraId="2E3FC107">
      <w:pPr>
        <w:pStyle w:val="26"/>
        <w:spacing w:line="460" w:lineRule="exact"/>
        <w:rPr>
          <w:rFonts w:hint="eastAsia" w:hAnsi="宋体" w:cs="宋体"/>
          <w:bCs/>
          <w:color w:val="auto"/>
          <w:sz w:val="21"/>
          <w:highlight w:val="none"/>
        </w:rPr>
      </w:pPr>
      <w:r>
        <w:rPr>
          <w:rFonts w:hint="eastAsia" w:hAnsi="宋体" w:cs="宋体"/>
          <w:bCs/>
          <w:color w:val="auto"/>
          <w:sz w:val="21"/>
          <w:highlight w:val="none"/>
        </w:rPr>
        <w:t>二、评定方法</w:t>
      </w:r>
    </w:p>
    <w:p w14:paraId="020ADB17">
      <w:pPr>
        <w:pStyle w:val="26"/>
        <w:spacing w:line="460" w:lineRule="exact"/>
        <w:ind w:firstLine="420"/>
        <w:rPr>
          <w:rFonts w:hint="eastAsia" w:hAnsi="宋体" w:cs="宋体"/>
          <w:bCs/>
          <w:color w:val="auto"/>
          <w:sz w:val="21"/>
          <w:highlight w:val="none"/>
        </w:rPr>
      </w:pPr>
      <w:r>
        <w:rPr>
          <w:rFonts w:hint="eastAsia" w:hAnsi="宋体" w:cs="宋体"/>
          <w:bCs/>
          <w:color w:val="auto"/>
          <w:sz w:val="21"/>
          <w:highlight w:val="none"/>
        </w:rPr>
        <w:t>（一）对进入详评的，采用百分制综合评分法。</w:t>
      </w:r>
    </w:p>
    <w:p w14:paraId="162384FE">
      <w:pPr>
        <w:pStyle w:val="26"/>
        <w:spacing w:line="460" w:lineRule="exact"/>
        <w:ind w:firstLine="420"/>
        <w:rPr>
          <w:rFonts w:hint="eastAsia" w:hAnsi="宋体" w:cs="宋体"/>
          <w:bCs/>
          <w:color w:val="auto"/>
          <w:sz w:val="21"/>
          <w:highlight w:val="none"/>
        </w:rPr>
      </w:pPr>
      <w:r>
        <w:rPr>
          <w:rFonts w:hint="eastAsia" w:hAnsi="宋体" w:cs="宋体"/>
          <w:bCs/>
          <w:color w:val="auto"/>
          <w:sz w:val="21"/>
          <w:highlight w:val="none"/>
        </w:rPr>
        <w:t>（二）计分办法（按四舍五入取至百分位）：</w:t>
      </w:r>
    </w:p>
    <w:tbl>
      <w:tblPr>
        <w:tblStyle w:val="49"/>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701"/>
        <w:gridCol w:w="5660"/>
      </w:tblGrid>
      <w:tr w14:paraId="7A00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7" w:type="dxa"/>
            <w:gridSpan w:val="2"/>
            <w:shd w:val="clear" w:color="auto" w:fill="auto"/>
            <w:noWrap w:val="0"/>
            <w:vAlign w:val="center"/>
          </w:tcPr>
          <w:p w14:paraId="5B1FF978">
            <w:pPr>
              <w:overflowPunct w:val="0"/>
              <w:adjustRightInd w:val="0"/>
              <w:spacing w:line="410" w:lineRule="exact"/>
              <w:jc w:val="center"/>
              <w:textAlignment w:val="baseline"/>
              <w:rPr>
                <w:rFonts w:hint="eastAsia" w:ascii="仿宋_GB2312" w:hAnsi="宋体" w:eastAsia="仿宋_GB2312" w:cs="Times New Roman"/>
                <w:b/>
                <w:color w:val="auto"/>
                <w:kern w:val="2"/>
                <w:sz w:val="32"/>
                <w:szCs w:val="32"/>
                <w:highlight w:val="none"/>
                <w:lang w:val="en-US" w:eastAsia="zh-CN" w:bidi="ar-SA"/>
              </w:rPr>
            </w:pPr>
            <w:r>
              <w:rPr>
                <w:rFonts w:hint="eastAsia" w:ascii="仿宋_GB2312" w:hAnsi="宋体" w:eastAsia="仿宋_GB2312"/>
                <w:b/>
                <w:color w:val="auto"/>
                <w:sz w:val="32"/>
                <w:szCs w:val="32"/>
                <w:highlight w:val="none"/>
              </w:rPr>
              <w:t>序号</w:t>
            </w:r>
          </w:p>
        </w:tc>
        <w:tc>
          <w:tcPr>
            <w:tcW w:w="1701" w:type="dxa"/>
            <w:shd w:val="clear" w:color="auto" w:fill="auto"/>
            <w:noWrap w:val="0"/>
            <w:vAlign w:val="center"/>
          </w:tcPr>
          <w:p w14:paraId="13BB1B0B">
            <w:pPr>
              <w:overflowPunct w:val="0"/>
              <w:adjustRightInd w:val="0"/>
              <w:spacing w:line="410" w:lineRule="exact"/>
              <w:jc w:val="center"/>
              <w:textAlignment w:val="baseline"/>
              <w:rPr>
                <w:rFonts w:hint="eastAsia" w:ascii="仿宋_GB2312" w:hAnsi="宋体" w:eastAsia="仿宋_GB2312" w:cs="Times New Roman"/>
                <w:b/>
                <w:color w:val="auto"/>
                <w:kern w:val="2"/>
                <w:sz w:val="32"/>
                <w:szCs w:val="32"/>
                <w:highlight w:val="none"/>
                <w:lang w:val="en-US" w:eastAsia="zh-CN" w:bidi="ar-SA"/>
              </w:rPr>
            </w:pPr>
            <w:r>
              <w:rPr>
                <w:rFonts w:hint="eastAsia" w:ascii="仿宋_GB2312" w:hAnsi="宋体" w:eastAsia="仿宋_GB2312"/>
                <w:b/>
                <w:color w:val="auto"/>
                <w:sz w:val="32"/>
                <w:szCs w:val="32"/>
                <w:highlight w:val="none"/>
              </w:rPr>
              <w:t>评分因素</w:t>
            </w:r>
          </w:p>
        </w:tc>
        <w:tc>
          <w:tcPr>
            <w:tcW w:w="5660" w:type="dxa"/>
            <w:shd w:val="clear" w:color="auto" w:fill="auto"/>
            <w:noWrap w:val="0"/>
            <w:vAlign w:val="center"/>
          </w:tcPr>
          <w:p w14:paraId="125E1D4E">
            <w:pPr>
              <w:overflowPunct w:val="0"/>
              <w:adjustRightInd w:val="0"/>
              <w:spacing w:line="410" w:lineRule="exact"/>
              <w:jc w:val="center"/>
              <w:textAlignment w:val="baseline"/>
              <w:rPr>
                <w:rFonts w:hint="eastAsia" w:ascii="仿宋_GB2312" w:hAnsi="宋体" w:eastAsia="仿宋_GB2312" w:cs="Times New Roman"/>
                <w:b/>
                <w:color w:val="auto"/>
                <w:kern w:val="2"/>
                <w:sz w:val="32"/>
                <w:szCs w:val="32"/>
                <w:highlight w:val="none"/>
                <w:lang w:val="en-US" w:eastAsia="zh-CN" w:bidi="ar-SA"/>
              </w:rPr>
            </w:pPr>
            <w:r>
              <w:rPr>
                <w:rFonts w:hint="eastAsia" w:ascii="仿宋_GB2312" w:hAnsi="宋体" w:eastAsia="仿宋_GB2312"/>
                <w:b/>
                <w:color w:val="auto"/>
                <w:sz w:val="32"/>
                <w:szCs w:val="32"/>
                <w:highlight w:val="none"/>
              </w:rPr>
              <w:t>评分标准</w:t>
            </w:r>
          </w:p>
        </w:tc>
      </w:tr>
      <w:tr w14:paraId="11A0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14:paraId="1D2C4F69">
            <w:pPr>
              <w:overflowPunct w:val="0"/>
              <w:adjustRightInd w:val="0"/>
              <w:spacing w:line="360" w:lineRule="exact"/>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1585" w:type="dxa"/>
            <w:noWrap w:val="0"/>
            <w:vAlign w:val="center"/>
          </w:tcPr>
          <w:p w14:paraId="680D908B">
            <w:pPr>
              <w:overflowPunct w:val="0"/>
              <w:adjustRightInd w:val="0"/>
              <w:spacing w:line="360" w:lineRule="exact"/>
              <w:jc w:val="center"/>
              <w:textAlignment w:val="baseline"/>
              <w:rPr>
                <w:rFonts w:ascii="宋体" w:hAnsi="宋体"/>
                <w:color w:val="auto"/>
                <w:szCs w:val="21"/>
                <w:highlight w:val="none"/>
              </w:rPr>
            </w:pPr>
            <w:r>
              <w:rPr>
                <w:rFonts w:hint="eastAsia" w:ascii="宋体" w:hAnsi="宋体"/>
                <w:color w:val="auto"/>
                <w:szCs w:val="21"/>
                <w:highlight w:val="none"/>
              </w:rPr>
              <w:t>价格分</w:t>
            </w:r>
          </w:p>
          <w:p w14:paraId="3A13A12F">
            <w:pPr>
              <w:overflowPunct w:val="0"/>
              <w:adjustRightInd w:val="0"/>
              <w:spacing w:line="360" w:lineRule="exact"/>
              <w:jc w:val="center"/>
              <w:textAlignment w:val="baseline"/>
              <w:rPr>
                <w:rFonts w:ascii="宋体" w:hAnsi="宋体"/>
                <w:color w:val="auto"/>
                <w:szCs w:val="21"/>
                <w:highlight w:val="none"/>
              </w:rPr>
            </w:pPr>
            <w:r>
              <w:rPr>
                <w:rFonts w:hint="eastAsia" w:ascii="宋体" w:hAnsi="宋体"/>
                <w:color w:val="auto"/>
                <w:szCs w:val="21"/>
                <w:highlight w:val="none"/>
              </w:rPr>
              <w:t>（满分</w:t>
            </w:r>
            <w:r>
              <w:rPr>
                <w:rFonts w:hint="eastAsia" w:ascii="宋体" w:hAnsi="宋体"/>
                <w:color w:val="auto"/>
                <w:szCs w:val="21"/>
                <w:highlight w:val="none"/>
                <w:lang w:val="en-US" w:eastAsia="zh-CN"/>
              </w:rPr>
              <w:t>20</w:t>
            </w:r>
            <w:r>
              <w:rPr>
                <w:rFonts w:hint="eastAsia" w:ascii="宋体" w:hAnsi="宋体"/>
                <w:color w:val="auto"/>
                <w:szCs w:val="21"/>
                <w:highlight w:val="none"/>
              </w:rPr>
              <w:t>分）</w:t>
            </w:r>
          </w:p>
          <w:p w14:paraId="45309E26">
            <w:pPr>
              <w:overflowPunct w:val="0"/>
              <w:adjustRightInd w:val="0"/>
              <w:spacing w:line="360" w:lineRule="exact"/>
              <w:jc w:val="left"/>
              <w:textAlignment w:val="baseline"/>
              <w:rPr>
                <w:rFonts w:ascii="宋体" w:hAnsi="宋体"/>
                <w:color w:val="auto"/>
                <w:szCs w:val="21"/>
                <w:highlight w:val="none"/>
              </w:rPr>
            </w:pPr>
          </w:p>
        </w:tc>
        <w:tc>
          <w:tcPr>
            <w:tcW w:w="1701" w:type="dxa"/>
            <w:noWrap w:val="0"/>
            <w:vAlign w:val="center"/>
          </w:tcPr>
          <w:p w14:paraId="6E078960">
            <w:pPr>
              <w:overflowPunct w:val="0"/>
              <w:adjustRightInd w:val="0"/>
              <w:spacing w:line="360" w:lineRule="exact"/>
              <w:jc w:val="center"/>
              <w:textAlignment w:val="baseline"/>
              <w:rPr>
                <w:rFonts w:ascii="宋体" w:hAnsi="宋体"/>
                <w:color w:val="auto"/>
                <w:szCs w:val="21"/>
                <w:highlight w:val="none"/>
              </w:rPr>
            </w:pPr>
            <w:r>
              <w:rPr>
                <w:rFonts w:hint="eastAsia" w:ascii="宋体" w:hAnsi="宋体"/>
                <w:color w:val="auto"/>
                <w:szCs w:val="21"/>
                <w:highlight w:val="none"/>
              </w:rPr>
              <w:t>投标报价</w:t>
            </w:r>
          </w:p>
        </w:tc>
        <w:tc>
          <w:tcPr>
            <w:tcW w:w="5660" w:type="dxa"/>
            <w:noWrap w:val="0"/>
            <w:vAlign w:val="top"/>
          </w:tcPr>
          <w:p w14:paraId="0428C44F">
            <w:pPr>
              <w:overflowPunct w:val="0"/>
              <w:snapToGrid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7EDEC40C">
            <w:pPr>
              <w:overflowPunct w:val="0"/>
              <w:snapToGrid w:val="0"/>
              <w:spacing w:line="360" w:lineRule="auto"/>
              <w:ind w:firstLine="233" w:firstLineChars="111"/>
              <w:rPr>
                <w:rFonts w:ascii="宋体" w:hAnsi="宋体"/>
                <w:color w:val="auto"/>
                <w:szCs w:val="21"/>
                <w:highlight w:val="none"/>
              </w:rPr>
            </w:pPr>
            <w:r>
              <w:rPr>
                <w:rFonts w:hint="eastAsia" w:ascii="宋体" w:hAnsi="宋体"/>
                <w:bCs/>
                <w:color w:val="auto"/>
                <w:szCs w:val="21"/>
                <w:highlight w:val="none"/>
              </w:rPr>
              <w:t>（2）按照《政府采购促进中小企业发展管理办法》（财库〔2020〕46号）的规定，投标人在其投标文件中提供《中小企业声明函》，且其服务为小型和微型企业承接的，对其最后报价给予10%的扣除。</w:t>
            </w:r>
          </w:p>
          <w:p w14:paraId="5F47781A">
            <w:pPr>
              <w:overflowPunct w:val="0"/>
              <w:snapToGrid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不重复享受政策。</w:t>
            </w:r>
          </w:p>
          <w:p w14:paraId="45CF0013">
            <w:pPr>
              <w:overflowPunct w:val="0"/>
              <w:snapToGrid w:val="0"/>
              <w:spacing w:line="360" w:lineRule="auto"/>
              <w:ind w:firstLine="233" w:firstLineChars="111"/>
              <w:rPr>
                <w:rFonts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1072A60F">
            <w:pPr>
              <w:overflowPunct w:val="0"/>
              <w:snapToGrid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（5）政策性扣除计算方法。</w:t>
            </w:r>
          </w:p>
          <w:p w14:paraId="0EDF16D6">
            <w:pPr>
              <w:overflowPunct w:val="0"/>
              <w:snapToGrid w:val="0"/>
              <w:spacing w:line="360" w:lineRule="auto"/>
              <w:ind w:firstLine="443" w:firstLineChars="211"/>
              <w:rPr>
                <w:rFonts w:hint="eastAsia" w:ascii="宋体" w:hAnsi="宋体"/>
                <w:bCs/>
                <w:color w:val="auto"/>
                <w:szCs w:val="21"/>
                <w:highlight w:val="none"/>
              </w:rPr>
            </w:pPr>
            <w:r>
              <w:rPr>
                <w:rFonts w:hint="eastAsia" w:ascii="宋体" w:hAnsi="宋体"/>
                <w:bCs/>
                <w:color w:val="auto"/>
                <w:szCs w:val="21"/>
                <w:highlight w:val="none"/>
              </w:rPr>
              <w:t>在服务采购项目中，服务由小微企业承接；对符合上述要求的投标人的投标报价给予10%的扣除，扣除后的价格为评标报价，即评标报价=投标报价×（1-1</w:t>
            </w:r>
            <w:r>
              <w:rPr>
                <w:rFonts w:ascii="宋体" w:hAnsi="宋体"/>
                <w:bCs/>
                <w:color w:val="auto"/>
                <w:szCs w:val="21"/>
                <w:highlight w:val="none"/>
              </w:rPr>
              <w:t>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highlight w:val="none"/>
                <w:u w:val="none"/>
              </w:rPr>
              <w:t>4%</w:t>
            </w:r>
            <w:r>
              <w:rPr>
                <w:rFonts w:hint="eastAsia" w:ascii="宋体" w:hAnsi="宋体"/>
                <w:bCs/>
                <w:color w:val="auto"/>
                <w:szCs w:val="21"/>
                <w:highlight w:val="none"/>
              </w:rPr>
              <w:t>的扣除，用扣除后的价格参加评审，扣除后的价格为评标报价，即评标报价=投标报价×（1-</w:t>
            </w:r>
            <w:r>
              <w:rPr>
                <w:rFonts w:ascii="宋体" w:hAnsi="宋体"/>
                <w:bCs/>
                <w:color w:val="auto"/>
                <w:szCs w:val="21"/>
                <w:highlight w:val="none"/>
              </w:rPr>
              <w:t xml:space="preserve"> </w:t>
            </w:r>
            <w:r>
              <w:rPr>
                <w:rFonts w:hint="eastAsia" w:ascii="宋体" w:hAnsi="宋体"/>
                <w:bCs/>
                <w:color w:val="auto"/>
                <w:szCs w:val="21"/>
                <w:highlight w:val="none"/>
              </w:rPr>
              <w:t>4%）。除上述情况外，评标报价=投标报价。</w:t>
            </w:r>
          </w:p>
          <w:p w14:paraId="489BDE97">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52EFD6B6">
            <w:pPr>
              <w:overflowPunct w:val="0"/>
              <w:snapToGrid w:val="0"/>
              <w:spacing w:line="360" w:lineRule="auto"/>
              <w:ind w:firstLine="443" w:firstLineChars="211"/>
              <w:rPr>
                <w:rFonts w:hint="eastAsia" w:ascii="宋体" w:hAnsi="宋体"/>
                <w:bCs/>
                <w:color w:val="auto"/>
                <w:szCs w:val="21"/>
                <w:highlight w:val="none"/>
              </w:rPr>
            </w:pPr>
            <w:r>
              <w:rPr>
                <w:rFonts w:hint="eastAsia" w:ascii="宋体" w:hAnsi="宋体" w:eastAsia="宋体" w:cs="宋体"/>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FC99D8E">
            <w:pPr>
              <w:overflowPunct w:val="0"/>
              <w:snapToGrid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（6）满足招标文件要求且评标报价最低的评标报价为评标基准价，其价格分为满分。</w:t>
            </w:r>
          </w:p>
          <w:p w14:paraId="2D6EB2CA">
            <w:pPr>
              <w:overflowPunct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 xml:space="preserve">（7）价格分计算公式：        </w:t>
            </w:r>
          </w:p>
          <w:p w14:paraId="2F30076E">
            <w:pPr>
              <w:widowControl/>
              <w:overflowPunct w:val="0"/>
              <w:spacing w:line="360" w:lineRule="auto"/>
              <w:jc w:val="left"/>
              <w:rPr>
                <w:rFonts w:ascii="宋体" w:hAnsi="宋体" w:cs="Courier New"/>
                <w:bCs/>
                <w:color w:val="auto"/>
                <w:szCs w:val="21"/>
                <w:highlight w:val="none"/>
              </w:rPr>
            </w:pPr>
            <w:r>
              <w:rPr>
                <w:rFonts w:hint="eastAsia" w:ascii="宋体" w:hAnsi="宋体"/>
                <w:bCs/>
                <w:color w:val="auto"/>
                <w:szCs w:val="21"/>
                <w:highlight w:val="none"/>
              </w:rPr>
              <w:t>价格分</w:t>
            </w:r>
            <w:r>
              <w:rPr>
                <w:rFonts w:hint="eastAsia" w:ascii="宋体" w:hAnsi="宋体" w:cs="Courier New"/>
                <w:bCs/>
                <w:color w:val="auto"/>
                <w:szCs w:val="21"/>
                <w:highlight w:val="none"/>
              </w:rPr>
              <w:t>=(评标基准价／评标报价)×</w:t>
            </w:r>
            <w:r>
              <w:rPr>
                <w:rFonts w:hint="eastAsia" w:ascii="宋体" w:hAnsi="宋体"/>
                <w:bCs/>
                <w:color w:val="auto"/>
                <w:szCs w:val="21"/>
                <w:highlight w:val="none"/>
                <w:lang w:val="en-US" w:eastAsia="zh-CN"/>
              </w:rPr>
              <w:t>20</w:t>
            </w:r>
            <w:r>
              <w:rPr>
                <w:rFonts w:hint="eastAsia" w:ascii="宋体" w:hAnsi="宋体" w:cs="Courier New"/>
                <w:bCs/>
                <w:color w:val="auto"/>
                <w:szCs w:val="21"/>
                <w:highlight w:val="none"/>
              </w:rPr>
              <w:t>分</w:t>
            </w:r>
          </w:p>
        </w:tc>
      </w:tr>
      <w:tr w14:paraId="2FCF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restart"/>
            <w:noWrap w:val="0"/>
            <w:vAlign w:val="center"/>
          </w:tcPr>
          <w:p w14:paraId="10BAD765">
            <w:pPr>
              <w:overflowPunct w:val="0"/>
              <w:adjustRightInd w:val="0"/>
              <w:snapToGrid w:val="0"/>
              <w:spacing w:line="360" w:lineRule="atLeast"/>
              <w:jc w:val="center"/>
              <w:textAlignment w:val="baseline"/>
              <w:rPr>
                <w:rFonts w:ascii="宋体" w:hAnsi="宋体"/>
                <w:color w:val="auto"/>
                <w:szCs w:val="21"/>
                <w:highlight w:val="none"/>
              </w:rPr>
            </w:pPr>
            <w:r>
              <w:rPr>
                <w:rFonts w:hint="eastAsia" w:ascii="宋体" w:hAnsi="宋体"/>
                <w:color w:val="auto"/>
                <w:szCs w:val="21"/>
                <w:highlight w:val="none"/>
              </w:rPr>
              <w:t>2</w:t>
            </w:r>
          </w:p>
        </w:tc>
        <w:tc>
          <w:tcPr>
            <w:tcW w:w="1585" w:type="dxa"/>
            <w:vMerge w:val="restart"/>
            <w:noWrap w:val="0"/>
            <w:vAlign w:val="center"/>
          </w:tcPr>
          <w:p w14:paraId="001C9B29">
            <w:pPr>
              <w:overflowPunct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技术分</w:t>
            </w:r>
          </w:p>
          <w:p w14:paraId="62E7FB9D">
            <w:pPr>
              <w:overflowPunct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（满分</w:t>
            </w:r>
            <w:r>
              <w:rPr>
                <w:rFonts w:hint="eastAsia" w:ascii="宋体" w:hAnsi="宋体"/>
                <w:bCs/>
                <w:color w:val="auto"/>
                <w:szCs w:val="21"/>
                <w:highlight w:val="none"/>
                <w:lang w:val="en-US" w:eastAsia="zh-CN"/>
              </w:rPr>
              <w:t>57</w:t>
            </w:r>
            <w:r>
              <w:rPr>
                <w:rFonts w:hint="eastAsia" w:ascii="宋体" w:hAnsi="宋体"/>
                <w:bCs/>
                <w:color w:val="auto"/>
                <w:szCs w:val="21"/>
                <w:highlight w:val="none"/>
              </w:rPr>
              <w:t>分）</w:t>
            </w:r>
          </w:p>
        </w:tc>
        <w:tc>
          <w:tcPr>
            <w:tcW w:w="1701" w:type="dxa"/>
            <w:noWrap w:val="0"/>
            <w:vAlign w:val="center"/>
          </w:tcPr>
          <w:p w14:paraId="04B27F5A">
            <w:pPr>
              <w:overflowPunct w:val="0"/>
              <w:snapToGrid w:val="0"/>
              <w:spacing w:line="360" w:lineRule="auto"/>
              <w:rPr>
                <w:rFonts w:ascii="宋体" w:hAnsi="宋体"/>
                <w:bCs/>
                <w:color w:val="auto"/>
                <w:szCs w:val="21"/>
                <w:highlight w:val="none"/>
              </w:rPr>
            </w:pPr>
            <w:r>
              <w:rPr>
                <w:rFonts w:hint="eastAsia" w:ascii="宋体" w:hAnsi="宋体"/>
                <w:bCs/>
                <w:color w:val="auto"/>
                <w:szCs w:val="21"/>
                <w:highlight w:val="none"/>
              </w:rPr>
              <w:t>技术性能分（满分</w:t>
            </w:r>
            <w:r>
              <w:rPr>
                <w:rFonts w:hint="eastAsia" w:ascii="宋体" w:hAnsi="宋体"/>
                <w:bCs/>
                <w:color w:val="auto"/>
                <w:szCs w:val="21"/>
                <w:highlight w:val="none"/>
                <w:lang w:val="en-US" w:eastAsia="zh-CN"/>
              </w:rPr>
              <w:t>15</w:t>
            </w:r>
            <w:r>
              <w:rPr>
                <w:rFonts w:hint="eastAsia" w:ascii="宋体" w:hAnsi="宋体"/>
                <w:bCs/>
                <w:color w:val="auto"/>
                <w:szCs w:val="21"/>
                <w:highlight w:val="none"/>
              </w:rPr>
              <w:t>分）</w:t>
            </w:r>
          </w:p>
        </w:tc>
        <w:tc>
          <w:tcPr>
            <w:tcW w:w="5660" w:type="dxa"/>
            <w:noWrap w:val="0"/>
            <w:vAlign w:val="center"/>
          </w:tcPr>
          <w:p w14:paraId="0AE4840B">
            <w:pPr>
              <w:pStyle w:val="26"/>
              <w:spacing w:line="360" w:lineRule="auto"/>
              <w:rPr>
                <w:rFonts w:hint="eastAsia"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1.投标文件的技术需求中无负偏离的得</w:t>
            </w:r>
            <w:r>
              <w:rPr>
                <w:rFonts w:hint="eastAsia" w:hAnsi="宋体" w:cs="Times New Roman"/>
                <w:bCs/>
                <w:color w:val="auto"/>
                <w:kern w:val="0"/>
                <w:sz w:val="21"/>
                <w:szCs w:val="21"/>
                <w:highlight w:val="none"/>
                <w:lang w:val="en-US" w:eastAsia="zh-CN" w:bidi="ar-SA"/>
              </w:rPr>
              <w:t>15</w:t>
            </w:r>
            <w:r>
              <w:rPr>
                <w:rFonts w:hint="eastAsia" w:ascii="宋体" w:hAnsi="宋体" w:eastAsia="宋体" w:cs="Times New Roman"/>
                <w:bCs/>
                <w:color w:val="auto"/>
                <w:kern w:val="0"/>
                <w:sz w:val="21"/>
                <w:szCs w:val="21"/>
                <w:highlight w:val="none"/>
                <w:lang w:val="en-US" w:eastAsia="zh-CN" w:bidi="ar-SA"/>
              </w:rPr>
              <w:t>分，满分</w:t>
            </w:r>
            <w:r>
              <w:rPr>
                <w:rFonts w:hint="eastAsia" w:hAnsi="宋体" w:cs="Times New Roman"/>
                <w:bCs/>
                <w:color w:val="auto"/>
                <w:kern w:val="0"/>
                <w:sz w:val="21"/>
                <w:szCs w:val="21"/>
                <w:highlight w:val="none"/>
                <w:lang w:val="en-US" w:eastAsia="zh-CN" w:bidi="ar-SA"/>
              </w:rPr>
              <w:t>15</w:t>
            </w:r>
            <w:r>
              <w:rPr>
                <w:rFonts w:hint="eastAsia" w:ascii="宋体" w:hAnsi="宋体" w:eastAsia="宋体" w:cs="Times New Roman"/>
                <w:bCs/>
                <w:color w:val="auto"/>
                <w:kern w:val="0"/>
                <w:sz w:val="21"/>
                <w:szCs w:val="21"/>
                <w:highlight w:val="none"/>
                <w:lang w:val="en-US" w:eastAsia="zh-CN" w:bidi="ar-SA"/>
              </w:rPr>
              <w:t>分。</w:t>
            </w:r>
          </w:p>
          <w:p w14:paraId="16872650">
            <w:pPr>
              <w:pStyle w:val="26"/>
              <w:spacing w:line="360" w:lineRule="auto"/>
              <w:ind w:firstLine="210" w:firstLineChars="100"/>
              <w:rPr>
                <w:rFonts w:hAnsi="宋体" w:cs="Times New Roman"/>
                <w:bCs/>
                <w:color w:val="auto"/>
                <w:highlight w:val="none"/>
              </w:rPr>
            </w:pPr>
            <w:r>
              <w:rPr>
                <w:rFonts w:hint="eastAsia" w:ascii="宋体" w:hAnsi="宋体" w:eastAsia="宋体" w:cs="Times New Roman"/>
                <w:bCs/>
                <w:color w:val="auto"/>
                <w:kern w:val="0"/>
                <w:sz w:val="21"/>
                <w:szCs w:val="21"/>
                <w:highlight w:val="none"/>
                <w:lang w:val="en-US" w:eastAsia="zh-CN" w:bidi="ar-SA"/>
              </w:rPr>
              <w:t>非实质性要求的技术需求有负偏离的，得分=该项满分分值-累计扣分分值（有一项非实质性要求的技术需求负偏离的扣</w:t>
            </w:r>
            <w:r>
              <w:rPr>
                <w:rFonts w:hint="eastAsia" w:hAnsi="宋体" w:cs="Times New Roman"/>
                <w:bCs/>
                <w:color w:val="auto"/>
                <w:kern w:val="0"/>
                <w:sz w:val="21"/>
                <w:szCs w:val="21"/>
                <w:highlight w:val="none"/>
                <w:lang w:val="en-US" w:eastAsia="zh-CN" w:bidi="ar-SA"/>
              </w:rPr>
              <w:t>1</w:t>
            </w:r>
            <w:r>
              <w:rPr>
                <w:rFonts w:hint="eastAsia" w:ascii="宋体" w:hAnsi="宋体" w:eastAsia="宋体" w:cs="Times New Roman"/>
                <w:bCs/>
                <w:color w:val="auto"/>
                <w:kern w:val="0"/>
                <w:sz w:val="21"/>
                <w:szCs w:val="21"/>
                <w:highlight w:val="none"/>
                <w:lang w:val="en-US" w:eastAsia="zh-CN" w:bidi="ar-SA"/>
              </w:rPr>
              <w:t>分，扣分不能超过满分分值）。</w:t>
            </w:r>
          </w:p>
        </w:tc>
      </w:tr>
      <w:tr w14:paraId="6753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top"/>
          </w:tcPr>
          <w:p w14:paraId="11D48662">
            <w:pPr>
              <w:overflowPunct w:val="0"/>
              <w:adjustRightInd w:val="0"/>
              <w:snapToGrid w:val="0"/>
              <w:spacing w:line="360" w:lineRule="atLeast"/>
              <w:jc w:val="center"/>
              <w:textAlignment w:val="baseline"/>
              <w:rPr>
                <w:rFonts w:ascii="宋体" w:hAnsi="宋体"/>
                <w:color w:val="auto"/>
                <w:szCs w:val="21"/>
                <w:highlight w:val="none"/>
              </w:rPr>
            </w:pPr>
          </w:p>
        </w:tc>
        <w:tc>
          <w:tcPr>
            <w:tcW w:w="1585" w:type="dxa"/>
            <w:vMerge w:val="continue"/>
            <w:noWrap w:val="0"/>
            <w:vAlign w:val="top"/>
          </w:tcPr>
          <w:p w14:paraId="0C47BB59">
            <w:pPr>
              <w:overflowPunct w:val="0"/>
              <w:snapToGrid w:val="0"/>
              <w:spacing w:line="360" w:lineRule="auto"/>
              <w:ind w:firstLine="443" w:firstLineChars="211"/>
              <w:rPr>
                <w:rFonts w:ascii="宋体" w:hAnsi="宋体"/>
                <w:bCs/>
                <w:color w:val="auto"/>
                <w:szCs w:val="21"/>
                <w:highlight w:val="none"/>
              </w:rPr>
            </w:pPr>
          </w:p>
        </w:tc>
        <w:tc>
          <w:tcPr>
            <w:tcW w:w="1701" w:type="dxa"/>
            <w:noWrap w:val="0"/>
            <w:tcMar>
              <w:left w:w="57" w:type="dxa"/>
              <w:right w:w="57" w:type="dxa"/>
            </w:tcMar>
            <w:vAlign w:val="top"/>
          </w:tcPr>
          <w:p w14:paraId="174DDCE4">
            <w:pPr>
              <w:overflowPunct w:val="0"/>
              <w:spacing w:line="360" w:lineRule="auto"/>
              <w:rPr>
                <w:rFonts w:ascii="宋体" w:hAnsi="宋体" w:cs="宋体"/>
                <w:color w:val="auto"/>
                <w:szCs w:val="21"/>
                <w:highlight w:val="none"/>
              </w:rPr>
            </w:pPr>
          </w:p>
          <w:p w14:paraId="0AD4C0F2">
            <w:pPr>
              <w:overflowPunct w:val="0"/>
              <w:spacing w:line="360" w:lineRule="auto"/>
              <w:rPr>
                <w:rFonts w:ascii="宋体" w:hAnsi="宋体" w:cs="宋体"/>
                <w:color w:val="auto"/>
                <w:szCs w:val="21"/>
                <w:highlight w:val="none"/>
              </w:rPr>
            </w:pPr>
          </w:p>
          <w:p w14:paraId="545E0CF0">
            <w:pPr>
              <w:overflowPunct w:val="0"/>
              <w:spacing w:line="360" w:lineRule="auto"/>
              <w:rPr>
                <w:rFonts w:ascii="宋体" w:hAnsi="宋体" w:cs="宋体"/>
                <w:color w:val="auto"/>
                <w:szCs w:val="21"/>
                <w:highlight w:val="none"/>
              </w:rPr>
            </w:pPr>
          </w:p>
          <w:p w14:paraId="18582929">
            <w:pPr>
              <w:overflowPunct w:val="0"/>
              <w:spacing w:line="360" w:lineRule="auto"/>
              <w:rPr>
                <w:rFonts w:ascii="宋体" w:hAnsi="宋体" w:cs="宋体"/>
                <w:color w:val="auto"/>
                <w:szCs w:val="21"/>
                <w:highlight w:val="none"/>
              </w:rPr>
            </w:pPr>
          </w:p>
          <w:p w14:paraId="06238105">
            <w:pPr>
              <w:overflowPunct w:val="0"/>
              <w:spacing w:line="360" w:lineRule="auto"/>
              <w:rPr>
                <w:rFonts w:ascii="宋体" w:hAnsi="宋体" w:cs="宋体"/>
                <w:color w:val="auto"/>
                <w:szCs w:val="21"/>
                <w:highlight w:val="none"/>
              </w:rPr>
            </w:pPr>
          </w:p>
          <w:p w14:paraId="29216EA5">
            <w:pPr>
              <w:overflowPunct w:val="0"/>
              <w:spacing w:line="360" w:lineRule="auto"/>
              <w:rPr>
                <w:rFonts w:ascii="宋体" w:hAnsi="宋体" w:cs="宋体"/>
                <w:color w:val="auto"/>
                <w:szCs w:val="21"/>
                <w:highlight w:val="none"/>
              </w:rPr>
            </w:pPr>
          </w:p>
          <w:p w14:paraId="082C0E84">
            <w:pPr>
              <w:overflowPunct w:val="0"/>
              <w:spacing w:line="360" w:lineRule="auto"/>
              <w:rPr>
                <w:rFonts w:ascii="宋体" w:hAnsi="宋体" w:cs="宋体"/>
                <w:color w:val="auto"/>
                <w:szCs w:val="21"/>
                <w:highlight w:val="none"/>
              </w:rPr>
            </w:pPr>
          </w:p>
          <w:p w14:paraId="1A7173DB">
            <w:pPr>
              <w:overflowPunct w:val="0"/>
              <w:spacing w:line="360" w:lineRule="auto"/>
              <w:rPr>
                <w:rFonts w:ascii="宋体" w:hAnsi="宋体"/>
                <w:bCs/>
                <w:color w:val="auto"/>
                <w:szCs w:val="21"/>
                <w:highlight w:val="none"/>
              </w:rPr>
            </w:pPr>
            <w:r>
              <w:rPr>
                <w:rFonts w:hint="eastAsia" w:ascii="宋体" w:hAnsi="宋体"/>
                <w:bCs/>
                <w:color w:val="auto"/>
                <w:szCs w:val="21"/>
                <w:highlight w:val="none"/>
              </w:rPr>
              <w:t>技术方案</w:t>
            </w: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分）</w:t>
            </w:r>
          </w:p>
        </w:tc>
        <w:tc>
          <w:tcPr>
            <w:tcW w:w="5660" w:type="dxa"/>
            <w:noWrap w:val="0"/>
            <w:vAlign w:val="center"/>
          </w:tcPr>
          <w:p w14:paraId="0FABE66C">
            <w:pPr>
              <w:overflowPunct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由投标人根据项目需求的实际情况，编制对本次项目</w:t>
            </w:r>
            <w:r>
              <w:rPr>
                <w:rFonts w:hint="eastAsia" w:ascii="宋体" w:hAnsi="宋体"/>
                <w:bCs/>
                <w:color w:val="auto"/>
                <w:szCs w:val="21"/>
                <w:highlight w:val="none"/>
                <w:lang w:val="en-US" w:eastAsia="zh-CN"/>
              </w:rPr>
              <w:t>的</w:t>
            </w:r>
            <w:r>
              <w:rPr>
                <w:rFonts w:hint="eastAsia" w:ascii="宋体" w:hAnsi="宋体"/>
                <w:bCs/>
                <w:color w:val="auto"/>
                <w:szCs w:val="21"/>
                <w:highlight w:val="none"/>
              </w:rPr>
              <w:t>技术方案，包括但不限于：①对本项目的认识和理解、②整体运维策略‌、③故障处理流程‌、④数据安全与保密、⑤应急响应与服务承诺</w:t>
            </w:r>
            <w:r>
              <w:rPr>
                <w:rFonts w:hint="eastAsia" w:ascii="宋体" w:hAnsi="宋体"/>
                <w:bCs/>
                <w:color w:val="auto"/>
                <w:szCs w:val="21"/>
                <w:highlight w:val="none"/>
                <w:lang w:eastAsia="zh-CN"/>
              </w:rPr>
              <w:t>、</w:t>
            </w:r>
            <w:r>
              <w:rPr>
                <w:rFonts w:hint="eastAsia" w:ascii="微软雅黑" w:hAnsi="微软雅黑" w:eastAsia="微软雅黑" w:cs="微软雅黑"/>
                <w:bCs/>
                <w:color w:val="auto"/>
                <w:szCs w:val="21"/>
                <w:highlight w:val="none"/>
                <w:lang w:eastAsia="zh-CN"/>
              </w:rPr>
              <w:t>⑥</w:t>
            </w:r>
            <w:r>
              <w:rPr>
                <w:rFonts w:hint="eastAsia" w:ascii="宋体" w:hAnsi="宋体"/>
                <w:bCs/>
                <w:color w:val="auto"/>
                <w:szCs w:val="21"/>
                <w:highlight w:val="none"/>
              </w:rPr>
              <w:t xml:space="preserve">实施方案（包括工作计划及安排、实施人员安排、进度控制措施、技术方案措施、工作重点、难点及其解决措施、交付与验收方案等）。评委按照各投标人项目技术方案与需求的吻合程度、科学、合理、针对性及文件制作水平进行独立打分。  </w:t>
            </w:r>
          </w:p>
          <w:p w14:paraId="18A4FD5F">
            <w:pPr>
              <w:overflowPunct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6</w:t>
            </w:r>
            <w:r>
              <w:rPr>
                <w:rFonts w:hint="eastAsia" w:ascii="宋体" w:hAnsi="宋体"/>
                <w:bCs/>
                <w:color w:val="auto"/>
                <w:szCs w:val="21"/>
                <w:highlight w:val="none"/>
              </w:rPr>
              <w:t>分）：技术方案内容提供上述其中3项，有对项目总体的认识与理解的阐述，提供的技术方案对</w:t>
            </w:r>
            <w:r>
              <w:rPr>
                <w:rFonts w:hint="eastAsia" w:ascii="宋体" w:hAnsi="宋体"/>
                <w:bCs/>
                <w:color w:val="auto"/>
                <w:szCs w:val="21"/>
                <w:highlight w:val="none"/>
                <w:lang w:val="en-US" w:eastAsia="zh-CN"/>
              </w:rPr>
              <w:t>项目</w:t>
            </w:r>
            <w:r>
              <w:rPr>
                <w:rFonts w:hint="eastAsia" w:ascii="宋体" w:hAnsi="宋体"/>
                <w:bCs/>
                <w:color w:val="auto"/>
                <w:szCs w:val="21"/>
                <w:highlight w:val="none"/>
              </w:rPr>
              <w:t>整体需求分析、系统整体运维</w:t>
            </w:r>
            <w:r>
              <w:rPr>
                <w:rFonts w:hint="eastAsia" w:ascii="宋体" w:hAnsi="宋体"/>
                <w:bCs/>
                <w:color w:val="auto"/>
                <w:szCs w:val="21"/>
                <w:highlight w:val="none"/>
                <w:lang w:val="en-US" w:eastAsia="zh-CN"/>
              </w:rPr>
              <w:t>策略</w:t>
            </w:r>
            <w:r>
              <w:rPr>
                <w:rFonts w:hint="eastAsia" w:ascii="宋体" w:hAnsi="宋体"/>
                <w:bCs/>
                <w:color w:val="auto"/>
                <w:szCs w:val="21"/>
                <w:highlight w:val="none"/>
              </w:rPr>
              <w:t xml:space="preserve">、工作计划及安排、进度控制措施、技术方案措施、工作重点、难点及其解决措施、交付与验收方案等基本满足项目需求，技术方案总体内容大部分或多数内容阐述简单，仅少数1-2个内容阐述具体； </w:t>
            </w:r>
          </w:p>
          <w:p w14:paraId="6A313D92">
            <w:pPr>
              <w:overflowPunct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二档（</w:t>
            </w:r>
            <w:r>
              <w:rPr>
                <w:rFonts w:hint="eastAsia" w:ascii="宋体" w:hAnsi="宋体"/>
                <w:bCs/>
                <w:color w:val="auto"/>
                <w:szCs w:val="21"/>
                <w:highlight w:val="none"/>
                <w:lang w:val="en-US" w:eastAsia="zh-CN"/>
              </w:rPr>
              <w:t>12</w:t>
            </w:r>
            <w:r>
              <w:rPr>
                <w:rFonts w:hint="eastAsia" w:ascii="宋体" w:hAnsi="宋体"/>
                <w:bCs/>
                <w:color w:val="auto"/>
                <w:szCs w:val="21"/>
                <w:highlight w:val="none"/>
              </w:rPr>
              <w:t>分）：技术方案内容提供上述</w:t>
            </w:r>
            <w:r>
              <w:rPr>
                <w:rFonts w:hint="eastAsia" w:ascii="宋体" w:hAnsi="宋体"/>
                <w:bCs/>
                <w:color w:val="auto"/>
                <w:szCs w:val="21"/>
                <w:highlight w:val="none"/>
                <w:lang w:val="en-US" w:eastAsia="zh-CN"/>
              </w:rPr>
              <w:t>6</w:t>
            </w:r>
            <w:r>
              <w:rPr>
                <w:rFonts w:hint="eastAsia" w:ascii="宋体" w:hAnsi="宋体"/>
                <w:bCs/>
                <w:color w:val="auto"/>
                <w:szCs w:val="21"/>
                <w:highlight w:val="none"/>
              </w:rPr>
              <w:t>项，技术方案与服务需求的内容吻合，对项目总体的认识与理解具有关于项目核心技术的阐述，提供的技术方案对</w:t>
            </w:r>
            <w:r>
              <w:rPr>
                <w:rFonts w:hint="eastAsia" w:ascii="宋体" w:hAnsi="宋体"/>
                <w:bCs/>
                <w:color w:val="auto"/>
                <w:szCs w:val="21"/>
                <w:highlight w:val="none"/>
                <w:lang w:val="en-US" w:eastAsia="zh-CN"/>
              </w:rPr>
              <w:t>项目</w:t>
            </w:r>
            <w:r>
              <w:rPr>
                <w:rFonts w:hint="eastAsia" w:ascii="宋体" w:hAnsi="宋体"/>
                <w:bCs/>
                <w:color w:val="auto"/>
                <w:szCs w:val="21"/>
                <w:highlight w:val="none"/>
              </w:rPr>
              <w:t>整体需求分析、系统整体运维</w:t>
            </w:r>
            <w:r>
              <w:rPr>
                <w:rFonts w:hint="eastAsia" w:ascii="宋体" w:hAnsi="宋体"/>
                <w:bCs/>
                <w:color w:val="auto"/>
                <w:szCs w:val="21"/>
                <w:highlight w:val="none"/>
                <w:lang w:val="en-US" w:eastAsia="zh-CN"/>
              </w:rPr>
              <w:t>策略</w:t>
            </w:r>
            <w:r>
              <w:rPr>
                <w:rFonts w:hint="eastAsia" w:ascii="宋体" w:hAnsi="宋体"/>
                <w:bCs/>
                <w:color w:val="auto"/>
                <w:szCs w:val="21"/>
                <w:highlight w:val="none"/>
              </w:rPr>
              <w:t xml:space="preserve">、工作计划及安排、进度控制措施、技术方案措施、工作重点、难点及其解决措施、交付与验收方案等满足项目需求且具有一定针对性，技术方案总体内容大部分或多数内容阐述具体，仅少数1-2个内容阐述简单，满足项目需求； </w:t>
            </w:r>
          </w:p>
          <w:p w14:paraId="6FA55F7C">
            <w:pPr>
              <w:overflowPunct w:val="0"/>
              <w:spacing w:line="360" w:lineRule="auto"/>
              <w:ind w:firstLine="420" w:firstLineChars="200"/>
              <w:jc w:val="left"/>
              <w:rPr>
                <w:rFonts w:hint="eastAsia" w:ascii="宋体" w:hAnsi="宋体" w:eastAsia="宋体" w:cs="Times New Roman"/>
                <w:bCs/>
                <w:color w:val="auto"/>
                <w:szCs w:val="21"/>
                <w:highlight w:val="none"/>
              </w:rPr>
            </w:pPr>
            <w:r>
              <w:rPr>
                <w:rFonts w:hint="eastAsia" w:ascii="宋体" w:hAnsi="宋体"/>
                <w:bCs/>
                <w:color w:val="auto"/>
                <w:szCs w:val="21"/>
                <w:highlight w:val="none"/>
              </w:rPr>
              <w:t>三档（</w:t>
            </w:r>
            <w:r>
              <w:rPr>
                <w:rFonts w:hint="eastAsia" w:ascii="宋体" w:hAnsi="宋体"/>
                <w:bCs/>
                <w:color w:val="auto"/>
                <w:szCs w:val="21"/>
                <w:highlight w:val="none"/>
                <w:lang w:val="en-US" w:eastAsia="zh-CN"/>
              </w:rPr>
              <w:t>18</w:t>
            </w:r>
            <w:r>
              <w:rPr>
                <w:rFonts w:hint="eastAsia" w:ascii="宋体" w:hAnsi="宋体"/>
                <w:bCs/>
                <w:color w:val="auto"/>
                <w:szCs w:val="21"/>
                <w:highlight w:val="none"/>
              </w:rPr>
              <w:t>分）：技术方案内容包含且不限于上述</w:t>
            </w:r>
            <w:r>
              <w:rPr>
                <w:rFonts w:hint="eastAsia" w:ascii="宋体" w:hAnsi="宋体"/>
                <w:bCs/>
                <w:color w:val="auto"/>
                <w:szCs w:val="21"/>
                <w:highlight w:val="none"/>
                <w:lang w:val="en-US" w:eastAsia="zh-CN"/>
              </w:rPr>
              <w:t>6</w:t>
            </w:r>
            <w:r>
              <w:rPr>
                <w:rFonts w:hint="eastAsia" w:ascii="宋体" w:hAnsi="宋体"/>
                <w:bCs/>
                <w:color w:val="auto"/>
                <w:szCs w:val="21"/>
                <w:highlight w:val="none"/>
              </w:rPr>
              <w:t>项，技术方案与采购需求的内容完全吻合，对项目总体服务需求的认识与理解有深入阐述理解与把握，还对项目难点有针对性地提出应</w:t>
            </w:r>
            <w:r>
              <w:rPr>
                <w:rFonts w:hint="eastAsia" w:ascii="宋体" w:hAnsi="宋体" w:eastAsia="宋体" w:cs="Times New Roman"/>
                <w:bCs/>
                <w:color w:val="auto"/>
                <w:szCs w:val="21"/>
                <w:highlight w:val="none"/>
              </w:rPr>
              <w:t>对措施的建议，对项目整体实施有合理化建议和解决措施，提供的技术方案对</w:t>
            </w:r>
            <w:r>
              <w:rPr>
                <w:rFonts w:hint="eastAsia" w:ascii="宋体" w:hAnsi="宋体" w:eastAsia="宋体" w:cs="Times New Roman"/>
                <w:bCs/>
                <w:color w:val="auto"/>
                <w:szCs w:val="21"/>
                <w:highlight w:val="none"/>
                <w:lang w:val="en-US" w:eastAsia="zh-CN"/>
              </w:rPr>
              <w:t>项目</w:t>
            </w:r>
            <w:r>
              <w:rPr>
                <w:rFonts w:hint="eastAsia" w:ascii="宋体" w:hAnsi="宋体" w:eastAsia="宋体" w:cs="Times New Roman"/>
                <w:bCs/>
                <w:color w:val="auto"/>
                <w:szCs w:val="21"/>
                <w:highlight w:val="none"/>
              </w:rPr>
              <w:t>整体需求分析、系统整体运维</w:t>
            </w:r>
            <w:r>
              <w:rPr>
                <w:rFonts w:hint="eastAsia" w:ascii="宋体" w:hAnsi="宋体" w:eastAsia="宋体" w:cs="Times New Roman"/>
                <w:bCs/>
                <w:color w:val="auto"/>
                <w:szCs w:val="21"/>
                <w:highlight w:val="none"/>
                <w:lang w:val="en-US" w:eastAsia="zh-CN"/>
              </w:rPr>
              <w:t>策略</w:t>
            </w:r>
            <w:r>
              <w:rPr>
                <w:rFonts w:hint="eastAsia" w:ascii="宋体" w:hAnsi="宋体" w:eastAsia="宋体" w:cs="Times New Roman"/>
                <w:bCs/>
                <w:color w:val="auto"/>
                <w:szCs w:val="21"/>
                <w:highlight w:val="none"/>
              </w:rPr>
              <w:t>、工作计划及安排、进度控制措施、技术方案措施、工作重点、难点及其解决措施、交付与验收方案等内容具备可行性，方案能够清楚描述系统的日常巡检、预防性维护、性能优化、数据备份与恢复等具体实施方案，故障处理流程‌明确故障分级标准（如紧急、重要、一般）、处理流程、闭环管理机制</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提供患者隐私保护、数据防泄露、数据库安全加固等技术措施</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可行性强、有针对性，整体方案完全符合或优于本项目采购需求。</w:t>
            </w:r>
          </w:p>
          <w:p w14:paraId="7CBE8057">
            <w:pPr>
              <w:overflowPunct w:val="0"/>
              <w:spacing w:line="360" w:lineRule="auto"/>
              <w:ind w:firstLine="420" w:firstLineChars="200"/>
              <w:jc w:val="left"/>
              <w:rPr>
                <w:rFonts w:hint="eastAsia" w:ascii="宋体" w:hAnsi="宋体" w:eastAsia="宋体" w:cs="Times New Roman"/>
                <w:bCs/>
                <w:color w:val="auto"/>
                <w:szCs w:val="21"/>
                <w:highlight w:val="none"/>
              </w:rPr>
            </w:pPr>
            <w:r>
              <w:rPr>
                <w:rFonts w:hint="eastAsia" w:ascii="宋体" w:hAnsi="宋体"/>
                <w:bCs/>
                <w:color w:val="auto"/>
                <w:szCs w:val="21"/>
                <w:highlight w:val="none"/>
              </w:rPr>
              <w:t>注：未提供该项内容或不符合一档要求的不得分。</w:t>
            </w:r>
          </w:p>
        </w:tc>
      </w:tr>
      <w:tr w14:paraId="0B5A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top"/>
          </w:tcPr>
          <w:p w14:paraId="5C4F3C00">
            <w:pPr>
              <w:overflowPunct w:val="0"/>
              <w:adjustRightInd w:val="0"/>
              <w:snapToGrid w:val="0"/>
              <w:spacing w:line="360" w:lineRule="atLeast"/>
              <w:jc w:val="center"/>
              <w:textAlignment w:val="baseline"/>
              <w:rPr>
                <w:rFonts w:ascii="宋体" w:hAnsi="宋体"/>
                <w:color w:val="auto"/>
                <w:szCs w:val="21"/>
                <w:highlight w:val="none"/>
              </w:rPr>
            </w:pPr>
          </w:p>
        </w:tc>
        <w:tc>
          <w:tcPr>
            <w:tcW w:w="1585" w:type="dxa"/>
            <w:vMerge w:val="continue"/>
            <w:noWrap w:val="0"/>
            <w:vAlign w:val="top"/>
          </w:tcPr>
          <w:p w14:paraId="03332CB5">
            <w:pPr>
              <w:overflowPunct w:val="0"/>
              <w:snapToGrid w:val="0"/>
              <w:spacing w:line="360" w:lineRule="auto"/>
              <w:ind w:firstLine="443" w:firstLineChars="211"/>
              <w:rPr>
                <w:rFonts w:ascii="宋体" w:hAnsi="宋体"/>
                <w:bCs/>
                <w:color w:val="auto"/>
                <w:szCs w:val="21"/>
                <w:highlight w:val="none"/>
              </w:rPr>
            </w:pPr>
          </w:p>
        </w:tc>
        <w:tc>
          <w:tcPr>
            <w:tcW w:w="1701" w:type="dxa"/>
            <w:noWrap w:val="0"/>
            <w:tcMar>
              <w:left w:w="57" w:type="dxa"/>
              <w:right w:w="57" w:type="dxa"/>
            </w:tcMar>
            <w:vAlign w:val="top"/>
          </w:tcPr>
          <w:p w14:paraId="420D8AD3">
            <w:pPr>
              <w:overflowPunct w:val="0"/>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维保服务管理方案（满分10分）</w:t>
            </w:r>
          </w:p>
        </w:tc>
        <w:tc>
          <w:tcPr>
            <w:tcW w:w="5660" w:type="dxa"/>
            <w:noWrap w:val="0"/>
            <w:vAlign w:val="center"/>
          </w:tcPr>
          <w:p w14:paraId="299DCEDE">
            <w:pPr>
              <w:overflowPunct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4</w:t>
            </w:r>
            <w:r>
              <w:rPr>
                <w:rFonts w:hint="eastAsia" w:ascii="宋体" w:hAnsi="宋体"/>
                <w:bCs/>
                <w:color w:val="auto"/>
                <w:szCs w:val="21"/>
                <w:highlight w:val="none"/>
              </w:rPr>
              <w:t>分）：有提供简单的维保服务管理方案，但未明确提出维保服务保障措施。</w:t>
            </w:r>
          </w:p>
          <w:p w14:paraId="1D5D4E97">
            <w:pPr>
              <w:overflowPunct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二档（7分）：公司规章制度有相应的组织机构，岗位设置合理，人员管理方案描述详细；有提供项目维保进度计划，规划编制维保工作的时间安排合理、质量管理目标明确，进度保障措施完善。</w:t>
            </w:r>
          </w:p>
          <w:p w14:paraId="4FDA14B0">
            <w:pPr>
              <w:overflowPunct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三档（10分）：公司规章制度完善，人员管理方案描述科学、措施详实、切实可行、有效，并有针对性，制度、管理方案满足</w:t>
            </w:r>
            <w:r>
              <w:rPr>
                <w:rFonts w:hint="eastAsia" w:ascii="宋体" w:hAnsi="宋体"/>
                <w:bCs/>
                <w:color w:val="auto"/>
                <w:szCs w:val="21"/>
                <w:highlight w:val="none"/>
                <w:lang w:val="en-US" w:eastAsia="zh-CN"/>
              </w:rPr>
              <w:t>或</w:t>
            </w:r>
            <w:r>
              <w:rPr>
                <w:rFonts w:hint="eastAsia" w:ascii="宋体" w:hAnsi="宋体"/>
                <w:bCs/>
                <w:color w:val="auto"/>
                <w:szCs w:val="21"/>
                <w:highlight w:val="none"/>
              </w:rPr>
              <w:t>优于采购需求；项目维保进度计划能详细说明各个阶段维保工作安排及各个阶段的维保工作任务、时间节点，人员安排等，项目维保工作计划编排科学合理，质量管理目标、质量管理制度明确，提出本项目维保进度保障的措施且具体措施切实可行。</w:t>
            </w:r>
          </w:p>
          <w:p w14:paraId="66EC3262">
            <w:pPr>
              <w:overflowPunct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注：未提供该项内容或不符合一档要求的不得分。</w:t>
            </w:r>
          </w:p>
        </w:tc>
      </w:tr>
      <w:tr w14:paraId="1E34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top"/>
          </w:tcPr>
          <w:p w14:paraId="61737D20">
            <w:pPr>
              <w:overflowPunct w:val="0"/>
              <w:adjustRightInd w:val="0"/>
              <w:snapToGrid w:val="0"/>
              <w:spacing w:line="360" w:lineRule="atLeast"/>
              <w:jc w:val="center"/>
              <w:textAlignment w:val="baseline"/>
              <w:rPr>
                <w:rFonts w:ascii="宋体" w:hAnsi="宋体"/>
                <w:color w:val="auto"/>
                <w:szCs w:val="21"/>
                <w:highlight w:val="none"/>
              </w:rPr>
            </w:pPr>
          </w:p>
        </w:tc>
        <w:tc>
          <w:tcPr>
            <w:tcW w:w="1585" w:type="dxa"/>
            <w:vMerge w:val="continue"/>
            <w:noWrap w:val="0"/>
            <w:vAlign w:val="top"/>
          </w:tcPr>
          <w:p w14:paraId="62CC3F45">
            <w:pPr>
              <w:overflowPunct w:val="0"/>
              <w:snapToGrid w:val="0"/>
              <w:spacing w:line="360" w:lineRule="auto"/>
              <w:ind w:firstLine="443" w:firstLineChars="211"/>
              <w:rPr>
                <w:rFonts w:ascii="宋体" w:hAnsi="宋体"/>
                <w:bCs/>
                <w:color w:val="auto"/>
                <w:szCs w:val="21"/>
                <w:highlight w:val="none"/>
              </w:rPr>
            </w:pPr>
          </w:p>
        </w:tc>
        <w:tc>
          <w:tcPr>
            <w:tcW w:w="1701" w:type="dxa"/>
            <w:shd w:val="clear" w:color="auto" w:fill="auto"/>
            <w:noWrap w:val="0"/>
            <w:tcMar>
              <w:left w:w="57" w:type="dxa"/>
              <w:right w:w="57" w:type="dxa"/>
            </w:tcMar>
            <w:vAlign w:val="center"/>
          </w:tcPr>
          <w:p w14:paraId="4FCEC208">
            <w:pPr>
              <w:widowControl/>
              <w:overflowPunct w:val="0"/>
              <w:spacing w:line="360" w:lineRule="exact"/>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cs="Courier New"/>
                <w:bCs/>
                <w:color w:val="auto"/>
                <w:szCs w:val="21"/>
                <w:highlight w:val="none"/>
              </w:rPr>
              <w:t>售后服务方案（满分</w:t>
            </w:r>
            <w:r>
              <w:rPr>
                <w:rFonts w:hint="eastAsia" w:ascii="宋体" w:hAnsi="宋体" w:cs="Courier New"/>
                <w:bCs/>
                <w:color w:val="auto"/>
                <w:szCs w:val="21"/>
                <w:highlight w:val="none"/>
                <w:lang w:val="en-US" w:eastAsia="zh-CN"/>
              </w:rPr>
              <w:t>14</w:t>
            </w:r>
            <w:r>
              <w:rPr>
                <w:rFonts w:hint="eastAsia" w:ascii="宋体" w:hAnsi="宋体" w:cs="Courier New"/>
                <w:bCs/>
                <w:color w:val="auto"/>
                <w:szCs w:val="21"/>
                <w:highlight w:val="none"/>
              </w:rPr>
              <w:t>分）</w:t>
            </w:r>
          </w:p>
        </w:tc>
        <w:tc>
          <w:tcPr>
            <w:tcW w:w="5660" w:type="dxa"/>
            <w:shd w:val="clear" w:color="auto" w:fill="auto"/>
            <w:noWrap w:val="0"/>
            <w:vAlign w:val="top"/>
          </w:tcPr>
          <w:p w14:paraId="1CC43003">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Ansi="宋体" w:cs="Courier New"/>
                <w:bCs/>
                <w:color w:val="auto"/>
                <w:highlight w:val="none"/>
              </w:rPr>
            </w:pPr>
            <w:r>
              <w:rPr>
                <w:rFonts w:hint="eastAsia" w:hAnsi="宋体" w:cs="Courier New"/>
                <w:bCs/>
                <w:color w:val="auto"/>
                <w:highlight w:val="none"/>
              </w:rPr>
              <w:t>由评委根据各投标人投标文件中售后服务方案与需求的吻合程度，从维保期、</w:t>
            </w:r>
            <w:r>
              <w:rPr>
                <w:rFonts w:hint="eastAsia" w:ascii="宋体" w:hAnsi="宋体"/>
                <w:bCs/>
                <w:color w:val="auto"/>
                <w:kern w:val="0"/>
                <w:szCs w:val="21"/>
                <w:highlight w:val="none"/>
              </w:rPr>
              <w:t>质保期内技术服务及保障措施、</w:t>
            </w:r>
            <w:r>
              <w:rPr>
                <w:rFonts w:hint="eastAsia" w:hAnsi="宋体" w:cs="Courier New"/>
                <w:bCs/>
                <w:color w:val="auto"/>
                <w:highlight w:val="none"/>
              </w:rPr>
              <w:t>应急响应上门服务时间及处理措施、</w:t>
            </w:r>
            <w:r>
              <w:rPr>
                <w:rFonts w:hint="eastAsia" w:ascii="宋体" w:hAnsi="宋体"/>
                <w:bCs/>
                <w:color w:val="auto"/>
                <w:kern w:val="0"/>
                <w:szCs w:val="21"/>
                <w:highlight w:val="none"/>
              </w:rPr>
              <w:t>售后服务计划、售后服务技术人员配置、培训方案、软件运行测试、交付、系统应急方案等</w:t>
            </w:r>
            <w:r>
              <w:rPr>
                <w:rFonts w:hint="eastAsia" w:hAnsi="宋体" w:cs="Courier New"/>
                <w:bCs/>
                <w:color w:val="auto"/>
                <w:highlight w:val="none"/>
              </w:rPr>
              <w:t>的服务承诺进行综合评定。</w:t>
            </w:r>
          </w:p>
          <w:p w14:paraId="62BB4FE6">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hAnsi="宋体" w:cs="Courier New"/>
                <w:bCs/>
                <w:color w:val="auto"/>
                <w:highlight w:val="none"/>
              </w:rPr>
            </w:pPr>
            <w:r>
              <w:rPr>
                <w:rFonts w:hint="eastAsia" w:hAnsi="宋体" w:cs="Courier New"/>
                <w:bCs/>
                <w:color w:val="auto"/>
                <w:highlight w:val="none"/>
              </w:rPr>
              <w:t>一档（</w:t>
            </w:r>
            <w:r>
              <w:rPr>
                <w:rFonts w:hint="eastAsia" w:hAnsi="宋体" w:cs="Courier New"/>
                <w:bCs/>
                <w:color w:val="auto"/>
                <w:highlight w:val="none"/>
                <w:lang w:val="en-US" w:eastAsia="zh-CN"/>
              </w:rPr>
              <w:t>4</w:t>
            </w:r>
            <w:r>
              <w:rPr>
                <w:rFonts w:hint="eastAsia" w:hAnsi="宋体" w:cs="Courier New"/>
                <w:bCs/>
                <w:color w:val="auto"/>
                <w:highlight w:val="none"/>
              </w:rPr>
              <w:t>分）：在满足采购文件基本售后服务需求基础上，整个售后服务方案没有提供其他额外增加服务，拟投入售后服务人员达3人</w:t>
            </w:r>
            <w:r>
              <w:rPr>
                <w:rFonts w:hint="eastAsia" w:hAnsi="宋体" w:cs="Courier New"/>
                <w:bCs/>
                <w:color w:val="auto"/>
                <w:highlight w:val="none"/>
                <w:lang w:eastAsia="zh-CN"/>
              </w:rPr>
              <w:t>（</w:t>
            </w:r>
            <w:r>
              <w:rPr>
                <w:rFonts w:hint="eastAsia" w:hAnsi="宋体" w:cs="Courier New"/>
                <w:bCs/>
                <w:color w:val="auto"/>
                <w:highlight w:val="none"/>
                <w:lang w:val="en-US" w:eastAsia="zh-CN"/>
              </w:rPr>
              <w:t>含3人</w:t>
            </w:r>
            <w:r>
              <w:rPr>
                <w:rFonts w:hint="eastAsia" w:hAnsi="宋体" w:cs="Courier New"/>
                <w:bCs/>
                <w:color w:val="auto"/>
                <w:highlight w:val="none"/>
                <w:lang w:eastAsia="zh-CN"/>
              </w:rPr>
              <w:t>）</w:t>
            </w:r>
            <w:r>
              <w:rPr>
                <w:rFonts w:hint="eastAsia" w:hAnsi="宋体" w:cs="Courier New"/>
                <w:bCs/>
                <w:color w:val="auto"/>
                <w:highlight w:val="none"/>
              </w:rPr>
              <w:t>以上。</w:t>
            </w:r>
          </w:p>
          <w:p w14:paraId="2976AC3A">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hAnsi="宋体" w:cs="Courier New"/>
                <w:bCs/>
                <w:color w:val="auto"/>
                <w:highlight w:val="none"/>
              </w:rPr>
            </w:pPr>
            <w:r>
              <w:rPr>
                <w:rFonts w:hint="eastAsia" w:hAnsi="宋体" w:cs="Courier New"/>
                <w:bCs/>
                <w:color w:val="auto"/>
                <w:highlight w:val="none"/>
              </w:rPr>
              <w:t>二档（</w:t>
            </w:r>
            <w:r>
              <w:rPr>
                <w:rFonts w:hint="eastAsia" w:hAnsi="宋体" w:cs="Courier New"/>
                <w:bCs/>
                <w:color w:val="auto"/>
                <w:highlight w:val="none"/>
                <w:lang w:val="en-US" w:eastAsia="zh-CN"/>
              </w:rPr>
              <w:t>9</w:t>
            </w:r>
            <w:r>
              <w:rPr>
                <w:rFonts w:hint="eastAsia" w:hAnsi="宋体" w:cs="Courier New"/>
                <w:bCs/>
                <w:color w:val="auto"/>
                <w:highlight w:val="none"/>
              </w:rPr>
              <w:t>分）：供应商提供的售后方案，满足项目采购需求的售后服务要求，在满足采购需求基础上，提出来服务承诺事项总体内容有部分增加服务内容，大部分或多数内容具体，但仍有少数内容不够具体，拟投入售后服务人员达5人</w:t>
            </w:r>
            <w:r>
              <w:rPr>
                <w:rFonts w:hint="eastAsia" w:hAnsi="宋体" w:cs="Courier New"/>
                <w:bCs/>
                <w:color w:val="auto"/>
                <w:highlight w:val="none"/>
                <w:lang w:eastAsia="zh-CN"/>
              </w:rPr>
              <w:t>（</w:t>
            </w:r>
            <w:r>
              <w:rPr>
                <w:rFonts w:hint="eastAsia" w:hAnsi="宋体" w:cs="Courier New"/>
                <w:bCs/>
                <w:color w:val="auto"/>
                <w:highlight w:val="none"/>
                <w:lang w:val="en-US" w:eastAsia="zh-CN"/>
              </w:rPr>
              <w:t>含5人</w:t>
            </w:r>
            <w:r>
              <w:rPr>
                <w:rFonts w:hint="eastAsia" w:hAnsi="宋体" w:cs="Courier New"/>
                <w:bCs/>
                <w:color w:val="auto"/>
                <w:highlight w:val="none"/>
                <w:lang w:eastAsia="zh-CN"/>
              </w:rPr>
              <w:t>）</w:t>
            </w:r>
            <w:r>
              <w:rPr>
                <w:rFonts w:hint="eastAsia" w:hAnsi="宋体" w:cs="Courier New"/>
                <w:bCs/>
                <w:color w:val="auto"/>
                <w:highlight w:val="none"/>
              </w:rPr>
              <w:t>以上。</w:t>
            </w:r>
          </w:p>
          <w:p w14:paraId="72558120">
            <w:pPr>
              <w:overflowPunct w:val="0"/>
              <w:spacing w:line="360" w:lineRule="auto"/>
              <w:ind w:firstLine="210" w:firstLineChars="100"/>
              <w:rPr>
                <w:rFonts w:hint="eastAsia" w:ascii="宋体" w:hAnsi="宋体"/>
                <w:bCs/>
                <w:color w:val="auto"/>
                <w:highlight w:val="none"/>
              </w:rPr>
            </w:pPr>
            <w:r>
              <w:rPr>
                <w:rFonts w:hint="eastAsia" w:hAnsi="宋体" w:cs="Courier New"/>
                <w:bCs/>
                <w:color w:val="auto"/>
                <w:highlight w:val="none"/>
              </w:rPr>
              <w:t xml:space="preserve">  三档（</w:t>
            </w:r>
            <w:r>
              <w:rPr>
                <w:rFonts w:hint="eastAsia" w:hAnsi="宋体" w:cs="Courier New"/>
                <w:bCs/>
                <w:color w:val="auto"/>
                <w:highlight w:val="none"/>
                <w:lang w:val="en-US" w:eastAsia="zh-CN"/>
              </w:rPr>
              <w:t>14</w:t>
            </w:r>
            <w:r>
              <w:rPr>
                <w:rFonts w:hint="eastAsia" w:hAnsi="宋体" w:cs="Courier New"/>
                <w:bCs/>
                <w:color w:val="auto"/>
                <w:highlight w:val="none"/>
              </w:rPr>
              <w:t>分）：供应商提供的售后方案，</w:t>
            </w:r>
            <w:r>
              <w:rPr>
                <w:rFonts w:hint="eastAsia" w:hAnsi="宋体" w:cs="Courier New"/>
                <w:bCs/>
                <w:color w:val="auto"/>
                <w:highlight w:val="none"/>
                <w:lang w:val="en-US" w:eastAsia="zh-CN"/>
              </w:rPr>
              <w:t>完全</w:t>
            </w:r>
            <w:r>
              <w:rPr>
                <w:rFonts w:hint="eastAsia" w:hAnsi="宋体" w:cs="Courier New"/>
                <w:bCs/>
                <w:color w:val="auto"/>
                <w:highlight w:val="none"/>
              </w:rPr>
              <w:t>满足项目采购需求的售后服务要求，且提出的售后服务优于基本售后服务要求，在满足采购需求基础上，提供的增加服务内容相对较多且整体全部服务承诺针对质保期、人员后</w:t>
            </w:r>
            <w:r>
              <w:rPr>
                <w:rFonts w:hint="eastAsia" w:hAnsi="宋体" w:cs="Courier New"/>
                <w:bCs/>
                <w:color w:val="auto"/>
                <w:highlight w:val="none"/>
              </w:rPr>
              <w:t>续服务、响应措施、技术支持、</w:t>
            </w:r>
            <w:r>
              <w:rPr>
                <w:rFonts w:hint="eastAsia" w:ascii="宋体" w:hAnsi="宋体"/>
                <w:bCs/>
                <w:color w:val="auto"/>
                <w:kern w:val="0"/>
                <w:szCs w:val="21"/>
                <w:highlight w:val="none"/>
              </w:rPr>
              <w:t>系统应急方案有平台监控方案、数据灾备方案和系统迁移及多节点部署方案</w:t>
            </w:r>
            <w:r>
              <w:rPr>
                <w:rFonts w:hint="eastAsia" w:hAnsi="宋体" w:cs="Courier New"/>
                <w:bCs/>
                <w:color w:val="auto"/>
                <w:highlight w:val="none"/>
              </w:rPr>
              <w:t>等方面的服务承诺阐述内容</w:t>
            </w:r>
            <w:r>
              <w:rPr>
                <w:rFonts w:hint="eastAsia" w:hAnsi="宋体" w:cs="Courier New"/>
                <w:bCs/>
                <w:color w:val="auto"/>
                <w:highlight w:val="none"/>
                <w:lang w:val="en-US" w:eastAsia="zh-CN"/>
              </w:rPr>
              <w:t>清晰</w:t>
            </w:r>
            <w:r>
              <w:rPr>
                <w:rFonts w:hint="eastAsia" w:hAnsi="宋体" w:cs="Courier New"/>
                <w:bCs/>
                <w:color w:val="auto"/>
                <w:highlight w:val="none"/>
              </w:rPr>
              <w:t>、</w:t>
            </w:r>
            <w:r>
              <w:rPr>
                <w:rFonts w:hint="eastAsia" w:hAnsi="宋体" w:cs="Courier New"/>
                <w:bCs/>
                <w:color w:val="auto"/>
                <w:highlight w:val="none"/>
              </w:rPr>
              <w:t>贴切且完善，其售后技术力量投入综合素质高，拟投入售后服务人员达10人</w:t>
            </w:r>
            <w:r>
              <w:rPr>
                <w:rFonts w:hint="eastAsia" w:hAnsi="宋体" w:cs="Courier New"/>
                <w:bCs/>
                <w:color w:val="auto"/>
                <w:highlight w:val="none"/>
                <w:lang w:eastAsia="zh-CN"/>
              </w:rPr>
              <w:t>（</w:t>
            </w:r>
            <w:r>
              <w:rPr>
                <w:rFonts w:hint="eastAsia" w:hAnsi="宋体" w:cs="Courier New"/>
                <w:bCs/>
                <w:color w:val="auto"/>
                <w:highlight w:val="none"/>
                <w:lang w:val="en-US" w:eastAsia="zh-CN"/>
              </w:rPr>
              <w:t>含10人</w:t>
            </w:r>
            <w:r>
              <w:rPr>
                <w:rFonts w:hint="eastAsia" w:hAnsi="宋体" w:cs="Courier New"/>
                <w:bCs/>
                <w:color w:val="auto"/>
                <w:highlight w:val="none"/>
                <w:lang w:eastAsia="zh-CN"/>
              </w:rPr>
              <w:t>）</w:t>
            </w:r>
            <w:r>
              <w:rPr>
                <w:rFonts w:hint="eastAsia" w:hAnsi="宋体" w:cs="Courier New"/>
                <w:bCs/>
                <w:color w:val="auto"/>
                <w:highlight w:val="none"/>
              </w:rPr>
              <w:t>以上</w:t>
            </w:r>
            <w:r>
              <w:rPr>
                <w:rFonts w:hint="eastAsia" w:ascii="宋体" w:hAnsi="宋体"/>
                <w:bCs/>
                <w:color w:val="auto"/>
                <w:highlight w:val="none"/>
              </w:rPr>
              <w:t>。</w:t>
            </w:r>
          </w:p>
          <w:p w14:paraId="0C2019F6">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bCs/>
                <w:color w:val="auto"/>
                <w:highlight w:val="none"/>
                <w:lang w:val="en-US" w:eastAsia="zh-CN"/>
              </w:rPr>
            </w:pPr>
            <w:r>
              <w:rPr>
                <w:rFonts w:hint="eastAsia" w:ascii="宋体" w:hAnsi="宋体"/>
                <w:bCs/>
                <w:color w:val="auto"/>
                <w:szCs w:val="21"/>
                <w:highlight w:val="none"/>
              </w:rPr>
              <w:t>注：未提供该项内容或不符合一档要求的不得分。</w:t>
            </w:r>
          </w:p>
        </w:tc>
      </w:tr>
      <w:tr w14:paraId="2145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2" w:type="dxa"/>
            <w:vMerge w:val="restart"/>
            <w:noWrap w:val="0"/>
            <w:vAlign w:val="center"/>
          </w:tcPr>
          <w:p w14:paraId="55B92375">
            <w:pPr>
              <w:overflowPunct w:val="0"/>
              <w:adjustRightInd w:val="0"/>
              <w:snapToGrid w:val="0"/>
              <w:spacing w:line="360" w:lineRule="atLeast"/>
              <w:jc w:val="center"/>
              <w:textAlignment w:val="baseline"/>
              <w:rPr>
                <w:rFonts w:ascii="宋体" w:hAnsi="宋体"/>
                <w:color w:val="auto"/>
                <w:szCs w:val="21"/>
                <w:highlight w:val="none"/>
              </w:rPr>
            </w:pPr>
            <w:r>
              <w:rPr>
                <w:rFonts w:hint="eastAsia" w:ascii="宋体" w:hAnsi="宋体"/>
                <w:color w:val="auto"/>
                <w:szCs w:val="21"/>
                <w:highlight w:val="none"/>
              </w:rPr>
              <w:t>3</w:t>
            </w:r>
          </w:p>
          <w:p w14:paraId="37C28AA2">
            <w:pPr>
              <w:overflowPunct w:val="0"/>
              <w:snapToGrid w:val="0"/>
              <w:spacing w:line="360" w:lineRule="atLeast"/>
              <w:jc w:val="center"/>
              <w:rPr>
                <w:rFonts w:ascii="宋体" w:hAnsi="宋体"/>
                <w:color w:val="auto"/>
                <w:szCs w:val="21"/>
                <w:highlight w:val="none"/>
              </w:rPr>
            </w:pPr>
          </w:p>
        </w:tc>
        <w:tc>
          <w:tcPr>
            <w:tcW w:w="1585" w:type="dxa"/>
            <w:vMerge w:val="restart"/>
            <w:noWrap w:val="0"/>
            <w:vAlign w:val="center"/>
          </w:tcPr>
          <w:p w14:paraId="414D7577">
            <w:pPr>
              <w:overflowPunct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商务分</w:t>
            </w:r>
          </w:p>
          <w:p w14:paraId="771E4616">
            <w:pPr>
              <w:overflowPunct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（满分</w:t>
            </w:r>
            <w:r>
              <w:rPr>
                <w:rFonts w:hint="eastAsia" w:ascii="宋体" w:hAnsi="宋体"/>
                <w:bCs/>
                <w:color w:val="auto"/>
                <w:szCs w:val="21"/>
                <w:highlight w:val="none"/>
                <w:lang w:val="en-US" w:eastAsia="zh-CN"/>
              </w:rPr>
              <w:t>23</w:t>
            </w:r>
            <w:r>
              <w:rPr>
                <w:rFonts w:hint="eastAsia" w:ascii="宋体" w:hAnsi="宋体"/>
                <w:bCs/>
                <w:color w:val="auto"/>
                <w:szCs w:val="21"/>
                <w:highlight w:val="none"/>
              </w:rPr>
              <w:t>分）</w:t>
            </w:r>
          </w:p>
          <w:p w14:paraId="3DDA0FD2">
            <w:pPr>
              <w:overflowPunct w:val="0"/>
              <w:snapToGrid w:val="0"/>
              <w:spacing w:line="360" w:lineRule="auto"/>
              <w:ind w:firstLine="443" w:firstLineChars="211"/>
              <w:jc w:val="center"/>
              <w:rPr>
                <w:rFonts w:ascii="宋体" w:hAnsi="宋体"/>
                <w:bCs/>
                <w:color w:val="auto"/>
                <w:szCs w:val="21"/>
                <w:highlight w:val="none"/>
              </w:rPr>
            </w:pPr>
          </w:p>
        </w:tc>
        <w:tc>
          <w:tcPr>
            <w:tcW w:w="1701" w:type="dxa"/>
            <w:shd w:val="clear" w:color="auto" w:fill="auto"/>
            <w:noWrap w:val="0"/>
            <w:vAlign w:val="center"/>
          </w:tcPr>
          <w:p w14:paraId="7DFD9FA4">
            <w:pPr>
              <w:widowControl/>
              <w:overflowPunct w:val="0"/>
              <w:spacing w:line="360" w:lineRule="exact"/>
              <w:jc w:val="center"/>
              <w:rPr>
                <w:rFonts w:ascii="宋体" w:hAnsi="宋体" w:eastAsia="宋体" w:cs="Courier New"/>
                <w:bCs/>
                <w:color w:val="auto"/>
                <w:kern w:val="2"/>
                <w:sz w:val="21"/>
                <w:szCs w:val="21"/>
                <w:highlight w:val="none"/>
                <w:lang w:val="en-US" w:eastAsia="zh-CN" w:bidi="ar-SA"/>
              </w:rPr>
            </w:pPr>
            <w:r>
              <w:rPr>
                <w:rFonts w:hint="eastAsia" w:ascii="宋体" w:hAnsi="宋体"/>
                <w:bCs/>
                <w:color w:val="auto"/>
                <w:kern w:val="0"/>
                <w:szCs w:val="21"/>
                <w:highlight w:val="none"/>
              </w:rPr>
              <w:t>实施团队人员配置（满分</w:t>
            </w:r>
            <w:r>
              <w:rPr>
                <w:rFonts w:hint="eastAsia" w:ascii="宋体" w:hAnsi="宋体"/>
                <w:bCs/>
                <w:color w:val="auto"/>
                <w:kern w:val="0"/>
                <w:szCs w:val="21"/>
                <w:highlight w:val="none"/>
                <w:lang w:val="en-US" w:eastAsia="zh-CN"/>
              </w:rPr>
              <w:t>9</w:t>
            </w:r>
            <w:r>
              <w:rPr>
                <w:rFonts w:hint="eastAsia" w:ascii="宋体" w:hAnsi="宋体"/>
                <w:bCs/>
                <w:color w:val="auto"/>
                <w:kern w:val="0"/>
                <w:szCs w:val="21"/>
                <w:highlight w:val="none"/>
              </w:rPr>
              <w:t>分）</w:t>
            </w:r>
          </w:p>
        </w:tc>
        <w:tc>
          <w:tcPr>
            <w:tcW w:w="5660" w:type="dxa"/>
            <w:shd w:val="clear" w:color="auto" w:fill="auto"/>
            <w:noWrap w:val="0"/>
            <w:vAlign w:val="top"/>
          </w:tcPr>
          <w:p w14:paraId="6CB3D60B">
            <w:pPr>
              <w:overflowPunct w:val="0"/>
              <w:spacing w:line="360" w:lineRule="auto"/>
              <w:rPr>
                <w:rFonts w:ascii="Times New Roman Regular" w:hAnsi="Times New Roman Regular" w:cs="Times New Roman Regular"/>
                <w:color w:val="auto"/>
                <w:kern w:val="0"/>
                <w:szCs w:val="21"/>
                <w:highlight w:val="none"/>
              </w:rPr>
            </w:pPr>
            <w:r>
              <w:rPr>
                <w:rFonts w:hint="eastAsia" w:ascii="宋体" w:hAnsi="宋体"/>
                <w:bCs/>
                <w:color w:val="auto"/>
                <w:kern w:val="0"/>
                <w:szCs w:val="21"/>
                <w:highlight w:val="none"/>
              </w:rPr>
              <w:t>1、拟投入项目经理（满分</w:t>
            </w:r>
            <w:r>
              <w:rPr>
                <w:rFonts w:hint="eastAsia" w:ascii="宋体" w:hAnsi="宋体"/>
                <w:bCs/>
                <w:color w:val="auto"/>
                <w:kern w:val="0"/>
                <w:szCs w:val="21"/>
                <w:highlight w:val="none"/>
                <w:lang w:val="en-US" w:eastAsia="zh-CN"/>
              </w:rPr>
              <w:t>4</w:t>
            </w:r>
            <w:r>
              <w:rPr>
                <w:rFonts w:hint="eastAsia" w:ascii="宋体" w:hAnsi="宋体"/>
                <w:bCs/>
                <w:color w:val="auto"/>
                <w:kern w:val="0"/>
                <w:szCs w:val="21"/>
                <w:highlight w:val="none"/>
              </w:rPr>
              <w:t>分）</w:t>
            </w:r>
          </w:p>
          <w:p w14:paraId="78C348B8">
            <w:pPr>
              <w:widowControl/>
              <w:spacing w:line="360" w:lineRule="auto"/>
              <w:textAlignment w:val="center"/>
              <w:rPr>
                <w:rFonts w:hint="eastAsia" w:ascii="Times New Roman Regular" w:hAnsi="Times New Roman Regular" w:cs="Times New Roman Regular"/>
                <w:color w:val="auto"/>
                <w:kern w:val="0"/>
                <w:szCs w:val="21"/>
                <w:highlight w:val="none"/>
              </w:rPr>
            </w:pPr>
            <w:r>
              <w:rPr>
                <w:rFonts w:hint="eastAsia" w:ascii="Times New Roman Regular" w:hAnsi="Times New Roman Regular" w:cs="Times New Roman Regular"/>
                <w:color w:val="auto"/>
                <w:kern w:val="0"/>
                <w:szCs w:val="21"/>
                <w:highlight w:val="none"/>
              </w:rPr>
              <w:t>（1）</w:t>
            </w:r>
            <w:r>
              <w:rPr>
                <w:rFonts w:ascii="Times New Roman Regular" w:hAnsi="Times New Roman Regular" w:cs="Times New Roman Regular"/>
                <w:color w:val="auto"/>
                <w:kern w:val="0"/>
                <w:szCs w:val="21"/>
                <w:highlight w:val="none"/>
              </w:rPr>
              <w:t>具有</w:t>
            </w:r>
            <w:r>
              <w:rPr>
                <w:rStyle w:val="134"/>
                <w:rFonts w:hint="default"/>
                <w:color w:val="auto"/>
                <w:highlight w:val="none"/>
                <w:lang w:bidi="ar"/>
              </w:rPr>
              <w:t>计算机或信息管理</w:t>
            </w:r>
            <w:r>
              <w:rPr>
                <w:rStyle w:val="134"/>
                <w:color w:val="auto"/>
                <w:highlight w:val="none"/>
                <w:lang w:bidi="ar"/>
              </w:rPr>
              <w:t>或生物医学工程</w:t>
            </w:r>
            <w:r>
              <w:rPr>
                <w:rStyle w:val="134"/>
                <w:rFonts w:hint="default"/>
                <w:color w:val="auto"/>
                <w:highlight w:val="none"/>
                <w:lang w:bidi="ar"/>
              </w:rPr>
              <w:t>相关专业</w:t>
            </w:r>
            <w:r>
              <w:rPr>
                <w:rFonts w:ascii="Times New Roman Regular" w:hAnsi="Times New Roman Regular" w:cs="Times New Roman Regular"/>
                <w:color w:val="auto"/>
                <w:kern w:val="0"/>
                <w:szCs w:val="21"/>
                <w:highlight w:val="none"/>
              </w:rPr>
              <w:t>的本科或以上学历</w:t>
            </w:r>
            <w:r>
              <w:rPr>
                <w:rFonts w:hint="eastAsia" w:ascii="Times New Roman Regular" w:hAnsi="Times New Roman Regular" w:cs="Times New Roman Regular"/>
                <w:color w:val="auto"/>
                <w:kern w:val="0"/>
                <w:szCs w:val="21"/>
                <w:highlight w:val="none"/>
              </w:rPr>
              <w:t>，得1分，具有硕士或以上学历的，得2分，此项满分2分；（提供相关学历证明扫描件）</w:t>
            </w:r>
          </w:p>
          <w:p w14:paraId="25A39DC7">
            <w:pPr>
              <w:widowControl/>
              <w:spacing w:line="360" w:lineRule="auto"/>
              <w:textAlignment w:val="center"/>
              <w:rPr>
                <w:rFonts w:hint="eastAsia"/>
                <w:color w:val="auto"/>
                <w:highlight w:val="none"/>
              </w:rPr>
            </w:pPr>
            <w:r>
              <w:rPr>
                <w:rStyle w:val="134"/>
                <w:rFonts w:hint="default"/>
                <w:color w:val="auto"/>
                <w:highlight w:val="none"/>
                <w:lang w:bidi="ar"/>
              </w:rPr>
              <w:t>（2）具有计算机技术与软件专业技术资格</w:t>
            </w:r>
            <w:r>
              <w:rPr>
                <w:rStyle w:val="134"/>
                <w:color w:val="auto"/>
                <w:highlight w:val="none"/>
                <w:lang w:bidi="ar"/>
              </w:rPr>
              <w:t>证书，有</w:t>
            </w:r>
            <w:r>
              <w:rPr>
                <w:rStyle w:val="134"/>
                <w:rFonts w:hint="default"/>
                <w:color w:val="auto"/>
                <w:highlight w:val="none"/>
                <w:lang w:bidi="ar"/>
              </w:rPr>
              <w:t>系统集成项目管理工程师</w:t>
            </w:r>
            <w:r>
              <w:rPr>
                <w:rStyle w:val="134"/>
                <w:color w:val="auto"/>
                <w:highlight w:val="none"/>
                <w:lang w:bidi="ar"/>
              </w:rPr>
              <w:t>（中级）的，得</w:t>
            </w:r>
            <w:r>
              <w:rPr>
                <w:rStyle w:val="134"/>
                <w:rFonts w:hint="eastAsia"/>
                <w:color w:val="auto"/>
                <w:highlight w:val="none"/>
                <w:lang w:val="en-US" w:eastAsia="zh-CN" w:bidi="ar"/>
              </w:rPr>
              <w:t>1</w:t>
            </w:r>
            <w:r>
              <w:rPr>
                <w:rStyle w:val="134"/>
                <w:color w:val="auto"/>
                <w:highlight w:val="none"/>
                <w:lang w:bidi="ar"/>
              </w:rPr>
              <w:t>分，具有</w:t>
            </w:r>
            <w:r>
              <w:rPr>
                <w:rFonts w:ascii="宋体" w:hAnsi="宋体" w:cs="仿宋"/>
                <w:snapToGrid w:val="0"/>
                <w:color w:val="auto"/>
                <w:kern w:val="0"/>
                <w:szCs w:val="21"/>
                <w:highlight w:val="none"/>
              </w:rPr>
              <w:t>信息系统项目管理师</w:t>
            </w:r>
            <w:r>
              <w:rPr>
                <w:rFonts w:hint="eastAsia" w:ascii="宋体" w:hAnsi="宋体" w:cs="仿宋"/>
                <w:snapToGrid w:val="0"/>
                <w:color w:val="auto"/>
                <w:kern w:val="0"/>
                <w:szCs w:val="21"/>
                <w:highlight w:val="none"/>
              </w:rPr>
              <w:t>（高级）</w:t>
            </w:r>
            <w:r>
              <w:rPr>
                <w:rStyle w:val="134"/>
                <w:rFonts w:hint="default"/>
                <w:color w:val="auto"/>
                <w:highlight w:val="none"/>
                <w:lang w:bidi="ar"/>
              </w:rPr>
              <w:t>，得</w:t>
            </w:r>
            <w:r>
              <w:rPr>
                <w:rStyle w:val="134"/>
                <w:rFonts w:hint="eastAsia"/>
                <w:color w:val="auto"/>
                <w:highlight w:val="none"/>
                <w:lang w:val="en-US" w:eastAsia="zh-CN" w:bidi="ar"/>
              </w:rPr>
              <w:t>2</w:t>
            </w:r>
            <w:r>
              <w:rPr>
                <w:rStyle w:val="134"/>
                <w:rFonts w:hint="default"/>
                <w:color w:val="auto"/>
                <w:highlight w:val="none"/>
                <w:lang w:bidi="ar"/>
              </w:rPr>
              <w:t>分</w:t>
            </w:r>
            <w:r>
              <w:rPr>
                <w:rStyle w:val="134"/>
                <w:rFonts w:hint="eastAsia"/>
                <w:color w:val="auto"/>
                <w:highlight w:val="none"/>
                <w:lang w:eastAsia="zh-CN" w:bidi="ar"/>
              </w:rPr>
              <w:t>，</w:t>
            </w:r>
            <w:r>
              <w:rPr>
                <w:rFonts w:hint="eastAsia" w:ascii="Times New Roman Regular" w:hAnsi="Times New Roman Regular" w:cs="Times New Roman Regular"/>
                <w:color w:val="auto"/>
                <w:kern w:val="0"/>
                <w:szCs w:val="21"/>
                <w:highlight w:val="none"/>
              </w:rPr>
              <w:t>此项满分</w:t>
            </w:r>
            <w:r>
              <w:rPr>
                <w:rFonts w:hint="eastAsia" w:ascii="Times New Roman Regular" w:hAnsi="Times New Roman Regular" w:cs="Times New Roman Regular"/>
                <w:color w:val="auto"/>
                <w:kern w:val="0"/>
                <w:szCs w:val="21"/>
                <w:highlight w:val="none"/>
                <w:lang w:val="en-US" w:eastAsia="zh-CN"/>
              </w:rPr>
              <w:t>2</w:t>
            </w:r>
            <w:r>
              <w:rPr>
                <w:rFonts w:hint="eastAsia" w:ascii="Times New Roman Regular" w:hAnsi="Times New Roman Regular" w:cs="Times New Roman Regular"/>
                <w:color w:val="auto"/>
                <w:kern w:val="0"/>
                <w:szCs w:val="21"/>
                <w:highlight w:val="none"/>
              </w:rPr>
              <w:t>分</w:t>
            </w:r>
            <w:r>
              <w:rPr>
                <w:rStyle w:val="134"/>
                <w:rFonts w:hint="default"/>
                <w:color w:val="auto"/>
                <w:highlight w:val="none"/>
                <w:lang w:bidi="ar"/>
              </w:rPr>
              <w:t>；（</w:t>
            </w:r>
            <w:r>
              <w:rPr>
                <w:rFonts w:hint="eastAsia" w:ascii="Times New Roman Regular" w:hAnsi="Times New Roman Regular" w:cs="Times New Roman Regular"/>
                <w:color w:val="auto"/>
                <w:kern w:val="0"/>
                <w:szCs w:val="21"/>
                <w:highlight w:val="none"/>
              </w:rPr>
              <w:t>提供相关证书证明扫描件）</w:t>
            </w:r>
          </w:p>
          <w:p w14:paraId="01BD749C">
            <w:pPr>
              <w:overflowPunct w:val="0"/>
              <w:spacing w:line="360" w:lineRule="auto"/>
              <w:rPr>
                <w:rFonts w:ascii="宋体" w:hAnsi="宋体"/>
                <w:bCs/>
                <w:color w:val="auto"/>
                <w:kern w:val="0"/>
                <w:szCs w:val="21"/>
                <w:highlight w:val="none"/>
              </w:rPr>
            </w:pPr>
            <w:r>
              <w:rPr>
                <w:rFonts w:hint="eastAsia" w:ascii="宋体" w:hAnsi="宋体"/>
                <w:bCs/>
                <w:color w:val="auto"/>
                <w:kern w:val="0"/>
                <w:szCs w:val="21"/>
                <w:highlight w:val="none"/>
              </w:rPr>
              <w:t>2、拟投入实施团队成员 （满分</w:t>
            </w:r>
            <w:r>
              <w:rPr>
                <w:rFonts w:hint="eastAsia" w:ascii="宋体" w:hAnsi="宋体"/>
                <w:bCs/>
                <w:color w:val="auto"/>
                <w:kern w:val="0"/>
                <w:szCs w:val="21"/>
                <w:highlight w:val="none"/>
                <w:lang w:val="en-US" w:eastAsia="zh-CN"/>
              </w:rPr>
              <w:t>5</w:t>
            </w:r>
            <w:r>
              <w:rPr>
                <w:rFonts w:hint="eastAsia" w:ascii="宋体" w:hAnsi="宋体"/>
                <w:bCs/>
                <w:color w:val="auto"/>
                <w:kern w:val="0"/>
                <w:szCs w:val="21"/>
                <w:highlight w:val="none"/>
              </w:rPr>
              <w:t>分）</w:t>
            </w:r>
          </w:p>
          <w:p w14:paraId="619373EA">
            <w:pPr>
              <w:overflowPunct w:val="0"/>
              <w:spacing w:line="360" w:lineRule="auto"/>
              <w:rPr>
                <w:rStyle w:val="134"/>
                <w:rFonts w:hint="default"/>
                <w:color w:val="auto"/>
                <w:highlight w:val="none"/>
                <w:lang w:bidi="ar"/>
              </w:rPr>
            </w:pPr>
            <w:r>
              <w:rPr>
                <w:rStyle w:val="134"/>
                <w:rFonts w:hint="default"/>
                <w:color w:val="auto"/>
                <w:highlight w:val="none"/>
                <w:lang w:bidi="ar"/>
              </w:rPr>
              <w:t>（1）项目</w:t>
            </w:r>
            <w:r>
              <w:rPr>
                <w:rFonts w:hint="eastAsia" w:ascii="宋体" w:hAnsi="宋体"/>
                <w:bCs/>
                <w:color w:val="auto"/>
                <w:kern w:val="0"/>
                <w:szCs w:val="21"/>
                <w:highlight w:val="none"/>
              </w:rPr>
              <w:t>实施</w:t>
            </w:r>
            <w:r>
              <w:rPr>
                <w:rStyle w:val="134"/>
                <w:rFonts w:hint="default"/>
                <w:color w:val="auto"/>
                <w:highlight w:val="none"/>
                <w:lang w:bidi="ar"/>
              </w:rPr>
              <w:t>团队成员中（项目经理除外），具有临床医学</w:t>
            </w:r>
            <w:r>
              <w:rPr>
                <w:rStyle w:val="134"/>
                <w:rFonts w:hint="eastAsia"/>
                <w:color w:val="auto"/>
                <w:highlight w:val="none"/>
                <w:lang w:val="en-US" w:eastAsia="zh-CN" w:bidi="ar"/>
              </w:rPr>
              <w:t>或</w:t>
            </w:r>
            <w:r>
              <w:rPr>
                <w:rStyle w:val="134"/>
                <w:rFonts w:hint="default"/>
                <w:color w:val="auto"/>
                <w:highlight w:val="none"/>
                <w:lang w:bidi="ar"/>
              </w:rPr>
              <w:t>医学信息学</w:t>
            </w:r>
            <w:r>
              <w:rPr>
                <w:rStyle w:val="134"/>
                <w:rFonts w:hint="eastAsia"/>
                <w:color w:val="auto"/>
                <w:highlight w:val="none"/>
                <w:lang w:val="en-US" w:eastAsia="zh-CN" w:bidi="ar"/>
              </w:rPr>
              <w:t>或</w:t>
            </w:r>
            <w:r>
              <w:rPr>
                <w:rStyle w:val="134"/>
                <w:rFonts w:hint="default"/>
                <w:color w:val="auto"/>
                <w:highlight w:val="none"/>
                <w:lang w:bidi="ar"/>
              </w:rPr>
              <w:t>生物医学工程相关专业的本科以上学历的，提供任意</w:t>
            </w:r>
            <w:r>
              <w:rPr>
                <w:rStyle w:val="135"/>
                <w:rFonts w:eastAsia="等线"/>
                <w:color w:val="auto"/>
                <w:highlight w:val="none"/>
                <w:lang w:bidi="ar"/>
              </w:rPr>
              <w:t>1</w:t>
            </w:r>
            <w:r>
              <w:rPr>
                <w:rStyle w:val="134"/>
                <w:rFonts w:hint="default"/>
                <w:color w:val="auto"/>
                <w:highlight w:val="none"/>
                <w:lang w:bidi="ar"/>
              </w:rPr>
              <w:t>项，得</w:t>
            </w:r>
            <w:r>
              <w:rPr>
                <w:rStyle w:val="135"/>
                <w:rFonts w:hint="eastAsia" w:eastAsia="等线"/>
                <w:color w:val="auto"/>
                <w:highlight w:val="none"/>
                <w:lang w:bidi="ar"/>
              </w:rPr>
              <w:t>1</w:t>
            </w:r>
            <w:r>
              <w:rPr>
                <w:rStyle w:val="134"/>
                <w:rFonts w:hint="default"/>
                <w:color w:val="auto"/>
                <w:highlight w:val="none"/>
                <w:lang w:bidi="ar"/>
              </w:rPr>
              <w:t>分，最高得</w:t>
            </w:r>
            <w:r>
              <w:rPr>
                <w:rStyle w:val="135"/>
                <w:rFonts w:hint="eastAsia" w:eastAsia="等线"/>
                <w:color w:val="auto"/>
                <w:highlight w:val="none"/>
                <w:lang w:bidi="ar"/>
              </w:rPr>
              <w:t>2</w:t>
            </w:r>
            <w:r>
              <w:rPr>
                <w:rStyle w:val="134"/>
                <w:rFonts w:hint="default"/>
                <w:color w:val="auto"/>
                <w:highlight w:val="none"/>
                <w:lang w:bidi="ar"/>
              </w:rPr>
              <w:t>分；</w:t>
            </w:r>
            <w:r>
              <w:rPr>
                <w:rStyle w:val="134"/>
                <w:color w:val="auto"/>
                <w:highlight w:val="none"/>
                <w:lang w:bidi="ar"/>
              </w:rPr>
              <w:t>（提供相关学历证明扫描件）</w:t>
            </w:r>
          </w:p>
          <w:p w14:paraId="310E2457">
            <w:pPr>
              <w:overflowPunct w:val="0"/>
              <w:spacing w:line="360" w:lineRule="auto"/>
              <w:rPr>
                <w:rStyle w:val="134"/>
                <w:rFonts w:hint="default"/>
                <w:color w:val="auto"/>
                <w:highlight w:val="none"/>
                <w:lang w:bidi="ar"/>
              </w:rPr>
            </w:pPr>
            <w:r>
              <w:rPr>
                <w:rStyle w:val="134"/>
                <w:rFonts w:hint="default"/>
                <w:color w:val="auto"/>
                <w:highlight w:val="none"/>
                <w:lang w:bidi="ar"/>
              </w:rPr>
              <w:t>（2）项目</w:t>
            </w:r>
            <w:r>
              <w:rPr>
                <w:rFonts w:hint="eastAsia" w:ascii="宋体" w:hAnsi="宋体"/>
                <w:bCs/>
                <w:color w:val="auto"/>
                <w:kern w:val="0"/>
                <w:szCs w:val="21"/>
                <w:highlight w:val="none"/>
              </w:rPr>
              <w:t>实施</w:t>
            </w:r>
            <w:r>
              <w:rPr>
                <w:rStyle w:val="134"/>
                <w:rFonts w:hint="default"/>
                <w:color w:val="auto"/>
                <w:highlight w:val="none"/>
                <w:lang w:bidi="ar"/>
              </w:rPr>
              <w:t>团队成员中具有计算机技术与软件专业技术资格（专业：系统集成项目管理工程师</w:t>
            </w:r>
            <w:r>
              <w:rPr>
                <w:rStyle w:val="134"/>
                <w:color w:val="auto"/>
                <w:highlight w:val="none"/>
                <w:lang w:bidi="ar"/>
              </w:rPr>
              <w:t>或</w:t>
            </w:r>
            <w:r>
              <w:rPr>
                <w:rStyle w:val="134"/>
                <w:rFonts w:hint="default"/>
                <w:color w:val="auto"/>
                <w:highlight w:val="none"/>
                <w:lang w:bidi="ar"/>
              </w:rPr>
              <w:t>网络工程师</w:t>
            </w:r>
            <w:r>
              <w:rPr>
                <w:rStyle w:val="134"/>
                <w:color w:val="auto"/>
                <w:highlight w:val="none"/>
                <w:lang w:bidi="ar"/>
              </w:rPr>
              <w:t>或</w:t>
            </w:r>
            <w:r>
              <w:rPr>
                <w:rStyle w:val="134"/>
                <w:rFonts w:hint="default"/>
                <w:color w:val="auto"/>
                <w:highlight w:val="none"/>
                <w:lang w:bidi="ar"/>
              </w:rPr>
              <w:t>软件设计师</w:t>
            </w:r>
            <w:r>
              <w:rPr>
                <w:rStyle w:val="134"/>
                <w:color w:val="auto"/>
                <w:highlight w:val="none"/>
                <w:lang w:bidi="ar"/>
              </w:rPr>
              <w:t>，</w:t>
            </w:r>
            <w:r>
              <w:rPr>
                <w:rStyle w:val="134"/>
                <w:rFonts w:hint="default"/>
                <w:color w:val="auto"/>
                <w:highlight w:val="none"/>
                <w:lang w:bidi="ar"/>
              </w:rPr>
              <w:t>级别：中级或以上）证书的，提供</w:t>
            </w:r>
            <w:r>
              <w:rPr>
                <w:rStyle w:val="135"/>
                <w:rFonts w:eastAsia="等线"/>
                <w:color w:val="auto"/>
                <w:highlight w:val="none"/>
                <w:lang w:bidi="ar"/>
              </w:rPr>
              <w:t>1</w:t>
            </w:r>
            <w:r>
              <w:rPr>
                <w:rStyle w:val="134"/>
                <w:rFonts w:hint="default"/>
                <w:color w:val="auto"/>
                <w:highlight w:val="none"/>
                <w:lang w:bidi="ar"/>
              </w:rPr>
              <w:t>个有效认证证书得</w:t>
            </w:r>
            <w:r>
              <w:rPr>
                <w:rStyle w:val="135"/>
                <w:rFonts w:hint="eastAsia" w:eastAsia="等线"/>
                <w:color w:val="auto"/>
                <w:highlight w:val="none"/>
                <w:lang w:bidi="ar"/>
              </w:rPr>
              <w:t>1</w:t>
            </w:r>
            <w:r>
              <w:rPr>
                <w:rStyle w:val="134"/>
                <w:rFonts w:hint="default"/>
                <w:color w:val="auto"/>
                <w:highlight w:val="none"/>
                <w:lang w:bidi="ar"/>
              </w:rPr>
              <w:t>分，最高得</w:t>
            </w:r>
            <w:r>
              <w:rPr>
                <w:rStyle w:val="135"/>
                <w:rFonts w:eastAsia="等线"/>
                <w:color w:val="auto"/>
                <w:highlight w:val="none"/>
                <w:lang w:bidi="ar"/>
              </w:rPr>
              <w:t>2</w:t>
            </w:r>
            <w:r>
              <w:rPr>
                <w:rStyle w:val="134"/>
                <w:rFonts w:hint="default"/>
                <w:color w:val="auto"/>
                <w:highlight w:val="none"/>
                <w:lang w:bidi="ar"/>
              </w:rPr>
              <w:t>分；</w:t>
            </w:r>
            <w:r>
              <w:rPr>
                <w:rStyle w:val="134"/>
                <w:color w:val="auto"/>
                <w:highlight w:val="none"/>
                <w:lang w:bidi="ar"/>
              </w:rPr>
              <w:t>（提供相关资格证书扫描件）</w:t>
            </w:r>
          </w:p>
          <w:p w14:paraId="3A30C818">
            <w:pPr>
              <w:overflowPunct w:val="0"/>
              <w:spacing w:line="360" w:lineRule="auto"/>
              <w:rPr>
                <w:rStyle w:val="134"/>
                <w:color w:val="auto"/>
                <w:highlight w:val="none"/>
                <w:lang w:bidi="ar"/>
              </w:rPr>
            </w:pPr>
            <w:r>
              <w:rPr>
                <w:rStyle w:val="134"/>
                <w:rFonts w:hint="default"/>
                <w:color w:val="auto"/>
                <w:highlight w:val="none"/>
                <w:lang w:bidi="ar"/>
              </w:rPr>
              <w:t>（3）项目</w:t>
            </w:r>
            <w:r>
              <w:rPr>
                <w:rFonts w:hint="eastAsia" w:ascii="宋体" w:hAnsi="宋体"/>
                <w:bCs/>
                <w:color w:val="auto"/>
                <w:kern w:val="0"/>
                <w:szCs w:val="21"/>
                <w:highlight w:val="none"/>
              </w:rPr>
              <w:t>实施</w:t>
            </w:r>
            <w:r>
              <w:rPr>
                <w:rStyle w:val="134"/>
                <w:rFonts w:hint="default"/>
                <w:color w:val="auto"/>
                <w:highlight w:val="none"/>
                <w:lang w:bidi="ar"/>
              </w:rPr>
              <w:t>团队成员中具有注册信息安全工程师证书的（</w:t>
            </w:r>
            <w:r>
              <w:rPr>
                <w:rStyle w:val="135"/>
                <w:rFonts w:eastAsia="等线"/>
                <w:color w:val="auto"/>
                <w:highlight w:val="none"/>
                <w:lang w:bidi="ar"/>
              </w:rPr>
              <w:t>CISP</w:t>
            </w:r>
            <w:r>
              <w:rPr>
                <w:rStyle w:val="134"/>
                <w:rFonts w:hint="default"/>
                <w:color w:val="auto"/>
                <w:highlight w:val="none"/>
                <w:lang w:bidi="ar"/>
              </w:rPr>
              <w:t>），提供</w:t>
            </w:r>
            <w:r>
              <w:rPr>
                <w:rStyle w:val="135"/>
                <w:rFonts w:eastAsia="等线"/>
                <w:color w:val="auto"/>
                <w:highlight w:val="none"/>
                <w:lang w:bidi="ar"/>
              </w:rPr>
              <w:t>1</w:t>
            </w:r>
            <w:r>
              <w:rPr>
                <w:rStyle w:val="134"/>
                <w:rFonts w:hint="default"/>
                <w:color w:val="auto"/>
                <w:highlight w:val="none"/>
                <w:lang w:bidi="ar"/>
              </w:rPr>
              <w:t>个有效认证证书得</w:t>
            </w:r>
            <w:r>
              <w:rPr>
                <w:rStyle w:val="135"/>
                <w:rFonts w:hint="eastAsia" w:eastAsia="等线"/>
                <w:color w:val="auto"/>
                <w:highlight w:val="none"/>
                <w:lang w:bidi="ar"/>
              </w:rPr>
              <w:t>1</w:t>
            </w:r>
            <w:r>
              <w:rPr>
                <w:rStyle w:val="134"/>
                <w:rFonts w:hint="default"/>
                <w:color w:val="auto"/>
                <w:highlight w:val="none"/>
                <w:lang w:bidi="ar"/>
              </w:rPr>
              <w:t>分，最高得</w:t>
            </w:r>
            <w:r>
              <w:rPr>
                <w:rStyle w:val="135"/>
                <w:rFonts w:hint="eastAsia" w:eastAsia="等线"/>
                <w:color w:val="auto"/>
                <w:highlight w:val="none"/>
                <w:lang w:bidi="ar"/>
              </w:rPr>
              <w:t>1</w:t>
            </w:r>
            <w:r>
              <w:rPr>
                <w:rStyle w:val="134"/>
                <w:rFonts w:hint="default"/>
                <w:color w:val="auto"/>
                <w:highlight w:val="none"/>
                <w:lang w:bidi="ar"/>
              </w:rPr>
              <w:t>分。</w:t>
            </w:r>
            <w:r>
              <w:rPr>
                <w:rStyle w:val="134"/>
                <w:color w:val="auto"/>
                <w:highlight w:val="none"/>
                <w:lang w:bidi="ar"/>
              </w:rPr>
              <w:t>（提供相关资格证书扫描件）</w:t>
            </w:r>
          </w:p>
          <w:p w14:paraId="19B19884">
            <w:pPr>
              <w:overflowPunct w:val="0"/>
              <w:spacing w:line="360" w:lineRule="auto"/>
              <w:ind w:firstLine="420" w:firstLineChars="0"/>
              <w:rPr>
                <w:rFonts w:ascii="宋体" w:hAnsi="宋体" w:eastAsia="宋体" w:cs="Times New Roman"/>
                <w:b/>
                <w:bCs/>
                <w:color w:val="auto"/>
                <w:kern w:val="0"/>
                <w:sz w:val="21"/>
                <w:szCs w:val="21"/>
                <w:highlight w:val="none"/>
                <w:lang w:val="en-US" w:eastAsia="zh-CN" w:bidi="ar-SA"/>
              </w:rPr>
            </w:pPr>
            <w:r>
              <w:rPr>
                <w:rFonts w:hint="eastAsia" w:ascii="宋体" w:hAnsi="宋体"/>
                <w:b/>
                <w:bCs/>
                <w:color w:val="auto"/>
                <w:kern w:val="0"/>
                <w:szCs w:val="21"/>
                <w:highlight w:val="none"/>
              </w:rPr>
              <w:t>注：投标文件中须提供人员证书复印件并加盖公章。不提供不得分。同一人多个证书不重复计分。</w:t>
            </w:r>
          </w:p>
        </w:tc>
      </w:tr>
      <w:tr w14:paraId="6AEC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4E1B8D80">
            <w:pPr>
              <w:overflowPunct w:val="0"/>
              <w:snapToGrid w:val="0"/>
              <w:spacing w:line="360" w:lineRule="atLeast"/>
              <w:jc w:val="center"/>
              <w:rPr>
                <w:rFonts w:ascii="宋体" w:hAnsi="宋体"/>
                <w:color w:val="auto"/>
                <w:szCs w:val="21"/>
                <w:highlight w:val="none"/>
              </w:rPr>
            </w:pPr>
          </w:p>
        </w:tc>
        <w:tc>
          <w:tcPr>
            <w:tcW w:w="1585" w:type="dxa"/>
            <w:vMerge w:val="continue"/>
            <w:noWrap w:val="0"/>
            <w:vAlign w:val="center"/>
          </w:tcPr>
          <w:p w14:paraId="1E460F42">
            <w:pPr>
              <w:overflowPunct w:val="0"/>
              <w:snapToGrid w:val="0"/>
              <w:spacing w:line="360" w:lineRule="auto"/>
              <w:ind w:firstLine="443" w:firstLineChars="211"/>
              <w:rPr>
                <w:rFonts w:ascii="宋体" w:hAnsi="宋体"/>
                <w:bCs/>
                <w:color w:val="auto"/>
                <w:szCs w:val="21"/>
                <w:highlight w:val="none"/>
              </w:rPr>
            </w:pPr>
          </w:p>
        </w:tc>
        <w:tc>
          <w:tcPr>
            <w:tcW w:w="1701" w:type="dxa"/>
            <w:noWrap w:val="0"/>
            <w:vAlign w:val="center"/>
          </w:tcPr>
          <w:p w14:paraId="2BAB29CA">
            <w:pPr>
              <w:overflowPunct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信誉分</w:t>
            </w:r>
          </w:p>
          <w:p w14:paraId="12369349">
            <w:pPr>
              <w:overflowPunct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（满分</w:t>
            </w:r>
            <w:r>
              <w:rPr>
                <w:rFonts w:hint="eastAsia" w:ascii="宋体" w:hAnsi="宋体"/>
                <w:bCs/>
                <w:color w:val="auto"/>
                <w:szCs w:val="21"/>
                <w:highlight w:val="none"/>
                <w:lang w:val="en-US" w:eastAsia="zh-CN"/>
              </w:rPr>
              <w:t>6</w:t>
            </w:r>
            <w:r>
              <w:rPr>
                <w:rFonts w:hint="eastAsia" w:ascii="宋体" w:hAnsi="宋体"/>
                <w:bCs/>
                <w:color w:val="auto"/>
                <w:szCs w:val="21"/>
                <w:highlight w:val="none"/>
              </w:rPr>
              <w:t>分）</w:t>
            </w:r>
          </w:p>
        </w:tc>
        <w:tc>
          <w:tcPr>
            <w:tcW w:w="5660" w:type="dxa"/>
            <w:noWrap w:val="0"/>
            <w:vAlign w:val="top"/>
          </w:tcPr>
          <w:p w14:paraId="1D62C12D">
            <w:pPr>
              <w:overflowPunct w:val="0"/>
              <w:snapToGrid w:val="0"/>
              <w:spacing w:line="360" w:lineRule="auto"/>
              <w:rPr>
                <w:rFonts w:ascii="宋体" w:hAnsi="宋体"/>
                <w:bCs/>
                <w:color w:val="auto"/>
                <w:kern w:val="0"/>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1</w:t>
            </w:r>
            <w:r>
              <w:rPr>
                <w:rFonts w:hint="eastAsia" w:ascii="宋体" w:hAnsi="宋体"/>
                <w:bCs/>
                <w:color w:val="auto"/>
                <w:szCs w:val="21"/>
                <w:highlight w:val="none"/>
              </w:rPr>
              <w:t>）投标人提供ISO27001信息安全管理体系认证证书</w:t>
            </w:r>
            <w:r>
              <w:rPr>
                <w:rFonts w:hint="eastAsia" w:ascii="宋体" w:hAnsi="宋体"/>
                <w:bCs/>
                <w:color w:val="auto"/>
                <w:kern w:val="0"/>
                <w:szCs w:val="21"/>
                <w:highlight w:val="none"/>
              </w:rPr>
              <w:t>（须在有效期内）得</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分，本项满分</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分。</w:t>
            </w:r>
          </w:p>
          <w:p w14:paraId="19F4D06E">
            <w:pPr>
              <w:pStyle w:val="8"/>
              <w:spacing w:line="360" w:lineRule="auto"/>
              <w:ind w:firstLine="0"/>
              <w:rPr>
                <w:rFonts w:ascii="宋体" w:hAnsi="宋体"/>
                <w:bCs/>
                <w:color w:val="auto"/>
                <w:kern w:val="0"/>
                <w:szCs w:val="21"/>
                <w:highlight w:val="none"/>
              </w:rPr>
            </w:pPr>
            <w:r>
              <w:rPr>
                <w:rFonts w:hint="eastAsia" w:ascii="宋体" w:hAnsi="宋体"/>
                <w:bCs/>
                <w:color w:val="auto"/>
                <w:kern w:val="0"/>
                <w:szCs w:val="21"/>
                <w:highlight w:val="none"/>
              </w:rPr>
              <w:t>（</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w:t>
            </w:r>
            <w:r>
              <w:rPr>
                <w:rFonts w:hint="eastAsia" w:ascii="宋体" w:hAnsi="宋体"/>
                <w:bCs/>
                <w:color w:val="auto"/>
                <w:kern w:val="0"/>
                <w:szCs w:val="21"/>
                <w:highlight w:val="none"/>
              </w:rPr>
              <w:t>投标人提供</w:t>
            </w:r>
            <w:r>
              <w:rPr>
                <w:rStyle w:val="135"/>
                <w:rFonts w:eastAsia="等线"/>
                <w:color w:val="auto"/>
                <w:highlight w:val="none"/>
                <w:lang w:bidi="ar"/>
              </w:rPr>
              <w:t>ISO38505</w:t>
            </w:r>
            <w:r>
              <w:rPr>
                <w:rStyle w:val="134"/>
                <w:rFonts w:hint="default"/>
                <w:color w:val="auto"/>
                <w:highlight w:val="none"/>
                <w:lang w:bidi="ar"/>
              </w:rPr>
              <w:t>数据治理</w:t>
            </w:r>
            <w:r>
              <w:rPr>
                <w:rStyle w:val="134"/>
                <w:color w:val="auto"/>
                <w:highlight w:val="none"/>
                <w:lang w:bidi="ar"/>
              </w:rPr>
              <w:t>安全</w:t>
            </w:r>
            <w:r>
              <w:rPr>
                <w:rStyle w:val="134"/>
                <w:rFonts w:hint="default"/>
                <w:color w:val="auto"/>
                <w:highlight w:val="none"/>
                <w:lang w:bidi="ar"/>
              </w:rPr>
              <w:t>认证证书</w:t>
            </w:r>
            <w:r>
              <w:rPr>
                <w:rFonts w:hint="eastAsia" w:ascii="宋体" w:hAnsi="宋体"/>
                <w:bCs/>
                <w:color w:val="auto"/>
                <w:kern w:val="0"/>
                <w:szCs w:val="21"/>
                <w:highlight w:val="none"/>
              </w:rPr>
              <w:t>（须在有效期内）得</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分，本项满分</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分。</w:t>
            </w:r>
          </w:p>
          <w:p w14:paraId="6FEC298D">
            <w:pPr>
              <w:pStyle w:val="8"/>
              <w:spacing w:line="360" w:lineRule="auto"/>
              <w:ind w:firstLine="0"/>
              <w:rPr>
                <w:rFonts w:ascii="宋体" w:hAnsi="宋体"/>
                <w:bCs/>
                <w:color w:val="auto"/>
                <w:kern w:val="0"/>
                <w:szCs w:val="21"/>
                <w:highlight w:val="none"/>
              </w:rPr>
            </w:pPr>
            <w:r>
              <w:rPr>
                <w:rFonts w:hint="eastAsia" w:ascii="宋体" w:hAnsi="宋体"/>
                <w:bCs/>
                <w:color w:val="auto"/>
                <w:kern w:val="0"/>
                <w:szCs w:val="21"/>
                <w:highlight w:val="none"/>
              </w:rPr>
              <w:t>（</w:t>
            </w:r>
            <w:r>
              <w:rPr>
                <w:rFonts w:hint="eastAsia" w:ascii="宋体" w:hAnsi="宋体"/>
                <w:bCs/>
                <w:color w:val="auto"/>
                <w:kern w:val="0"/>
                <w:szCs w:val="21"/>
                <w:highlight w:val="none"/>
                <w:lang w:val="en-US" w:eastAsia="zh-CN"/>
              </w:rPr>
              <w:t>3</w:t>
            </w:r>
            <w:r>
              <w:rPr>
                <w:rFonts w:hint="eastAsia" w:ascii="宋体" w:hAnsi="宋体"/>
                <w:bCs/>
                <w:color w:val="auto"/>
                <w:kern w:val="0"/>
                <w:szCs w:val="21"/>
                <w:highlight w:val="none"/>
              </w:rPr>
              <w:t>）</w:t>
            </w:r>
            <w:r>
              <w:rPr>
                <w:rStyle w:val="136"/>
                <w:rFonts w:eastAsia="等线"/>
                <w:color w:val="auto"/>
                <w:highlight w:val="none"/>
                <w:lang w:bidi="ar"/>
              </w:rPr>
              <w:t xml:space="preserve"> </w:t>
            </w:r>
            <w:r>
              <w:rPr>
                <w:rFonts w:hint="eastAsia" w:ascii="宋体" w:hAnsi="宋体"/>
                <w:bCs/>
                <w:color w:val="auto"/>
                <w:kern w:val="0"/>
                <w:szCs w:val="21"/>
                <w:highlight w:val="none"/>
              </w:rPr>
              <w:t>投标人提供</w:t>
            </w:r>
            <w:r>
              <w:rPr>
                <w:rFonts w:hint="eastAsia" w:ascii="宋体" w:hAnsi="宋体"/>
                <w:bCs/>
                <w:color w:val="auto"/>
                <w:szCs w:val="21"/>
                <w:highlight w:val="none"/>
              </w:rPr>
              <w:t>ISO</w:t>
            </w:r>
            <w:r>
              <w:rPr>
                <w:rFonts w:hint="eastAsia" w:ascii="宋体" w:hAnsi="宋体"/>
                <w:bCs/>
                <w:color w:val="auto"/>
                <w:kern w:val="0"/>
                <w:szCs w:val="21"/>
                <w:highlight w:val="none"/>
              </w:rPr>
              <w:t>20000信息技术服务管理体系认证证书</w:t>
            </w:r>
            <w:r>
              <w:rPr>
                <w:rFonts w:hint="eastAsia" w:ascii="宋体" w:hAnsi="宋体"/>
                <w:bCs/>
                <w:color w:val="auto"/>
                <w:kern w:val="0"/>
                <w:szCs w:val="21"/>
                <w:highlight w:val="none"/>
              </w:rPr>
              <w:t>（须在有效期内）得</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分，本项满分</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分。</w:t>
            </w:r>
          </w:p>
          <w:p w14:paraId="7192CE89">
            <w:pPr>
              <w:pStyle w:val="20"/>
              <w:spacing w:line="360" w:lineRule="auto"/>
              <w:rPr>
                <w:rFonts w:hint="eastAsia" w:eastAsia="宋体"/>
                <w:color w:val="auto"/>
                <w:highlight w:val="none"/>
                <w:lang w:eastAsia="zh-CN"/>
              </w:rPr>
            </w:pPr>
            <w:r>
              <w:rPr>
                <w:rStyle w:val="134"/>
                <w:rFonts w:hint="default"/>
                <w:color w:val="auto"/>
                <w:highlight w:val="none"/>
                <w:lang w:bidi="ar"/>
              </w:rPr>
              <w:t>备注：提供有效认证证书（如认证证书注明年审要求的，必须按规定年审且证书在有效期内的方为有效；如未注明年审要求的，证书必须在有效期内的方为有效）</w:t>
            </w:r>
            <w:r>
              <w:rPr>
                <w:rStyle w:val="134"/>
                <w:rFonts w:hint="eastAsia"/>
                <w:color w:val="auto"/>
                <w:highlight w:val="none"/>
                <w:lang w:eastAsia="zh-CN" w:bidi="ar"/>
              </w:rPr>
              <w:t>。</w:t>
            </w:r>
          </w:p>
        </w:tc>
      </w:tr>
      <w:tr w14:paraId="1F78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5747B4B9">
            <w:pPr>
              <w:overflowPunct w:val="0"/>
              <w:snapToGrid w:val="0"/>
              <w:spacing w:line="360" w:lineRule="atLeast"/>
              <w:jc w:val="center"/>
              <w:rPr>
                <w:rFonts w:ascii="宋体" w:hAnsi="宋体"/>
                <w:color w:val="auto"/>
                <w:szCs w:val="21"/>
                <w:highlight w:val="none"/>
              </w:rPr>
            </w:pPr>
          </w:p>
        </w:tc>
        <w:tc>
          <w:tcPr>
            <w:tcW w:w="1585" w:type="dxa"/>
            <w:vMerge w:val="continue"/>
            <w:noWrap w:val="0"/>
            <w:vAlign w:val="center"/>
          </w:tcPr>
          <w:p w14:paraId="29F3338C">
            <w:pPr>
              <w:overflowPunct w:val="0"/>
              <w:snapToGrid w:val="0"/>
              <w:spacing w:line="360" w:lineRule="auto"/>
              <w:ind w:firstLine="443" w:firstLineChars="211"/>
              <w:rPr>
                <w:rFonts w:ascii="宋体" w:hAnsi="宋体"/>
                <w:bCs/>
                <w:color w:val="auto"/>
                <w:szCs w:val="21"/>
                <w:highlight w:val="none"/>
              </w:rPr>
            </w:pPr>
          </w:p>
        </w:tc>
        <w:tc>
          <w:tcPr>
            <w:tcW w:w="1701" w:type="dxa"/>
            <w:noWrap w:val="0"/>
            <w:vAlign w:val="center"/>
          </w:tcPr>
          <w:p w14:paraId="3D1FA1DB">
            <w:pPr>
              <w:overflowPunct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业绩分</w:t>
            </w:r>
          </w:p>
          <w:p w14:paraId="2EC5C4C2">
            <w:pPr>
              <w:overflowPunct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（满分</w:t>
            </w:r>
            <w:r>
              <w:rPr>
                <w:rFonts w:hint="eastAsia" w:ascii="宋体" w:hAnsi="宋体"/>
                <w:bCs/>
                <w:color w:val="auto"/>
                <w:szCs w:val="21"/>
                <w:highlight w:val="none"/>
                <w:lang w:val="en-US" w:eastAsia="zh-CN"/>
              </w:rPr>
              <w:t>8</w:t>
            </w:r>
            <w:r>
              <w:rPr>
                <w:rFonts w:hint="eastAsia" w:ascii="宋体" w:hAnsi="宋体"/>
                <w:bCs/>
                <w:color w:val="auto"/>
                <w:szCs w:val="21"/>
                <w:highlight w:val="none"/>
              </w:rPr>
              <w:t>分）</w:t>
            </w:r>
          </w:p>
        </w:tc>
        <w:tc>
          <w:tcPr>
            <w:tcW w:w="5660" w:type="dxa"/>
            <w:noWrap w:val="0"/>
            <w:vAlign w:val="top"/>
          </w:tcPr>
          <w:p w14:paraId="70C5B48E">
            <w:pPr>
              <w:overflowPunct w:val="0"/>
              <w:snapToGrid w:val="0"/>
              <w:spacing w:line="360" w:lineRule="auto"/>
              <w:rPr>
                <w:rFonts w:ascii="宋体" w:hAnsi="宋体"/>
                <w:bCs/>
                <w:color w:val="auto"/>
                <w:szCs w:val="21"/>
                <w:highlight w:val="none"/>
              </w:rPr>
            </w:pPr>
            <w:r>
              <w:rPr>
                <w:rFonts w:hint="eastAsia" w:ascii="宋体" w:hAnsi="宋体"/>
                <w:bCs/>
                <w:color w:val="auto"/>
                <w:szCs w:val="21"/>
                <w:highlight w:val="none"/>
              </w:rPr>
              <w:t>提供投标人自2021年1月1日以来具有</w:t>
            </w:r>
            <w:r>
              <w:rPr>
                <w:rFonts w:hint="eastAsia" w:ascii="宋体" w:hAnsi="宋体"/>
                <w:bCs/>
                <w:color w:val="auto"/>
                <w:szCs w:val="21"/>
                <w:highlight w:val="none"/>
                <w:lang w:val="en-US" w:eastAsia="zh-CN"/>
              </w:rPr>
              <w:t>同类系统维保服务项目</w:t>
            </w:r>
            <w:r>
              <w:rPr>
                <w:rFonts w:ascii="宋体" w:hAnsi="宋体"/>
                <w:bCs/>
                <w:color w:val="auto"/>
                <w:szCs w:val="21"/>
                <w:highlight w:val="none"/>
              </w:rPr>
              <w:t>的</w:t>
            </w:r>
            <w:r>
              <w:rPr>
                <w:rFonts w:hint="eastAsia" w:ascii="宋体" w:hAnsi="宋体"/>
                <w:bCs/>
                <w:color w:val="auto"/>
                <w:szCs w:val="21"/>
                <w:highlight w:val="none"/>
              </w:rPr>
              <w:t>业绩，每项业绩得2分，满分</w:t>
            </w:r>
            <w:r>
              <w:rPr>
                <w:rFonts w:hint="eastAsia" w:ascii="宋体" w:hAnsi="宋体"/>
                <w:bCs/>
                <w:color w:val="auto"/>
                <w:szCs w:val="21"/>
                <w:highlight w:val="none"/>
                <w:lang w:val="en-US" w:eastAsia="zh-CN"/>
              </w:rPr>
              <w:t>8</w:t>
            </w:r>
            <w:r>
              <w:rPr>
                <w:rFonts w:hint="eastAsia" w:ascii="宋体" w:hAnsi="宋体"/>
                <w:bCs/>
                <w:color w:val="auto"/>
                <w:szCs w:val="21"/>
                <w:highlight w:val="none"/>
              </w:rPr>
              <w:t>分。要求提供中标通知书或项目合同复印件，并能清晰反映项目的服务名称、服务内容、金额页、双方盖章页，如</w:t>
            </w:r>
            <w:r>
              <w:rPr>
                <w:rStyle w:val="134"/>
                <w:rFonts w:hint="default"/>
                <w:color w:val="auto"/>
                <w:highlight w:val="none"/>
                <w:lang w:bidi="ar"/>
              </w:rPr>
              <w:t>通过合同关键信息无法判断是否得分的，还须同时提供能证明得分的其他证明资料，如项目报告或合同甲方出具的证明文件等。</w:t>
            </w:r>
            <w:r>
              <w:rPr>
                <w:rFonts w:hint="eastAsia" w:ascii="宋体" w:hAnsi="宋体"/>
                <w:bCs/>
                <w:color w:val="auto"/>
                <w:szCs w:val="21"/>
                <w:highlight w:val="none"/>
              </w:rPr>
              <w:t>所提供的业绩证明材料须加盖投标人公章，证明材料不全的不得分。</w:t>
            </w:r>
          </w:p>
        </w:tc>
      </w:tr>
      <w:tr w14:paraId="6A4E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08" w:type="dxa"/>
            <w:gridSpan w:val="4"/>
            <w:noWrap w:val="0"/>
            <w:vAlign w:val="center"/>
          </w:tcPr>
          <w:p w14:paraId="77D245F6">
            <w:pPr>
              <w:pStyle w:val="26"/>
              <w:overflowPunct w:val="0"/>
              <w:snapToGrid w:val="0"/>
              <w:spacing w:line="360" w:lineRule="atLeast"/>
              <w:rPr>
                <w:rFonts w:hAnsi="宋体"/>
                <w:b/>
                <w:bCs/>
                <w:color w:val="auto"/>
                <w:highlight w:val="none"/>
              </w:rPr>
            </w:pPr>
            <w:r>
              <w:rPr>
                <w:rFonts w:hint="eastAsia" w:hAnsi="宋体"/>
                <w:b/>
                <w:bCs/>
                <w:color w:val="auto"/>
                <w:highlight w:val="none"/>
              </w:rPr>
              <w:t>总得分=1+2+3</w:t>
            </w:r>
          </w:p>
        </w:tc>
      </w:tr>
    </w:tbl>
    <w:p w14:paraId="34B72EBE">
      <w:pPr>
        <w:pStyle w:val="26"/>
        <w:spacing w:line="460" w:lineRule="exact"/>
        <w:ind w:firstLine="420"/>
        <w:rPr>
          <w:rFonts w:hint="eastAsia" w:hAnsi="宋体" w:cs="宋体"/>
          <w:bCs/>
          <w:color w:val="auto"/>
          <w:sz w:val="21"/>
          <w:highlight w:val="none"/>
        </w:rPr>
      </w:pPr>
    </w:p>
    <w:p w14:paraId="4356B25A">
      <w:pPr>
        <w:pStyle w:val="4"/>
        <w:keepNext w:val="0"/>
        <w:keepLines w:val="0"/>
        <w:jc w:val="center"/>
        <w:rPr>
          <w:color w:val="auto"/>
          <w:sz w:val="30"/>
          <w:szCs w:val="30"/>
          <w:highlight w:val="none"/>
        </w:rPr>
      </w:pPr>
      <w:r>
        <w:rPr>
          <w:rFonts w:hint="eastAsia"/>
          <w:color w:val="auto"/>
          <w:sz w:val="30"/>
          <w:szCs w:val="30"/>
          <w:highlight w:val="none"/>
        </w:rPr>
        <w:t>四、中标候选人推荐原则</w:t>
      </w:r>
    </w:p>
    <w:p w14:paraId="79749E1D">
      <w:pPr>
        <w:pStyle w:val="26"/>
        <w:spacing w:line="360" w:lineRule="auto"/>
        <w:ind w:firstLine="420" w:firstLineChars="200"/>
        <w:contextualSpacing/>
        <w:rPr>
          <w:rFonts w:hint="eastAsia" w:ascii="宋体" w:hAnsi="宋体" w:eastAsia="宋体" w:cs="Times New Roman"/>
          <w:b/>
          <w:bCs/>
          <w:color w:val="auto"/>
          <w:sz w:val="21"/>
          <w:highlight w:val="none"/>
        </w:rPr>
      </w:pPr>
      <w:r>
        <w:rPr>
          <w:rFonts w:hint="eastAsia" w:hAnsi="宋体"/>
          <w:color w:val="auto"/>
          <w:sz w:val="21"/>
          <w:highlight w:val="none"/>
        </w:rPr>
        <w:t>评标委员会将根据总得分由高到低排列次序并推荐中标候选人。</w:t>
      </w:r>
      <w:r>
        <w:rPr>
          <w:rFonts w:hAnsi="宋体"/>
          <w:color w:val="auto"/>
          <w:sz w:val="21"/>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6A9D42AC">
      <w:pPr>
        <w:pStyle w:val="2"/>
        <w:jc w:val="center"/>
        <w:rPr>
          <w:rFonts w:hint="eastAsia"/>
          <w:color w:val="auto"/>
          <w:highlight w:val="none"/>
        </w:rPr>
      </w:pPr>
      <w:bookmarkStart w:id="142" w:name="_Toc12053"/>
      <w:r>
        <w:rPr>
          <w:rFonts w:hint="eastAsia"/>
          <w:color w:val="auto"/>
          <w:highlight w:val="none"/>
        </w:rPr>
        <w:br w:type="page"/>
      </w:r>
    </w:p>
    <w:p w14:paraId="088D298D">
      <w:pPr>
        <w:pStyle w:val="2"/>
        <w:jc w:val="center"/>
        <w:rPr>
          <w:rFonts w:hint="eastAsia"/>
          <w:color w:val="auto"/>
          <w:highlight w:val="none"/>
        </w:rPr>
      </w:pPr>
    </w:p>
    <w:p w14:paraId="0042908A">
      <w:pPr>
        <w:pStyle w:val="2"/>
        <w:jc w:val="center"/>
        <w:rPr>
          <w:rFonts w:hint="eastAsia"/>
          <w:color w:val="auto"/>
          <w:highlight w:val="none"/>
        </w:rPr>
      </w:pPr>
    </w:p>
    <w:p w14:paraId="51312BC0">
      <w:pPr>
        <w:pStyle w:val="2"/>
        <w:jc w:val="center"/>
        <w:rPr>
          <w:rFonts w:hint="eastAsia"/>
          <w:color w:val="auto"/>
          <w:highlight w:val="none"/>
        </w:rPr>
      </w:pPr>
      <w:r>
        <w:rPr>
          <w:rFonts w:hint="eastAsia"/>
          <w:color w:val="auto"/>
          <w:highlight w:val="none"/>
        </w:rPr>
        <w:t>第五章  拟签订的合同文本</w:t>
      </w:r>
      <w:bookmarkEnd w:id="142"/>
    </w:p>
    <w:p w14:paraId="56C1F95B">
      <w:pPr>
        <w:snapToGrid w:val="0"/>
        <w:jc w:val="center"/>
        <w:rPr>
          <w:rFonts w:hint="eastAsia" w:ascii="宋体" w:hAnsi="宋体"/>
          <w:bCs/>
          <w:color w:val="auto"/>
          <w:sz w:val="32"/>
          <w:szCs w:val="32"/>
          <w:highlight w:val="none"/>
        </w:rPr>
      </w:pPr>
    </w:p>
    <w:p w14:paraId="77B436A2">
      <w:pPr>
        <w:snapToGrid w:val="0"/>
        <w:jc w:val="center"/>
        <w:rPr>
          <w:rFonts w:hint="eastAsia" w:ascii="宋体" w:hAnsi="宋体"/>
          <w:bCs/>
          <w:color w:val="auto"/>
          <w:sz w:val="32"/>
          <w:szCs w:val="32"/>
          <w:highlight w:val="none"/>
        </w:rPr>
      </w:pPr>
    </w:p>
    <w:p w14:paraId="01798656">
      <w:pPr>
        <w:snapToGrid w:val="0"/>
        <w:jc w:val="center"/>
        <w:rPr>
          <w:rFonts w:hint="eastAsia" w:ascii="宋体" w:hAnsi="宋体"/>
          <w:bCs/>
          <w:color w:val="auto"/>
          <w:sz w:val="32"/>
          <w:szCs w:val="32"/>
          <w:highlight w:val="none"/>
        </w:rPr>
      </w:pPr>
    </w:p>
    <w:p w14:paraId="60003B64">
      <w:pPr>
        <w:snapToGrid w:val="0"/>
        <w:jc w:val="center"/>
        <w:rPr>
          <w:rFonts w:hint="eastAsia" w:ascii="宋体" w:hAnsi="宋体"/>
          <w:bCs/>
          <w:color w:val="auto"/>
          <w:sz w:val="32"/>
          <w:szCs w:val="32"/>
          <w:highlight w:val="none"/>
        </w:rPr>
      </w:pPr>
    </w:p>
    <w:p w14:paraId="694887EB">
      <w:pPr>
        <w:snapToGrid w:val="0"/>
        <w:jc w:val="center"/>
        <w:rPr>
          <w:rFonts w:hint="eastAsia" w:ascii="宋体" w:hAnsi="宋体"/>
          <w:bCs/>
          <w:color w:val="auto"/>
          <w:sz w:val="32"/>
          <w:szCs w:val="32"/>
          <w:highlight w:val="none"/>
        </w:rPr>
      </w:pPr>
    </w:p>
    <w:p w14:paraId="65A9082F">
      <w:pPr>
        <w:snapToGrid w:val="0"/>
        <w:jc w:val="center"/>
        <w:rPr>
          <w:rFonts w:hint="eastAsia" w:ascii="宋体" w:hAnsi="宋体"/>
          <w:bCs/>
          <w:color w:val="auto"/>
          <w:sz w:val="32"/>
          <w:szCs w:val="32"/>
          <w:highlight w:val="none"/>
        </w:rPr>
      </w:pPr>
    </w:p>
    <w:p w14:paraId="312D9A69">
      <w:pPr>
        <w:snapToGrid w:val="0"/>
        <w:jc w:val="center"/>
        <w:rPr>
          <w:rFonts w:hint="eastAsia" w:ascii="宋体" w:hAnsi="宋体"/>
          <w:bCs/>
          <w:color w:val="auto"/>
          <w:sz w:val="32"/>
          <w:szCs w:val="32"/>
          <w:highlight w:val="none"/>
        </w:rPr>
      </w:pPr>
    </w:p>
    <w:p w14:paraId="1916F2AE">
      <w:pPr>
        <w:snapToGrid w:val="0"/>
        <w:jc w:val="center"/>
        <w:rPr>
          <w:rFonts w:hint="eastAsia" w:ascii="宋体" w:hAnsi="宋体"/>
          <w:bCs/>
          <w:color w:val="auto"/>
          <w:sz w:val="32"/>
          <w:szCs w:val="32"/>
          <w:highlight w:val="none"/>
        </w:rPr>
      </w:pPr>
    </w:p>
    <w:p w14:paraId="582E43BA">
      <w:pPr>
        <w:snapToGrid w:val="0"/>
        <w:jc w:val="center"/>
        <w:rPr>
          <w:rFonts w:hint="eastAsia" w:ascii="宋体" w:hAnsi="宋体"/>
          <w:bCs/>
          <w:color w:val="auto"/>
          <w:sz w:val="32"/>
          <w:szCs w:val="32"/>
          <w:highlight w:val="none"/>
        </w:rPr>
      </w:pPr>
    </w:p>
    <w:p w14:paraId="0E346524">
      <w:pPr>
        <w:snapToGrid w:val="0"/>
        <w:jc w:val="center"/>
        <w:rPr>
          <w:rFonts w:hint="eastAsia" w:ascii="宋体" w:hAnsi="宋体"/>
          <w:bCs/>
          <w:color w:val="auto"/>
          <w:sz w:val="32"/>
          <w:szCs w:val="32"/>
          <w:highlight w:val="none"/>
        </w:rPr>
      </w:pPr>
    </w:p>
    <w:p w14:paraId="33A097C4">
      <w:pPr>
        <w:snapToGrid w:val="0"/>
        <w:jc w:val="center"/>
        <w:rPr>
          <w:rFonts w:hint="eastAsia" w:ascii="宋体" w:hAnsi="宋体"/>
          <w:bCs/>
          <w:color w:val="auto"/>
          <w:sz w:val="32"/>
          <w:szCs w:val="32"/>
          <w:highlight w:val="none"/>
        </w:rPr>
      </w:pPr>
    </w:p>
    <w:p w14:paraId="4A3AE363">
      <w:pPr>
        <w:snapToGrid w:val="0"/>
        <w:jc w:val="left"/>
        <w:rPr>
          <w:rFonts w:hint="eastAsia" w:ascii="仿宋_GB2312" w:hAnsi="华文中宋" w:eastAsia="仿宋_GB2312"/>
          <w:b/>
          <w:bCs/>
          <w:color w:val="auto"/>
          <w:sz w:val="32"/>
          <w:szCs w:val="32"/>
          <w:highlight w:val="none"/>
        </w:rPr>
      </w:pPr>
      <w:bookmarkStart w:id="143" w:name="_Hlk55381736"/>
      <w:r>
        <w:rPr>
          <w:rFonts w:hint="eastAsia" w:ascii="宋体" w:hAnsi="宋体"/>
          <w:color w:val="auto"/>
          <w:szCs w:val="21"/>
          <w:highlight w:val="none"/>
        </w:rPr>
        <w:br w:type="page"/>
      </w:r>
    </w:p>
    <w:bookmarkEnd w:id="143"/>
    <w:p w14:paraId="3447F702">
      <w:pPr>
        <w:snapToGrid w:val="0"/>
        <w:spacing w:line="400" w:lineRule="exact"/>
        <w:jc w:val="center"/>
        <w:rPr>
          <w:rFonts w:hint="eastAsia" w:ascii="仿宋" w:eastAsia="仿宋" w:cs="仿宋"/>
          <w:b/>
          <w:bCs/>
          <w:color w:val="auto"/>
          <w:sz w:val="32"/>
          <w:szCs w:val="32"/>
          <w:highlight w:val="none"/>
        </w:rPr>
      </w:pPr>
      <w:r>
        <w:rPr>
          <w:rFonts w:hint="eastAsia" w:ascii="仿宋" w:eastAsia="仿宋" w:cs="仿宋"/>
          <w:b/>
          <w:bCs/>
          <w:color w:val="auto"/>
          <w:sz w:val="32"/>
          <w:szCs w:val="32"/>
          <w:highlight w:val="none"/>
        </w:rPr>
        <w:t>《广西壮族自治区政府采购合同》</w:t>
      </w:r>
    </w:p>
    <w:p w14:paraId="62881465">
      <w:pPr>
        <w:snapToGrid w:val="0"/>
        <w:spacing w:line="400" w:lineRule="exact"/>
        <w:jc w:val="center"/>
        <w:rPr>
          <w:rFonts w:hint="eastAsia" w:ascii="仿宋" w:eastAsia="仿宋" w:cs="仿宋"/>
          <w:b/>
          <w:bCs/>
          <w:color w:val="auto"/>
          <w:sz w:val="32"/>
          <w:szCs w:val="32"/>
          <w:highlight w:val="none"/>
        </w:rPr>
      </w:pPr>
      <w:r>
        <w:rPr>
          <w:rFonts w:hint="eastAsia" w:ascii="仿宋" w:eastAsia="仿宋" w:cs="仿宋"/>
          <w:b/>
          <w:color w:val="auto"/>
          <w:sz w:val="32"/>
          <w:szCs w:val="32"/>
          <w:highlight w:val="none"/>
        </w:rPr>
        <w:t>文本</w:t>
      </w:r>
    </w:p>
    <w:p w14:paraId="1E2F82FF">
      <w:pPr>
        <w:overflowPunct w:val="0"/>
        <w:jc w:val="center"/>
        <w:rPr>
          <w:rFonts w:hint="eastAsia" w:ascii="黑体" w:hAnsi="黑体" w:eastAsia="黑体" w:cs="Times New Roman"/>
          <w:b/>
          <w:color w:val="auto"/>
          <w:sz w:val="44"/>
          <w:szCs w:val="44"/>
          <w:highlight w:val="none"/>
        </w:rPr>
      </w:pPr>
      <w:r>
        <w:rPr>
          <w:rFonts w:hint="eastAsia" w:ascii="黑体" w:hAnsi="黑体" w:eastAsia="黑体" w:cs="Times New Roman"/>
          <w:b/>
          <w:color w:val="auto"/>
          <w:sz w:val="44"/>
          <w:szCs w:val="44"/>
          <w:highlight w:val="none"/>
          <w:lang w:eastAsia="zh-Hans"/>
        </w:rPr>
        <w:t>信息</w:t>
      </w:r>
      <w:r>
        <w:rPr>
          <w:rFonts w:hint="eastAsia" w:ascii="黑体" w:hAnsi="黑体" w:eastAsia="黑体" w:cs="Times New Roman"/>
          <w:b/>
          <w:color w:val="auto"/>
          <w:sz w:val="44"/>
          <w:szCs w:val="44"/>
          <w:highlight w:val="none"/>
        </w:rPr>
        <w:t>服务</w:t>
      </w:r>
      <w:r>
        <w:rPr>
          <w:rFonts w:hint="eastAsia" w:ascii="黑体" w:hAnsi="黑体" w:eastAsia="黑体" w:cs="Times New Roman"/>
          <w:b/>
          <w:color w:val="auto"/>
          <w:sz w:val="44"/>
          <w:szCs w:val="44"/>
          <w:highlight w:val="none"/>
          <w:lang w:eastAsia="zh-Hans"/>
        </w:rPr>
        <w:t>类</w:t>
      </w:r>
      <w:r>
        <w:rPr>
          <w:rFonts w:hint="eastAsia" w:ascii="黑体" w:hAnsi="黑体" w:eastAsia="黑体" w:cs="Times New Roman"/>
          <w:b/>
          <w:color w:val="auto"/>
          <w:sz w:val="44"/>
          <w:szCs w:val="44"/>
          <w:highlight w:val="none"/>
        </w:rPr>
        <w:t>采购合同</w:t>
      </w:r>
    </w:p>
    <w:p w14:paraId="058FF928">
      <w:pPr>
        <w:overflowPunct w:val="0"/>
        <w:jc w:val="center"/>
        <w:rPr>
          <w:rFonts w:ascii="黑体" w:hAnsi="黑体" w:eastAsia="黑体" w:cs="Times New Roman"/>
          <w:b/>
          <w:color w:val="auto"/>
          <w:sz w:val="44"/>
          <w:szCs w:val="44"/>
          <w:highlight w:val="none"/>
        </w:rPr>
      </w:pPr>
      <w:r>
        <w:rPr>
          <w:rFonts w:hint="eastAsia" w:ascii="黑体" w:hAnsi="黑体" w:eastAsia="黑体" w:cs="Times New Roman"/>
          <w:b/>
          <w:color w:val="auto"/>
          <w:sz w:val="44"/>
          <w:szCs w:val="44"/>
          <w:highlight w:val="none"/>
        </w:rPr>
        <w:t xml:space="preserve"> </w:t>
      </w:r>
    </w:p>
    <w:p w14:paraId="5571E8C3">
      <w:pPr>
        <w:tabs>
          <w:tab w:val="left" w:pos="720"/>
        </w:tabs>
        <w:overflowPunct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合同名称：</w:t>
      </w:r>
      <w:r>
        <w:rPr>
          <w:rFonts w:hint="eastAsia" w:ascii="宋体" w:hAnsi="宋体" w:cs="宋体"/>
          <w:b/>
          <w:color w:val="auto"/>
          <w:sz w:val="24"/>
          <w:szCs w:val="24"/>
          <w:highlight w:val="none"/>
          <w:lang w:eastAsia="zh-CN"/>
        </w:rPr>
        <w:t>医院HIS系统维保服务</w:t>
      </w:r>
      <w:r>
        <w:rPr>
          <w:rFonts w:hint="eastAsia" w:ascii="宋体" w:hAnsi="宋体" w:cs="宋体"/>
          <w:b/>
          <w:color w:val="auto"/>
          <w:sz w:val="24"/>
          <w:szCs w:val="24"/>
          <w:highlight w:val="none"/>
          <w:lang w:val="en-US" w:eastAsia="zh-CN"/>
        </w:rPr>
        <w:t>合同</w:t>
      </w:r>
      <w:r>
        <w:rPr>
          <w:rFonts w:hint="eastAsia" w:ascii="宋体" w:hAnsi="宋体" w:eastAsia="宋体" w:cs="宋体"/>
          <w:b/>
          <w:color w:val="auto"/>
          <w:sz w:val="24"/>
          <w:szCs w:val="24"/>
          <w:highlight w:val="none"/>
        </w:rPr>
        <w:t xml:space="preserve"> </w:t>
      </w:r>
    </w:p>
    <w:p w14:paraId="12A2E629">
      <w:pPr>
        <w:tabs>
          <w:tab w:val="left" w:pos="720"/>
        </w:tabs>
        <w:overflowPunct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合同编号：</w:t>
      </w:r>
    </w:p>
    <w:p w14:paraId="06237081">
      <w:pPr>
        <w:tabs>
          <w:tab w:val="left" w:pos="720"/>
        </w:tabs>
        <w:overflowPunct w:val="0"/>
        <w:spacing w:line="360" w:lineRule="auto"/>
        <w:jc w:val="lef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政采云合同编号：</w:t>
      </w:r>
      <w:r>
        <w:rPr>
          <w:rFonts w:hint="eastAsia" w:ascii="宋体" w:hAnsi="宋体" w:eastAsia="宋体" w:cs="宋体"/>
          <w:b/>
          <w:color w:val="auto"/>
          <w:sz w:val="24"/>
          <w:szCs w:val="24"/>
          <w:highlight w:val="none"/>
        </w:rPr>
        <w:t xml:space="preserve">                          </w:t>
      </w:r>
    </w:p>
    <w:p w14:paraId="42C6C15C">
      <w:pPr>
        <w:tabs>
          <w:tab w:val="left" w:pos="720"/>
        </w:tabs>
        <w:overflowPunct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甲方（采购方）：</w:t>
      </w:r>
      <w:r>
        <w:rPr>
          <w:rFonts w:hint="eastAsia" w:ascii="宋体" w:hAnsi="宋体" w:eastAsia="宋体" w:cs="宋体"/>
          <w:color w:val="auto"/>
          <w:sz w:val="24"/>
          <w:szCs w:val="24"/>
          <w:highlight w:val="none"/>
        </w:rPr>
        <w:t>广西医科大学第一附属医院</w:t>
      </w:r>
    </w:p>
    <w:p w14:paraId="7DFDD7B9">
      <w:pPr>
        <w:tabs>
          <w:tab w:val="left" w:pos="720"/>
        </w:tabs>
        <w:overflowPunct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乙方（供应方）：</w:t>
      </w:r>
    </w:p>
    <w:p w14:paraId="1229870E">
      <w:pPr>
        <w:tabs>
          <w:tab w:val="left" w:pos="720"/>
        </w:tabs>
        <w:overflowPunct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签订地点：</w:t>
      </w:r>
      <w:r>
        <w:rPr>
          <w:rFonts w:hint="eastAsia" w:ascii="宋体" w:hAnsi="宋体" w:cs="宋体"/>
          <w:b/>
          <w:color w:val="auto"/>
          <w:sz w:val="24"/>
          <w:szCs w:val="24"/>
          <w:highlight w:val="none"/>
          <w:lang w:val="en-US" w:eastAsia="zh-CN"/>
        </w:rPr>
        <w:t>广西南宁市</w:t>
      </w:r>
      <w:r>
        <w:rPr>
          <w:rFonts w:hint="eastAsia" w:ascii="宋体" w:hAnsi="宋体" w:eastAsia="宋体" w:cs="宋体"/>
          <w:b/>
          <w:color w:val="auto"/>
          <w:sz w:val="24"/>
          <w:szCs w:val="24"/>
          <w:highlight w:val="none"/>
        </w:rPr>
        <w:t xml:space="preserve">                            签订时间：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52D2FCAE">
      <w:pPr>
        <w:tabs>
          <w:tab w:val="left" w:pos="6345"/>
        </w:tabs>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14:paraId="08970771">
      <w:pPr>
        <w:tabs>
          <w:tab w:val="left" w:pos="720"/>
        </w:tabs>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政府采购法》及广西壮族自治区关于政府采购的相关文件等规范性文件的规定，按照招投标文件/采购文件规定条款和中标/成交供应商承诺，甲乙双方签订本合同。</w:t>
      </w:r>
    </w:p>
    <w:p w14:paraId="415F7C77">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一、采购服务内容</w:t>
      </w:r>
    </w:p>
    <w:p w14:paraId="761A48C9">
      <w:pPr>
        <w:overflowPunct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甲方向乙方采购的服务内容为：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8AEC58">
      <w:pPr>
        <w:overflowPunct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本合同项目下的服务期限为：</w:t>
      </w:r>
    </w:p>
    <w:p w14:paraId="5AA92A3F">
      <w:pPr>
        <w:overflowPunct w:val="0"/>
        <w:spacing w:line="360" w:lineRule="auto"/>
        <w:ind w:firstLine="491"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sz w:val="24"/>
          <w:szCs w:val="24"/>
          <w:highlight w:val="none"/>
        </w:rPr>
        <w:t>至</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sz w:val="24"/>
          <w:szCs w:val="24"/>
          <w:highlight w:val="none"/>
        </w:rPr>
        <w:t>止。</w:t>
      </w:r>
    </w:p>
    <w:p w14:paraId="27714975">
      <w:pPr>
        <w:overflowPunct w:val="0"/>
        <w:spacing w:line="360" w:lineRule="auto"/>
        <w:ind w:firstLine="494" w:firstLineChars="20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二、服务地点</w:t>
      </w:r>
    </w:p>
    <w:p w14:paraId="38791BD7">
      <w:pPr>
        <w:overflowPunct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u w:val="single"/>
        </w:rPr>
        <w:t>广西医科大学第一附属医院指定地点，南宁市内。</w:t>
      </w:r>
    </w:p>
    <w:p w14:paraId="6FCC10A6">
      <w:pPr>
        <w:overflowPunct w:val="0"/>
        <w:spacing w:line="360" w:lineRule="auto"/>
        <w:ind w:firstLine="494" w:firstLineChars="20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三、服务质量标准与验收方式</w:t>
      </w:r>
    </w:p>
    <w:p w14:paraId="43FE7452">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乙方所提供的服务内容必须与招投标文件/采购文件和承诺相一致，若不一致，甲方有权拒绝接受。</w:t>
      </w:r>
    </w:p>
    <w:p w14:paraId="3E8CA907">
      <w:pPr>
        <w:overflowPunct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2.服务期限：</w:t>
      </w:r>
      <w:r>
        <w:rPr>
          <w:rFonts w:hint="eastAsia" w:ascii="宋体" w:hAnsi="宋体" w:eastAsia="宋体" w:cs="宋体"/>
          <w:color w:val="auto"/>
          <w:sz w:val="24"/>
          <w:szCs w:val="24"/>
          <w:highlight w:val="none"/>
          <w:u w:val="single"/>
        </w:rPr>
        <w:t>自合同签订之日起两年</w:t>
      </w:r>
      <w:r>
        <w:rPr>
          <w:rFonts w:hint="eastAsia" w:ascii="宋体" w:hAnsi="宋体" w:cs="宋体"/>
          <w:color w:val="auto"/>
          <w:sz w:val="24"/>
          <w:szCs w:val="24"/>
          <w:highlight w:val="none"/>
          <w:u w:val="single"/>
          <w:lang w:eastAsia="zh-CN"/>
        </w:rPr>
        <w:t>。</w:t>
      </w:r>
    </w:p>
    <w:p w14:paraId="6D77D30D">
      <w:pPr>
        <w:overflowPunct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甲方指定</w:t>
      </w:r>
      <w:r>
        <w:rPr>
          <w:rFonts w:hint="eastAsia" w:ascii="宋体" w:hAnsi="宋体" w:eastAsia="宋体" w:cs="宋体"/>
          <w:color w:val="auto"/>
          <w:sz w:val="24"/>
          <w:szCs w:val="24"/>
          <w:highlight w:val="none"/>
          <w:lang w:val="en-US" w:eastAsia="zh-CN"/>
        </w:rPr>
        <w:t>联系</w:t>
      </w:r>
      <w:r>
        <w:rPr>
          <w:rFonts w:hint="eastAsia" w:ascii="宋体" w:hAnsi="宋体" w:eastAsia="宋体" w:cs="宋体"/>
          <w:color w:val="auto"/>
          <w:sz w:val="24"/>
          <w:szCs w:val="24"/>
          <w:highlight w:val="none"/>
          <w:lang w:eastAsia="zh-CN"/>
        </w:rPr>
        <w:t>人为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。乙方指定交货人为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。乙方如要求变更交货人的，应在合同约定的交货期限届满前 2天通知甲方。</w:t>
      </w:r>
    </w:p>
    <w:p w14:paraId="13D2702C">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.乙方交付服务成果前应对交付内容作出全面检查和对验收文件进行整理，并列出清单，作为甲方验收和使用的技术条件依据，检验的结果应交甲方。</w:t>
      </w:r>
    </w:p>
    <w:p w14:paraId="5C4D13B0">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.甲方应当在服务成果提交并安装、测试、检验、试运行完后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个工作日内进行验收</w:t>
      </w:r>
      <w:r>
        <w:rPr>
          <w:rFonts w:hint="eastAsia" w:ascii="宋体" w:hAnsi="宋体" w:eastAsia="宋体" w:cs="宋体"/>
          <w:color w:val="auto"/>
          <w:sz w:val="24"/>
          <w:szCs w:val="24"/>
          <w:highlight w:val="none"/>
          <w:lang w:eastAsia="zh-Hans"/>
        </w:rPr>
        <w:t>。甲方</w:t>
      </w:r>
      <w:r>
        <w:rPr>
          <w:rFonts w:hint="eastAsia" w:ascii="宋体" w:hAnsi="宋体" w:eastAsia="宋体" w:cs="宋体"/>
          <w:color w:val="auto"/>
          <w:sz w:val="24"/>
          <w:szCs w:val="24"/>
          <w:highlight w:val="none"/>
        </w:rPr>
        <w:t>逾期不验收的，乙方可顺延交付期限。验收合格后由甲乙双方签署验收单，在验收过程中发现乙方有违约问题，</w:t>
      </w:r>
      <w:r>
        <w:rPr>
          <w:rFonts w:hint="eastAsia" w:ascii="宋体" w:hAnsi="宋体" w:eastAsia="宋体" w:cs="宋体"/>
          <w:color w:val="auto"/>
          <w:sz w:val="24"/>
          <w:szCs w:val="24"/>
          <w:highlight w:val="none"/>
          <w:lang w:eastAsia="zh-Hans"/>
        </w:rPr>
        <w:t>乙方须承担违约责任，甲方</w:t>
      </w:r>
      <w:r>
        <w:rPr>
          <w:rFonts w:hint="eastAsia" w:ascii="宋体" w:hAnsi="宋体" w:eastAsia="宋体" w:cs="宋体"/>
          <w:color w:val="auto"/>
          <w:sz w:val="24"/>
          <w:szCs w:val="24"/>
          <w:highlight w:val="none"/>
        </w:rPr>
        <w:t>可暂缓资金结算，待违约问题解决后，方可办理资金结算事宜。</w:t>
      </w:r>
    </w:p>
    <w:p w14:paraId="27A81BBA">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.甲方对验收有异议的，在验收后5个工作日内以书面形式向乙方提出，乙方应自收到甲方书面异议后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日内及时予以解决，逾期不予解决或不予答复的，视为认可甲方异议意见及处理方式，由此产生的全部损失和费用由乙方承担。</w:t>
      </w:r>
    </w:p>
    <w:p w14:paraId="139AFD52">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.甲方负责提供乙方技术规范的硬件设备，乙方需在合同签署后15个工作日内完成环境兼容性测试，若甲方硬件不达标导致延迟，交付周期相应顺延。</w:t>
      </w:r>
    </w:p>
    <w:p w14:paraId="3EF4CB6D">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所有数据（包括元数据、日志文件）的物理控制权、网络管理权限均归属甲方，乙方不得以任何形式远程抽取数据。乙方需在交付时提供《数据完全擦除工具》，以确保服务终止时甲方可自主清除所有残余数据。</w:t>
      </w:r>
    </w:p>
    <w:p w14:paraId="138A9721">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四、服务费与支付方式</w:t>
      </w:r>
    </w:p>
    <w:p w14:paraId="19E94850">
      <w:pPr>
        <w:widowControl w:val="0"/>
        <w:overflowPunct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乙方完成本合同项下全部服务内容的服务费为人民币（大写）_____________元（¥___________.00）。该服务费为包干价，即包括乙方完成本合同项下全部服务所涉及的全部费用及合同执行中相关的一切税费，乙方不得以任何理由要求增加服务费或要求甲方另行支付其他任何费用。如招投标文件/采购文件对其另有规定的，从其规定。</w:t>
      </w:r>
    </w:p>
    <w:p w14:paraId="3F439A7A">
      <w:pPr>
        <w:widowControl w:val="0"/>
        <w:overflowPunct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合同价款的调整方式：因国家政策方向变化引起工作量或工作内容变化的，合同当事人双方可根据市场价格协商确定变更合同价款，但所有补充合同的采购金额不得超过原合同采购金额的百分之十。</w:t>
      </w:r>
    </w:p>
    <w:p w14:paraId="0669207D">
      <w:pPr>
        <w:widowControl w:val="0"/>
        <w:overflowPunct w:val="0"/>
        <w:spacing w:line="360" w:lineRule="auto"/>
        <w:ind w:firstLine="480" w:firstLineChars="200"/>
        <w:jc w:val="both"/>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资金性质：</w:t>
      </w:r>
      <w:r>
        <w:rPr>
          <w:rFonts w:hint="eastAsia" w:ascii="宋体" w:hAnsi="宋体" w:eastAsia="宋体" w:cs="宋体"/>
          <w:color w:val="auto"/>
          <w:kern w:val="2"/>
          <w:sz w:val="24"/>
          <w:szCs w:val="24"/>
          <w:highlight w:val="none"/>
          <w:u w:val="single"/>
          <w:lang w:val="en-US" w:eastAsia="zh-CN" w:bidi="ar-SA"/>
        </w:rPr>
        <w:t>财政性资金</w:t>
      </w:r>
    </w:p>
    <w:p w14:paraId="1B66A41E">
      <w:pPr>
        <w:widowControl w:val="0"/>
        <w:overflowPunct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付款方式：</w:t>
      </w:r>
    </w:p>
    <w:p w14:paraId="23338D59">
      <w:pPr>
        <w:keepNext w:val="0"/>
        <w:keepLines w:val="0"/>
        <w:pageBreakBefore w:val="0"/>
        <w:widowControl w:val="0"/>
        <w:kinsoku/>
        <w:wordWrap/>
        <w:overflowPunct w:val="0"/>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本合同全额款分八次支付：甲方按季度支付合同价款，乙方应当于下季度首月前5个工作日内开具发票申请甲方支付上季度的合同价款，甲方自材料审核完成之日起十个工作日内支付该季度的合同款，具体金额根据上季度服务考评结果及奖惩办法等情况（详见附件三）进行核算进行支付，服务周期的第一季度按100%支付。</w:t>
      </w:r>
    </w:p>
    <w:p w14:paraId="65326CB1">
      <w:pPr>
        <w:widowControl w:val="0"/>
        <w:overflowPunct w:val="0"/>
        <w:spacing w:line="360" w:lineRule="auto"/>
        <w:ind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付款前乙方必须提供真实、有效、合法的正式发票，如乙方提供虚假发票，除须向甲方补开合法发票外，须赔偿甲方发票票面金额一倍的违约金，且甲方有权终止合同，乙方不得提出异议，因终止合同而产生的一切损失均由乙方承担。</w:t>
      </w:r>
    </w:p>
    <w:p w14:paraId="423CD5DE">
      <w:pPr>
        <w:widowControl w:val="0"/>
        <w:overflowPunct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本项目部署方式为本地化部署，供应商将软件系统部署于采购人指定的本地数据中心或私有云环境，所有数据存储、处理及运算均在采购人控制的基础设施内完成，供应商通过远程或现场方式提供技术支持，本地化部署所需的全部费用已包含在合同总价中。</w:t>
      </w:r>
    </w:p>
    <w:p w14:paraId="22B2B235">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五、双方权利和义务</w:t>
      </w:r>
    </w:p>
    <w:p w14:paraId="4FF4174B">
      <w:pPr>
        <w:numPr>
          <w:ilvl w:val="0"/>
          <w:numId w:val="10"/>
        </w:num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甲方的权利和义务</w:t>
      </w:r>
    </w:p>
    <w:p w14:paraId="65DD71B3">
      <w:pPr>
        <w:widowControl w:val="0"/>
        <w:numPr>
          <w:ilvl w:val="1"/>
          <w:numId w:val="10"/>
        </w:numPr>
        <w:overflowPunct w:val="0"/>
        <w:spacing w:after="120" w:afterLines="0" w:afterAutospacing="0" w:line="360" w:lineRule="auto"/>
        <w:ind w:left="420"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在实施过程中甲方根据需要及时向乙方提供项目有关背景资料。</w:t>
      </w:r>
    </w:p>
    <w:p w14:paraId="1C27B816">
      <w:pPr>
        <w:numPr>
          <w:ilvl w:val="1"/>
          <w:numId w:val="10"/>
        </w:numPr>
        <w:overflowPunct w:val="0"/>
        <w:spacing w:line="360" w:lineRule="auto"/>
        <w:ind w:left="42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甲方应选派人员参加项目的全过程，配合乙方人员进行项目实施。</w:t>
      </w:r>
    </w:p>
    <w:p w14:paraId="0EFFEB47">
      <w:pPr>
        <w:widowControl w:val="0"/>
        <w:numPr>
          <w:ilvl w:val="1"/>
          <w:numId w:val="10"/>
        </w:numPr>
        <w:overflowPunct w:val="0"/>
        <w:spacing w:after="120" w:afterLines="0" w:afterAutospacing="0" w:line="360" w:lineRule="auto"/>
        <w:ind w:left="420"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甲方指派的项目负责人，全权代表甲方进行项目实施协调工作，并对乙方提交的项目过程文档进行签字确认。</w:t>
      </w:r>
    </w:p>
    <w:p w14:paraId="4B9FC44F">
      <w:pPr>
        <w:numPr>
          <w:ilvl w:val="1"/>
          <w:numId w:val="10"/>
        </w:numPr>
        <w:overflowPunct w:val="0"/>
        <w:spacing w:line="360" w:lineRule="auto"/>
        <w:ind w:left="42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按照合同约定向乙方支付合同款项。</w:t>
      </w:r>
    </w:p>
    <w:p w14:paraId="075812F7">
      <w:pPr>
        <w:widowControl w:val="0"/>
        <w:numPr>
          <w:ilvl w:val="1"/>
          <w:numId w:val="10"/>
        </w:numPr>
        <w:overflowPunct w:val="0"/>
        <w:spacing w:after="120" w:afterLines="0" w:afterAutospacing="0" w:line="360" w:lineRule="auto"/>
        <w:ind w:left="420"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甲方负责组织项目验收。</w:t>
      </w:r>
    </w:p>
    <w:p w14:paraId="47E7808C">
      <w:pPr>
        <w:numPr>
          <w:ilvl w:val="0"/>
          <w:numId w:val="10"/>
        </w:num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乙方的权利和义务</w:t>
      </w:r>
    </w:p>
    <w:p w14:paraId="7AB1C862">
      <w:pPr>
        <w:widowControl w:val="0"/>
        <w:numPr>
          <w:ilvl w:val="1"/>
          <w:numId w:val="10"/>
        </w:numPr>
        <w:overflowPunct w:val="0"/>
        <w:spacing w:after="120" w:afterLines="0" w:afterAutospacing="0" w:line="360" w:lineRule="auto"/>
        <w:ind w:left="420"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依据合同规定的内容，做好项目的实施工作，协助甲方做好项目管理工作。</w:t>
      </w:r>
    </w:p>
    <w:p w14:paraId="5F928FB9">
      <w:pPr>
        <w:numPr>
          <w:ilvl w:val="1"/>
          <w:numId w:val="10"/>
        </w:numPr>
        <w:overflowPunct w:val="0"/>
        <w:spacing w:line="360" w:lineRule="auto"/>
        <w:ind w:left="42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根据项目需要，合理组织技术力量，按时完成甲方提供的各项工作任务。</w:t>
      </w:r>
    </w:p>
    <w:p w14:paraId="3BC462F3">
      <w:pPr>
        <w:widowControl w:val="0"/>
        <w:numPr>
          <w:ilvl w:val="1"/>
          <w:numId w:val="10"/>
        </w:numPr>
        <w:overflowPunct w:val="0"/>
        <w:spacing w:after="120" w:afterLines="0" w:afterAutospacing="0" w:line="360" w:lineRule="auto"/>
        <w:ind w:left="420"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收集提供本项目相关资料，按照项目实施计划及时向甲方提交项目过程文档。</w:t>
      </w:r>
    </w:p>
    <w:p w14:paraId="01F5A76F">
      <w:pPr>
        <w:widowControl w:val="0"/>
        <w:numPr>
          <w:ilvl w:val="1"/>
          <w:numId w:val="10"/>
        </w:numPr>
        <w:overflowPunct w:val="0"/>
        <w:spacing w:after="120" w:afterLines="0" w:afterAutospacing="0" w:line="360" w:lineRule="auto"/>
        <w:ind w:left="420"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配合甲方进行项目验收。</w:t>
      </w:r>
    </w:p>
    <w:p w14:paraId="1A493335">
      <w:pPr>
        <w:widowControl w:val="0"/>
        <w:numPr>
          <w:ilvl w:val="1"/>
          <w:numId w:val="10"/>
        </w:numPr>
        <w:overflowPunct w:val="0"/>
        <w:spacing w:after="120" w:afterLines="0" w:afterAutospacing="0" w:line="360" w:lineRule="auto"/>
        <w:ind w:left="420"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因项目负责人及技术人员调整或流动、技术设施故障，或因注销、吊销、经营困难等原因，无法完成本合同项目的，须及时书面通知甲方，并退还甲方已支付的全部费用。如给甲方造成额外损失的，优先从履约保证金中扣除，不足部分由乙方另行赔偿。</w:t>
      </w:r>
    </w:p>
    <w:p w14:paraId="31F697C3">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3.乙方承诺</w:t>
      </w:r>
    </w:p>
    <w:p w14:paraId="4C57D0FA">
      <w:pPr>
        <w:widowControl w:val="0"/>
        <w:overflowPunct w:val="0"/>
        <w:spacing w:after="120" w:afterLines="0" w:afterAutospacing="0"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3.1乙方需为本项目的实施提供足够的技术力量支持，保证项目的顺利进行，并按期完成。</w:t>
      </w:r>
    </w:p>
    <w:p w14:paraId="7BA17AA4">
      <w:pPr>
        <w:overflowPunct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3.2乙方应按招投标文件/采购文件规定的时间向甲方提供服务的有关技术资料。</w:t>
      </w:r>
    </w:p>
    <w:p w14:paraId="349A67BF">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3.3乙方在履行合同期间应遵守甲方出台的各项制度、规范、标准和流程等。</w:t>
      </w:r>
    </w:p>
    <w:p w14:paraId="5D9493E5">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六、履约保证金</w:t>
      </w:r>
    </w:p>
    <w:p w14:paraId="13372605">
      <w:pPr>
        <w:overflowPunct w:val="0"/>
        <w:autoSpaceDE w:val="0"/>
        <w:autoSpaceDN w:val="0"/>
        <w:snapToGrid w:val="0"/>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本项目不收取履约保证金。</w:t>
      </w:r>
    </w:p>
    <w:p w14:paraId="2E2BC481">
      <w:pPr>
        <w:overflowPunct w:val="0"/>
        <w:autoSpaceDE w:val="0"/>
        <w:autoSpaceDN w:val="0"/>
        <w:snapToGrid w:val="0"/>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本项目收取履约保证金，具体规定如下：</w:t>
      </w:r>
    </w:p>
    <w:p w14:paraId="1CAF19B2">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乙方选择以</w:t>
      </w:r>
      <w:r>
        <w:rPr>
          <w:rFonts w:hint="eastAsia" w:ascii="宋体" w:hAnsi="宋体" w:eastAsia="宋体" w:cs="宋体"/>
          <w:color w:val="auto"/>
          <w:sz w:val="24"/>
          <w:szCs w:val="24"/>
          <w:highlight w:val="none"/>
          <w:u w:val="single"/>
        </w:rPr>
        <w:t>支票/汇票/本票/电汇（选择其一）</w:t>
      </w:r>
      <w:r>
        <w:rPr>
          <w:rFonts w:hint="eastAsia" w:ascii="宋体" w:hAnsi="宋体" w:eastAsia="宋体" w:cs="宋体"/>
          <w:color w:val="auto"/>
          <w:sz w:val="24"/>
          <w:szCs w:val="24"/>
          <w:highlight w:val="none"/>
        </w:rPr>
        <w:t>等非现金形式提交履约保证金。乙方在合同签订后10个工作日内向甲方提交履约保证金，履约保证金为合同总金额的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%（注：履约保证金不超过政府采购合同金额的5%，对中小企业收取的保证金数额不得超过政府采购采购合同金额的2%），共计人民币：_______________元（人民币大写：_______________）。</w:t>
      </w:r>
    </w:p>
    <w:p w14:paraId="60F36C76">
      <w:pPr>
        <w:overflowPunct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如乙方在合同期内违反约定，甲方需扣除乙方相应款项时，则相应款项从履约保证金中扣除，扣除款项累计超过履约保证金数额的由乙方另行支付。项目验收合格后，若乙方在合同期内没有违约行为，由乙方提出申请，甲方履行完必要的审批手续后，返还乙方履约保证金。</w:t>
      </w:r>
    </w:p>
    <w:p w14:paraId="6DAE88E6">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七、项目的分、转包</w:t>
      </w:r>
    </w:p>
    <w:p w14:paraId="6DC7CD7B">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本合同项目应当由乙方独立完成，未经甲方书面许可，禁止转包和分包。如违反此条款，甲方有权立即解除本合同，乙方</w:t>
      </w:r>
      <w:r>
        <w:rPr>
          <w:rFonts w:hint="eastAsia" w:ascii="宋体" w:hAnsi="宋体" w:eastAsia="宋体" w:cs="宋体"/>
          <w:color w:val="auto"/>
          <w:sz w:val="24"/>
          <w:szCs w:val="24"/>
          <w:highlight w:val="none"/>
          <w:lang w:eastAsia="zh-Hans"/>
        </w:rPr>
        <w:t>除按合同约定总价的30%向甲方支付违约金外，还需向甲方</w:t>
      </w:r>
      <w:r>
        <w:rPr>
          <w:rFonts w:hint="eastAsia" w:ascii="宋体" w:hAnsi="宋体" w:eastAsia="宋体" w:cs="宋体"/>
          <w:color w:val="auto"/>
          <w:sz w:val="24"/>
          <w:szCs w:val="24"/>
          <w:highlight w:val="none"/>
        </w:rPr>
        <w:t>退还甲方支付的全部费用，并赔偿甲方为此发生的全部损失。</w:t>
      </w:r>
    </w:p>
    <w:p w14:paraId="3C7ED8BE">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八、违约责任</w:t>
      </w:r>
    </w:p>
    <w:p w14:paraId="6226DF1F">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1.乙方不能在规定期限内完成本项目实施，乙方应当承担违约责任，每逾期一天，应向甲方支付合同总金额0.5‰的违约金。逾期30日仍未完成工作的，甲方有权单方解除合同。</w:t>
      </w:r>
    </w:p>
    <w:p w14:paraId="71528E08">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2.甲方如无正当理由，不按合同规定的付款方式和时间向乙方支付合同所规定的款项，从规定付款之日起，每逾期一天，甲方应向乙方支付未支付合同金额的0.1‰的违约金，但违约金不应超过</w:t>
      </w:r>
      <w:r>
        <w:rPr>
          <w:rFonts w:hint="eastAsia" w:ascii="宋体" w:hAnsi="宋体" w:eastAsia="宋体" w:cs="宋体"/>
          <w:color w:val="auto"/>
          <w:sz w:val="24"/>
          <w:szCs w:val="24"/>
          <w:highlight w:val="none"/>
          <w:lang w:eastAsia="zh-Hans"/>
        </w:rPr>
        <w:t>欠付款项</w:t>
      </w:r>
      <w:r>
        <w:rPr>
          <w:rFonts w:hint="eastAsia" w:ascii="宋体" w:hAnsi="宋体" w:eastAsia="宋体" w:cs="宋体"/>
          <w:color w:val="auto"/>
          <w:sz w:val="24"/>
          <w:szCs w:val="24"/>
          <w:highlight w:val="none"/>
        </w:rPr>
        <w:t>金额的5%，且乙方不得据此拒绝履行本合同项下义务或以任何方式对甲方使用本项目服务或正常诊疗经营活动进行阻挠、破坏，否则视为乙方根本性违约。</w:t>
      </w:r>
    </w:p>
    <w:p w14:paraId="10A8D2CD">
      <w:pPr>
        <w:overflowPunct w:val="0"/>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rPr>
        <w:t>3.如乙方未按合同要求完成服务项目，乙方应负责按合同约定的内容进行整改，并在30日内整改完毕，逾期未整改完毕，则每天支付合同款5‰的逾期违约金。</w:t>
      </w:r>
      <w:r>
        <w:rPr>
          <w:rFonts w:hint="eastAsia" w:ascii="宋体" w:hAnsi="宋体" w:eastAsia="宋体" w:cs="宋体"/>
          <w:color w:val="auto"/>
          <w:sz w:val="24"/>
          <w:szCs w:val="24"/>
          <w:highlight w:val="none"/>
          <w:lang w:eastAsia="zh-Hans"/>
        </w:rPr>
        <w:t>超过</w:t>
      </w:r>
      <w:r>
        <w:rPr>
          <w:rFonts w:hint="eastAsia" w:ascii="宋体" w:hAnsi="宋体" w:eastAsia="宋体" w:cs="宋体"/>
          <w:color w:val="auto"/>
          <w:sz w:val="24"/>
          <w:szCs w:val="24"/>
          <w:highlight w:val="none"/>
          <w:u w:val="single"/>
          <w:lang w:eastAsia="zh-Hans"/>
        </w:rPr>
        <w:t xml:space="preserve"> </w:t>
      </w:r>
      <w:r>
        <w:rPr>
          <w:rFonts w:hint="eastAsia" w:ascii="宋体" w:hAnsi="宋体" w:cs="宋体"/>
          <w:color w:val="auto"/>
          <w:sz w:val="24"/>
          <w:szCs w:val="24"/>
          <w:highlight w:val="none"/>
          <w:u w:val="single"/>
          <w:lang w:val="en-US" w:eastAsia="zh-CN"/>
        </w:rPr>
        <w:t xml:space="preserve">45 </w:t>
      </w:r>
      <w:r>
        <w:rPr>
          <w:rFonts w:hint="eastAsia" w:ascii="宋体" w:hAnsi="宋体" w:eastAsia="宋体" w:cs="宋体"/>
          <w:color w:val="auto"/>
          <w:sz w:val="24"/>
          <w:szCs w:val="24"/>
          <w:highlight w:val="none"/>
          <w:lang w:eastAsia="zh-Hans"/>
        </w:rPr>
        <w:t>日，甲方有权单方解除合同，乙方应向甲方赔偿相应损失。</w:t>
      </w:r>
    </w:p>
    <w:p w14:paraId="53EFE8C2">
      <w:pPr>
        <w:widowControl w:val="0"/>
        <w:overflowPunct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4.如乙方不能按合同要求完成本项目的，应当承担合同金额</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30</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%的违约金，并赔偿给甲方造成的</w:t>
      </w:r>
      <w:r>
        <w:rPr>
          <w:rFonts w:hint="eastAsia" w:ascii="宋体" w:hAnsi="宋体" w:cs="宋体"/>
          <w:color w:val="auto"/>
          <w:kern w:val="2"/>
          <w:sz w:val="24"/>
          <w:szCs w:val="24"/>
          <w:highlight w:val="none"/>
          <w:lang w:val="en-US" w:eastAsia="zh-CN" w:bidi="ar-SA"/>
        </w:rPr>
        <w:t>全部</w:t>
      </w:r>
      <w:r>
        <w:rPr>
          <w:rFonts w:hint="eastAsia" w:ascii="宋体" w:hAnsi="宋体" w:eastAsia="宋体" w:cs="宋体"/>
          <w:color w:val="auto"/>
          <w:kern w:val="2"/>
          <w:sz w:val="24"/>
          <w:szCs w:val="24"/>
          <w:highlight w:val="none"/>
          <w:lang w:val="en-US" w:eastAsia="zh-CN" w:bidi="ar-SA"/>
        </w:rPr>
        <w:t>损失，同时甲方有权单方解除合同。</w:t>
      </w:r>
    </w:p>
    <w:p w14:paraId="6D2C6A49">
      <w:pPr>
        <w:overflowPunct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5.如</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违反本合同约定的义务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包括安全保密义务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视同乙方违约。乙方违约的，除应按合同约定总价的30%向甲方支付违约金外，还</w:t>
      </w:r>
      <w:r>
        <w:rPr>
          <w:rFonts w:hint="eastAsia" w:ascii="宋体" w:hAnsi="宋体" w:eastAsia="宋体" w:cs="宋体"/>
          <w:color w:val="auto"/>
          <w:sz w:val="24"/>
          <w:szCs w:val="24"/>
          <w:highlight w:val="none"/>
        </w:rPr>
        <w:t>应当赔偿</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的相关损失及因追索损失而支出的包括但不限于律师费、仲裁费、</w:t>
      </w:r>
      <w:r>
        <w:rPr>
          <w:rFonts w:hint="eastAsia" w:ascii="宋体" w:hAnsi="宋体" w:eastAsia="宋体" w:cs="宋体"/>
          <w:color w:val="auto"/>
          <w:sz w:val="24"/>
          <w:szCs w:val="24"/>
          <w:highlight w:val="none"/>
          <w:lang w:eastAsia="zh-Hans"/>
        </w:rPr>
        <w:t>诉讼费、</w:t>
      </w:r>
      <w:r>
        <w:rPr>
          <w:rFonts w:hint="eastAsia" w:ascii="宋体" w:hAnsi="宋体" w:eastAsia="宋体" w:cs="宋体"/>
          <w:color w:val="auto"/>
          <w:sz w:val="24"/>
          <w:szCs w:val="24"/>
          <w:highlight w:val="none"/>
        </w:rPr>
        <w:t xml:space="preserve">保全费、保全责任保险费、公证费、交通差旅费等在内的相关费用。 </w:t>
      </w:r>
    </w:p>
    <w:p w14:paraId="3AC91F58">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提供的服务如侵犯了第三方合法权益而引发的任何纠纷或诉讼，均由乙方负责交涉并承担全部责任，如因此导致甲方遭受诉累，乙方除赔偿甲方全部损失外，还应按合同约定总价的30%向甲方支付违约金。同时，甲方有权选择单方解除合同。</w:t>
      </w:r>
    </w:p>
    <w:p w14:paraId="3852A41E">
      <w:pPr>
        <w:overflowPunct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7.乙方未按本合同和投标文件（响应文件）中规定的服务承诺提供售后服务的，</w:t>
      </w:r>
      <w:r>
        <w:rPr>
          <w:rFonts w:hint="eastAsia" w:ascii="宋体" w:hAnsi="宋体" w:cs="宋体"/>
          <w:color w:val="auto"/>
          <w:sz w:val="24"/>
          <w:szCs w:val="24"/>
          <w:highlight w:val="none"/>
          <w:lang w:val="en-US" w:eastAsia="zh-CN"/>
        </w:rPr>
        <w:t>或未按</w:t>
      </w:r>
      <w:r>
        <w:rPr>
          <w:rFonts w:hint="eastAsia" w:ascii="宋体" w:hAnsi="宋体" w:eastAsia="宋体" w:cs="宋体"/>
          <w:color w:val="auto"/>
          <w:sz w:val="24"/>
          <w:szCs w:val="24"/>
          <w:highlight w:val="none"/>
        </w:rPr>
        <w:t>拟投入的人员、服务实施方案、乙方应按本合同合计金额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%向甲方支付违约金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并赔偿相应损失</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同时，甲方有权选择单方解除合同。</w:t>
      </w:r>
    </w:p>
    <w:p w14:paraId="26B2DCD1">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九、不可抗力事件处理</w:t>
      </w:r>
    </w:p>
    <w:p w14:paraId="25DF8B5C">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1.在合同有效期内，任何一方因不可抗力事件导致不能履行合同，则合同履行期可延长，其延长期与不可抗力影响期相同。</w:t>
      </w:r>
    </w:p>
    <w:p w14:paraId="630B922E">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14:paraId="329342A3">
      <w:pPr>
        <w:overflowPunct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3.不可抗力事件延续120天以上，双方应通过友好协商，确定是否继续履行合同。</w:t>
      </w:r>
    </w:p>
    <w:p w14:paraId="564D2895">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十、知识产权归属</w:t>
      </w:r>
    </w:p>
    <w:p w14:paraId="7B122675">
      <w:pPr>
        <w:tabs>
          <w:tab w:val="left" w:pos="900"/>
        </w:tabs>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1.自本合同生效之日起，对与本项目相关的由甲方委托乙方提供的项目成果及文档的知识产权和所有权归属甲方。</w:t>
      </w:r>
    </w:p>
    <w:p w14:paraId="286F4780">
      <w:pPr>
        <w:tabs>
          <w:tab w:val="left" w:pos="900"/>
        </w:tabs>
        <w:overflowPunct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乙方履行本合同时，不得侵犯第三方的相关权利，包括所有权、使用权及知识产权等权利，如涉及到侵犯第三方相关权利的，由乙方自行负责解决并承担所有责任，如因此给甲方造成损失的，由乙方向甲方全额赔付。</w:t>
      </w:r>
      <w:r>
        <w:rPr>
          <w:rFonts w:hint="eastAsia" w:ascii="宋体" w:hAnsi="宋体" w:cs="宋体"/>
          <w:color w:val="auto"/>
          <w:sz w:val="24"/>
          <w:szCs w:val="24"/>
          <w:highlight w:val="none"/>
          <w:lang w:val="en-US" w:eastAsia="zh-CN"/>
        </w:rPr>
        <w:t>同时，甲方有权单方解除合同。</w:t>
      </w:r>
    </w:p>
    <w:p w14:paraId="54FB4819">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十一、保密条款</w:t>
      </w:r>
    </w:p>
    <w:p w14:paraId="68D6515F">
      <w:pPr>
        <w:widowControl w:val="0"/>
        <w:overflowPunct w:val="0"/>
        <w:spacing w:after="120" w:afterLines="0" w:afterAutospacing="0"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医疗机构应当与提供信息系统维护和数据分析服务等业务的外部服务商签订严格的保密协议和授权协议，明确其访问电子病历系统的范围、目的和期限，并在服务过程中接受医疗机构监督，确保数据安全。</w:t>
      </w:r>
    </w:p>
    <w:p w14:paraId="248951AB">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十二、争议解决</w:t>
      </w:r>
    </w:p>
    <w:p w14:paraId="76FD167A">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本合同执行过程中发生的任何争议，如双方不能通过友好协商解决，向甲方所在地人民法院起诉，律师费、仲裁费、诉讼费、保全费、保全责任保险费、公证费、交通差旅费等追偿费用全由</w:t>
      </w:r>
      <w:r>
        <w:rPr>
          <w:rFonts w:hint="eastAsia" w:ascii="宋体" w:hAnsi="宋体" w:eastAsia="宋体" w:cs="宋体"/>
          <w:color w:val="auto"/>
          <w:sz w:val="24"/>
          <w:szCs w:val="24"/>
          <w:highlight w:val="none"/>
          <w:lang w:val="en-US" w:eastAsia="zh-CN"/>
        </w:rPr>
        <w:t>违约方</w:t>
      </w:r>
      <w:r>
        <w:rPr>
          <w:rFonts w:hint="eastAsia" w:ascii="宋体" w:hAnsi="宋体" w:eastAsia="宋体" w:cs="宋体"/>
          <w:color w:val="auto"/>
          <w:sz w:val="24"/>
          <w:szCs w:val="24"/>
          <w:highlight w:val="none"/>
        </w:rPr>
        <w:t>承担。</w:t>
      </w:r>
    </w:p>
    <w:p w14:paraId="5AB7A2F2">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十三、合同的变更、终止与转让</w:t>
      </w:r>
    </w:p>
    <w:p w14:paraId="05D7B452">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1.双方协商一致，可以对本合同进行补充、修改或变更。</w:t>
      </w:r>
    </w:p>
    <w:p w14:paraId="5F49317C">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2.对本合同的补充、修改或变更必须以书面形式进行。补充、修改或变更的协议的签订及生效方式与本合同的签订及生效方式相同。</w:t>
      </w:r>
    </w:p>
    <w:p w14:paraId="57B1CE36">
      <w:pPr>
        <w:overflowPunct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3.双方签订的补充协议以及修改或变更的条款与本合同具有同等法律效力。</w:t>
      </w:r>
    </w:p>
    <w:p w14:paraId="0A68EE93">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十四、其它</w:t>
      </w:r>
    </w:p>
    <w:p w14:paraId="6F31927E">
      <w:pPr>
        <w:overflowPunct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本合同所有附件、</w:t>
      </w:r>
      <w:r>
        <w:rPr>
          <w:rFonts w:hint="eastAsia" w:ascii="宋体" w:hAnsi="宋体" w:cs="宋体"/>
          <w:color w:val="auto"/>
          <w:sz w:val="24"/>
          <w:szCs w:val="24"/>
          <w:highlight w:val="none"/>
          <w:lang w:val="en-US" w:eastAsia="zh-CN"/>
        </w:rPr>
        <w:t>需要响应、承诺文件、拟投入的人员、服务实施方案、</w:t>
      </w:r>
      <w:r>
        <w:rPr>
          <w:rFonts w:hint="eastAsia" w:ascii="宋体" w:hAnsi="宋体" w:eastAsia="宋体" w:cs="宋体"/>
          <w:color w:val="auto"/>
          <w:sz w:val="24"/>
          <w:szCs w:val="24"/>
          <w:highlight w:val="none"/>
        </w:rPr>
        <w:t>双方在本合同履行过程中签署确认的文件（包括补充协议、往来信函）为本合同的有效组成部分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如有违反，均视为违约</w:t>
      </w:r>
      <w:r>
        <w:rPr>
          <w:rFonts w:hint="eastAsia" w:ascii="宋体" w:hAnsi="宋体" w:eastAsia="宋体" w:cs="宋体"/>
          <w:color w:val="auto"/>
          <w:sz w:val="24"/>
          <w:szCs w:val="24"/>
          <w:highlight w:val="none"/>
        </w:rPr>
        <w:t>。</w:t>
      </w:r>
    </w:p>
    <w:p w14:paraId="1820A46D">
      <w:pPr>
        <w:overflowPunct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本合同一</w:t>
      </w:r>
      <w:r>
        <w:rPr>
          <w:rFonts w:hint="eastAsia" w:ascii="宋体" w:hAnsi="宋体" w:eastAsia="宋体" w:cs="宋体"/>
          <w:color w:val="auto"/>
          <w:sz w:val="24"/>
          <w:szCs w:val="24"/>
          <w:highlight w:val="none"/>
          <w:u w:val="none"/>
        </w:rPr>
        <w:t>式</w:t>
      </w:r>
      <w:r>
        <w:rPr>
          <w:rFonts w:hint="eastAsia" w:ascii="宋体" w:hAnsi="宋体" w:cs="宋体"/>
          <w:color w:val="auto"/>
          <w:sz w:val="24"/>
          <w:szCs w:val="24"/>
          <w:highlight w:val="none"/>
          <w:u w:val="none"/>
          <w:lang w:val="en-US" w:eastAsia="zh-CN"/>
        </w:rPr>
        <w:t>陆</w:t>
      </w:r>
      <w:r>
        <w:rPr>
          <w:rFonts w:hint="eastAsia" w:ascii="宋体" w:hAnsi="宋体" w:eastAsia="宋体" w:cs="宋体"/>
          <w:color w:val="auto"/>
          <w:sz w:val="24"/>
          <w:szCs w:val="24"/>
          <w:highlight w:val="none"/>
        </w:rPr>
        <w:t>份，甲方执</w:t>
      </w:r>
      <w:r>
        <w:rPr>
          <w:rFonts w:hint="eastAsia" w:ascii="宋体" w:hAnsi="宋体" w:cs="宋体"/>
          <w:color w:val="auto"/>
          <w:sz w:val="24"/>
          <w:szCs w:val="24"/>
          <w:highlight w:val="none"/>
          <w:lang w:val="en-US" w:eastAsia="zh-CN"/>
        </w:rPr>
        <w:t>叁</w:t>
      </w:r>
      <w:r>
        <w:rPr>
          <w:rFonts w:hint="eastAsia" w:ascii="宋体" w:hAnsi="宋体" w:eastAsia="宋体" w:cs="宋体"/>
          <w:color w:val="auto"/>
          <w:sz w:val="24"/>
          <w:szCs w:val="24"/>
          <w:highlight w:val="none"/>
        </w:rPr>
        <w:t>份，乙方执</w:t>
      </w:r>
      <w:r>
        <w:rPr>
          <w:rFonts w:hint="eastAsia" w:ascii="宋体" w:hAnsi="宋体" w:cs="宋体"/>
          <w:color w:val="auto"/>
          <w:sz w:val="24"/>
          <w:szCs w:val="24"/>
          <w:highlight w:val="none"/>
          <w:lang w:val="en-US" w:eastAsia="zh-CN"/>
        </w:rPr>
        <w:t>贰</w:t>
      </w:r>
      <w:r>
        <w:rPr>
          <w:rFonts w:hint="eastAsia" w:ascii="宋体" w:hAnsi="宋体" w:eastAsia="宋体" w:cs="宋体"/>
          <w:color w:val="auto"/>
          <w:sz w:val="24"/>
          <w:szCs w:val="24"/>
          <w:highlight w:val="none"/>
        </w:rPr>
        <w:t>份，代理机构执壹份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经甲、乙双方各自授权代表签字并加盖双方各自公章或合同专用章后生效。</w:t>
      </w:r>
    </w:p>
    <w:p w14:paraId="5F861D27">
      <w:pPr>
        <w:overflowPunct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乙方确认，甲方在合同履行过程中对乙方任何主张、要求、异议的逾期答复、不予答复均不视为对乙方主张、要求、异议的认可，乙方不得据此作出任何损害甲方权益的行为。</w:t>
      </w:r>
    </w:p>
    <w:p w14:paraId="0090A91E">
      <w:pPr>
        <w:spacing w:line="360" w:lineRule="auto"/>
        <w:ind w:firstLine="420" w:firstLineChars="200"/>
        <w:rPr>
          <w:rFonts w:hint="eastAsia" w:ascii="宋体" w:hAnsi="宋体" w:cs="宋体"/>
          <w:color w:val="auto"/>
          <w:szCs w:val="21"/>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8"/>
        <w:gridCol w:w="4822"/>
      </w:tblGrid>
      <w:tr w14:paraId="5024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3A711355">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甲方（章） 广西医科大学第一附属医院    </w:t>
            </w:r>
            <w:r>
              <w:rPr>
                <w:rFonts w:hint="eastAsia" w:ascii="宋体" w:hAnsi="宋体" w:eastAsia="宋体" w:cs="宋体"/>
                <w:color w:val="auto"/>
                <w:sz w:val="24"/>
                <w:szCs w:val="24"/>
                <w:highlight w:val="none"/>
              </w:rPr>
              <w:t xml:space="preserve">    </w:t>
            </w:r>
          </w:p>
          <w:p w14:paraId="37B70ABE">
            <w:pPr>
              <w:keepNext w:val="0"/>
              <w:keepLines w:val="0"/>
              <w:pageBreakBefore w:val="0"/>
              <w:kinsoku/>
              <w:overflowPunct/>
              <w:topLinePunct w:val="0"/>
              <w:autoSpaceDE/>
              <w:autoSpaceDN/>
              <w:bidi w:val="0"/>
              <w:adjustRightInd/>
              <w:snapToGrid w:val="0"/>
              <w:spacing w:before="120" w:line="360" w:lineRule="exact"/>
              <w:ind w:firstLine="1080" w:firstLineChars="450"/>
              <w:jc w:val="right"/>
              <w:textAlignment w:val="auto"/>
              <w:rPr>
                <w:rFonts w:hint="eastAsia" w:ascii="宋体" w:hAnsi="宋体" w:eastAsia="宋体" w:cs="宋体"/>
                <w:color w:val="auto"/>
                <w:sz w:val="24"/>
                <w:szCs w:val="24"/>
                <w:highlight w:val="none"/>
              </w:rPr>
            </w:pPr>
          </w:p>
          <w:p w14:paraId="54CDBB27">
            <w:pPr>
              <w:keepNext w:val="0"/>
              <w:keepLines w:val="0"/>
              <w:pageBreakBefore w:val="0"/>
              <w:kinsoku/>
              <w:overflowPunct/>
              <w:topLinePunct w:val="0"/>
              <w:autoSpaceDE/>
              <w:autoSpaceDN/>
              <w:bidi w:val="0"/>
              <w:adjustRightInd/>
              <w:snapToGrid w:val="0"/>
              <w:spacing w:before="120" w:line="360" w:lineRule="exact"/>
              <w:ind w:firstLine="1080" w:firstLineChars="45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1E010A16">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乙方（章）</w:t>
            </w:r>
            <w:r>
              <w:rPr>
                <w:rFonts w:hint="eastAsia" w:ascii="宋体" w:hAnsi="宋体" w:eastAsia="宋体" w:cs="宋体"/>
                <w:color w:val="auto"/>
                <w:sz w:val="24"/>
                <w:szCs w:val="24"/>
                <w:highlight w:val="none"/>
              </w:rPr>
              <w:t xml:space="preserve">              </w:t>
            </w:r>
          </w:p>
          <w:p w14:paraId="6C42399D">
            <w:pPr>
              <w:keepNext w:val="0"/>
              <w:keepLines w:val="0"/>
              <w:pageBreakBefore w:val="0"/>
              <w:kinsoku/>
              <w:overflowPunct/>
              <w:topLinePunct w:val="0"/>
              <w:autoSpaceDE/>
              <w:autoSpaceDN/>
              <w:bidi w:val="0"/>
              <w:adjustRightInd/>
              <w:snapToGrid w:val="0"/>
              <w:spacing w:before="120" w:line="360" w:lineRule="exact"/>
              <w:jc w:val="right"/>
              <w:textAlignment w:val="auto"/>
              <w:rPr>
                <w:rFonts w:hint="eastAsia" w:ascii="宋体" w:hAnsi="宋体" w:eastAsia="宋体" w:cs="宋体"/>
                <w:color w:val="auto"/>
                <w:sz w:val="24"/>
                <w:szCs w:val="24"/>
                <w:highlight w:val="none"/>
              </w:rPr>
            </w:pPr>
          </w:p>
          <w:p w14:paraId="3E81CD88">
            <w:pPr>
              <w:keepNext w:val="0"/>
              <w:keepLines w:val="0"/>
              <w:pageBreakBefore w:val="0"/>
              <w:kinsoku/>
              <w:overflowPunct/>
              <w:topLinePunct w:val="0"/>
              <w:autoSpaceDE/>
              <w:autoSpaceDN/>
              <w:bidi w:val="0"/>
              <w:adjustRightInd/>
              <w:snapToGrid w:val="0"/>
              <w:spacing w:before="120" w:line="36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tc>
      </w:tr>
      <w:tr w14:paraId="2BF4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11B8CE56">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单位地址：广西南宁市双拥路6号</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19356352">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r>
      <w:tr w14:paraId="3CAD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1448D180">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5EA3A48C">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tc>
      </w:tr>
      <w:tr w14:paraId="4AC9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5A8B4911">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4B5095B1">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tc>
      </w:tr>
      <w:tr w14:paraId="33C0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7E5D5788">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cs="宋体"/>
                <w:color w:val="auto"/>
                <w:sz w:val="24"/>
                <w:highlight w:val="none"/>
              </w:rPr>
              <w:t>0771-5</w:t>
            </w:r>
            <w:r>
              <w:rPr>
                <w:rFonts w:hint="eastAsia" w:ascii="宋体" w:hAnsi="宋体" w:cs="宋体"/>
                <w:color w:val="auto"/>
                <w:sz w:val="24"/>
                <w:highlight w:val="none"/>
                <w:lang w:val="en-US" w:eastAsia="zh-CN"/>
              </w:rPr>
              <w:t>634385</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1197C02E">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14:paraId="0DE3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154F5D29">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电子邮箱：</w:t>
            </w:r>
            <w:r>
              <w:rPr>
                <w:rFonts w:hint="eastAsia" w:ascii="宋体" w:hAnsi="宋体" w:cs="宋体"/>
                <w:color w:val="auto"/>
                <w:sz w:val="24"/>
                <w:szCs w:val="24"/>
                <w:highlight w:val="none"/>
                <w:lang w:val="en-US" w:eastAsia="zh-CN"/>
              </w:rPr>
              <w:t>/</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535DFF9C">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r>
      <w:tr w14:paraId="6B70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11E8D74F">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cs="宋体"/>
                <w:color w:val="auto"/>
                <w:sz w:val="24"/>
                <w:highlight w:val="none"/>
              </w:rPr>
              <w:t>广西南宁建行医科大支行</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50E22CBA">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1D59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60E8234E">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cs="宋体"/>
                <w:color w:val="auto"/>
                <w:sz w:val="24"/>
                <w:highlight w:val="none"/>
              </w:rPr>
              <w:t>4500 1604 5600 5050 1061</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4B2DD8C4">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64F6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3BBA5FAB">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00C691D5">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bl>
    <w:p w14:paraId="38B82674">
      <w:pPr>
        <w:spacing w:line="480" w:lineRule="auto"/>
        <w:rPr>
          <w:rFonts w:hint="eastAsia" w:ascii="宋体" w:hAnsi="宋体"/>
          <w:bCs/>
          <w:color w:val="auto"/>
          <w:sz w:val="32"/>
          <w:szCs w:val="32"/>
          <w:highlight w:val="none"/>
        </w:rPr>
      </w:pPr>
    </w:p>
    <w:p w14:paraId="52D147A9">
      <w:pPr>
        <w:jc w:val="both"/>
        <w:rPr>
          <w:rFonts w:hint="eastAsia"/>
          <w:color w:val="auto"/>
          <w:highlight w:val="none"/>
        </w:rPr>
      </w:pPr>
      <w:bookmarkStart w:id="144" w:name="_Toc31786"/>
      <w:r>
        <w:rPr>
          <w:rFonts w:hint="eastAsia"/>
          <w:color w:val="auto"/>
          <w:highlight w:val="none"/>
        </w:rPr>
        <w:br w:type="page"/>
      </w:r>
    </w:p>
    <w:p w14:paraId="5513FF06">
      <w:pPr>
        <w:pStyle w:val="2"/>
        <w:jc w:val="center"/>
        <w:rPr>
          <w:rFonts w:hint="eastAsia"/>
          <w:color w:val="auto"/>
          <w:highlight w:val="none"/>
        </w:rPr>
      </w:pPr>
    </w:p>
    <w:p w14:paraId="6920FF95">
      <w:pPr>
        <w:pStyle w:val="2"/>
        <w:jc w:val="center"/>
        <w:rPr>
          <w:rFonts w:hint="eastAsia"/>
          <w:color w:val="auto"/>
          <w:highlight w:val="none"/>
        </w:rPr>
      </w:pPr>
      <w:r>
        <w:rPr>
          <w:rFonts w:hint="eastAsia"/>
          <w:color w:val="auto"/>
          <w:highlight w:val="none"/>
        </w:rPr>
        <w:t>第六章　投标文件格式</w:t>
      </w:r>
      <w:bookmarkEnd w:id="144"/>
    </w:p>
    <w:p w14:paraId="05834E20">
      <w:pPr>
        <w:snapToGrid w:val="0"/>
        <w:spacing w:before="50" w:after="50"/>
        <w:outlineLvl w:val="1"/>
        <w:rPr>
          <w:rFonts w:hint="eastAsia" w:ascii="宋体" w:hAnsi="宋体"/>
          <w:color w:val="auto"/>
          <w:sz w:val="32"/>
          <w:szCs w:val="20"/>
          <w:highlight w:val="none"/>
        </w:rPr>
      </w:pPr>
    </w:p>
    <w:p w14:paraId="3165C1DD">
      <w:pPr>
        <w:snapToGrid w:val="0"/>
        <w:spacing w:before="50" w:after="50"/>
        <w:outlineLvl w:val="1"/>
        <w:rPr>
          <w:rFonts w:hint="eastAsia" w:ascii="宋体" w:hAnsi="宋体"/>
          <w:color w:val="auto"/>
          <w:sz w:val="32"/>
          <w:szCs w:val="20"/>
          <w:highlight w:val="none"/>
        </w:rPr>
      </w:pPr>
    </w:p>
    <w:p w14:paraId="3B836073">
      <w:pPr>
        <w:snapToGrid w:val="0"/>
        <w:spacing w:before="50" w:after="50"/>
        <w:outlineLvl w:val="1"/>
        <w:rPr>
          <w:rFonts w:hint="eastAsia" w:ascii="宋体" w:hAnsi="宋体"/>
          <w:color w:val="auto"/>
          <w:sz w:val="32"/>
          <w:szCs w:val="20"/>
          <w:highlight w:val="none"/>
        </w:rPr>
      </w:pPr>
    </w:p>
    <w:p w14:paraId="350B26C4">
      <w:pPr>
        <w:snapToGrid w:val="0"/>
        <w:spacing w:before="50" w:after="50"/>
        <w:outlineLvl w:val="1"/>
        <w:rPr>
          <w:rFonts w:hint="eastAsia" w:ascii="宋体" w:hAnsi="宋体"/>
          <w:color w:val="auto"/>
          <w:sz w:val="32"/>
          <w:szCs w:val="20"/>
          <w:highlight w:val="none"/>
        </w:rPr>
      </w:pPr>
    </w:p>
    <w:p w14:paraId="468D4506">
      <w:pPr>
        <w:snapToGrid w:val="0"/>
        <w:spacing w:before="50" w:after="50"/>
        <w:outlineLvl w:val="1"/>
        <w:rPr>
          <w:rFonts w:hint="eastAsia" w:ascii="宋体" w:hAnsi="宋体"/>
          <w:color w:val="auto"/>
          <w:sz w:val="32"/>
          <w:szCs w:val="20"/>
          <w:highlight w:val="none"/>
        </w:rPr>
      </w:pPr>
    </w:p>
    <w:p w14:paraId="15CA396E">
      <w:pPr>
        <w:snapToGrid w:val="0"/>
        <w:spacing w:before="50" w:after="50"/>
        <w:outlineLvl w:val="1"/>
        <w:rPr>
          <w:rFonts w:hint="eastAsia" w:ascii="宋体" w:hAnsi="宋体"/>
          <w:color w:val="auto"/>
          <w:sz w:val="32"/>
          <w:szCs w:val="20"/>
          <w:highlight w:val="none"/>
        </w:rPr>
      </w:pPr>
    </w:p>
    <w:p w14:paraId="194E28B9">
      <w:pPr>
        <w:snapToGrid w:val="0"/>
        <w:spacing w:before="50" w:after="50"/>
        <w:outlineLvl w:val="1"/>
        <w:rPr>
          <w:rFonts w:hint="eastAsia" w:ascii="宋体" w:hAnsi="宋体"/>
          <w:color w:val="auto"/>
          <w:sz w:val="32"/>
          <w:szCs w:val="20"/>
          <w:highlight w:val="none"/>
        </w:rPr>
      </w:pPr>
    </w:p>
    <w:p w14:paraId="339C19C3">
      <w:pPr>
        <w:snapToGrid w:val="0"/>
        <w:spacing w:before="50" w:after="50"/>
        <w:outlineLvl w:val="1"/>
        <w:rPr>
          <w:rFonts w:hint="eastAsia" w:ascii="宋体" w:hAnsi="宋体"/>
          <w:color w:val="auto"/>
          <w:sz w:val="32"/>
          <w:szCs w:val="20"/>
          <w:highlight w:val="none"/>
        </w:rPr>
      </w:pPr>
    </w:p>
    <w:p w14:paraId="0A9CF9B6">
      <w:pPr>
        <w:snapToGrid w:val="0"/>
        <w:spacing w:before="50" w:after="50"/>
        <w:outlineLvl w:val="1"/>
        <w:rPr>
          <w:rFonts w:hint="eastAsia" w:ascii="宋体" w:hAnsi="宋体"/>
          <w:color w:val="auto"/>
          <w:sz w:val="32"/>
          <w:szCs w:val="20"/>
          <w:highlight w:val="none"/>
        </w:rPr>
      </w:pPr>
    </w:p>
    <w:p w14:paraId="33BEAEC7">
      <w:pPr>
        <w:snapToGrid w:val="0"/>
        <w:spacing w:before="50" w:after="50"/>
        <w:outlineLvl w:val="1"/>
        <w:rPr>
          <w:rFonts w:hint="eastAsia" w:ascii="宋体" w:hAnsi="宋体"/>
          <w:color w:val="auto"/>
          <w:sz w:val="32"/>
          <w:szCs w:val="20"/>
          <w:highlight w:val="none"/>
        </w:rPr>
      </w:pPr>
    </w:p>
    <w:p w14:paraId="4BF2E151">
      <w:pPr>
        <w:snapToGrid w:val="0"/>
        <w:spacing w:before="50" w:after="50"/>
        <w:outlineLvl w:val="1"/>
        <w:rPr>
          <w:rFonts w:hint="eastAsia" w:ascii="宋体" w:hAnsi="宋体"/>
          <w:color w:val="auto"/>
          <w:sz w:val="32"/>
          <w:szCs w:val="20"/>
          <w:highlight w:val="none"/>
        </w:rPr>
      </w:pPr>
    </w:p>
    <w:p w14:paraId="0389A90F">
      <w:pPr>
        <w:snapToGrid w:val="0"/>
        <w:spacing w:before="120" w:beforeLines="50" w:after="50"/>
        <w:jc w:val="center"/>
        <w:outlineLvl w:val="1"/>
        <w:rPr>
          <w:rFonts w:hint="eastAsia" w:ascii="宋体" w:hAnsi="宋体"/>
          <w:color w:val="auto"/>
          <w:highlight w:val="none"/>
        </w:rPr>
      </w:pPr>
    </w:p>
    <w:p w14:paraId="1BBCCA90">
      <w:pPr>
        <w:rPr>
          <w:rFonts w:hint="eastAsia"/>
          <w:b/>
          <w:color w:val="auto"/>
          <w:sz w:val="28"/>
          <w:szCs w:val="28"/>
          <w:highlight w:val="none"/>
        </w:rPr>
      </w:pPr>
      <w:bookmarkStart w:id="145" w:name="_Toc19686836"/>
      <w:bookmarkStart w:id="146" w:name="_Toc254970557"/>
      <w:bookmarkStart w:id="147" w:name="_Toc254970698"/>
      <w:r>
        <w:rPr>
          <w:b/>
          <w:color w:val="auto"/>
          <w:sz w:val="28"/>
          <w:szCs w:val="28"/>
          <w:highlight w:val="none"/>
        </w:rPr>
        <w:br w:type="page"/>
      </w:r>
      <w:r>
        <w:rPr>
          <w:rFonts w:hint="eastAsia"/>
          <w:b/>
          <w:color w:val="auto"/>
          <w:sz w:val="28"/>
          <w:szCs w:val="28"/>
          <w:highlight w:val="none"/>
        </w:rPr>
        <w:t>一、报价文件格式</w:t>
      </w:r>
      <w:bookmarkEnd w:id="145"/>
    </w:p>
    <w:p w14:paraId="3A71731A">
      <w:pPr>
        <w:snapToGrid w:val="0"/>
        <w:spacing w:before="120" w:beforeLines="5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34162C59">
      <w:pPr>
        <w:snapToGrid w:val="0"/>
        <w:spacing w:before="120"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p>
    <w:p w14:paraId="079893AD">
      <w:pPr>
        <w:snapToGrid w:val="0"/>
        <w:spacing w:before="120" w:beforeLines="50" w:after="50" w:line="400" w:lineRule="exact"/>
        <w:jc w:val="center"/>
        <w:rPr>
          <w:rFonts w:hint="eastAsia" w:ascii="宋体" w:hAnsi="宋体"/>
          <w:bCs/>
          <w:color w:val="auto"/>
          <w:sz w:val="24"/>
          <w:szCs w:val="20"/>
          <w:highlight w:val="none"/>
        </w:rPr>
      </w:pPr>
    </w:p>
    <w:p w14:paraId="2755BA4C">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1691F27F">
      <w:pPr>
        <w:snapToGrid w:val="0"/>
        <w:spacing w:before="120" w:beforeLines="50" w:after="50" w:line="400" w:lineRule="exact"/>
        <w:jc w:val="center"/>
        <w:rPr>
          <w:rFonts w:hint="eastAsia" w:ascii="宋体" w:hAnsi="宋体"/>
          <w:bCs/>
          <w:color w:val="auto"/>
          <w:sz w:val="32"/>
          <w:szCs w:val="32"/>
          <w:highlight w:val="none"/>
        </w:rPr>
      </w:pPr>
    </w:p>
    <w:p w14:paraId="611380FD">
      <w:pPr>
        <w:snapToGrid w:val="0"/>
        <w:spacing w:before="120" w:beforeLines="50" w:after="50" w:line="4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  价  文  件</w:t>
      </w:r>
    </w:p>
    <w:p w14:paraId="19A6B159">
      <w:pPr>
        <w:snapToGrid w:val="0"/>
        <w:spacing w:before="120" w:beforeLines="50" w:after="50" w:line="400" w:lineRule="exact"/>
        <w:rPr>
          <w:rFonts w:hint="eastAsia" w:ascii="宋体" w:hAnsi="宋体"/>
          <w:bCs/>
          <w:color w:val="auto"/>
          <w:sz w:val="24"/>
          <w:szCs w:val="20"/>
          <w:highlight w:val="none"/>
        </w:rPr>
      </w:pPr>
    </w:p>
    <w:p w14:paraId="222C7151">
      <w:pPr>
        <w:snapToGrid w:val="0"/>
        <w:spacing w:before="120" w:beforeLines="50" w:after="50" w:line="400" w:lineRule="exact"/>
        <w:rPr>
          <w:rFonts w:hint="eastAsia" w:ascii="宋体" w:hAnsi="宋体"/>
          <w:bCs/>
          <w:color w:val="auto"/>
          <w:sz w:val="24"/>
          <w:szCs w:val="20"/>
          <w:highlight w:val="none"/>
        </w:rPr>
      </w:pPr>
    </w:p>
    <w:p w14:paraId="2326401F">
      <w:pPr>
        <w:snapToGrid w:val="0"/>
        <w:spacing w:before="120" w:beforeLines="50" w:after="50" w:line="400" w:lineRule="exact"/>
        <w:rPr>
          <w:rFonts w:hint="eastAsia" w:ascii="宋体" w:hAnsi="宋体"/>
          <w:bCs/>
          <w:color w:val="auto"/>
          <w:sz w:val="24"/>
          <w:szCs w:val="20"/>
          <w:highlight w:val="none"/>
        </w:rPr>
      </w:pPr>
    </w:p>
    <w:p w14:paraId="7535F724">
      <w:pPr>
        <w:snapToGrid w:val="0"/>
        <w:spacing w:before="120" w:beforeLines="50" w:after="50" w:line="400" w:lineRule="exact"/>
        <w:rPr>
          <w:rFonts w:hint="eastAsia" w:ascii="宋体" w:hAnsi="宋体"/>
          <w:bCs/>
          <w:color w:val="auto"/>
          <w:sz w:val="24"/>
          <w:szCs w:val="20"/>
          <w:highlight w:val="none"/>
        </w:rPr>
      </w:pPr>
    </w:p>
    <w:p w14:paraId="17C0F7A7">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15E94226">
      <w:pPr>
        <w:snapToGrid w:val="0"/>
        <w:spacing w:before="120" w:beforeLines="50" w:after="50" w:line="400" w:lineRule="exact"/>
        <w:ind w:firstLine="360" w:firstLineChars="150"/>
        <w:rPr>
          <w:rFonts w:hint="eastAsia" w:ascii="宋体" w:hAnsi="宋体"/>
          <w:bCs/>
          <w:color w:val="auto"/>
          <w:sz w:val="24"/>
          <w:highlight w:val="none"/>
        </w:rPr>
      </w:pPr>
    </w:p>
    <w:p w14:paraId="6E2CF4E8">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6CC49A22">
      <w:pPr>
        <w:snapToGrid w:val="0"/>
        <w:spacing w:before="120" w:beforeLines="50" w:after="50" w:line="400" w:lineRule="exact"/>
        <w:ind w:firstLine="360" w:firstLineChars="150"/>
        <w:rPr>
          <w:rFonts w:hint="eastAsia" w:ascii="宋体" w:hAnsi="宋体"/>
          <w:bCs/>
          <w:color w:val="auto"/>
          <w:sz w:val="24"/>
          <w:highlight w:val="none"/>
        </w:rPr>
      </w:pPr>
    </w:p>
    <w:p w14:paraId="76B8E903">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5F67A314">
      <w:pPr>
        <w:snapToGrid w:val="0"/>
        <w:spacing w:before="120" w:beforeLines="50" w:after="50" w:line="400" w:lineRule="exact"/>
        <w:ind w:firstLine="360" w:firstLineChars="150"/>
        <w:rPr>
          <w:rFonts w:hint="eastAsia" w:ascii="宋体" w:hAnsi="宋体"/>
          <w:bCs/>
          <w:color w:val="auto"/>
          <w:sz w:val="24"/>
          <w:highlight w:val="none"/>
        </w:rPr>
      </w:pPr>
    </w:p>
    <w:p w14:paraId="15EFF016">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18D84B22">
      <w:pPr>
        <w:snapToGrid w:val="0"/>
        <w:spacing w:before="120" w:beforeLines="50" w:after="50" w:line="400" w:lineRule="exact"/>
        <w:ind w:firstLine="360" w:firstLineChars="150"/>
        <w:rPr>
          <w:rFonts w:hint="eastAsia" w:ascii="宋体" w:hAnsi="宋体"/>
          <w:bCs/>
          <w:color w:val="auto"/>
          <w:sz w:val="24"/>
          <w:highlight w:val="none"/>
        </w:rPr>
      </w:pPr>
    </w:p>
    <w:p w14:paraId="53F82D8B">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58F40CE0">
      <w:pPr>
        <w:pStyle w:val="8"/>
        <w:snapToGrid w:val="0"/>
        <w:spacing w:before="50" w:after="50" w:line="400" w:lineRule="exact"/>
        <w:ind w:firstLine="960" w:firstLineChars="400"/>
        <w:rPr>
          <w:rFonts w:hint="eastAsia" w:ascii="宋体" w:hAnsi="宋体"/>
          <w:bCs/>
          <w:color w:val="auto"/>
          <w:sz w:val="24"/>
          <w:szCs w:val="24"/>
          <w:highlight w:val="none"/>
        </w:rPr>
      </w:pPr>
    </w:p>
    <w:p w14:paraId="619101AE">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55037F15">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24D0E335">
      <w:pPr>
        <w:snapToGrid w:val="0"/>
        <w:spacing w:before="50" w:after="120" w:afterLines="50" w:line="360" w:lineRule="auto"/>
        <w:jc w:val="left"/>
        <w:rPr>
          <w:color w:val="auto"/>
          <w:highlight w:val="none"/>
        </w:rPr>
      </w:pPr>
      <w:r>
        <w:rPr>
          <w:rFonts w:hint="eastAsia" w:ascii="宋体" w:hAnsi="宋体"/>
          <w:color w:val="auto"/>
          <w:szCs w:val="21"/>
          <w:highlight w:val="none"/>
        </w:rPr>
        <w:t>根据招标文件规定及投标人提供的材料自行编写目录。</w:t>
      </w:r>
    </w:p>
    <w:p w14:paraId="0688D344">
      <w:pPr>
        <w:tabs>
          <w:tab w:val="left" w:pos="459"/>
        </w:tabs>
        <w:snapToGrid w:val="0"/>
        <w:spacing w:line="400" w:lineRule="exact"/>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1、投标函</w:t>
      </w:r>
      <w:r>
        <w:rPr>
          <w:rFonts w:hint="default" w:ascii="Arial" w:hAnsi="Arial" w:cs="Arial"/>
          <w:color w:val="auto"/>
          <w:szCs w:val="21"/>
          <w:highlight w:val="none"/>
        </w:rPr>
        <w:t>………………………………………</w:t>
      </w:r>
      <w:r>
        <w:rPr>
          <w:rFonts w:hint="eastAsia" w:ascii="Arial" w:hAnsi="Arial" w:cs="Arial"/>
          <w:color w:val="auto"/>
          <w:szCs w:val="21"/>
          <w:highlight w:val="none"/>
          <w:lang w:val="en-US" w:eastAsia="zh-CN"/>
        </w:rPr>
        <w:t>页码</w:t>
      </w:r>
    </w:p>
    <w:p w14:paraId="451477AA">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2、开标一览表</w:t>
      </w:r>
      <w:r>
        <w:rPr>
          <w:rFonts w:hint="default" w:ascii="Arial" w:hAnsi="Arial" w:cs="Arial"/>
          <w:color w:val="auto"/>
          <w:szCs w:val="21"/>
          <w:highlight w:val="none"/>
        </w:rPr>
        <w:t>…………………………………</w:t>
      </w:r>
      <w:r>
        <w:rPr>
          <w:rFonts w:hint="eastAsia" w:ascii="Arial" w:hAnsi="Arial" w:cs="Arial"/>
          <w:color w:val="auto"/>
          <w:szCs w:val="21"/>
          <w:highlight w:val="none"/>
          <w:lang w:val="en-US" w:eastAsia="zh-CN"/>
        </w:rPr>
        <w:t>页码</w:t>
      </w:r>
    </w:p>
    <w:p w14:paraId="086D165F">
      <w:pPr>
        <w:tabs>
          <w:tab w:val="left" w:pos="459"/>
        </w:tabs>
        <w:snapToGrid w:val="0"/>
        <w:spacing w:line="400" w:lineRule="exact"/>
        <w:jc w:val="left"/>
        <w:rPr>
          <w:rFonts w:hint="eastAsia" w:ascii="宋体" w:hAnsi="宋体"/>
          <w:color w:val="auto"/>
          <w:szCs w:val="21"/>
          <w:highlight w:val="none"/>
          <w:lang w:val="en-US" w:eastAsia="zh-CN"/>
        </w:rPr>
      </w:pPr>
      <w:r>
        <w:rPr>
          <w:rFonts w:hint="eastAsia" w:ascii="宋体" w:hAnsi="宋体"/>
          <w:color w:val="auto"/>
          <w:szCs w:val="21"/>
          <w:highlight w:val="none"/>
        </w:rPr>
        <w:t>3、中小企业声明函</w:t>
      </w:r>
      <w:r>
        <w:rPr>
          <w:rFonts w:hint="default" w:ascii="宋体" w:hAnsi="宋体"/>
          <w:color w:val="auto"/>
          <w:szCs w:val="21"/>
          <w:highlight w:val="none"/>
        </w:rPr>
        <w:t>……………………………</w:t>
      </w:r>
      <w:r>
        <w:rPr>
          <w:rFonts w:hint="eastAsia" w:ascii="宋体" w:hAnsi="宋体"/>
          <w:color w:val="auto"/>
          <w:szCs w:val="21"/>
          <w:highlight w:val="none"/>
          <w:lang w:val="en-US" w:eastAsia="zh-CN"/>
        </w:rPr>
        <w:t>页码</w:t>
      </w:r>
    </w:p>
    <w:p w14:paraId="5228DC65">
      <w:pPr>
        <w:tabs>
          <w:tab w:val="left" w:pos="459"/>
        </w:tabs>
        <w:snapToGrid w:val="0"/>
        <w:spacing w:line="400" w:lineRule="exact"/>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4、关于符合本国产品标准的声明函</w:t>
      </w:r>
      <w:r>
        <w:rPr>
          <w:rFonts w:hint="default" w:ascii="宋体" w:hAnsi="宋体"/>
          <w:color w:val="auto"/>
          <w:szCs w:val="21"/>
          <w:highlight w:val="none"/>
        </w:rPr>
        <w:t>…………</w:t>
      </w:r>
      <w:r>
        <w:rPr>
          <w:rFonts w:hint="eastAsia" w:ascii="宋体" w:hAnsi="宋体"/>
          <w:color w:val="auto"/>
          <w:szCs w:val="21"/>
          <w:highlight w:val="none"/>
          <w:lang w:val="en-US" w:eastAsia="zh-CN"/>
        </w:rPr>
        <w:t>页码</w:t>
      </w:r>
    </w:p>
    <w:p w14:paraId="2E78B702">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、投标人针对报价需要说明的其他文件和说明</w:t>
      </w:r>
      <w:r>
        <w:rPr>
          <w:rFonts w:hint="default" w:ascii="宋体" w:hAnsi="宋体"/>
          <w:color w:val="auto"/>
          <w:szCs w:val="21"/>
          <w:highlight w:val="none"/>
        </w:rPr>
        <w:t>…………………………</w:t>
      </w:r>
      <w:r>
        <w:rPr>
          <w:rFonts w:hint="eastAsia" w:ascii="宋体" w:hAnsi="宋体"/>
          <w:color w:val="auto"/>
          <w:szCs w:val="21"/>
          <w:highlight w:val="none"/>
          <w:lang w:val="en-US" w:eastAsia="zh-CN"/>
        </w:rPr>
        <w:t>页码</w:t>
      </w:r>
    </w:p>
    <w:p w14:paraId="0CCDBE25">
      <w:pPr>
        <w:snapToGrid w:val="0"/>
        <w:spacing w:before="50" w:after="120" w:afterLines="50" w:line="360" w:lineRule="auto"/>
        <w:jc w:val="left"/>
        <w:rPr>
          <w:color w:val="auto"/>
          <w:highlight w:val="none"/>
        </w:rPr>
      </w:pPr>
    </w:p>
    <w:p w14:paraId="532BA528">
      <w:pPr>
        <w:snapToGrid w:val="0"/>
        <w:spacing w:before="120" w:beforeLines="50" w:after="50"/>
        <w:rPr>
          <w:rFonts w:hint="eastAsia" w:ascii="宋体" w:hAnsi="宋体"/>
          <w:b/>
          <w:color w:val="auto"/>
          <w:sz w:val="24"/>
          <w:highlight w:val="none"/>
        </w:rPr>
      </w:pPr>
    </w:p>
    <w:p w14:paraId="7459433E">
      <w:pPr>
        <w:snapToGrid w:val="0"/>
        <w:spacing w:before="120" w:beforeLines="50" w:after="50"/>
        <w:rPr>
          <w:rFonts w:hint="eastAsia" w:ascii="宋体" w:hAnsi="宋体"/>
          <w:b/>
          <w:color w:val="auto"/>
          <w:sz w:val="24"/>
          <w:highlight w:val="none"/>
        </w:rPr>
      </w:pPr>
    </w:p>
    <w:p w14:paraId="2EB1E517">
      <w:pPr>
        <w:snapToGrid w:val="0"/>
        <w:spacing w:before="120" w:beforeLines="50" w:after="50"/>
        <w:rPr>
          <w:rFonts w:hint="eastAsia" w:ascii="宋体" w:hAnsi="宋体"/>
          <w:b/>
          <w:color w:val="auto"/>
          <w:sz w:val="24"/>
          <w:highlight w:val="none"/>
        </w:rPr>
      </w:pPr>
    </w:p>
    <w:p w14:paraId="3A45313C">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46AE4734">
      <w:pPr>
        <w:snapToGrid w:val="0"/>
        <w:spacing w:before="120" w:beforeLines="50" w:after="50" w:line="360" w:lineRule="auto"/>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函</w:t>
      </w:r>
    </w:p>
    <w:p w14:paraId="6098D565">
      <w:pPr>
        <w:spacing w:line="400" w:lineRule="exact"/>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p>
    <w:p w14:paraId="154D4017">
      <w:pPr>
        <w:spacing w:line="400" w:lineRule="exact"/>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）的招标公告，签字代表______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79BD6EB2">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0B647628">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4F30425">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19C83044">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4AD79D86">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56BC2707">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7DB1A946">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44DE9BA0">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48471A7B">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5E5E52B7">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431F60A1">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AB0ABEB">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9.与本投标有关的一切正式往来信函请寄：</w:t>
      </w:r>
    </w:p>
    <w:p w14:paraId="45F09F5D">
      <w:pPr>
        <w:spacing w:line="400" w:lineRule="exact"/>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7E125992">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3BD4F11F">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lang w:eastAsia="zh-CN"/>
        </w:rPr>
        <w:t>：</w:t>
      </w:r>
      <w:r>
        <w:rPr>
          <w:rFonts w:hint="eastAsia" w:ascii="宋体" w:hAnsi="宋体"/>
          <w:color w:val="auto"/>
          <w:sz w:val="24"/>
          <w:highlight w:val="none"/>
          <w:u w:val="single"/>
        </w:rPr>
        <w:t xml:space="preserve">                </w:t>
      </w:r>
    </w:p>
    <w:p w14:paraId="49B6ABA2">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银行帐号：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6A78731">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法定代表人或者委托代理人签字</w:t>
      </w:r>
      <w:r>
        <w:rPr>
          <w:rFonts w:hint="eastAsia" w:ascii="宋体" w:hAnsi="宋体"/>
          <w:color w:val="auto"/>
          <w:sz w:val="24"/>
          <w:highlight w:val="none"/>
          <w:lang w:eastAsia="zh-CN"/>
        </w:rPr>
        <w:t>：</w:t>
      </w:r>
      <w:r>
        <w:rPr>
          <w:rFonts w:hint="eastAsia" w:ascii="宋体" w:hAnsi="宋体"/>
          <w:color w:val="auto"/>
          <w:sz w:val="24"/>
          <w:highlight w:val="none"/>
        </w:rPr>
        <w:t xml:space="preserve">___________ </w:t>
      </w:r>
    </w:p>
    <w:p w14:paraId="4EF3ADB4">
      <w:pPr>
        <w:pStyle w:val="26"/>
        <w:spacing w:line="400" w:lineRule="exact"/>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投标人（盖公章）：</w:t>
      </w:r>
    </w:p>
    <w:p w14:paraId="479F2D16">
      <w:pPr>
        <w:pStyle w:val="26"/>
        <w:spacing w:line="400" w:lineRule="exact"/>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5E3D54A0">
      <w:pPr>
        <w:snapToGrid w:val="0"/>
        <w:spacing w:before="120" w:beforeLines="50" w:after="50" w:line="440" w:lineRule="exact"/>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开标一览表（服务类格式）</w:t>
      </w:r>
    </w:p>
    <w:p w14:paraId="521CEE7C">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412EBB47">
      <w:pPr>
        <w:snapToGrid w:val="0"/>
        <w:spacing w:before="50" w:after="50"/>
        <w:jc w:val="center"/>
        <w:rPr>
          <w:rFonts w:hint="eastAsia" w:ascii="宋体" w:hAnsi="宋体"/>
          <w:b/>
          <w:color w:val="auto"/>
          <w:sz w:val="30"/>
          <w:szCs w:val="20"/>
          <w:highlight w:val="none"/>
        </w:rPr>
      </w:pPr>
    </w:p>
    <w:p w14:paraId="0A5CBDB8">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5A724526">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tbl>
      <w:tblPr>
        <w:tblStyle w:val="49"/>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457"/>
        <w:gridCol w:w="1767"/>
        <w:gridCol w:w="1511"/>
        <w:gridCol w:w="1697"/>
      </w:tblGrid>
      <w:tr w14:paraId="0F51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3A013C8C">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3457" w:type="dxa"/>
            <w:vAlign w:val="center"/>
          </w:tcPr>
          <w:p w14:paraId="0F217B39">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标的名称</w:t>
            </w:r>
          </w:p>
        </w:tc>
        <w:tc>
          <w:tcPr>
            <w:tcW w:w="1767" w:type="dxa"/>
            <w:vAlign w:val="center"/>
          </w:tcPr>
          <w:p w14:paraId="3EDFD329">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数量及</w:t>
            </w:r>
          </w:p>
          <w:p w14:paraId="16661F39">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单位</w:t>
            </w:r>
          </w:p>
        </w:tc>
        <w:tc>
          <w:tcPr>
            <w:tcW w:w="1511" w:type="dxa"/>
            <w:vAlign w:val="center"/>
          </w:tcPr>
          <w:p w14:paraId="2AB691F1">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单价</w:t>
            </w:r>
          </w:p>
          <w:p w14:paraId="1A2D6DE2">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（元）</w:t>
            </w:r>
          </w:p>
        </w:tc>
        <w:tc>
          <w:tcPr>
            <w:tcW w:w="1697" w:type="dxa"/>
            <w:vAlign w:val="center"/>
          </w:tcPr>
          <w:p w14:paraId="1150CBDC">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金额</w:t>
            </w:r>
          </w:p>
          <w:p w14:paraId="331BCA3B">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（元）</w:t>
            </w:r>
          </w:p>
        </w:tc>
      </w:tr>
      <w:tr w14:paraId="0C3E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72" w:type="dxa"/>
            <w:vAlign w:val="center"/>
          </w:tcPr>
          <w:p w14:paraId="26C74C04">
            <w:pPr>
              <w:widowControl/>
              <w:spacing w:line="360" w:lineRule="exact"/>
              <w:jc w:val="center"/>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1</w:t>
            </w:r>
          </w:p>
        </w:tc>
        <w:tc>
          <w:tcPr>
            <w:tcW w:w="3457" w:type="dxa"/>
            <w:vAlign w:val="center"/>
          </w:tcPr>
          <w:p w14:paraId="0A0583DC">
            <w:pPr>
              <w:widowControl/>
              <w:spacing w:line="360" w:lineRule="exact"/>
              <w:jc w:val="left"/>
              <w:rPr>
                <w:rFonts w:ascii="宋体" w:hAnsi="宋体" w:cs="宋体"/>
                <w:color w:val="auto"/>
                <w:kern w:val="0"/>
                <w:sz w:val="24"/>
                <w:highlight w:val="none"/>
                <w:shd w:val="clear" w:color="auto" w:fill="FFFFFF"/>
              </w:rPr>
            </w:pPr>
          </w:p>
        </w:tc>
        <w:tc>
          <w:tcPr>
            <w:tcW w:w="1767" w:type="dxa"/>
            <w:vAlign w:val="center"/>
          </w:tcPr>
          <w:p w14:paraId="7B1489FB">
            <w:pPr>
              <w:widowControl/>
              <w:spacing w:line="360" w:lineRule="exact"/>
              <w:jc w:val="center"/>
              <w:rPr>
                <w:rFonts w:ascii="宋体" w:hAnsi="宋体" w:cs="宋体"/>
                <w:color w:val="auto"/>
                <w:kern w:val="0"/>
                <w:sz w:val="24"/>
                <w:highlight w:val="none"/>
                <w:shd w:val="clear" w:color="auto" w:fill="FFFFFF"/>
              </w:rPr>
            </w:pPr>
          </w:p>
        </w:tc>
        <w:tc>
          <w:tcPr>
            <w:tcW w:w="1511" w:type="dxa"/>
            <w:vAlign w:val="center"/>
          </w:tcPr>
          <w:p w14:paraId="569ACC08">
            <w:pPr>
              <w:spacing w:line="312" w:lineRule="auto"/>
              <w:jc w:val="center"/>
              <w:rPr>
                <w:rFonts w:ascii="宋体" w:hAnsi="宋体" w:cs="宋体"/>
                <w:color w:val="auto"/>
                <w:kern w:val="0"/>
                <w:sz w:val="24"/>
                <w:highlight w:val="none"/>
              </w:rPr>
            </w:pPr>
          </w:p>
        </w:tc>
        <w:tc>
          <w:tcPr>
            <w:tcW w:w="1697" w:type="dxa"/>
            <w:vAlign w:val="center"/>
          </w:tcPr>
          <w:p w14:paraId="257D9F53">
            <w:pPr>
              <w:spacing w:line="312" w:lineRule="auto"/>
              <w:jc w:val="center"/>
              <w:rPr>
                <w:rFonts w:ascii="宋体" w:hAnsi="宋体" w:cs="宋体"/>
                <w:color w:val="auto"/>
                <w:kern w:val="0"/>
                <w:sz w:val="24"/>
                <w:highlight w:val="none"/>
              </w:rPr>
            </w:pPr>
          </w:p>
        </w:tc>
      </w:tr>
      <w:tr w14:paraId="4E56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9204" w:type="dxa"/>
            <w:gridSpan w:val="5"/>
            <w:vAlign w:val="center"/>
          </w:tcPr>
          <w:p w14:paraId="75D85206">
            <w:pPr>
              <w:spacing w:line="312" w:lineRule="auto"/>
              <w:rPr>
                <w:rFonts w:ascii="宋体" w:hAnsi="宋体" w:cs="宋体"/>
                <w:color w:val="auto"/>
                <w:sz w:val="24"/>
                <w:highlight w:val="none"/>
              </w:rPr>
            </w:pPr>
            <w:r>
              <w:rPr>
                <w:rFonts w:hint="eastAsia" w:ascii="宋体" w:hAnsi="宋体" w:cs="宋体"/>
                <w:color w:val="auto"/>
                <w:sz w:val="24"/>
                <w:highlight w:val="none"/>
              </w:rPr>
              <w:t>总报价（人民币大写）：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tc>
      </w:tr>
      <w:tr w14:paraId="029A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204" w:type="dxa"/>
            <w:gridSpan w:val="5"/>
            <w:vAlign w:val="center"/>
          </w:tcPr>
          <w:p w14:paraId="13ED8E29">
            <w:pPr>
              <w:snapToGrid w:val="0"/>
              <w:spacing w:line="360" w:lineRule="exact"/>
              <w:outlineLvl w:val="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服务期限</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164527A">
            <w:pPr>
              <w:snapToGrid w:val="0"/>
              <w:spacing w:line="360" w:lineRule="exact"/>
              <w:outlineLvl w:val="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c>
      </w:tr>
    </w:tbl>
    <w:p w14:paraId="47EB8D9A">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s="仿宋_GB2312"/>
          <w:color w:val="auto"/>
          <w:sz w:val="24"/>
          <w:highlight w:val="none"/>
        </w:rPr>
      </w:pPr>
      <w:r>
        <w:rPr>
          <w:rFonts w:hint="eastAsia" w:ascii="宋体" w:hAnsi="宋体"/>
          <w:color w:val="auto"/>
          <w:sz w:val="24"/>
          <w:highlight w:val="none"/>
        </w:rPr>
        <w:t xml:space="preserve">                   </w:t>
      </w:r>
      <w:r>
        <w:rPr>
          <w:rFonts w:hint="eastAsia" w:ascii="宋体" w:hAnsi="宋体" w:cs="仿宋_GB2312"/>
          <w:color w:val="auto"/>
          <w:sz w:val="24"/>
          <w:highlight w:val="none"/>
        </w:rPr>
        <w:t xml:space="preserve">                                        </w:t>
      </w:r>
    </w:p>
    <w:p w14:paraId="24396D95">
      <w:pPr>
        <w:keepNext w:val="0"/>
        <w:keepLines w:val="0"/>
        <w:pageBreakBefore w:val="0"/>
        <w:widowControl w:val="0"/>
        <w:kinsoku/>
        <w:wordWrap/>
        <w:overflowPunct/>
        <w:topLinePunct w:val="0"/>
        <w:autoSpaceDE/>
        <w:autoSpaceDN/>
        <w:bidi w:val="0"/>
        <w:adjustRightInd/>
        <w:snapToGrid w:val="0"/>
        <w:spacing w:before="50" w:after="50" w:line="240" w:lineRule="auto"/>
        <w:jc w:val="left"/>
        <w:textAlignment w:val="auto"/>
        <w:rPr>
          <w:rFonts w:hint="eastAsia" w:ascii="宋体" w:hAnsi="宋体"/>
          <w:color w:val="auto"/>
          <w:sz w:val="24"/>
          <w:highlight w:val="none"/>
        </w:rPr>
      </w:pPr>
      <w:r>
        <w:rPr>
          <w:rFonts w:hint="eastAsia" w:ascii="宋体" w:hAnsi="宋体"/>
          <w:color w:val="auto"/>
          <w:sz w:val="24"/>
          <w:highlight w:val="none"/>
        </w:rPr>
        <w:t xml:space="preserve">注: </w:t>
      </w:r>
    </w:p>
    <w:p w14:paraId="4A61A24B">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1.投标人的开标一览表必须加盖投标人公章并由</w:t>
      </w:r>
      <w:r>
        <w:rPr>
          <w:rFonts w:ascii="宋体" w:hAnsi="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5378DB82">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报价一经涂改，应在涂改处加盖投标人公章或者由法定代表人或者委托代理人签字或者盖章</w:t>
      </w:r>
      <w:r>
        <w:rPr>
          <w:rFonts w:hint="eastAsia" w:ascii="宋体" w:hAnsi="宋体"/>
          <w:b/>
          <w:color w:val="auto"/>
          <w:sz w:val="24"/>
          <w:highlight w:val="none"/>
        </w:rPr>
        <w:t>，否则其投标作无效标处理。</w:t>
      </w:r>
    </w:p>
    <w:p w14:paraId="7DC031A7">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377596C9">
      <w:pPr>
        <w:keepNext w:val="0"/>
        <w:keepLines w:val="0"/>
        <w:pageBreakBefore w:val="0"/>
        <w:widowControl w:val="0"/>
        <w:kinsoku/>
        <w:wordWrap/>
        <w:overflowPunct/>
        <w:topLinePunct w:val="0"/>
        <w:autoSpaceDE/>
        <w:autoSpaceDN/>
        <w:bidi w:val="0"/>
        <w:adjustRightInd/>
        <w:snapToGrid w:val="0"/>
        <w:spacing w:before="50" w:after="50" w:line="240" w:lineRule="auto"/>
        <w:ind w:firstLine="456" w:firstLineChars="200"/>
        <w:jc w:val="left"/>
        <w:textAlignment w:val="auto"/>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4.如为联合体投标，盖章处须加盖联合体各方公章，</w:t>
      </w:r>
      <w:r>
        <w:rPr>
          <w:rFonts w:hint="eastAsia" w:ascii="宋体" w:hAnsi="宋体"/>
          <w:b/>
          <w:color w:val="auto"/>
          <w:spacing w:val="-6"/>
          <w:sz w:val="24"/>
          <w:highlight w:val="none"/>
        </w:rPr>
        <w:t>否则其投标作无效标处理。</w:t>
      </w:r>
    </w:p>
    <w:p w14:paraId="3AA1E87A">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textAlignment w:val="auto"/>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5EAAE63E">
      <w:pPr>
        <w:keepNext w:val="0"/>
        <w:keepLines w:val="0"/>
        <w:pageBreakBefore w:val="0"/>
        <w:widowControl w:val="0"/>
        <w:kinsoku/>
        <w:wordWrap/>
        <w:overflowPunct/>
        <w:topLinePunct w:val="0"/>
        <w:autoSpaceDE/>
        <w:autoSpaceDN/>
        <w:bidi w:val="0"/>
        <w:adjustRightInd/>
        <w:snapToGrid w:val="0"/>
        <w:spacing w:before="50" w:after="50" w:line="240" w:lineRule="auto"/>
        <w:ind w:firstLine="482" w:firstLineChars="200"/>
        <w:textAlignment w:val="auto"/>
        <w:rPr>
          <w:rFonts w:hint="eastAsia" w:ascii="宋体" w:hAnsi="宋体"/>
          <w:b/>
          <w:color w:val="auto"/>
          <w:sz w:val="24"/>
          <w:highlight w:val="none"/>
        </w:rPr>
      </w:pPr>
    </w:p>
    <w:p w14:paraId="21ADB395">
      <w:pPr>
        <w:keepNext w:val="0"/>
        <w:keepLines w:val="0"/>
        <w:pageBreakBefore w:val="0"/>
        <w:widowControl w:val="0"/>
        <w:kinsoku/>
        <w:wordWrap/>
        <w:overflowPunct/>
        <w:topLinePunct w:val="0"/>
        <w:autoSpaceDE/>
        <w:autoSpaceDN/>
        <w:bidi w:val="0"/>
        <w:adjustRightInd/>
        <w:snapToGrid w:val="0"/>
        <w:spacing w:before="50" w:after="50" w:line="240" w:lineRule="auto"/>
        <w:ind w:left="-2" w:leftChars="-1" w:right="-817" w:rightChars="-389"/>
        <w:textAlignment w:val="auto"/>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                    </w:t>
      </w:r>
    </w:p>
    <w:p w14:paraId="20E09C8C">
      <w:pPr>
        <w:keepNext w:val="0"/>
        <w:keepLines w:val="0"/>
        <w:pageBreakBefore w:val="0"/>
        <w:widowControl w:val="0"/>
        <w:kinsoku/>
        <w:wordWrap/>
        <w:overflowPunct/>
        <w:topLinePunct w:val="0"/>
        <w:autoSpaceDE/>
        <w:autoSpaceDN/>
        <w:bidi w:val="0"/>
        <w:adjustRightInd/>
        <w:snapToGrid w:val="0"/>
        <w:spacing w:before="50" w:after="50" w:line="240" w:lineRule="auto"/>
        <w:ind w:left="-3" w:leftChars="-15" w:right="-817" w:rightChars="-389" w:hanging="28" w:hangingChars="12"/>
        <w:textAlignment w:val="auto"/>
        <w:rPr>
          <w:rFonts w:hint="eastAsia" w:ascii="宋体" w:hAnsi="宋体"/>
          <w:color w:val="auto"/>
          <w:sz w:val="24"/>
          <w:highlight w:val="none"/>
        </w:rPr>
      </w:pPr>
      <w:r>
        <w:rPr>
          <w:rFonts w:hint="eastAsia" w:ascii="宋体" w:hAnsi="宋体"/>
          <w:color w:val="auto"/>
          <w:sz w:val="24"/>
          <w:highlight w:val="none"/>
        </w:rPr>
        <w:t>投标人（盖公章）：                                 日期：    年   月   日</w:t>
      </w:r>
    </w:p>
    <w:p w14:paraId="4EBBFD52">
      <w:pPr>
        <w:snapToGrid w:val="0"/>
        <w:spacing w:before="50" w:after="50" w:line="360" w:lineRule="auto"/>
        <w:ind w:left="3" w:leftChars="-15" w:right="-817" w:rightChars="-389" w:hanging="34" w:hangingChars="12"/>
        <w:rPr>
          <w:rFonts w:hint="eastAsia"/>
          <w:b/>
          <w:color w:val="auto"/>
          <w:sz w:val="28"/>
          <w:szCs w:val="28"/>
          <w:highlight w:val="none"/>
        </w:rPr>
      </w:pPr>
      <w:bookmarkStart w:id="148" w:name="_Toc19686837"/>
      <w:r>
        <w:rPr>
          <w:rFonts w:hint="eastAsia"/>
          <w:b/>
          <w:color w:val="auto"/>
          <w:sz w:val="28"/>
          <w:szCs w:val="28"/>
          <w:highlight w:val="none"/>
        </w:rPr>
        <w:br w:type="page"/>
      </w:r>
      <w:r>
        <w:rPr>
          <w:rFonts w:hint="eastAsia"/>
          <w:b/>
          <w:color w:val="auto"/>
          <w:sz w:val="28"/>
          <w:szCs w:val="28"/>
          <w:highlight w:val="none"/>
        </w:rPr>
        <w:t>二、资格证明文件格式</w:t>
      </w:r>
      <w:bookmarkEnd w:id="146"/>
      <w:bookmarkEnd w:id="147"/>
      <w:bookmarkEnd w:id="148"/>
    </w:p>
    <w:p w14:paraId="6DF549BB">
      <w:pPr>
        <w:numPr>
          <w:ilvl w:val="2"/>
          <w:numId w:val="11"/>
        </w:numPr>
        <w:snapToGrid w:val="0"/>
        <w:spacing w:before="120" w:beforeLines="50" w:after="50" w:line="360" w:lineRule="auto"/>
        <w:ind w:left="0" w:firstLine="0"/>
        <w:jc w:val="left"/>
        <w:rPr>
          <w:rFonts w:hint="eastAsia" w:ascii="宋体" w:hAnsi="宋体"/>
          <w:b/>
          <w:color w:val="auto"/>
          <w:sz w:val="24"/>
          <w:highlight w:val="none"/>
        </w:rPr>
      </w:pPr>
      <w:r>
        <w:rPr>
          <w:rFonts w:hint="eastAsia" w:ascii="宋体" w:hAnsi="宋体"/>
          <w:b/>
          <w:color w:val="auto"/>
          <w:sz w:val="24"/>
          <w:highlight w:val="none"/>
        </w:rPr>
        <w:t xml:space="preserve">资格证明文件封面格式： </w:t>
      </w:r>
    </w:p>
    <w:p w14:paraId="4D8F9496">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04D2FFFE">
      <w:pPr>
        <w:snapToGrid w:val="0"/>
        <w:spacing w:before="120" w:beforeLines="50" w:after="50"/>
        <w:rPr>
          <w:rFonts w:hint="eastAsia" w:ascii="宋体" w:hAnsi="宋体"/>
          <w:color w:val="auto"/>
          <w:sz w:val="24"/>
          <w:szCs w:val="20"/>
          <w:highlight w:val="none"/>
        </w:rPr>
      </w:pPr>
    </w:p>
    <w:p w14:paraId="0108F620">
      <w:pPr>
        <w:snapToGrid w:val="0"/>
        <w:spacing w:before="120" w:beforeLines="50" w:after="50"/>
        <w:rPr>
          <w:rFonts w:hint="eastAsia" w:ascii="宋体" w:hAnsi="宋体"/>
          <w:color w:val="auto"/>
          <w:sz w:val="24"/>
          <w:szCs w:val="20"/>
          <w:highlight w:val="none"/>
        </w:rPr>
      </w:pPr>
    </w:p>
    <w:p w14:paraId="77650615">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7782DD8B">
      <w:pPr>
        <w:snapToGrid w:val="0"/>
        <w:spacing w:before="120" w:beforeLines="50" w:after="50"/>
        <w:rPr>
          <w:rFonts w:hint="eastAsia" w:ascii="宋体" w:hAnsi="宋体"/>
          <w:color w:val="auto"/>
          <w:sz w:val="24"/>
          <w:szCs w:val="20"/>
          <w:highlight w:val="none"/>
        </w:rPr>
      </w:pPr>
    </w:p>
    <w:p w14:paraId="2BB6FBC2">
      <w:pPr>
        <w:snapToGrid w:val="0"/>
        <w:spacing w:before="120" w:beforeLines="50" w:after="50"/>
        <w:rPr>
          <w:rFonts w:hint="eastAsia" w:ascii="宋体" w:hAnsi="宋体"/>
          <w:color w:val="auto"/>
          <w:sz w:val="24"/>
          <w:szCs w:val="20"/>
          <w:highlight w:val="none"/>
        </w:rPr>
      </w:pPr>
    </w:p>
    <w:p w14:paraId="476E942C">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 格 证 明 文 件</w:t>
      </w:r>
    </w:p>
    <w:p w14:paraId="25CA10FB">
      <w:pPr>
        <w:snapToGrid w:val="0"/>
        <w:spacing w:before="120" w:beforeLines="50" w:after="50"/>
        <w:rPr>
          <w:rFonts w:ascii="宋体" w:hAnsi="宋体"/>
          <w:bCs/>
          <w:color w:val="auto"/>
          <w:sz w:val="24"/>
          <w:szCs w:val="20"/>
          <w:highlight w:val="none"/>
        </w:rPr>
      </w:pPr>
    </w:p>
    <w:p w14:paraId="45882472">
      <w:pPr>
        <w:snapToGrid w:val="0"/>
        <w:spacing w:before="120" w:beforeLines="50" w:after="50"/>
        <w:rPr>
          <w:rFonts w:ascii="宋体" w:hAnsi="宋体"/>
          <w:bCs/>
          <w:color w:val="auto"/>
          <w:sz w:val="24"/>
          <w:szCs w:val="20"/>
          <w:highlight w:val="none"/>
        </w:rPr>
      </w:pPr>
    </w:p>
    <w:p w14:paraId="64052E97">
      <w:pPr>
        <w:snapToGrid w:val="0"/>
        <w:spacing w:before="120" w:beforeLines="50" w:after="50"/>
        <w:rPr>
          <w:rFonts w:ascii="宋体" w:hAnsi="宋体"/>
          <w:bCs/>
          <w:color w:val="auto"/>
          <w:sz w:val="24"/>
          <w:szCs w:val="20"/>
          <w:highlight w:val="none"/>
        </w:rPr>
      </w:pPr>
    </w:p>
    <w:p w14:paraId="1BD648B3">
      <w:pPr>
        <w:snapToGrid w:val="0"/>
        <w:spacing w:before="120" w:beforeLines="50" w:after="50"/>
        <w:rPr>
          <w:rFonts w:ascii="宋体" w:hAnsi="宋体"/>
          <w:bCs/>
          <w:color w:val="auto"/>
          <w:sz w:val="24"/>
          <w:szCs w:val="20"/>
          <w:highlight w:val="none"/>
        </w:rPr>
      </w:pPr>
    </w:p>
    <w:p w14:paraId="586331E9">
      <w:pPr>
        <w:snapToGrid w:val="0"/>
        <w:spacing w:before="120" w:beforeLines="50" w:after="50"/>
        <w:rPr>
          <w:rFonts w:hint="eastAsia" w:ascii="宋体" w:hAnsi="宋体"/>
          <w:bCs/>
          <w:color w:val="auto"/>
          <w:sz w:val="24"/>
          <w:szCs w:val="20"/>
          <w:highlight w:val="none"/>
        </w:rPr>
      </w:pPr>
    </w:p>
    <w:p w14:paraId="26B1AB27">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0B812E5A">
      <w:pPr>
        <w:snapToGrid w:val="0"/>
        <w:spacing w:before="120" w:beforeLines="50" w:after="50"/>
        <w:ind w:firstLine="540" w:firstLineChars="225"/>
        <w:rPr>
          <w:rFonts w:hint="eastAsia" w:ascii="宋体" w:hAnsi="宋体"/>
          <w:bCs/>
          <w:color w:val="auto"/>
          <w:sz w:val="24"/>
          <w:szCs w:val="20"/>
          <w:highlight w:val="none"/>
        </w:rPr>
      </w:pPr>
    </w:p>
    <w:p w14:paraId="00CA2CF6">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08CE5D17">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24296FA8">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所投分标：如有</w:t>
      </w:r>
    </w:p>
    <w:p w14:paraId="77AD645D">
      <w:pPr>
        <w:pStyle w:val="8"/>
        <w:snapToGrid w:val="0"/>
        <w:spacing w:before="50" w:after="50"/>
        <w:ind w:firstLine="540" w:firstLineChars="225"/>
        <w:rPr>
          <w:rFonts w:hint="eastAsia" w:ascii="宋体" w:hAnsi="宋体"/>
          <w:bCs/>
          <w:color w:val="auto"/>
          <w:sz w:val="24"/>
          <w:szCs w:val="24"/>
          <w:highlight w:val="none"/>
        </w:rPr>
      </w:pPr>
    </w:p>
    <w:p w14:paraId="0F767A6B">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1232FF1F">
      <w:pPr>
        <w:pStyle w:val="8"/>
        <w:snapToGrid w:val="0"/>
        <w:spacing w:before="50" w:after="50"/>
        <w:ind w:firstLine="540" w:firstLineChars="225"/>
        <w:rPr>
          <w:rFonts w:hint="eastAsia" w:ascii="宋体" w:hAnsi="宋体"/>
          <w:bCs/>
          <w:color w:val="auto"/>
          <w:sz w:val="24"/>
          <w:szCs w:val="24"/>
          <w:highlight w:val="none"/>
        </w:rPr>
      </w:pPr>
    </w:p>
    <w:p w14:paraId="5C5C03D3">
      <w:pPr>
        <w:pStyle w:val="8"/>
        <w:snapToGrid w:val="0"/>
        <w:spacing w:before="50" w:after="50"/>
        <w:ind w:firstLine="960" w:firstLineChars="400"/>
        <w:rPr>
          <w:rFonts w:hint="eastAsia" w:ascii="宋体" w:hAnsi="宋体"/>
          <w:bCs/>
          <w:color w:val="auto"/>
          <w:sz w:val="24"/>
          <w:szCs w:val="24"/>
          <w:highlight w:val="none"/>
        </w:rPr>
      </w:pPr>
    </w:p>
    <w:p w14:paraId="727284E1">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04483879">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0A04478E">
      <w:pPr>
        <w:snapToGrid w:val="0"/>
        <w:spacing w:before="120" w:beforeLines="50" w:after="50"/>
        <w:rPr>
          <w:rFonts w:hint="eastAsia" w:ascii="宋体" w:hAnsi="宋体"/>
          <w:color w:val="auto"/>
          <w:sz w:val="24"/>
          <w:szCs w:val="20"/>
          <w:highlight w:val="none"/>
        </w:rPr>
      </w:pPr>
    </w:p>
    <w:p w14:paraId="5B3C9B2F">
      <w:pPr>
        <w:numPr>
          <w:ilvl w:val="2"/>
          <w:numId w:val="11"/>
        </w:numPr>
        <w:snapToGrid w:val="0"/>
        <w:spacing w:before="120" w:beforeLines="50" w:after="50" w:line="360" w:lineRule="auto"/>
        <w:ind w:left="0" w:firstLine="0"/>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7177AA83">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16A03DE6">
      <w:pPr>
        <w:autoSpaceDE w:val="0"/>
        <w:autoSpaceDN w:val="0"/>
        <w:snapToGrid w:val="0"/>
        <w:spacing w:line="400" w:lineRule="exact"/>
        <w:textAlignment w:val="bottom"/>
        <w:rPr>
          <w:rFonts w:hint="eastAsia" w:ascii="宋体" w:hAnsi="宋体" w:eastAsia="宋体"/>
          <w:b/>
          <w:color w:val="auto"/>
          <w:szCs w:val="21"/>
          <w:highlight w:val="none"/>
          <w:lang w:val="en-US" w:eastAsia="zh-CN"/>
        </w:rPr>
      </w:pPr>
      <w:r>
        <w:rPr>
          <w:rFonts w:hint="eastAsia" w:ascii="宋体" w:hAnsi="宋体" w:cs="宋体"/>
          <w:color w:val="auto"/>
          <w:szCs w:val="21"/>
          <w:highlight w:val="none"/>
        </w:rPr>
        <w:t>1、投标人为法人或者其他组织的，</w:t>
      </w:r>
      <w:r>
        <w:rPr>
          <w:rFonts w:hint="eastAsia" w:ascii="宋体" w:hAnsi="宋体"/>
          <w:color w:val="auto"/>
          <w:szCs w:val="21"/>
          <w:highlight w:val="none"/>
        </w:rPr>
        <w:t>证明文件为其营业执照复印件（如营业执照或者事业单位法人证书或者执业许可证等）；投标人为自然人的，证明文件为其身份证复印件；</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B8F8F16">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72C4F8DD">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A59DE54">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4、投标人财务状况报告</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7C525621">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5、投标人直接控股、管理关系信息表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31F59382">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6、投标声明</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B503A08">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7、联合体协议书</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51E51B0">
      <w:pPr>
        <w:pStyle w:val="85"/>
        <w:rPr>
          <w:rFonts w:hint="eastAsia" w:ascii="宋体" w:hAnsi="宋体"/>
          <w:b/>
          <w:bCs w:val="0"/>
          <w:color w:val="auto"/>
          <w:szCs w:val="21"/>
          <w:highlight w:val="none"/>
        </w:rPr>
      </w:pPr>
      <w:r>
        <w:rPr>
          <w:rFonts w:hint="eastAsia" w:ascii="宋体" w:hAnsi="宋体" w:cs="宋体"/>
          <w:bCs w:val="0"/>
          <w:color w:val="auto"/>
          <w:spacing w:val="0"/>
          <w:kern w:val="2"/>
          <w:sz w:val="21"/>
          <w:szCs w:val="21"/>
          <w:highlight w:val="none"/>
          <w:lang w:val="en-US" w:eastAsia="zh-CN"/>
        </w:rPr>
        <w:t>8</w:t>
      </w:r>
      <w:r>
        <w:rPr>
          <w:rFonts w:hint="eastAsia" w:ascii="宋体" w:hAnsi="宋体" w:cs="宋体"/>
          <w:bCs w:val="0"/>
          <w:color w:val="auto"/>
          <w:spacing w:val="0"/>
          <w:kern w:val="2"/>
          <w:sz w:val="21"/>
          <w:szCs w:val="21"/>
          <w:highlight w:val="none"/>
        </w:rPr>
        <w:t>、除招标文件规定必须提供以外，投标人认为需要提供的其他证明材料。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BB1D857">
      <w:pPr>
        <w:snapToGrid w:val="0"/>
        <w:spacing w:before="50" w:after="120" w:afterLines="50"/>
        <w:jc w:val="left"/>
        <w:rPr>
          <w:rFonts w:hint="eastAsia" w:ascii="宋体" w:hAnsi="宋体"/>
          <w:color w:val="auto"/>
          <w:sz w:val="24"/>
          <w:highlight w:val="none"/>
        </w:rPr>
      </w:pPr>
    </w:p>
    <w:p w14:paraId="7ABB3AC2">
      <w:pPr>
        <w:snapToGrid w:val="0"/>
        <w:spacing w:before="50" w:after="120" w:afterLines="50"/>
        <w:jc w:val="left"/>
        <w:rPr>
          <w:rFonts w:hint="eastAsia" w:ascii="宋体" w:hAnsi="宋体"/>
          <w:color w:val="auto"/>
          <w:sz w:val="24"/>
          <w:highlight w:val="none"/>
        </w:rPr>
      </w:pPr>
    </w:p>
    <w:p w14:paraId="338152FE">
      <w:pPr>
        <w:numPr>
          <w:ilvl w:val="2"/>
          <w:numId w:val="11"/>
        </w:numPr>
        <w:snapToGrid w:val="0"/>
        <w:spacing w:before="120" w:beforeLines="50" w:after="50"/>
        <w:ind w:left="0" w:firstLine="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134F6167">
      <w:pPr>
        <w:snapToGrid w:val="0"/>
        <w:spacing w:before="50" w:after="120" w:afterLines="50"/>
        <w:jc w:val="center"/>
        <w:rPr>
          <w:rFonts w:hint="eastAsia" w:ascii="宋体" w:hAnsi="宋体"/>
          <w:b/>
          <w:color w:val="auto"/>
          <w:sz w:val="28"/>
          <w:szCs w:val="28"/>
          <w:highlight w:val="none"/>
        </w:rPr>
      </w:pPr>
    </w:p>
    <w:p w14:paraId="6B83AD83">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B87EB7C">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66912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9E406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0D7E7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3CA64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F0BD6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8FBF8F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72D7E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F14D4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CFCCEC">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01AC0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913B56">
            <w:pPr>
              <w:spacing w:line="360" w:lineRule="auto"/>
              <w:jc w:val="center"/>
              <w:rPr>
                <w:rFonts w:ascii="宋体" w:hAnsi="宋体" w:cs="宋体"/>
                <w:color w:val="auto"/>
                <w:kern w:val="0"/>
                <w:sz w:val="24"/>
                <w:highlight w:val="none"/>
              </w:rPr>
            </w:pPr>
          </w:p>
        </w:tc>
      </w:tr>
      <w:tr w14:paraId="031D0B9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E4011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695E0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BD874A">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E28F83">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3169AD">
            <w:pPr>
              <w:spacing w:line="360" w:lineRule="auto"/>
              <w:jc w:val="center"/>
              <w:rPr>
                <w:rFonts w:ascii="宋体" w:hAnsi="宋体" w:cs="宋体"/>
                <w:color w:val="auto"/>
                <w:kern w:val="0"/>
                <w:sz w:val="24"/>
                <w:highlight w:val="none"/>
              </w:rPr>
            </w:pPr>
          </w:p>
        </w:tc>
      </w:tr>
      <w:tr w14:paraId="6254A93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1F22D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5AD26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13A78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A8E23C">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89053A">
            <w:pPr>
              <w:spacing w:line="360" w:lineRule="auto"/>
              <w:jc w:val="center"/>
              <w:rPr>
                <w:rFonts w:ascii="宋体" w:hAnsi="宋体" w:cs="宋体"/>
                <w:color w:val="auto"/>
                <w:kern w:val="0"/>
                <w:sz w:val="24"/>
                <w:highlight w:val="none"/>
              </w:rPr>
            </w:pPr>
          </w:p>
        </w:tc>
      </w:tr>
      <w:tr w14:paraId="5F9A49E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A992D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31803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A4F00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367ECC">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4848DE">
            <w:pPr>
              <w:spacing w:line="360" w:lineRule="auto"/>
              <w:jc w:val="center"/>
              <w:rPr>
                <w:rFonts w:ascii="宋体" w:hAnsi="宋体" w:cs="宋体"/>
                <w:color w:val="auto"/>
                <w:kern w:val="0"/>
                <w:sz w:val="24"/>
                <w:highlight w:val="none"/>
              </w:rPr>
            </w:pPr>
          </w:p>
        </w:tc>
      </w:tr>
    </w:tbl>
    <w:p w14:paraId="3CF3C8AA">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4E09A3C3">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609B57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15FBEA87">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3.投标人不存在直接控股股东的，则填“无”。</w:t>
      </w:r>
    </w:p>
    <w:p w14:paraId="258925F1">
      <w:pPr>
        <w:snapToGrid w:val="0"/>
        <w:spacing w:line="360" w:lineRule="auto"/>
        <w:jc w:val="left"/>
        <w:rPr>
          <w:rFonts w:hint="eastAsia" w:ascii="宋体" w:hAnsi="宋体"/>
          <w:color w:val="auto"/>
          <w:sz w:val="24"/>
          <w:highlight w:val="none"/>
        </w:rPr>
      </w:pPr>
    </w:p>
    <w:p w14:paraId="2C50A2C6">
      <w:pPr>
        <w:snapToGrid w:val="0"/>
        <w:spacing w:line="360" w:lineRule="auto"/>
        <w:jc w:val="left"/>
        <w:rPr>
          <w:rFonts w:hint="eastAsia" w:ascii="宋体" w:hAnsi="宋体"/>
          <w:color w:val="auto"/>
          <w:sz w:val="24"/>
          <w:highlight w:val="none"/>
        </w:rPr>
      </w:pPr>
    </w:p>
    <w:p w14:paraId="1A2B38B5">
      <w:pPr>
        <w:snapToGrid w:val="0"/>
        <w:spacing w:line="360" w:lineRule="auto"/>
        <w:jc w:val="left"/>
        <w:rPr>
          <w:rFonts w:hint="eastAsia" w:ascii="宋体" w:hAnsi="宋体"/>
          <w:color w:val="auto"/>
          <w:sz w:val="24"/>
          <w:highlight w:val="none"/>
        </w:rPr>
      </w:pPr>
    </w:p>
    <w:p w14:paraId="54D1B985">
      <w:pPr>
        <w:snapToGrid w:val="0"/>
        <w:spacing w:line="360" w:lineRule="auto"/>
        <w:jc w:val="left"/>
        <w:rPr>
          <w:rFonts w:hint="eastAsia" w:ascii="宋体" w:hAnsi="宋体"/>
          <w:color w:val="auto"/>
          <w:sz w:val="24"/>
          <w:highlight w:val="none"/>
        </w:rPr>
      </w:pPr>
    </w:p>
    <w:p w14:paraId="434AB5DB">
      <w:pPr>
        <w:snapToGrid w:val="0"/>
        <w:spacing w:line="360" w:lineRule="auto"/>
        <w:jc w:val="left"/>
        <w:rPr>
          <w:rFonts w:hint="eastAsia" w:ascii="宋体" w:hAnsi="宋体"/>
          <w:color w:val="auto"/>
          <w:sz w:val="24"/>
          <w:highlight w:val="none"/>
        </w:rPr>
      </w:pPr>
    </w:p>
    <w:p w14:paraId="69A4A203">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0E619FF1">
      <w:pPr>
        <w:snapToGrid w:val="0"/>
        <w:spacing w:before="120" w:beforeLines="50" w:after="50" w:line="360" w:lineRule="auto"/>
        <w:ind w:right="480" w:firstLine="5520" w:firstLineChars="2300"/>
        <w:rPr>
          <w:rFonts w:hint="eastAsia" w:ascii="宋体" w:hAnsi="宋体"/>
          <w:color w:val="auto"/>
          <w:sz w:val="24"/>
          <w:highlight w:val="none"/>
          <w:u w:val="singl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6F7CDC13">
      <w:pPr>
        <w:snapToGrid w:val="0"/>
        <w:spacing w:before="120" w:beforeLines="50" w:after="50" w:line="360" w:lineRule="auto"/>
        <w:ind w:right="480" w:firstLine="5520" w:firstLineChars="2300"/>
        <w:rPr>
          <w:rFonts w:hint="eastAsia" w:ascii="宋体" w:hAnsi="宋体"/>
          <w:color w:val="auto"/>
          <w:szCs w:val="21"/>
          <w:highlight w:val="none"/>
        </w:rPr>
      </w:pPr>
      <w:r>
        <w:rPr>
          <w:rFonts w:hint="eastAsia" w:ascii="宋体" w:hAnsi="宋体"/>
          <w:color w:val="auto"/>
          <w:sz w:val="24"/>
          <w:highlight w:val="none"/>
        </w:rPr>
        <w:t>年    月    日</w:t>
      </w:r>
    </w:p>
    <w:p w14:paraId="6CD24228">
      <w:pPr>
        <w:snapToGrid w:val="0"/>
        <w:jc w:val="center"/>
        <w:rPr>
          <w:rFonts w:hint="eastAsia" w:ascii="宋体" w:hAnsi="宋体"/>
          <w:b/>
          <w:color w:val="auto"/>
          <w:sz w:val="28"/>
          <w:szCs w:val="28"/>
          <w:highlight w:val="none"/>
        </w:rPr>
      </w:pPr>
    </w:p>
    <w:p w14:paraId="2A3CF5DF">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9"/>
        <w:tblW w:w="0" w:type="auto"/>
        <w:tblInd w:w="0" w:type="dxa"/>
        <w:tblLayout w:type="fixed"/>
        <w:tblCellMar>
          <w:top w:w="0" w:type="dxa"/>
          <w:left w:w="0" w:type="dxa"/>
          <w:bottom w:w="0" w:type="dxa"/>
          <w:right w:w="0" w:type="dxa"/>
        </w:tblCellMar>
      </w:tblPr>
      <w:tblGrid>
        <w:gridCol w:w="1005"/>
        <w:gridCol w:w="2659"/>
        <w:gridCol w:w="3924"/>
        <w:gridCol w:w="2064"/>
      </w:tblGrid>
      <w:tr w14:paraId="002CFBE1">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3F62C1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C7F98B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BE56D5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E53FBF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4ABB79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9FE569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7192601">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763C9C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4DA362">
            <w:pPr>
              <w:spacing w:line="360" w:lineRule="auto"/>
              <w:jc w:val="center"/>
              <w:rPr>
                <w:rFonts w:ascii="宋体" w:hAnsi="宋体" w:cs="宋体"/>
                <w:color w:val="auto"/>
                <w:kern w:val="0"/>
                <w:sz w:val="24"/>
                <w:highlight w:val="none"/>
              </w:rPr>
            </w:pPr>
          </w:p>
        </w:tc>
      </w:tr>
      <w:tr w14:paraId="7702B73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614C0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1079B33">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13AB2D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E73251E">
            <w:pPr>
              <w:spacing w:line="360" w:lineRule="auto"/>
              <w:jc w:val="center"/>
              <w:rPr>
                <w:rFonts w:ascii="宋体" w:hAnsi="宋体" w:cs="宋体"/>
                <w:color w:val="auto"/>
                <w:kern w:val="0"/>
                <w:sz w:val="24"/>
                <w:highlight w:val="none"/>
              </w:rPr>
            </w:pPr>
          </w:p>
        </w:tc>
      </w:tr>
      <w:tr w14:paraId="6392592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BC1AAE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CC68E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A73722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8E7722">
            <w:pPr>
              <w:spacing w:line="360" w:lineRule="auto"/>
              <w:jc w:val="center"/>
              <w:rPr>
                <w:rFonts w:ascii="宋体" w:hAnsi="宋体" w:cs="宋体"/>
                <w:color w:val="auto"/>
                <w:kern w:val="0"/>
                <w:sz w:val="24"/>
                <w:highlight w:val="none"/>
              </w:rPr>
            </w:pPr>
          </w:p>
        </w:tc>
      </w:tr>
      <w:tr w14:paraId="139C06A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4B7013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AAFA8B">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BFFDCD4">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06228B1">
            <w:pPr>
              <w:spacing w:line="360" w:lineRule="auto"/>
              <w:jc w:val="center"/>
              <w:rPr>
                <w:rFonts w:ascii="宋体" w:hAnsi="宋体" w:cs="宋体"/>
                <w:color w:val="auto"/>
                <w:kern w:val="0"/>
                <w:sz w:val="24"/>
                <w:highlight w:val="none"/>
              </w:rPr>
            </w:pPr>
          </w:p>
        </w:tc>
      </w:tr>
    </w:tbl>
    <w:p w14:paraId="1581F37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1B666C74">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98BD81E">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7AD43FB4">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3.投标人不存在直接管理关系的，则填“无”。</w:t>
      </w:r>
    </w:p>
    <w:p w14:paraId="2520300E">
      <w:pPr>
        <w:snapToGrid w:val="0"/>
        <w:spacing w:line="360" w:lineRule="auto"/>
        <w:jc w:val="left"/>
        <w:rPr>
          <w:rFonts w:hint="eastAsia" w:ascii="宋体" w:hAnsi="宋体"/>
          <w:color w:val="auto"/>
          <w:sz w:val="24"/>
          <w:highlight w:val="none"/>
        </w:rPr>
      </w:pPr>
    </w:p>
    <w:p w14:paraId="006A7635">
      <w:pPr>
        <w:snapToGrid w:val="0"/>
        <w:spacing w:line="360" w:lineRule="auto"/>
        <w:jc w:val="left"/>
        <w:rPr>
          <w:rFonts w:hint="eastAsia" w:ascii="宋体" w:hAnsi="宋体"/>
          <w:color w:val="auto"/>
          <w:sz w:val="24"/>
          <w:highlight w:val="none"/>
        </w:rPr>
      </w:pPr>
    </w:p>
    <w:p w14:paraId="4F4B6588">
      <w:pPr>
        <w:snapToGrid w:val="0"/>
        <w:spacing w:line="360" w:lineRule="auto"/>
        <w:jc w:val="left"/>
        <w:rPr>
          <w:rFonts w:hint="eastAsia" w:ascii="宋体" w:hAnsi="宋体"/>
          <w:color w:val="auto"/>
          <w:sz w:val="24"/>
          <w:highlight w:val="none"/>
        </w:rPr>
      </w:pPr>
    </w:p>
    <w:p w14:paraId="2DE64A49">
      <w:pPr>
        <w:snapToGrid w:val="0"/>
        <w:spacing w:line="360" w:lineRule="auto"/>
        <w:jc w:val="left"/>
        <w:rPr>
          <w:rFonts w:hint="eastAsia"/>
          <w:color w:val="auto"/>
          <w:sz w:val="24"/>
          <w:highlight w:val="none"/>
        </w:rPr>
      </w:pPr>
    </w:p>
    <w:p w14:paraId="1DB1FA2D">
      <w:pPr>
        <w:snapToGrid w:val="0"/>
        <w:spacing w:line="360" w:lineRule="auto"/>
        <w:jc w:val="left"/>
        <w:rPr>
          <w:rFonts w:hint="eastAsia"/>
          <w:color w:val="auto"/>
          <w:sz w:val="24"/>
          <w:highlight w:val="none"/>
        </w:rPr>
      </w:pPr>
    </w:p>
    <w:p w14:paraId="01918E84">
      <w:pPr>
        <w:snapToGrid w:val="0"/>
        <w:spacing w:line="360" w:lineRule="auto"/>
        <w:jc w:val="left"/>
        <w:rPr>
          <w:rFonts w:hint="eastAsia"/>
          <w:color w:val="auto"/>
          <w:sz w:val="24"/>
          <w:highlight w:val="none"/>
        </w:rPr>
      </w:pPr>
    </w:p>
    <w:p w14:paraId="20AB16A6">
      <w:pPr>
        <w:snapToGrid w:val="0"/>
        <w:spacing w:line="360" w:lineRule="auto"/>
        <w:jc w:val="left"/>
        <w:rPr>
          <w:rFonts w:hint="eastAsia" w:ascii="宋体" w:hAnsi="宋体"/>
          <w:color w:val="auto"/>
          <w:sz w:val="24"/>
          <w:highlight w:val="none"/>
        </w:rPr>
      </w:pPr>
    </w:p>
    <w:p w14:paraId="0BFD1407">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17796B28">
      <w:pPr>
        <w:snapToGrid w:val="0"/>
        <w:spacing w:before="120" w:beforeLines="50" w:after="50" w:line="360" w:lineRule="auto"/>
        <w:ind w:right="480" w:firstLine="5520" w:firstLineChars="2300"/>
        <w:rPr>
          <w:rFonts w:hint="eastAsia" w:ascii="宋体" w:hAnsi="宋体"/>
          <w:color w:val="auto"/>
          <w:sz w:val="24"/>
          <w:highlight w:val="non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77AB8D74">
      <w:pPr>
        <w:snapToGrid w:val="0"/>
        <w:spacing w:before="120" w:beforeLines="50" w:after="50" w:line="360" w:lineRule="auto"/>
        <w:ind w:right="480" w:firstLine="240" w:firstLineChars="100"/>
        <w:jc w:val="right"/>
        <w:rPr>
          <w:rFonts w:hint="eastAsia" w:ascii="宋体" w:hAnsi="宋体"/>
          <w:color w:val="auto"/>
          <w:sz w:val="24"/>
          <w:highlight w:val="none"/>
        </w:rPr>
      </w:pPr>
      <w:r>
        <w:rPr>
          <w:rFonts w:hint="eastAsia" w:ascii="宋体" w:hAnsi="宋体"/>
          <w:color w:val="auto"/>
          <w:sz w:val="24"/>
          <w:highlight w:val="none"/>
        </w:rPr>
        <w:t xml:space="preserve"> 年    月    日</w:t>
      </w:r>
    </w:p>
    <w:p w14:paraId="7F61FEFC">
      <w:pPr>
        <w:snapToGrid w:val="0"/>
        <w:spacing w:before="50" w:after="120" w:afterLines="50"/>
        <w:jc w:val="left"/>
        <w:rPr>
          <w:rFonts w:hint="eastAsia" w:ascii="宋体" w:hAnsi="宋体"/>
          <w:color w:val="auto"/>
          <w:szCs w:val="21"/>
          <w:highlight w:val="none"/>
        </w:rPr>
      </w:pPr>
    </w:p>
    <w:p w14:paraId="11A20A64">
      <w:pPr>
        <w:snapToGrid w:val="0"/>
        <w:spacing w:before="120" w:beforeLines="50" w:after="50"/>
        <w:jc w:val="left"/>
        <w:rPr>
          <w:rFonts w:hint="eastAsia" w:ascii="宋体" w:hAnsi="宋体"/>
          <w:b/>
          <w:color w:val="auto"/>
          <w:sz w:val="24"/>
          <w:szCs w:val="20"/>
          <w:highlight w:val="none"/>
        </w:rPr>
      </w:pPr>
    </w:p>
    <w:p w14:paraId="6F4A0CAE">
      <w:pPr>
        <w:numPr>
          <w:ilvl w:val="2"/>
          <w:numId w:val="11"/>
        </w:numPr>
        <w:snapToGrid w:val="0"/>
        <w:spacing w:before="120" w:beforeLines="50" w:after="50"/>
        <w:ind w:left="0" w:firstLine="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投标声明格式</w:t>
      </w:r>
    </w:p>
    <w:p w14:paraId="72813113">
      <w:pPr>
        <w:snapToGrid w:val="0"/>
        <w:spacing w:before="50" w:after="120" w:afterLines="50"/>
        <w:jc w:val="left"/>
        <w:rPr>
          <w:rFonts w:hint="eastAsia" w:ascii="宋体" w:hAnsi="宋体"/>
          <w:color w:val="auto"/>
          <w:highlight w:val="none"/>
        </w:rPr>
      </w:pPr>
    </w:p>
    <w:p w14:paraId="233AD088">
      <w:pPr>
        <w:snapToGrid w:val="0"/>
        <w:spacing w:before="50" w:after="120" w:afterLines="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投标声明</w:t>
      </w:r>
    </w:p>
    <w:p w14:paraId="6C601056">
      <w:pPr>
        <w:snapToGrid w:val="0"/>
        <w:spacing w:before="50" w:after="120" w:afterLines="50"/>
        <w:jc w:val="center"/>
        <w:rPr>
          <w:rFonts w:hint="eastAsia" w:ascii="仿宋" w:hAnsi="仿宋" w:eastAsia="仿宋" w:cs="仿宋"/>
          <w:bCs/>
          <w:color w:val="auto"/>
          <w:sz w:val="44"/>
          <w:szCs w:val="44"/>
          <w:highlight w:val="none"/>
        </w:rPr>
      </w:pPr>
    </w:p>
    <w:p w14:paraId="71B9CFB8">
      <w:pPr>
        <w:spacing w:line="400" w:lineRule="exact"/>
        <w:contextualSpacing/>
        <w:jc w:val="left"/>
        <w:rPr>
          <w:rFonts w:hint="eastAsia"/>
          <w:color w:val="auto"/>
          <w:sz w:val="24"/>
          <w:highlight w:val="none"/>
        </w:rPr>
      </w:pPr>
      <w:r>
        <w:rPr>
          <w:rFonts w:hint="eastAsia"/>
          <w:color w:val="auto"/>
          <w:sz w:val="24"/>
          <w:highlight w:val="none"/>
        </w:rPr>
        <w:t>（采购人名称）：</w:t>
      </w:r>
    </w:p>
    <w:p w14:paraId="33A95E77">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1983CF5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投标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投标人资格条件，我方对此声明负全部法律责任。</w:t>
      </w:r>
    </w:p>
    <w:p w14:paraId="3513F0D3">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2.我方不是为本次采购项目提供整体设计、规范编制或者项目管理、监理、检测等服务的投标人。</w:t>
      </w:r>
    </w:p>
    <w:p w14:paraId="5814AA66">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5A39F610">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7CA2F63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7AF3D09C">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35AA44D5">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0A4CAF6C">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01D3131F">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080960BA">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69EBAFE7">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2D471247">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注：如为联合体投标，盖章处须加盖联合体各方公章并由联合体各方法定代表人分别签字，否则投标无效。</w:t>
      </w:r>
    </w:p>
    <w:p w14:paraId="07C6BBE0">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6531A50B">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投标人（盖公章）：</w:t>
      </w:r>
      <w:r>
        <w:rPr>
          <w:rFonts w:hint="eastAsia" w:ascii="宋体" w:hAnsi="宋体"/>
          <w:color w:val="auto"/>
          <w:sz w:val="24"/>
          <w:highlight w:val="none"/>
          <w:u w:val="single"/>
        </w:rPr>
        <w:t xml:space="preserve">                 </w:t>
      </w:r>
    </w:p>
    <w:p w14:paraId="6B768F1C">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648CCE38">
      <w:pPr>
        <w:rPr>
          <w:rFonts w:hint="eastAsia"/>
          <w:b/>
          <w:color w:val="auto"/>
          <w:sz w:val="28"/>
          <w:szCs w:val="28"/>
          <w:highlight w:val="none"/>
        </w:rPr>
      </w:pPr>
      <w:bookmarkStart w:id="149" w:name="_Toc19686838"/>
      <w:r>
        <w:rPr>
          <w:b/>
          <w:color w:val="auto"/>
          <w:sz w:val="28"/>
          <w:szCs w:val="28"/>
          <w:highlight w:val="none"/>
        </w:rPr>
        <w:br w:type="page"/>
      </w:r>
      <w:r>
        <w:rPr>
          <w:rFonts w:hint="eastAsia"/>
          <w:b/>
          <w:color w:val="auto"/>
          <w:sz w:val="28"/>
          <w:szCs w:val="28"/>
          <w:highlight w:val="none"/>
        </w:rPr>
        <w:t>三、商务文件格式</w:t>
      </w:r>
      <w:bookmarkEnd w:id="149"/>
    </w:p>
    <w:p w14:paraId="3EA2C7EF">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1.商务文件封面格式： </w:t>
      </w:r>
    </w:p>
    <w:p w14:paraId="702726F7">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1C44F99C">
      <w:pPr>
        <w:snapToGrid w:val="0"/>
        <w:spacing w:before="120" w:beforeLines="50" w:after="50"/>
        <w:rPr>
          <w:rFonts w:hint="eastAsia" w:ascii="宋体" w:hAnsi="宋体"/>
          <w:color w:val="auto"/>
          <w:sz w:val="24"/>
          <w:szCs w:val="20"/>
          <w:highlight w:val="none"/>
        </w:rPr>
      </w:pPr>
    </w:p>
    <w:p w14:paraId="2AE55A5B">
      <w:pPr>
        <w:snapToGrid w:val="0"/>
        <w:spacing w:before="120" w:beforeLines="50" w:after="50"/>
        <w:rPr>
          <w:rFonts w:hint="eastAsia" w:ascii="宋体" w:hAnsi="宋体"/>
          <w:color w:val="auto"/>
          <w:sz w:val="24"/>
          <w:szCs w:val="20"/>
          <w:highlight w:val="none"/>
        </w:rPr>
      </w:pPr>
    </w:p>
    <w:p w14:paraId="7C921C16">
      <w:pPr>
        <w:snapToGrid w:val="0"/>
        <w:spacing w:before="120" w:beforeLines="50" w:after="50"/>
        <w:rPr>
          <w:rFonts w:hint="eastAsia" w:ascii="宋体" w:hAnsi="宋体"/>
          <w:color w:val="auto"/>
          <w:sz w:val="24"/>
          <w:szCs w:val="20"/>
          <w:highlight w:val="none"/>
        </w:rPr>
      </w:pPr>
    </w:p>
    <w:p w14:paraId="2B00031B">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1D939BD7">
      <w:pPr>
        <w:snapToGrid w:val="0"/>
        <w:spacing w:before="120" w:beforeLines="50" w:after="50"/>
        <w:rPr>
          <w:rFonts w:hint="eastAsia" w:ascii="宋体" w:hAnsi="宋体"/>
          <w:color w:val="auto"/>
          <w:sz w:val="24"/>
          <w:szCs w:val="20"/>
          <w:highlight w:val="none"/>
        </w:rPr>
      </w:pPr>
    </w:p>
    <w:p w14:paraId="6BFBFFD1">
      <w:pPr>
        <w:snapToGrid w:val="0"/>
        <w:spacing w:before="120" w:beforeLines="50" w:after="50"/>
        <w:rPr>
          <w:rFonts w:hint="eastAsia" w:ascii="宋体" w:hAnsi="宋体"/>
          <w:color w:val="auto"/>
          <w:sz w:val="24"/>
          <w:szCs w:val="20"/>
          <w:highlight w:val="none"/>
        </w:rPr>
      </w:pPr>
    </w:p>
    <w:p w14:paraId="0EC0824C">
      <w:pPr>
        <w:snapToGrid w:val="0"/>
        <w:spacing w:before="120" w:beforeLines="50" w:after="50"/>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商  务  文  件</w:t>
      </w:r>
    </w:p>
    <w:p w14:paraId="227FA17B">
      <w:pPr>
        <w:snapToGrid w:val="0"/>
        <w:spacing w:before="120" w:beforeLines="50" w:after="50"/>
        <w:rPr>
          <w:rFonts w:hint="eastAsia" w:ascii="宋体" w:hAnsi="宋体"/>
          <w:bCs/>
          <w:color w:val="auto"/>
          <w:sz w:val="24"/>
          <w:szCs w:val="20"/>
          <w:highlight w:val="none"/>
        </w:rPr>
      </w:pPr>
    </w:p>
    <w:p w14:paraId="4B569393">
      <w:pPr>
        <w:snapToGrid w:val="0"/>
        <w:spacing w:before="120" w:beforeLines="50" w:after="50"/>
        <w:ind w:firstLine="540" w:firstLineChars="225"/>
        <w:rPr>
          <w:rFonts w:hint="eastAsia" w:ascii="宋体" w:hAnsi="宋体"/>
          <w:bCs/>
          <w:color w:val="auto"/>
          <w:sz w:val="24"/>
          <w:highlight w:val="none"/>
        </w:rPr>
      </w:pPr>
    </w:p>
    <w:p w14:paraId="7FFCBBEA">
      <w:pPr>
        <w:snapToGrid w:val="0"/>
        <w:spacing w:before="120" w:beforeLines="50" w:after="50"/>
        <w:ind w:firstLine="540" w:firstLineChars="225"/>
        <w:rPr>
          <w:rFonts w:hint="eastAsia" w:ascii="宋体" w:hAnsi="宋体"/>
          <w:bCs/>
          <w:color w:val="auto"/>
          <w:sz w:val="24"/>
          <w:highlight w:val="none"/>
        </w:rPr>
      </w:pPr>
    </w:p>
    <w:p w14:paraId="35CF8DF2">
      <w:pPr>
        <w:snapToGrid w:val="0"/>
        <w:spacing w:before="120" w:beforeLines="50" w:after="50"/>
        <w:ind w:firstLine="540" w:firstLineChars="225"/>
        <w:rPr>
          <w:rFonts w:hint="eastAsia" w:ascii="宋体" w:hAnsi="宋体"/>
          <w:bCs/>
          <w:color w:val="auto"/>
          <w:sz w:val="24"/>
          <w:highlight w:val="none"/>
        </w:rPr>
      </w:pPr>
    </w:p>
    <w:p w14:paraId="616FC40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58068832">
      <w:pPr>
        <w:snapToGrid w:val="0"/>
        <w:spacing w:before="120" w:beforeLines="50" w:after="50"/>
        <w:ind w:firstLine="540" w:firstLineChars="225"/>
        <w:rPr>
          <w:rFonts w:hint="eastAsia" w:ascii="宋体" w:hAnsi="宋体"/>
          <w:bCs/>
          <w:color w:val="auto"/>
          <w:sz w:val="24"/>
          <w:szCs w:val="20"/>
          <w:highlight w:val="none"/>
        </w:rPr>
      </w:pPr>
    </w:p>
    <w:p w14:paraId="2BF434A4">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5FE54413">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2C296267">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35B53417">
      <w:pPr>
        <w:snapToGrid w:val="0"/>
        <w:spacing w:before="120" w:beforeLines="50" w:after="50"/>
        <w:ind w:firstLine="540" w:firstLineChars="225"/>
        <w:rPr>
          <w:rFonts w:hint="eastAsia" w:ascii="宋体" w:hAnsi="宋体"/>
          <w:bCs/>
          <w:color w:val="auto"/>
          <w:sz w:val="24"/>
          <w:szCs w:val="20"/>
          <w:highlight w:val="none"/>
        </w:rPr>
      </w:pPr>
    </w:p>
    <w:p w14:paraId="3E16A722">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43700382">
      <w:pPr>
        <w:pStyle w:val="8"/>
        <w:snapToGrid w:val="0"/>
        <w:spacing w:before="50" w:after="50"/>
        <w:ind w:firstLine="540" w:firstLineChars="225"/>
        <w:rPr>
          <w:rFonts w:hint="eastAsia" w:ascii="宋体" w:hAnsi="宋体"/>
          <w:bCs/>
          <w:color w:val="auto"/>
          <w:sz w:val="24"/>
          <w:szCs w:val="24"/>
          <w:highlight w:val="none"/>
        </w:rPr>
      </w:pPr>
    </w:p>
    <w:p w14:paraId="7196BFB2">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4E5BF2ED">
      <w:pPr>
        <w:pStyle w:val="8"/>
        <w:snapToGrid w:val="0"/>
        <w:spacing w:before="50" w:after="50"/>
        <w:ind w:firstLine="960" w:firstLineChars="400"/>
        <w:rPr>
          <w:rFonts w:hint="eastAsia" w:ascii="宋体" w:hAnsi="宋体"/>
          <w:bCs/>
          <w:color w:val="auto"/>
          <w:sz w:val="24"/>
          <w:szCs w:val="24"/>
          <w:highlight w:val="none"/>
        </w:rPr>
      </w:pPr>
    </w:p>
    <w:p w14:paraId="38FE57C1">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5EBEBB5E">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33F4BA09">
      <w:pPr>
        <w:snapToGrid w:val="0"/>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4"/>
          <w:highlight w:val="none"/>
        </w:rPr>
        <w:t>2.商务文件目录</w:t>
      </w:r>
    </w:p>
    <w:p w14:paraId="6524CF8D">
      <w:pPr>
        <w:snapToGrid w:val="0"/>
        <w:spacing w:before="50" w:after="120" w:afterLines="50" w:line="360" w:lineRule="auto"/>
        <w:ind w:firstLine="480" w:firstLineChars="200"/>
        <w:jc w:val="left"/>
        <w:rPr>
          <w:rFonts w:ascii="微软雅黑" w:hAnsi="微软雅黑" w:eastAsia="微软雅黑"/>
          <w:b/>
          <w:bCs/>
          <w:color w:val="auto"/>
          <w:sz w:val="32"/>
          <w:szCs w:val="32"/>
          <w:highlight w:val="none"/>
        </w:rPr>
      </w:pPr>
      <w:r>
        <w:rPr>
          <w:rFonts w:hint="eastAsia" w:ascii="宋体" w:hAnsi="宋体"/>
          <w:color w:val="auto"/>
          <w:sz w:val="24"/>
          <w:highlight w:val="none"/>
        </w:rPr>
        <w:t>根据招标文件规定及投标人提供的材料自行编写目录。</w:t>
      </w:r>
    </w:p>
    <w:p w14:paraId="23A866A9">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489E5BAD">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F19BA8C">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28A9D755">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4552DD79">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5、商务要求偏离表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7C09C0A7">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、服务承诺</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82B986C">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73B9BC0E">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、除招标文件规定必须提供以外，投标人认为需要提供的其他证明材料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60A61173">
      <w:pPr>
        <w:snapToGrid w:val="0"/>
        <w:spacing w:before="50" w:after="120" w:afterLines="50"/>
        <w:jc w:val="left"/>
        <w:rPr>
          <w:rFonts w:hint="eastAsia" w:ascii="宋体" w:hAnsi="宋体"/>
          <w:color w:val="auto"/>
          <w:highlight w:val="none"/>
        </w:rPr>
      </w:pPr>
    </w:p>
    <w:p w14:paraId="59B712A2">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639BC605">
      <w:pPr>
        <w:snapToGrid w:val="0"/>
        <w:spacing w:before="120" w:beforeLines="50" w:after="50"/>
        <w:jc w:val="left"/>
        <w:rPr>
          <w:rFonts w:hint="eastAsia" w:ascii="宋体" w:hAnsi="宋体"/>
          <w:b/>
          <w:color w:val="auto"/>
          <w:sz w:val="24"/>
          <w:highlight w:val="none"/>
        </w:rPr>
      </w:pPr>
    </w:p>
    <w:p w14:paraId="2ABBBEE5">
      <w:pPr>
        <w:spacing w:line="360" w:lineRule="auto"/>
        <w:ind w:left="420"/>
        <w:contextualSpacing/>
        <w:jc w:val="center"/>
        <w:rPr>
          <w:rFonts w:ascii="宋体" w:hAnsi="宋体"/>
          <w:b/>
          <w:color w:val="auto"/>
          <w:sz w:val="24"/>
          <w:highlight w:val="none"/>
        </w:rPr>
      </w:pPr>
      <w:r>
        <w:rPr>
          <w:rFonts w:hint="eastAsia" w:ascii="仿宋" w:hAnsi="仿宋" w:eastAsia="仿宋" w:cs="仿宋"/>
          <w:bCs/>
          <w:color w:val="auto"/>
          <w:spacing w:val="-11"/>
          <w:sz w:val="44"/>
          <w:szCs w:val="44"/>
          <w:highlight w:val="none"/>
        </w:rPr>
        <w:t>投标人参加本项目无围标串标行为的承诺函</w:t>
      </w:r>
    </w:p>
    <w:p w14:paraId="4EE2BE06">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28779B8B">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p>
    <w:p w14:paraId="0ACABA03">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45FC11A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3C9D4AD7">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32AC40C8">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2A4C591B">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1E8FBA8F">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0155105F">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0E6A1D8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5613480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3E75F609">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40ADCCE8">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5B6F226E">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6A635C73">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262E875F">
      <w:pP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65668359">
      <w:pPr>
        <w:pStyle w:val="26"/>
        <w:spacing w:line="440" w:lineRule="exact"/>
        <w:ind w:firstLine="6840" w:firstLineChars="2850"/>
        <w:contextualSpacing/>
        <w:rPr>
          <w:rFonts w:hint="eastAsia" w:hAnsi="宋体"/>
          <w:color w:val="auto"/>
          <w:sz w:val="24"/>
          <w:szCs w:val="24"/>
          <w:highlight w:val="none"/>
        </w:rPr>
      </w:pPr>
    </w:p>
    <w:p w14:paraId="3372D67D">
      <w:pPr>
        <w:pStyle w:val="26"/>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投标人名称（公章）</w:t>
      </w:r>
    </w:p>
    <w:p w14:paraId="1CED594D">
      <w:pPr>
        <w:pStyle w:val="26"/>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14580C68">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br w:type="page"/>
      </w:r>
      <w:r>
        <w:rPr>
          <w:rFonts w:hint="eastAsia" w:ascii="宋体" w:hAnsi="宋体"/>
          <w:b/>
          <w:color w:val="auto"/>
          <w:sz w:val="24"/>
          <w:highlight w:val="none"/>
        </w:rPr>
        <w:t>4.法定代表人身份证明</w:t>
      </w:r>
    </w:p>
    <w:p w14:paraId="76D38524">
      <w:pPr>
        <w:spacing w:before="240" w:beforeLines="100" w:after="120" w:afterLines="50"/>
        <w:ind w:left="54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法定代表人身份证明</w:t>
      </w:r>
    </w:p>
    <w:p w14:paraId="69DF8A59">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3F626037">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1F2985F">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20E33E91">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71692918">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4998B951">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7A25F449">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5B5A6470">
      <w:pPr>
        <w:spacing w:line="500" w:lineRule="exact"/>
        <w:ind w:left="540"/>
        <w:rPr>
          <w:rFonts w:hint="eastAsia" w:ascii="宋体" w:hAnsi="宋体"/>
          <w:color w:val="auto"/>
          <w:sz w:val="24"/>
          <w:highlight w:val="none"/>
        </w:rPr>
      </w:pPr>
    </w:p>
    <w:p w14:paraId="38E8EDB9">
      <w:pPr>
        <w:spacing w:line="500" w:lineRule="exact"/>
        <w:ind w:left="540"/>
        <w:rPr>
          <w:rFonts w:hint="eastAsia" w:ascii="宋体" w:hAnsi="宋体"/>
          <w:color w:val="auto"/>
          <w:sz w:val="24"/>
          <w:highlight w:val="none"/>
        </w:rPr>
      </w:pPr>
    </w:p>
    <w:p w14:paraId="5FD446EB">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59F89E74">
      <w:pPr>
        <w:spacing w:line="500" w:lineRule="exact"/>
        <w:ind w:left="540"/>
        <w:rPr>
          <w:rFonts w:hint="eastAsia" w:ascii="宋体" w:hAnsi="宋体"/>
          <w:color w:val="auto"/>
          <w:sz w:val="24"/>
          <w:highlight w:val="none"/>
        </w:rPr>
      </w:pPr>
    </w:p>
    <w:p w14:paraId="705EE01A">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投标人名称（公章）</w:t>
      </w:r>
    </w:p>
    <w:p w14:paraId="0AEFCC96">
      <w:pPr>
        <w:spacing w:line="500" w:lineRule="exact"/>
        <w:ind w:left="540"/>
        <w:jc w:val="right"/>
        <w:rPr>
          <w:rFonts w:hint="eastAsia" w:ascii="宋体" w:hAnsi="宋体"/>
          <w:color w:val="auto"/>
          <w:sz w:val="24"/>
          <w:highlight w:val="none"/>
        </w:rPr>
      </w:pPr>
    </w:p>
    <w:p w14:paraId="3CCF0526">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8422550">
      <w:pPr>
        <w:snapToGrid w:val="0"/>
        <w:spacing w:before="120" w:beforeLines="50" w:after="50"/>
        <w:jc w:val="center"/>
        <w:rPr>
          <w:rFonts w:hint="eastAsia" w:ascii="宋体" w:hAnsi="宋体"/>
          <w:b/>
          <w:color w:val="auto"/>
          <w:sz w:val="24"/>
          <w:highlight w:val="none"/>
        </w:rPr>
      </w:pPr>
    </w:p>
    <w:p w14:paraId="43FF9B76">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762777B9">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7F3C9958">
      <w:pPr>
        <w:snapToGrid w:val="0"/>
        <w:spacing w:before="120" w:beforeLines="50" w:after="50"/>
        <w:jc w:val="center"/>
        <w:rPr>
          <w:rFonts w:hint="eastAsia" w:ascii="宋体" w:hAnsi="宋体"/>
          <w:b/>
          <w:color w:val="auto"/>
          <w:sz w:val="44"/>
          <w:szCs w:val="44"/>
          <w:highlight w:val="none"/>
        </w:rPr>
      </w:pPr>
    </w:p>
    <w:p w14:paraId="6C97318C">
      <w:pPr>
        <w:spacing w:line="360" w:lineRule="auto"/>
        <w:contextualSpacing/>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授权委托书</w:t>
      </w:r>
    </w:p>
    <w:p w14:paraId="5A9CE113">
      <w:pPr>
        <w:spacing w:line="360" w:lineRule="auto"/>
        <w:contextualSpacing/>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（非联合体投标格式）</w:t>
      </w:r>
    </w:p>
    <w:p w14:paraId="033D7CD7">
      <w:pPr>
        <w:spacing w:line="360" w:lineRule="auto"/>
        <w:contextualSpacing/>
        <w:jc w:val="center"/>
        <w:rPr>
          <w:rFonts w:hint="eastAsia" w:ascii="仿宋" w:hAnsi="仿宋" w:eastAsia="仿宋" w:cs="仿宋"/>
          <w:bCs/>
          <w:color w:val="auto"/>
          <w:sz w:val="24"/>
          <w:highlight w:val="none"/>
        </w:rPr>
      </w:pPr>
      <w:r>
        <w:rPr>
          <w:rFonts w:hint="eastAsia" w:ascii="仿宋" w:hAnsi="仿宋" w:eastAsia="仿宋" w:cs="仿宋"/>
          <w:bCs/>
          <w:color w:val="auto"/>
          <w:sz w:val="32"/>
          <w:szCs w:val="32"/>
          <w:highlight w:val="none"/>
        </w:rPr>
        <w:t>（如有委托时）</w:t>
      </w:r>
    </w:p>
    <w:p w14:paraId="785903C3">
      <w:pPr>
        <w:spacing w:line="440" w:lineRule="exact"/>
        <w:contextualSpacing/>
        <w:jc w:val="center"/>
        <w:rPr>
          <w:rFonts w:hint="eastAsia" w:ascii="宋体" w:hAnsi="宋体"/>
          <w:b/>
          <w:color w:val="auto"/>
          <w:sz w:val="24"/>
          <w:highlight w:val="none"/>
        </w:rPr>
      </w:pPr>
    </w:p>
    <w:p w14:paraId="557F0CA0">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10C497DD">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1F710E66">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4448EFAA">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529E1898">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4AA576AA">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4E406157">
      <w:pPr>
        <w:spacing w:line="440" w:lineRule="exact"/>
        <w:contextualSpacing/>
        <w:rPr>
          <w:rFonts w:hint="eastAsia" w:ascii="宋体" w:hAnsi="宋体"/>
          <w:color w:val="auto"/>
          <w:sz w:val="24"/>
          <w:highlight w:val="none"/>
        </w:rPr>
      </w:pPr>
    </w:p>
    <w:p w14:paraId="1F0A1C14">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委托代理人（签字）：</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1F469807">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D498F78">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投标人（盖公章）：</w:t>
      </w:r>
    </w:p>
    <w:p w14:paraId="460E4B4E">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363A6BB7">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50" w:name="_Hlk65851555"/>
      <w:bookmarkStart w:id="151" w:name="_Hlk65851620"/>
      <w:r>
        <w:rPr>
          <w:rFonts w:hint="eastAsia" w:ascii="宋体" w:hAnsi="宋体" w:cs="仿宋_GB2312"/>
          <w:color w:val="auto"/>
          <w:sz w:val="24"/>
          <w:highlight w:val="none"/>
        </w:rPr>
        <w:t>法定代表人必须在授权委托书上亲笔签字或者盖章，</w:t>
      </w:r>
      <w:bookmarkEnd w:id="150"/>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51"/>
    </w:p>
    <w:p w14:paraId="2735642C">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7ED256F6">
      <w:pPr>
        <w:snapToGrid w:val="0"/>
        <w:spacing w:before="120" w:beforeLines="50" w:after="50"/>
        <w:ind w:firstLine="566" w:firstLineChars="236"/>
        <w:jc w:val="center"/>
        <w:rPr>
          <w:rFonts w:hint="eastAsia" w:ascii="仿宋" w:hAnsi="仿宋" w:eastAsia="仿宋" w:cs="仿宋"/>
          <w:color w:val="auto"/>
          <w:sz w:val="44"/>
          <w:szCs w:val="44"/>
          <w:highlight w:val="none"/>
        </w:rPr>
      </w:pPr>
      <w:r>
        <w:rPr>
          <w:rFonts w:ascii="宋体" w:hAnsi="宋体"/>
          <w:color w:val="auto"/>
          <w:sz w:val="24"/>
          <w:highlight w:val="none"/>
        </w:rPr>
        <w:br w:type="page"/>
      </w:r>
      <w:r>
        <w:rPr>
          <w:rFonts w:hint="eastAsia" w:ascii="仿宋" w:hAnsi="仿宋" w:eastAsia="仿宋" w:cs="仿宋"/>
          <w:color w:val="auto"/>
          <w:sz w:val="44"/>
          <w:szCs w:val="44"/>
          <w:highlight w:val="none"/>
        </w:rPr>
        <w:t>授权委托书</w:t>
      </w:r>
    </w:p>
    <w:p w14:paraId="630F52D4">
      <w:pPr>
        <w:snapToGrid w:val="0"/>
        <w:spacing w:before="120" w:beforeLines="50" w:after="50"/>
        <w:ind w:firstLine="755" w:firstLineChars="236"/>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（联合体投标格式）</w:t>
      </w:r>
    </w:p>
    <w:p w14:paraId="13F295DF">
      <w:pPr>
        <w:snapToGrid w:val="0"/>
        <w:spacing w:before="120" w:beforeLines="50" w:after="50"/>
        <w:ind w:firstLine="755" w:firstLineChars="236"/>
        <w:jc w:val="center"/>
        <w:rPr>
          <w:rFonts w:hint="eastAsia" w:ascii="仿宋" w:hAnsi="仿宋" w:eastAsia="仿宋" w:cs="仿宋"/>
          <w:color w:val="auto"/>
          <w:sz w:val="24"/>
          <w:highlight w:val="none"/>
        </w:rPr>
      </w:pPr>
      <w:r>
        <w:rPr>
          <w:rFonts w:hint="eastAsia" w:ascii="仿宋" w:hAnsi="仿宋" w:eastAsia="仿宋" w:cs="仿宋"/>
          <w:color w:val="auto"/>
          <w:sz w:val="32"/>
          <w:szCs w:val="32"/>
          <w:highlight w:val="none"/>
        </w:rPr>
        <w:t>（如有委托时）</w:t>
      </w:r>
    </w:p>
    <w:p w14:paraId="557318CE">
      <w:pPr>
        <w:spacing w:line="440" w:lineRule="exact"/>
        <w:contextualSpacing/>
        <w:jc w:val="left"/>
        <w:rPr>
          <w:rFonts w:hint="eastAsia"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19BFE29E">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55278917">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我方对委托代理人的签字事项负全部责任。</w:t>
      </w:r>
    </w:p>
    <w:p w14:paraId="0FC8A79B">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5D27C2A2">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6142B31A">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21DD9FB0">
      <w:pPr>
        <w:spacing w:line="440" w:lineRule="exact"/>
        <w:ind w:firstLine="566" w:firstLineChars="236"/>
        <w:contextualSpacing/>
        <w:rPr>
          <w:rFonts w:hint="eastAsia" w:ascii="宋体" w:hAnsi="宋体"/>
          <w:color w:val="auto"/>
          <w:sz w:val="24"/>
          <w:highlight w:val="none"/>
        </w:rPr>
      </w:pPr>
    </w:p>
    <w:p w14:paraId="1CEF9821">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牵头人法定代表人（签字或者盖章）：</w:t>
      </w:r>
    </w:p>
    <w:p w14:paraId="52BD5B58">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牵头人（盖公章）：</w:t>
      </w:r>
    </w:p>
    <w:p w14:paraId="249BDED7">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日期：    年   月   日</w:t>
      </w:r>
    </w:p>
    <w:p w14:paraId="204943BE">
      <w:pPr>
        <w:spacing w:line="440" w:lineRule="exact"/>
        <w:ind w:firstLine="566" w:firstLineChars="236"/>
        <w:contextualSpacing/>
        <w:rPr>
          <w:rFonts w:hint="eastAsia" w:ascii="宋体" w:hAnsi="宋体"/>
          <w:color w:val="auto"/>
          <w:sz w:val="24"/>
          <w:highlight w:val="none"/>
        </w:rPr>
      </w:pPr>
    </w:p>
    <w:p w14:paraId="24C061BC">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被授权人（签字）：</w:t>
      </w:r>
    </w:p>
    <w:p w14:paraId="7E369149">
      <w:pPr>
        <w:spacing w:line="440" w:lineRule="exact"/>
        <w:ind w:firstLine="566" w:firstLineChars="236"/>
        <w:contextualSpacing/>
        <w:rPr>
          <w:rFonts w:hint="eastAsia" w:ascii="宋体" w:hAnsi="宋体" w:cs="仿宋_GB2312"/>
          <w:color w:val="auto"/>
          <w:sz w:val="32"/>
          <w:szCs w:val="32"/>
          <w:highlight w:val="none"/>
        </w:rPr>
      </w:pPr>
      <w:r>
        <w:rPr>
          <w:rFonts w:hint="eastAsia" w:ascii="宋体" w:hAnsi="宋体"/>
          <w:color w:val="auto"/>
          <w:sz w:val="24"/>
          <w:highlight w:val="none"/>
        </w:rPr>
        <w:t>日期：    年   月   日</w:t>
      </w:r>
    </w:p>
    <w:p w14:paraId="73A2B3F4">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法定代表人必须在授权委托书上亲笔签字或者盖章，委托代理人必须在授权委托书上亲笔签字，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18D98831">
      <w:pPr>
        <w:spacing w:line="44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2.本授权委托书应由联合体牵头人的法定代表人按上述规定签字。</w:t>
      </w:r>
    </w:p>
    <w:p w14:paraId="22730031">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法人、其他组织投标时“我方”是指“我单位”，自然人投标时“我方”是指“本人”。</w:t>
      </w:r>
    </w:p>
    <w:p w14:paraId="6C0DB7C8">
      <w:pPr>
        <w:snapToGrid w:val="0"/>
        <w:spacing w:before="50" w:after="120" w:afterLines="50"/>
        <w:ind w:firstLine="480" w:firstLineChars="200"/>
        <w:jc w:val="left"/>
        <w:rPr>
          <w:rFonts w:hint="eastAsia" w:ascii="宋体" w:hAnsi="宋体"/>
          <w:color w:val="auto"/>
          <w:sz w:val="24"/>
          <w:highlight w:val="none"/>
        </w:rPr>
        <w:sectPr>
          <w:pgSz w:w="11906" w:h="16838"/>
          <w:pgMar w:top="1134" w:right="1134" w:bottom="2269" w:left="1134" w:header="851" w:footer="567" w:gutter="0"/>
          <w:pgNumType w:fmt="decimal"/>
          <w:cols w:space="720" w:num="1"/>
          <w:docGrid w:linePitch="312" w:charSpace="0"/>
        </w:sectPr>
      </w:pPr>
    </w:p>
    <w:p w14:paraId="18000A53">
      <w:pPr>
        <w:rPr>
          <w:rFonts w:hint="eastAsia" w:ascii="宋体" w:hAnsi="宋体"/>
          <w:color w:val="auto"/>
          <w:sz w:val="24"/>
          <w:highlight w:val="none"/>
        </w:rPr>
      </w:pPr>
    </w:p>
    <w:p w14:paraId="266FD7AE">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3BDFAE7B">
      <w:pPr>
        <w:snapToGrid w:val="0"/>
        <w:spacing w:before="50"/>
        <w:jc w:val="left"/>
        <w:rPr>
          <w:rFonts w:hint="eastAsia" w:ascii="宋体" w:hAnsi="宋体"/>
          <w:color w:val="auto"/>
          <w:sz w:val="24"/>
          <w:highlight w:val="none"/>
        </w:rPr>
      </w:pPr>
    </w:p>
    <w:p w14:paraId="267F5DA4">
      <w:pPr>
        <w:pStyle w:val="26"/>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48C7D2B0">
      <w:pPr>
        <w:snapToGrid w:val="0"/>
        <w:spacing w:before="50"/>
        <w:jc w:val="left"/>
        <w:rPr>
          <w:rFonts w:hint="eastAsia" w:ascii="宋体" w:hAnsi="宋体"/>
          <w:color w:val="auto"/>
          <w:sz w:val="24"/>
          <w:highlight w:val="none"/>
          <w:u w:val="single"/>
        </w:rPr>
      </w:pP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05"/>
        <w:gridCol w:w="2541"/>
        <w:gridCol w:w="1760"/>
        <w:gridCol w:w="2035"/>
      </w:tblGrid>
      <w:tr w14:paraId="391EA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05" w:type="dxa"/>
            <w:tcBorders>
              <w:top w:val="single" w:color="auto" w:sz="4" w:space="0"/>
              <w:left w:val="single" w:color="auto" w:sz="4" w:space="0"/>
              <w:bottom w:val="single" w:color="auto" w:sz="4" w:space="0"/>
              <w:right w:val="single" w:color="auto" w:sz="4" w:space="0"/>
            </w:tcBorders>
            <w:noWrap w:val="0"/>
            <w:vAlign w:val="top"/>
          </w:tcPr>
          <w:p w14:paraId="5E2BE634">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5009F54F">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2740F48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68FEFABA">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071FB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305" w:type="dxa"/>
            <w:tcBorders>
              <w:top w:val="single" w:color="auto" w:sz="4" w:space="0"/>
              <w:left w:val="single" w:color="auto" w:sz="4" w:space="0"/>
              <w:bottom w:val="single" w:color="auto" w:sz="4" w:space="0"/>
              <w:right w:val="single" w:color="auto" w:sz="4" w:space="0"/>
            </w:tcBorders>
            <w:noWrap w:val="0"/>
            <w:vAlign w:val="center"/>
          </w:tcPr>
          <w:p w14:paraId="5F0A3D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合同签订期</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4E2B7232">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F9665BB">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8F5F3D7">
            <w:pPr>
              <w:snapToGrid w:val="0"/>
              <w:spacing w:before="120" w:beforeLines="50"/>
              <w:jc w:val="center"/>
              <w:rPr>
                <w:rFonts w:hint="eastAsia" w:ascii="宋体" w:hAnsi="宋体"/>
                <w:color w:val="auto"/>
                <w:sz w:val="24"/>
                <w:highlight w:val="none"/>
              </w:rPr>
            </w:pPr>
          </w:p>
        </w:tc>
      </w:tr>
      <w:tr w14:paraId="70F99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305" w:type="dxa"/>
            <w:tcBorders>
              <w:top w:val="single" w:color="auto" w:sz="4" w:space="0"/>
              <w:left w:val="single" w:color="auto" w:sz="4" w:space="0"/>
              <w:bottom w:val="single" w:color="auto" w:sz="4" w:space="0"/>
              <w:right w:val="single" w:color="auto" w:sz="4" w:space="0"/>
            </w:tcBorders>
            <w:noWrap w:val="0"/>
            <w:vAlign w:val="center"/>
          </w:tcPr>
          <w:p w14:paraId="316020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szCs w:val="24"/>
                <w:highlight w:val="none"/>
              </w:rPr>
            </w:pPr>
            <w:r>
              <w:rPr>
                <w:rFonts w:hint="eastAsia" w:ascii="宋体" w:hAnsi="宋体" w:eastAsia="宋体" w:cs="宋体"/>
                <w:color w:val="auto"/>
                <w:sz w:val="24"/>
                <w:szCs w:val="24"/>
                <w:highlight w:val="none"/>
                <w:lang w:val="en-US" w:eastAsia="zh-CN"/>
              </w:rPr>
              <w:t>二、服务期限及地点</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24B07146">
            <w:pPr>
              <w:snapToGrid w:val="0"/>
              <w:spacing w:before="120" w:beforeLines="5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0F7EAC6">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4D36D7A">
            <w:pPr>
              <w:snapToGrid w:val="0"/>
              <w:spacing w:before="120" w:beforeLines="50"/>
              <w:ind w:left="43"/>
              <w:jc w:val="center"/>
              <w:rPr>
                <w:rFonts w:hint="eastAsia" w:ascii="宋体" w:hAnsi="宋体"/>
                <w:color w:val="auto"/>
                <w:sz w:val="24"/>
                <w:highlight w:val="none"/>
              </w:rPr>
            </w:pPr>
          </w:p>
        </w:tc>
      </w:tr>
      <w:tr w14:paraId="19093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noWrap w:val="0"/>
            <w:vAlign w:val="center"/>
          </w:tcPr>
          <w:p w14:paraId="03E003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szCs w:val="24"/>
                <w:highlight w:val="none"/>
              </w:rPr>
            </w:pPr>
            <w:r>
              <w:rPr>
                <w:rFonts w:hint="eastAsia" w:ascii="宋体" w:hAnsi="宋体" w:eastAsia="宋体" w:cs="宋体"/>
                <w:color w:val="auto"/>
                <w:sz w:val="24"/>
                <w:szCs w:val="24"/>
                <w:highlight w:val="none"/>
                <w:lang w:val="en-US" w:eastAsia="zh-CN"/>
              </w:rPr>
              <w:t>三、报价要求</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0495D67C">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F7D4075">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87873A5">
            <w:pPr>
              <w:snapToGrid w:val="0"/>
              <w:spacing w:before="120" w:beforeLines="50"/>
              <w:jc w:val="center"/>
              <w:rPr>
                <w:rFonts w:hint="eastAsia" w:ascii="宋体" w:hAnsi="宋体"/>
                <w:color w:val="auto"/>
                <w:sz w:val="24"/>
                <w:highlight w:val="none"/>
              </w:rPr>
            </w:pPr>
          </w:p>
        </w:tc>
      </w:tr>
      <w:tr w14:paraId="763A3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noWrap w:val="0"/>
            <w:vAlign w:val="center"/>
          </w:tcPr>
          <w:p w14:paraId="065163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四、付款条件</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2926667C">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A257B61">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279E2F6">
            <w:pPr>
              <w:snapToGrid w:val="0"/>
              <w:spacing w:before="120" w:beforeLines="50"/>
              <w:jc w:val="center"/>
              <w:rPr>
                <w:rFonts w:hint="eastAsia" w:ascii="宋体" w:hAnsi="宋体"/>
                <w:color w:val="auto"/>
                <w:sz w:val="24"/>
                <w:highlight w:val="none"/>
              </w:rPr>
            </w:pPr>
          </w:p>
        </w:tc>
      </w:tr>
      <w:tr w14:paraId="09953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noWrap w:val="0"/>
            <w:vAlign w:val="center"/>
          </w:tcPr>
          <w:p w14:paraId="6436BD69">
            <w:pPr>
              <w:snapToGrid w:val="0"/>
              <w:spacing w:before="120" w:beforeLines="50"/>
              <w:jc w:val="center"/>
              <w:rPr>
                <w:rFonts w:hint="eastAsia" w:ascii="宋体" w:hAnsi="宋体"/>
                <w:color w:val="auto"/>
                <w:sz w:val="24"/>
                <w:highlight w:val="none"/>
              </w:rPr>
            </w:pPr>
            <w:r>
              <w:rPr>
                <w:rFonts w:ascii="宋体" w:hAnsi="宋体"/>
                <w:color w:val="auto"/>
                <w:sz w:val="24"/>
                <w:highlight w:val="none"/>
              </w:rPr>
              <w:t>……</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1F459EE0">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F18A6EC">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55AFB4E">
            <w:pPr>
              <w:snapToGrid w:val="0"/>
              <w:spacing w:before="120" w:beforeLines="50"/>
              <w:jc w:val="center"/>
              <w:rPr>
                <w:rFonts w:hint="eastAsia" w:ascii="宋体" w:hAnsi="宋体"/>
                <w:color w:val="auto"/>
                <w:sz w:val="24"/>
                <w:highlight w:val="none"/>
              </w:rPr>
            </w:pPr>
          </w:p>
        </w:tc>
      </w:tr>
    </w:tbl>
    <w:p w14:paraId="026ACE39">
      <w:pPr>
        <w:pStyle w:val="19"/>
        <w:rPr>
          <w:rFonts w:hint="eastAsia" w:ascii="宋体" w:hAnsi="宋体"/>
          <w:color w:val="auto"/>
          <w:highlight w:val="none"/>
        </w:rPr>
      </w:pPr>
      <w:r>
        <w:rPr>
          <w:rFonts w:hint="eastAsia" w:ascii="宋体" w:hAnsi="宋体"/>
          <w:color w:val="auto"/>
          <w:highlight w:val="none"/>
        </w:rPr>
        <w:t>注：</w:t>
      </w:r>
    </w:p>
    <w:p w14:paraId="560E9B36">
      <w:pPr>
        <w:pStyle w:val="21"/>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781C35B6">
      <w:pPr>
        <w:pStyle w:val="19"/>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6B34731B">
      <w:pPr>
        <w:snapToGrid w:val="0"/>
        <w:spacing w:before="50" w:after="50"/>
        <w:rPr>
          <w:rFonts w:ascii="宋体" w:hAnsi="宋体"/>
          <w:color w:val="auto"/>
          <w:sz w:val="24"/>
          <w:highlight w:val="none"/>
        </w:rPr>
      </w:pPr>
    </w:p>
    <w:p w14:paraId="55DB8AE5">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15B085F3">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0A8B9FDF">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6B726029">
      <w:pPr>
        <w:snapToGrid w:val="0"/>
        <w:spacing w:before="120" w:beforeLines="50"/>
        <w:rPr>
          <w:rFonts w:hint="eastAsia" w:ascii="宋体" w:hAnsi="宋体"/>
          <w:color w:val="auto"/>
          <w:sz w:val="24"/>
          <w:szCs w:val="20"/>
          <w:highlight w:val="none"/>
        </w:rPr>
      </w:pPr>
    </w:p>
    <w:p w14:paraId="76BEDBA3">
      <w:pPr>
        <w:snapToGrid w:val="0"/>
        <w:spacing w:before="120" w:beforeLines="50" w:after="50"/>
        <w:jc w:val="left"/>
        <w:rPr>
          <w:rFonts w:ascii="宋体" w:hAnsi="宋体"/>
          <w:color w:val="auto"/>
          <w:sz w:val="24"/>
          <w:szCs w:val="20"/>
          <w:highlight w:val="none"/>
        </w:rPr>
      </w:pPr>
    </w:p>
    <w:p w14:paraId="5BBAC0F7">
      <w:pPr>
        <w:snapToGrid w:val="0"/>
        <w:spacing w:before="120" w:beforeLines="50" w:after="50"/>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5322FF43">
      <w:pPr>
        <w:pStyle w:val="36"/>
        <w:snapToGrid w:val="0"/>
        <w:ind w:left="480" w:hanging="480"/>
        <w:rPr>
          <w:rFonts w:hint="eastAsia" w:ascii="宋体" w:hAnsi="宋体"/>
          <w:color w:val="auto"/>
          <w:sz w:val="24"/>
          <w:highlight w:val="none"/>
        </w:rPr>
      </w:pPr>
    </w:p>
    <w:p w14:paraId="2F38757C">
      <w:pPr>
        <w:pStyle w:val="36"/>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28934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6B5BD96A">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2676356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38FDE9E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195F2E0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03C1343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0F65DE8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1DE0F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5B5DAA4F">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207D95BC">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1001D5F7">
            <w:pPr>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3FEF5FE7">
            <w:pPr>
              <w:jc w:val="left"/>
              <w:rPr>
                <w:rFonts w:hint="eastAsia" w:ascii="宋体" w:hAnsi="宋体"/>
                <w:color w:val="auto"/>
                <w:sz w:val="24"/>
                <w:highlight w:val="none"/>
              </w:rPr>
            </w:pPr>
          </w:p>
        </w:tc>
      </w:tr>
      <w:tr w14:paraId="39CC0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5A0ACBCE">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9B1C30E">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8B6850C">
            <w:pPr>
              <w:snapToGrid w:val="0"/>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FF34527">
            <w:pPr>
              <w:snapToGrid w:val="0"/>
              <w:spacing w:line="240" w:lineRule="exact"/>
              <w:jc w:val="left"/>
              <w:rPr>
                <w:rFonts w:hint="eastAsia" w:ascii="宋体" w:hAnsi="宋体"/>
                <w:color w:val="auto"/>
                <w:sz w:val="24"/>
                <w:highlight w:val="none"/>
              </w:rPr>
            </w:pPr>
          </w:p>
        </w:tc>
      </w:tr>
      <w:tr w14:paraId="67695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49CFA467">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1315E8C">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05D145C">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1B1C4B7">
            <w:pPr>
              <w:snapToGrid w:val="0"/>
              <w:spacing w:before="50" w:after="120" w:afterLines="50" w:line="400" w:lineRule="exact"/>
              <w:jc w:val="left"/>
              <w:rPr>
                <w:rFonts w:hint="eastAsia" w:ascii="宋体" w:hAnsi="宋体"/>
                <w:color w:val="auto"/>
                <w:sz w:val="24"/>
                <w:highlight w:val="none"/>
              </w:rPr>
            </w:pPr>
          </w:p>
        </w:tc>
      </w:tr>
      <w:tr w14:paraId="57773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6F3FC9F2">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E204ED7">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8C36BAD">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66835DFB">
            <w:pPr>
              <w:snapToGrid w:val="0"/>
              <w:spacing w:before="50" w:after="120" w:afterLines="50" w:line="400" w:lineRule="exact"/>
              <w:jc w:val="left"/>
              <w:rPr>
                <w:rFonts w:hint="eastAsia" w:ascii="宋体" w:hAnsi="宋体"/>
                <w:color w:val="auto"/>
                <w:sz w:val="24"/>
                <w:highlight w:val="none"/>
              </w:rPr>
            </w:pPr>
          </w:p>
        </w:tc>
      </w:tr>
      <w:tr w14:paraId="387D8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3BFC7599">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4FB61C1">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E234164">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01232C0">
            <w:pPr>
              <w:snapToGrid w:val="0"/>
              <w:spacing w:before="50" w:after="120" w:afterLines="50" w:line="400" w:lineRule="exact"/>
              <w:jc w:val="left"/>
              <w:rPr>
                <w:rFonts w:hint="eastAsia" w:ascii="宋体" w:hAnsi="宋体"/>
                <w:color w:val="auto"/>
                <w:sz w:val="24"/>
                <w:highlight w:val="none"/>
              </w:rPr>
            </w:pPr>
          </w:p>
        </w:tc>
      </w:tr>
      <w:tr w14:paraId="5EB32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41DB74EE">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16F00E9">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F306D85">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6C092840">
            <w:pPr>
              <w:snapToGrid w:val="0"/>
              <w:spacing w:before="50" w:after="120" w:afterLines="50" w:line="400" w:lineRule="exact"/>
              <w:jc w:val="left"/>
              <w:rPr>
                <w:rFonts w:hint="eastAsia" w:ascii="宋体" w:hAnsi="宋体"/>
                <w:color w:val="auto"/>
                <w:sz w:val="24"/>
                <w:highlight w:val="none"/>
              </w:rPr>
            </w:pPr>
          </w:p>
        </w:tc>
      </w:tr>
    </w:tbl>
    <w:p w14:paraId="449490E1">
      <w:pPr>
        <w:pStyle w:val="16"/>
        <w:spacing w:before="0" w:after="0" w:line="360" w:lineRule="auto"/>
        <w:contextualSpacing/>
        <w:rPr>
          <w:rFonts w:hint="eastAsia" w:ascii="宋体" w:hAnsi="宋体" w:eastAsia="宋体"/>
          <w:color w:val="auto"/>
          <w:sz w:val="24"/>
          <w:szCs w:val="24"/>
          <w:highlight w:val="none"/>
        </w:rPr>
      </w:pPr>
    </w:p>
    <w:p w14:paraId="1E771676">
      <w:pPr>
        <w:pStyle w:val="16"/>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12D9B891">
      <w:pPr>
        <w:pStyle w:val="16"/>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w:t>
      </w:r>
      <w:r>
        <w:rPr>
          <w:rFonts w:hint="eastAsia" w:ascii="宋体" w:hAnsi="宋体" w:eastAsia="宋体"/>
          <w:color w:val="auto"/>
          <w:sz w:val="24"/>
          <w:szCs w:val="24"/>
          <w:highlight w:val="none"/>
          <w:u w:val="single"/>
        </w:rPr>
        <w:t>　　　　　</w:t>
      </w:r>
    </w:p>
    <w:p w14:paraId="007A7F82">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投标人（盖公章）：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3CC10531">
      <w:pPr>
        <w:snapToGrid w:val="0"/>
        <w:spacing w:before="50"/>
        <w:ind w:firstLine="480" w:firstLineChars="200"/>
        <w:jc w:val="left"/>
        <w:rPr>
          <w:rFonts w:hint="eastAsia" w:ascii="宋体" w:hAnsi="宋体"/>
          <w:color w:val="auto"/>
          <w:sz w:val="24"/>
          <w:szCs w:val="20"/>
          <w:highlight w:val="none"/>
        </w:rPr>
      </w:pPr>
    </w:p>
    <w:p w14:paraId="1960FD9B">
      <w:pPr>
        <w:snapToGrid w:val="0"/>
        <w:spacing w:before="50"/>
        <w:jc w:val="left"/>
        <w:rPr>
          <w:rFonts w:hint="eastAsia" w:ascii="宋体" w:hAnsi="宋体"/>
          <w:color w:val="auto"/>
          <w:sz w:val="24"/>
          <w:highlight w:val="none"/>
        </w:rPr>
      </w:pPr>
    </w:p>
    <w:p w14:paraId="11DC2B52">
      <w:pPr>
        <w:snapToGrid w:val="0"/>
        <w:spacing w:before="120" w:beforeLines="50"/>
        <w:rPr>
          <w:rFonts w:ascii="宋体" w:hAnsi="宋体"/>
          <w:color w:val="auto"/>
          <w:sz w:val="24"/>
          <w:szCs w:val="20"/>
          <w:highlight w:val="none"/>
        </w:rPr>
        <w:sectPr>
          <w:pgSz w:w="11906" w:h="16838"/>
          <w:pgMar w:top="1440" w:right="1797" w:bottom="1440" w:left="1797" w:header="851" w:footer="992" w:gutter="0"/>
          <w:pgNumType w:fmt="decimal"/>
          <w:cols w:space="720" w:num="1"/>
          <w:docGrid w:linePitch="312" w:charSpace="0"/>
        </w:sectPr>
      </w:pPr>
    </w:p>
    <w:p w14:paraId="3E83C227">
      <w:pPr>
        <w:rPr>
          <w:rFonts w:hint="eastAsia"/>
          <w:b/>
          <w:color w:val="auto"/>
          <w:sz w:val="28"/>
          <w:szCs w:val="28"/>
          <w:highlight w:val="none"/>
        </w:rPr>
      </w:pPr>
      <w:r>
        <w:rPr>
          <w:rFonts w:hint="eastAsia"/>
          <w:b/>
          <w:color w:val="auto"/>
          <w:sz w:val="28"/>
          <w:szCs w:val="28"/>
          <w:highlight w:val="none"/>
        </w:rPr>
        <w:t>四、技术文件格式</w:t>
      </w:r>
    </w:p>
    <w:p w14:paraId="24857C98">
      <w:pPr>
        <w:snapToGrid w:val="0"/>
        <w:spacing w:before="120" w:beforeLines="50" w:after="50"/>
        <w:ind w:left="142"/>
        <w:jc w:val="left"/>
        <w:rPr>
          <w:rFonts w:hint="eastAsia" w:ascii="宋体" w:hAnsi="宋体"/>
          <w:b/>
          <w:color w:val="auto"/>
          <w:sz w:val="24"/>
          <w:highlight w:val="none"/>
        </w:rPr>
      </w:pPr>
      <w:r>
        <w:rPr>
          <w:rFonts w:hint="eastAsia" w:ascii="宋体" w:hAnsi="宋体"/>
          <w:b/>
          <w:color w:val="auto"/>
          <w:sz w:val="24"/>
          <w:highlight w:val="none"/>
        </w:rPr>
        <w:t xml:space="preserve">1. 技术文件封面格式： </w:t>
      </w:r>
    </w:p>
    <w:p w14:paraId="2DE60D12">
      <w:pPr>
        <w:snapToGrid w:val="0"/>
        <w:spacing w:before="120" w:beforeLines="50" w:after="50"/>
        <w:rPr>
          <w:rFonts w:hint="eastAsia" w:ascii="宋体" w:hAnsi="宋体"/>
          <w:b/>
          <w:bCs/>
          <w:color w:val="auto"/>
          <w:sz w:val="32"/>
          <w:szCs w:val="20"/>
          <w:highlight w:val="none"/>
        </w:rPr>
      </w:pPr>
      <w:r>
        <w:rPr>
          <w:rFonts w:hint="eastAsia" w:ascii="宋体" w:hAnsi="宋体"/>
          <w:color w:val="auto"/>
          <w:sz w:val="24"/>
          <w:highlight w:val="none"/>
        </w:rPr>
        <w:t xml:space="preserve">                                                   </w:t>
      </w:r>
    </w:p>
    <w:p w14:paraId="55C34559">
      <w:pPr>
        <w:snapToGrid w:val="0"/>
        <w:spacing w:before="120" w:beforeLines="50" w:after="50"/>
        <w:rPr>
          <w:rFonts w:hint="eastAsia" w:ascii="宋体" w:hAnsi="宋体"/>
          <w:color w:val="auto"/>
          <w:sz w:val="24"/>
          <w:szCs w:val="20"/>
          <w:highlight w:val="none"/>
        </w:rPr>
      </w:pPr>
    </w:p>
    <w:p w14:paraId="4105337D">
      <w:pPr>
        <w:snapToGrid w:val="0"/>
        <w:spacing w:before="120" w:beforeLines="50" w:after="50"/>
        <w:rPr>
          <w:rFonts w:hint="eastAsia" w:ascii="宋体" w:hAnsi="宋体"/>
          <w:color w:val="auto"/>
          <w:sz w:val="24"/>
          <w:szCs w:val="20"/>
          <w:highlight w:val="none"/>
        </w:rPr>
      </w:pPr>
    </w:p>
    <w:p w14:paraId="1E946572">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6747CF49">
      <w:pPr>
        <w:snapToGrid w:val="0"/>
        <w:spacing w:before="120" w:beforeLines="50" w:after="50"/>
        <w:rPr>
          <w:rFonts w:hint="eastAsia" w:ascii="宋体" w:hAnsi="宋体"/>
          <w:color w:val="auto"/>
          <w:sz w:val="24"/>
          <w:szCs w:val="20"/>
          <w:highlight w:val="none"/>
        </w:rPr>
      </w:pPr>
    </w:p>
    <w:p w14:paraId="7DEBADDE">
      <w:pPr>
        <w:snapToGrid w:val="0"/>
        <w:spacing w:before="120" w:beforeLines="50" w:after="50"/>
        <w:rPr>
          <w:rFonts w:hint="eastAsia" w:ascii="宋体" w:hAnsi="宋体"/>
          <w:color w:val="auto"/>
          <w:sz w:val="24"/>
          <w:szCs w:val="20"/>
          <w:highlight w:val="none"/>
        </w:rPr>
      </w:pPr>
    </w:p>
    <w:p w14:paraId="615648F9">
      <w:pPr>
        <w:snapToGrid w:val="0"/>
        <w:spacing w:before="12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  术  文  件</w:t>
      </w:r>
    </w:p>
    <w:p w14:paraId="373190E3">
      <w:pPr>
        <w:snapToGrid w:val="0"/>
        <w:spacing w:before="120" w:beforeLines="50" w:after="50"/>
        <w:rPr>
          <w:rFonts w:hint="eastAsia" w:ascii="宋体" w:hAnsi="宋体"/>
          <w:bCs/>
          <w:color w:val="auto"/>
          <w:sz w:val="24"/>
          <w:szCs w:val="20"/>
          <w:highlight w:val="none"/>
        </w:rPr>
      </w:pPr>
    </w:p>
    <w:p w14:paraId="28DE285A">
      <w:pPr>
        <w:snapToGrid w:val="0"/>
        <w:spacing w:before="120" w:beforeLines="50" w:after="50"/>
        <w:rPr>
          <w:rFonts w:hint="eastAsia" w:ascii="宋体" w:hAnsi="宋体"/>
          <w:bCs/>
          <w:color w:val="auto"/>
          <w:sz w:val="24"/>
          <w:szCs w:val="20"/>
          <w:highlight w:val="none"/>
        </w:rPr>
      </w:pPr>
    </w:p>
    <w:p w14:paraId="2E4C1470">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4E6C073B">
      <w:pPr>
        <w:snapToGrid w:val="0"/>
        <w:spacing w:before="120" w:beforeLines="50" w:after="50" w:line="400" w:lineRule="exact"/>
        <w:ind w:firstLine="360" w:firstLineChars="150"/>
        <w:rPr>
          <w:rFonts w:hint="eastAsia" w:ascii="宋体" w:hAnsi="宋体"/>
          <w:bCs/>
          <w:color w:val="auto"/>
          <w:sz w:val="24"/>
          <w:szCs w:val="20"/>
          <w:highlight w:val="none"/>
        </w:rPr>
      </w:pPr>
    </w:p>
    <w:p w14:paraId="2BCA75D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050DF02E">
      <w:pPr>
        <w:snapToGrid w:val="0"/>
        <w:spacing w:before="120" w:beforeLines="50" w:after="50" w:line="400" w:lineRule="exact"/>
        <w:ind w:firstLine="360" w:firstLineChars="150"/>
        <w:rPr>
          <w:rFonts w:hint="eastAsia" w:ascii="宋体" w:hAnsi="宋体"/>
          <w:bCs/>
          <w:color w:val="auto"/>
          <w:sz w:val="24"/>
          <w:highlight w:val="none"/>
        </w:rPr>
      </w:pPr>
    </w:p>
    <w:p w14:paraId="60B1F6AE">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1A891A64">
      <w:pPr>
        <w:snapToGrid w:val="0"/>
        <w:spacing w:before="120" w:beforeLines="50" w:after="50" w:line="400" w:lineRule="exact"/>
        <w:ind w:firstLine="360" w:firstLineChars="150"/>
        <w:rPr>
          <w:rFonts w:hint="eastAsia" w:ascii="宋体" w:hAnsi="宋体"/>
          <w:bCs/>
          <w:color w:val="auto"/>
          <w:sz w:val="24"/>
          <w:highlight w:val="none"/>
        </w:rPr>
      </w:pPr>
    </w:p>
    <w:p w14:paraId="1C20D39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0D10E796">
      <w:pPr>
        <w:snapToGrid w:val="0"/>
        <w:spacing w:before="120" w:beforeLines="50" w:after="50" w:line="400" w:lineRule="exact"/>
        <w:ind w:firstLine="360" w:firstLineChars="150"/>
        <w:rPr>
          <w:rFonts w:hint="eastAsia" w:ascii="宋体" w:hAnsi="宋体"/>
          <w:bCs/>
          <w:color w:val="auto"/>
          <w:sz w:val="24"/>
          <w:highlight w:val="none"/>
        </w:rPr>
      </w:pPr>
    </w:p>
    <w:p w14:paraId="52CD938D">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6048F58">
      <w:pPr>
        <w:snapToGrid w:val="0"/>
        <w:spacing w:before="120" w:beforeLines="50" w:after="50" w:line="400" w:lineRule="exact"/>
        <w:ind w:firstLine="360" w:firstLineChars="150"/>
        <w:rPr>
          <w:rFonts w:hint="eastAsia" w:ascii="宋体" w:hAnsi="宋体"/>
          <w:bCs/>
          <w:color w:val="auto"/>
          <w:sz w:val="24"/>
          <w:highlight w:val="none"/>
        </w:rPr>
      </w:pPr>
    </w:p>
    <w:p w14:paraId="60A48D21">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w:t>
      </w:r>
    </w:p>
    <w:p w14:paraId="50C233B6">
      <w:pPr>
        <w:snapToGrid w:val="0"/>
        <w:spacing w:before="120" w:beforeLines="50" w:after="50"/>
        <w:ind w:firstLine="645"/>
        <w:jc w:val="center"/>
        <w:rPr>
          <w:rFonts w:hint="eastAsia" w:ascii="宋体" w:hAnsi="宋体"/>
          <w:color w:val="auto"/>
          <w:sz w:val="24"/>
          <w:highlight w:val="none"/>
        </w:rPr>
      </w:pPr>
    </w:p>
    <w:p w14:paraId="1E311697">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69826AA8">
      <w:pPr>
        <w:snapToGrid w:val="0"/>
        <w:spacing w:before="120" w:beforeLines="50" w:after="50"/>
        <w:ind w:firstLine="645"/>
        <w:jc w:val="center"/>
        <w:rPr>
          <w:rFonts w:hint="eastAsia" w:ascii="宋体" w:hAnsi="宋体"/>
          <w:color w:val="auto"/>
          <w:sz w:val="24"/>
          <w:szCs w:val="20"/>
          <w:highlight w:val="none"/>
        </w:rPr>
      </w:pPr>
    </w:p>
    <w:p w14:paraId="6AD93E16">
      <w:pPr>
        <w:snapToGrid w:val="0"/>
        <w:spacing w:before="120" w:beforeLines="50" w:after="50"/>
        <w:ind w:left="142"/>
        <w:jc w:val="left"/>
        <w:rPr>
          <w:rFonts w:hint="eastAsia"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6C8D1F0A">
      <w:pPr>
        <w:snapToGrid w:val="0"/>
        <w:spacing w:before="50" w:after="120" w:afterLines="5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根据招标文件规定及投标人提供的材料自行编写目录。</w:t>
      </w:r>
    </w:p>
    <w:p w14:paraId="682B45E4">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3FA5ADE5">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、服务方案</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0BEB422E">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、项目实施人员一览表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00E18F2C">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、除招标文件规定必须提供以外，投标人需要说明的其他文件和说明</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0125884E">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技术要求偏离表格式</w:t>
      </w:r>
    </w:p>
    <w:p w14:paraId="3639F398">
      <w:pPr>
        <w:snapToGrid w:val="0"/>
        <w:spacing w:before="120" w:beforeLines="50" w:after="50"/>
        <w:ind w:left="142"/>
        <w:jc w:val="left"/>
        <w:rPr>
          <w:rFonts w:hint="eastAsia" w:ascii="宋体" w:hAnsi="宋体"/>
          <w:b/>
          <w:color w:val="auto"/>
          <w:sz w:val="24"/>
          <w:highlight w:val="none"/>
        </w:rPr>
      </w:pPr>
    </w:p>
    <w:p w14:paraId="602F61AB">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478E9ADA">
      <w:pPr>
        <w:pStyle w:val="26"/>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64DE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65AA515B">
            <w:pPr>
              <w:pStyle w:val="26"/>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noWrap w:val="0"/>
            <w:vAlign w:val="center"/>
          </w:tcPr>
          <w:p w14:paraId="5ADCB773">
            <w:pPr>
              <w:pStyle w:val="26"/>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标的名称</w:t>
            </w:r>
          </w:p>
        </w:tc>
        <w:tc>
          <w:tcPr>
            <w:tcW w:w="1834" w:type="dxa"/>
            <w:noWrap w:val="0"/>
            <w:vAlign w:val="center"/>
          </w:tcPr>
          <w:p w14:paraId="302451D2">
            <w:pPr>
              <w:pStyle w:val="2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noWrap w:val="0"/>
            <w:vAlign w:val="center"/>
          </w:tcPr>
          <w:p w14:paraId="60FDDDF0">
            <w:pPr>
              <w:pStyle w:val="26"/>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noWrap w:val="0"/>
            <w:vAlign w:val="center"/>
          </w:tcPr>
          <w:p w14:paraId="5760AE8D">
            <w:pPr>
              <w:pStyle w:val="26"/>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06F4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2458DCF">
            <w:pPr>
              <w:pStyle w:val="26"/>
              <w:spacing w:line="600" w:lineRule="exact"/>
              <w:jc w:val="center"/>
              <w:rPr>
                <w:rFonts w:hint="eastAsia" w:hAnsi="宋体" w:cs="Courier New"/>
                <w:color w:val="auto"/>
                <w:kern w:val="2"/>
                <w:sz w:val="24"/>
                <w:szCs w:val="24"/>
                <w:highlight w:val="none"/>
              </w:rPr>
            </w:pPr>
          </w:p>
        </w:tc>
        <w:tc>
          <w:tcPr>
            <w:tcW w:w="2143" w:type="dxa"/>
            <w:noWrap w:val="0"/>
            <w:vAlign w:val="center"/>
          </w:tcPr>
          <w:p w14:paraId="20E66F8D">
            <w:pPr>
              <w:pStyle w:val="26"/>
              <w:spacing w:line="600" w:lineRule="exact"/>
              <w:jc w:val="center"/>
              <w:rPr>
                <w:rFonts w:hint="eastAsia" w:hAnsi="宋体" w:cs="Courier New"/>
                <w:color w:val="auto"/>
                <w:kern w:val="2"/>
                <w:sz w:val="24"/>
                <w:szCs w:val="24"/>
                <w:highlight w:val="none"/>
              </w:rPr>
            </w:pPr>
          </w:p>
        </w:tc>
        <w:tc>
          <w:tcPr>
            <w:tcW w:w="1834" w:type="dxa"/>
            <w:noWrap w:val="0"/>
            <w:vAlign w:val="center"/>
          </w:tcPr>
          <w:p w14:paraId="20224D51">
            <w:pPr>
              <w:pStyle w:val="26"/>
              <w:spacing w:line="600" w:lineRule="exact"/>
              <w:jc w:val="center"/>
              <w:rPr>
                <w:rFonts w:hint="eastAsia" w:hAnsi="宋体" w:cs="Courier New"/>
                <w:color w:val="auto"/>
                <w:kern w:val="2"/>
                <w:sz w:val="24"/>
                <w:szCs w:val="24"/>
                <w:highlight w:val="none"/>
              </w:rPr>
            </w:pPr>
          </w:p>
        </w:tc>
        <w:tc>
          <w:tcPr>
            <w:tcW w:w="2181" w:type="dxa"/>
            <w:noWrap w:val="0"/>
            <w:vAlign w:val="center"/>
          </w:tcPr>
          <w:p w14:paraId="62B2EF0E">
            <w:pPr>
              <w:pStyle w:val="26"/>
              <w:spacing w:line="600" w:lineRule="exact"/>
              <w:jc w:val="center"/>
              <w:rPr>
                <w:rFonts w:hint="eastAsia" w:hAnsi="宋体" w:cs="Courier New"/>
                <w:color w:val="auto"/>
                <w:kern w:val="2"/>
                <w:sz w:val="24"/>
                <w:szCs w:val="24"/>
                <w:highlight w:val="none"/>
              </w:rPr>
            </w:pPr>
          </w:p>
        </w:tc>
        <w:tc>
          <w:tcPr>
            <w:tcW w:w="1934" w:type="dxa"/>
            <w:noWrap w:val="0"/>
            <w:vAlign w:val="center"/>
          </w:tcPr>
          <w:p w14:paraId="664FB74D">
            <w:pPr>
              <w:pStyle w:val="26"/>
              <w:spacing w:line="600" w:lineRule="exact"/>
              <w:jc w:val="center"/>
              <w:rPr>
                <w:rFonts w:hint="eastAsia" w:hAnsi="宋体" w:cs="Courier New"/>
                <w:color w:val="auto"/>
                <w:kern w:val="2"/>
                <w:sz w:val="24"/>
                <w:szCs w:val="24"/>
                <w:highlight w:val="none"/>
              </w:rPr>
            </w:pPr>
          </w:p>
        </w:tc>
      </w:tr>
      <w:tr w14:paraId="00A9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8CE3D24">
            <w:pPr>
              <w:pStyle w:val="26"/>
              <w:spacing w:line="600" w:lineRule="exact"/>
              <w:rPr>
                <w:rFonts w:hint="eastAsia" w:hAnsi="宋体" w:cs="Courier New"/>
                <w:color w:val="auto"/>
                <w:kern w:val="2"/>
                <w:sz w:val="24"/>
                <w:szCs w:val="24"/>
                <w:highlight w:val="none"/>
              </w:rPr>
            </w:pPr>
          </w:p>
        </w:tc>
        <w:tc>
          <w:tcPr>
            <w:tcW w:w="2143" w:type="dxa"/>
            <w:noWrap w:val="0"/>
            <w:vAlign w:val="top"/>
          </w:tcPr>
          <w:p w14:paraId="46F21B12">
            <w:pPr>
              <w:pStyle w:val="26"/>
              <w:spacing w:line="600" w:lineRule="exact"/>
              <w:rPr>
                <w:rFonts w:hint="eastAsia" w:hAnsi="宋体" w:cs="Courier New"/>
                <w:color w:val="auto"/>
                <w:kern w:val="2"/>
                <w:sz w:val="24"/>
                <w:szCs w:val="24"/>
                <w:highlight w:val="none"/>
              </w:rPr>
            </w:pPr>
          </w:p>
        </w:tc>
        <w:tc>
          <w:tcPr>
            <w:tcW w:w="1834" w:type="dxa"/>
            <w:noWrap w:val="0"/>
            <w:vAlign w:val="top"/>
          </w:tcPr>
          <w:p w14:paraId="1472684E">
            <w:pPr>
              <w:pStyle w:val="26"/>
              <w:spacing w:line="600" w:lineRule="exact"/>
              <w:rPr>
                <w:rFonts w:hint="eastAsia" w:hAnsi="宋体" w:cs="Courier New"/>
                <w:color w:val="auto"/>
                <w:kern w:val="2"/>
                <w:sz w:val="24"/>
                <w:szCs w:val="24"/>
                <w:highlight w:val="none"/>
              </w:rPr>
            </w:pPr>
          </w:p>
        </w:tc>
        <w:tc>
          <w:tcPr>
            <w:tcW w:w="2181" w:type="dxa"/>
            <w:noWrap w:val="0"/>
            <w:vAlign w:val="top"/>
          </w:tcPr>
          <w:p w14:paraId="05E48A3E">
            <w:pPr>
              <w:pStyle w:val="26"/>
              <w:spacing w:line="600" w:lineRule="exact"/>
              <w:rPr>
                <w:rFonts w:hint="eastAsia" w:hAnsi="宋体" w:cs="Courier New"/>
                <w:color w:val="auto"/>
                <w:kern w:val="2"/>
                <w:sz w:val="24"/>
                <w:szCs w:val="24"/>
                <w:highlight w:val="none"/>
              </w:rPr>
            </w:pPr>
          </w:p>
        </w:tc>
        <w:tc>
          <w:tcPr>
            <w:tcW w:w="1934" w:type="dxa"/>
            <w:noWrap w:val="0"/>
            <w:vAlign w:val="top"/>
          </w:tcPr>
          <w:p w14:paraId="4775A633">
            <w:pPr>
              <w:pStyle w:val="26"/>
              <w:spacing w:line="600" w:lineRule="exact"/>
              <w:rPr>
                <w:rFonts w:hint="eastAsia" w:hAnsi="宋体" w:cs="Courier New"/>
                <w:color w:val="auto"/>
                <w:kern w:val="2"/>
                <w:sz w:val="24"/>
                <w:szCs w:val="24"/>
                <w:highlight w:val="none"/>
              </w:rPr>
            </w:pPr>
          </w:p>
        </w:tc>
      </w:tr>
      <w:tr w14:paraId="2FC7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3B1FB9D">
            <w:pPr>
              <w:pStyle w:val="26"/>
              <w:spacing w:line="600" w:lineRule="exact"/>
              <w:rPr>
                <w:rFonts w:hint="eastAsia" w:hAnsi="宋体" w:cs="Courier New"/>
                <w:color w:val="auto"/>
                <w:kern w:val="2"/>
                <w:sz w:val="24"/>
                <w:szCs w:val="24"/>
                <w:highlight w:val="none"/>
              </w:rPr>
            </w:pPr>
          </w:p>
        </w:tc>
        <w:tc>
          <w:tcPr>
            <w:tcW w:w="2143" w:type="dxa"/>
            <w:noWrap w:val="0"/>
            <w:vAlign w:val="top"/>
          </w:tcPr>
          <w:p w14:paraId="425FA500">
            <w:pPr>
              <w:pStyle w:val="26"/>
              <w:spacing w:line="600" w:lineRule="exact"/>
              <w:rPr>
                <w:rFonts w:hint="eastAsia" w:hAnsi="宋体" w:cs="Courier New"/>
                <w:color w:val="auto"/>
                <w:kern w:val="2"/>
                <w:sz w:val="24"/>
                <w:szCs w:val="24"/>
                <w:highlight w:val="none"/>
              </w:rPr>
            </w:pPr>
          </w:p>
        </w:tc>
        <w:tc>
          <w:tcPr>
            <w:tcW w:w="1834" w:type="dxa"/>
            <w:noWrap w:val="0"/>
            <w:vAlign w:val="top"/>
          </w:tcPr>
          <w:p w14:paraId="71EBD293">
            <w:pPr>
              <w:pStyle w:val="26"/>
              <w:spacing w:line="600" w:lineRule="exact"/>
              <w:rPr>
                <w:rFonts w:hint="eastAsia" w:hAnsi="宋体" w:cs="Courier New"/>
                <w:color w:val="auto"/>
                <w:kern w:val="2"/>
                <w:sz w:val="24"/>
                <w:szCs w:val="24"/>
                <w:highlight w:val="none"/>
              </w:rPr>
            </w:pPr>
          </w:p>
        </w:tc>
        <w:tc>
          <w:tcPr>
            <w:tcW w:w="2181" w:type="dxa"/>
            <w:noWrap w:val="0"/>
            <w:vAlign w:val="top"/>
          </w:tcPr>
          <w:p w14:paraId="7CF40F94">
            <w:pPr>
              <w:pStyle w:val="26"/>
              <w:spacing w:line="600" w:lineRule="exact"/>
              <w:rPr>
                <w:rFonts w:hint="eastAsia" w:hAnsi="宋体" w:cs="Courier New"/>
                <w:color w:val="auto"/>
                <w:kern w:val="2"/>
                <w:sz w:val="24"/>
                <w:szCs w:val="24"/>
                <w:highlight w:val="none"/>
              </w:rPr>
            </w:pPr>
          </w:p>
        </w:tc>
        <w:tc>
          <w:tcPr>
            <w:tcW w:w="1934" w:type="dxa"/>
            <w:noWrap w:val="0"/>
            <w:vAlign w:val="top"/>
          </w:tcPr>
          <w:p w14:paraId="785D7C58">
            <w:pPr>
              <w:pStyle w:val="26"/>
              <w:spacing w:line="600" w:lineRule="exact"/>
              <w:rPr>
                <w:rFonts w:hint="eastAsia" w:hAnsi="宋体" w:cs="Courier New"/>
                <w:color w:val="auto"/>
                <w:kern w:val="2"/>
                <w:sz w:val="24"/>
                <w:szCs w:val="24"/>
                <w:highlight w:val="none"/>
              </w:rPr>
            </w:pPr>
          </w:p>
        </w:tc>
      </w:tr>
      <w:tr w14:paraId="2F5B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4DD20AD">
            <w:pPr>
              <w:pStyle w:val="26"/>
              <w:spacing w:line="600" w:lineRule="exact"/>
              <w:rPr>
                <w:rFonts w:hint="eastAsia" w:hAnsi="宋体" w:cs="Courier New"/>
                <w:color w:val="auto"/>
                <w:kern w:val="2"/>
                <w:sz w:val="24"/>
                <w:szCs w:val="24"/>
                <w:highlight w:val="none"/>
              </w:rPr>
            </w:pPr>
          </w:p>
        </w:tc>
        <w:tc>
          <w:tcPr>
            <w:tcW w:w="2143" w:type="dxa"/>
            <w:noWrap w:val="0"/>
            <w:vAlign w:val="top"/>
          </w:tcPr>
          <w:p w14:paraId="2097E459">
            <w:pPr>
              <w:pStyle w:val="26"/>
              <w:spacing w:line="600" w:lineRule="exact"/>
              <w:rPr>
                <w:rFonts w:hint="eastAsia" w:hAnsi="宋体" w:cs="Courier New"/>
                <w:color w:val="auto"/>
                <w:kern w:val="2"/>
                <w:sz w:val="24"/>
                <w:szCs w:val="24"/>
                <w:highlight w:val="none"/>
              </w:rPr>
            </w:pPr>
          </w:p>
        </w:tc>
        <w:tc>
          <w:tcPr>
            <w:tcW w:w="1834" w:type="dxa"/>
            <w:noWrap w:val="0"/>
            <w:vAlign w:val="top"/>
          </w:tcPr>
          <w:p w14:paraId="6FEDDD52">
            <w:pPr>
              <w:pStyle w:val="26"/>
              <w:spacing w:line="600" w:lineRule="exact"/>
              <w:rPr>
                <w:rFonts w:hint="eastAsia" w:hAnsi="宋体" w:cs="Courier New"/>
                <w:color w:val="auto"/>
                <w:kern w:val="2"/>
                <w:sz w:val="24"/>
                <w:szCs w:val="24"/>
                <w:highlight w:val="none"/>
              </w:rPr>
            </w:pPr>
          </w:p>
        </w:tc>
        <w:tc>
          <w:tcPr>
            <w:tcW w:w="2181" w:type="dxa"/>
            <w:noWrap w:val="0"/>
            <w:vAlign w:val="top"/>
          </w:tcPr>
          <w:p w14:paraId="74B349F3">
            <w:pPr>
              <w:pStyle w:val="26"/>
              <w:spacing w:line="600" w:lineRule="exact"/>
              <w:rPr>
                <w:rFonts w:hint="eastAsia" w:hAnsi="宋体" w:cs="Courier New"/>
                <w:color w:val="auto"/>
                <w:kern w:val="2"/>
                <w:sz w:val="24"/>
                <w:szCs w:val="24"/>
                <w:highlight w:val="none"/>
              </w:rPr>
            </w:pPr>
          </w:p>
        </w:tc>
        <w:tc>
          <w:tcPr>
            <w:tcW w:w="1934" w:type="dxa"/>
            <w:noWrap w:val="0"/>
            <w:vAlign w:val="top"/>
          </w:tcPr>
          <w:p w14:paraId="672DA965">
            <w:pPr>
              <w:pStyle w:val="26"/>
              <w:spacing w:line="600" w:lineRule="exact"/>
              <w:rPr>
                <w:rFonts w:hint="eastAsia" w:hAnsi="宋体" w:cs="Courier New"/>
                <w:color w:val="auto"/>
                <w:kern w:val="2"/>
                <w:sz w:val="24"/>
                <w:szCs w:val="24"/>
                <w:highlight w:val="none"/>
              </w:rPr>
            </w:pPr>
          </w:p>
        </w:tc>
      </w:tr>
      <w:tr w14:paraId="6B84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AACC5F4">
            <w:pPr>
              <w:pStyle w:val="26"/>
              <w:spacing w:line="600" w:lineRule="exact"/>
              <w:rPr>
                <w:rFonts w:hint="eastAsia" w:hAnsi="宋体" w:cs="Courier New"/>
                <w:color w:val="auto"/>
                <w:kern w:val="2"/>
                <w:sz w:val="24"/>
                <w:szCs w:val="24"/>
                <w:highlight w:val="none"/>
              </w:rPr>
            </w:pPr>
          </w:p>
        </w:tc>
        <w:tc>
          <w:tcPr>
            <w:tcW w:w="2143" w:type="dxa"/>
            <w:noWrap w:val="0"/>
            <w:vAlign w:val="top"/>
          </w:tcPr>
          <w:p w14:paraId="3C3B3C78">
            <w:pPr>
              <w:pStyle w:val="26"/>
              <w:spacing w:line="600" w:lineRule="exact"/>
              <w:rPr>
                <w:rFonts w:hint="eastAsia" w:hAnsi="宋体" w:cs="Courier New"/>
                <w:color w:val="auto"/>
                <w:kern w:val="2"/>
                <w:sz w:val="24"/>
                <w:szCs w:val="24"/>
                <w:highlight w:val="none"/>
              </w:rPr>
            </w:pPr>
          </w:p>
        </w:tc>
        <w:tc>
          <w:tcPr>
            <w:tcW w:w="1834" w:type="dxa"/>
            <w:noWrap w:val="0"/>
            <w:vAlign w:val="top"/>
          </w:tcPr>
          <w:p w14:paraId="7B47919E">
            <w:pPr>
              <w:pStyle w:val="26"/>
              <w:spacing w:line="600" w:lineRule="exact"/>
              <w:rPr>
                <w:rFonts w:hint="eastAsia" w:hAnsi="宋体" w:cs="Courier New"/>
                <w:color w:val="auto"/>
                <w:kern w:val="2"/>
                <w:sz w:val="24"/>
                <w:szCs w:val="24"/>
                <w:highlight w:val="none"/>
              </w:rPr>
            </w:pPr>
          </w:p>
        </w:tc>
        <w:tc>
          <w:tcPr>
            <w:tcW w:w="2181" w:type="dxa"/>
            <w:noWrap w:val="0"/>
            <w:vAlign w:val="top"/>
          </w:tcPr>
          <w:p w14:paraId="1864EC10">
            <w:pPr>
              <w:pStyle w:val="26"/>
              <w:spacing w:line="600" w:lineRule="exact"/>
              <w:rPr>
                <w:rFonts w:hint="eastAsia" w:hAnsi="宋体" w:cs="Courier New"/>
                <w:color w:val="auto"/>
                <w:kern w:val="2"/>
                <w:sz w:val="24"/>
                <w:szCs w:val="24"/>
                <w:highlight w:val="none"/>
              </w:rPr>
            </w:pPr>
          </w:p>
        </w:tc>
        <w:tc>
          <w:tcPr>
            <w:tcW w:w="1934" w:type="dxa"/>
            <w:noWrap w:val="0"/>
            <w:vAlign w:val="top"/>
          </w:tcPr>
          <w:p w14:paraId="3398244B">
            <w:pPr>
              <w:pStyle w:val="26"/>
              <w:spacing w:line="600" w:lineRule="exact"/>
              <w:rPr>
                <w:rFonts w:hint="eastAsia" w:hAnsi="宋体" w:cs="Courier New"/>
                <w:color w:val="auto"/>
                <w:kern w:val="2"/>
                <w:sz w:val="24"/>
                <w:szCs w:val="24"/>
                <w:highlight w:val="none"/>
              </w:rPr>
            </w:pPr>
          </w:p>
        </w:tc>
      </w:tr>
      <w:tr w14:paraId="4988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662D344">
            <w:pPr>
              <w:pStyle w:val="26"/>
              <w:spacing w:line="600" w:lineRule="exact"/>
              <w:rPr>
                <w:rFonts w:hint="eastAsia" w:hAnsi="宋体" w:cs="Courier New"/>
                <w:color w:val="auto"/>
                <w:kern w:val="2"/>
                <w:sz w:val="24"/>
                <w:szCs w:val="24"/>
                <w:highlight w:val="none"/>
              </w:rPr>
            </w:pPr>
          </w:p>
        </w:tc>
        <w:tc>
          <w:tcPr>
            <w:tcW w:w="2143" w:type="dxa"/>
            <w:noWrap w:val="0"/>
            <w:vAlign w:val="top"/>
          </w:tcPr>
          <w:p w14:paraId="6B7A0990">
            <w:pPr>
              <w:pStyle w:val="26"/>
              <w:spacing w:line="600" w:lineRule="exact"/>
              <w:rPr>
                <w:rFonts w:hint="eastAsia" w:hAnsi="宋体" w:cs="Courier New"/>
                <w:color w:val="auto"/>
                <w:kern w:val="2"/>
                <w:sz w:val="24"/>
                <w:szCs w:val="24"/>
                <w:highlight w:val="none"/>
              </w:rPr>
            </w:pPr>
          </w:p>
        </w:tc>
        <w:tc>
          <w:tcPr>
            <w:tcW w:w="1834" w:type="dxa"/>
            <w:noWrap w:val="0"/>
            <w:vAlign w:val="top"/>
          </w:tcPr>
          <w:p w14:paraId="056DF07B">
            <w:pPr>
              <w:pStyle w:val="26"/>
              <w:spacing w:line="600" w:lineRule="exact"/>
              <w:rPr>
                <w:rFonts w:hint="eastAsia" w:hAnsi="宋体" w:cs="Courier New"/>
                <w:color w:val="auto"/>
                <w:kern w:val="2"/>
                <w:sz w:val="24"/>
                <w:szCs w:val="24"/>
                <w:highlight w:val="none"/>
              </w:rPr>
            </w:pPr>
          </w:p>
        </w:tc>
        <w:tc>
          <w:tcPr>
            <w:tcW w:w="2181" w:type="dxa"/>
            <w:noWrap w:val="0"/>
            <w:vAlign w:val="top"/>
          </w:tcPr>
          <w:p w14:paraId="4A3865BE">
            <w:pPr>
              <w:pStyle w:val="26"/>
              <w:spacing w:line="600" w:lineRule="exact"/>
              <w:rPr>
                <w:rFonts w:hint="eastAsia" w:hAnsi="宋体" w:cs="Courier New"/>
                <w:color w:val="auto"/>
                <w:kern w:val="2"/>
                <w:sz w:val="24"/>
                <w:szCs w:val="24"/>
                <w:highlight w:val="none"/>
              </w:rPr>
            </w:pPr>
          </w:p>
        </w:tc>
        <w:tc>
          <w:tcPr>
            <w:tcW w:w="1934" w:type="dxa"/>
            <w:noWrap w:val="0"/>
            <w:vAlign w:val="top"/>
          </w:tcPr>
          <w:p w14:paraId="36C8E472">
            <w:pPr>
              <w:pStyle w:val="26"/>
              <w:spacing w:line="600" w:lineRule="exact"/>
              <w:rPr>
                <w:rFonts w:hint="eastAsia" w:hAnsi="宋体" w:cs="Courier New"/>
                <w:color w:val="auto"/>
                <w:kern w:val="2"/>
                <w:sz w:val="24"/>
                <w:szCs w:val="24"/>
                <w:highlight w:val="none"/>
              </w:rPr>
            </w:pPr>
          </w:p>
        </w:tc>
      </w:tr>
    </w:tbl>
    <w:p w14:paraId="0C55208E">
      <w:pPr>
        <w:pStyle w:val="19"/>
        <w:rPr>
          <w:rFonts w:hint="eastAsia" w:ascii="宋体" w:hAnsi="宋体"/>
          <w:color w:val="auto"/>
          <w:highlight w:val="none"/>
        </w:rPr>
      </w:pPr>
      <w:r>
        <w:rPr>
          <w:rFonts w:hint="eastAsia" w:ascii="宋体" w:hAnsi="宋体"/>
          <w:color w:val="auto"/>
          <w:highlight w:val="none"/>
        </w:rPr>
        <w:t>注：</w:t>
      </w:r>
    </w:p>
    <w:p w14:paraId="318FE4F7">
      <w:pPr>
        <w:pStyle w:val="21"/>
        <w:spacing w:line="360" w:lineRule="auto"/>
        <w:ind w:firstLine="0" w:firstLineChars="0"/>
        <w:contextualSpacing/>
        <w:rPr>
          <w:rFonts w:hint="eastAsia" w:hAnsi="仿宋_GB2312" w:cs="仿宋_GB2312"/>
          <w:color w:val="auto"/>
          <w:szCs w:val="32"/>
          <w:highlight w:val="none"/>
        </w:rPr>
      </w:pPr>
      <w:r>
        <w:rPr>
          <w:rFonts w:hint="eastAsia" w:ascii="宋体" w:hAnsi="宋体" w:eastAsia="宋体"/>
          <w:color w:val="auto"/>
          <w:sz w:val="24"/>
          <w:szCs w:val="24"/>
          <w:highlight w:val="none"/>
        </w:rPr>
        <w:t>1.说明：应对照招标文件“第二章 采购需求”中的“技术要求”逐条作明确的投标响应，并作出偏离说明。</w:t>
      </w:r>
    </w:p>
    <w:p w14:paraId="444CF9EB">
      <w:pPr>
        <w:pStyle w:val="19"/>
        <w:spacing w:line="360" w:lineRule="auto"/>
        <w:contextualSpacing/>
        <w:rPr>
          <w:rFonts w:hint="eastAsia"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260A10EE">
      <w:pPr>
        <w:snapToGrid w:val="0"/>
        <w:spacing w:before="50" w:after="50" w:line="360" w:lineRule="auto"/>
        <w:rPr>
          <w:rFonts w:hint="eastAsia" w:ascii="宋体" w:hAnsi="宋体"/>
          <w:color w:val="auto"/>
          <w:sz w:val="24"/>
          <w:highlight w:val="none"/>
        </w:rPr>
      </w:pPr>
    </w:p>
    <w:p w14:paraId="6FEA198B">
      <w:pPr>
        <w:snapToGrid w:val="0"/>
        <w:spacing w:before="50" w:after="50" w:line="360" w:lineRule="auto"/>
        <w:rPr>
          <w:rFonts w:hint="eastAsia" w:ascii="宋体" w:hAnsi="宋体"/>
          <w:color w:val="auto"/>
          <w:sz w:val="24"/>
          <w:highlight w:val="none"/>
        </w:rPr>
      </w:pPr>
    </w:p>
    <w:p w14:paraId="7A711757">
      <w:pPr>
        <w:snapToGrid w:val="0"/>
        <w:spacing w:before="50" w:after="50" w:line="360" w:lineRule="auto"/>
        <w:rPr>
          <w:rFonts w:ascii="宋体" w:hAnsi="宋体"/>
          <w:color w:val="auto"/>
          <w:sz w:val="24"/>
          <w:highlight w:val="none"/>
        </w:rPr>
      </w:pPr>
    </w:p>
    <w:p w14:paraId="335C3232">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28E07C4D">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07DB810E">
      <w:pPr>
        <w:snapToGrid w:val="0"/>
        <w:spacing w:before="50" w:after="50" w:line="360" w:lineRule="auto"/>
        <w:rPr>
          <w:rFonts w:hint="eastAsia" w:ascii="宋体" w:hAnsi="宋体"/>
          <w:color w:val="auto"/>
          <w:sz w:val="24"/>
          <w:szCs w:val="20"/>
          <w:highlight w:val="none"/>
        </w:rPr>
      </w:pPr>
    </w:p>
    <w:p w14:paraId="3DCB1A2F">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 项目实施人员一览表格式</w:t>
      </w:r>
    </w:p>
    <w:p w14:paraId="2FFBFB18">
      <w:pPr>
        <w:snapToGrid w:val="0"/>
        <w:spacing w:before="120" w:beforeLines="50" w:after="50"/>
        <w:ind w:left="142"/>
        <w:jc w:val="left"/>
        <w:rPr>
          <w:rFonts w:hint="eastAsia" w:ascii="宋体" w:hAnsi="宋体"/>
          <w:b/>
          <w:color w:val="auto"/>
          <w:sz w:val="24"/>
          <w:highlight w:val="none"/>
        </w:rPr>
      </w:pPr>
    </w:p>
    <w:p w14:paraId="0EB1EBF7">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293B51BD">
      <w:pPr>
        <w:pStyle w:val="26"/>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7E6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2A799F2">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noWrap w:val="0"/>
            <w:vAlign w:val="center"/>
          </w:tcPr>
          <w:p w14:paraId="63011C4F">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noWrap w:val="0"/>
            <w:vAlign w:val="center"/>
          </w:tcPr>
          <w:p w14:paraId="60660933">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noWrap w:val="0"/>
            <w:vAlign w:val="center"/>
          </w:tcPr>
          <w:p w14:paraId="362D002E">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noWrap w:val="0"/>
            <w:vAlign w:val="center"/>
          </w:tcPr>
          <w:p w14:paraId="7C528307">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631F5D3D">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noWrap w:val="0"/>
            <w:vAlign w:val="center"/>
          </w:tcPr>
          <w:p w14:paraId="2F83281D">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533B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CB3D28E">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478DE4AB">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4A87AC34">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62801171">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61432CAD">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68F9F0A5">
            <w:pPr>
              <w:snapToGrid w:val="0"/>
              <w:spacing w:before="50" w:after="120" w:afterLines="50"/>
              <w:jc w:val="center"/>
              <w:rPr>
                <w:rFonts w:hint="eastAsia" w:ascii="宋体" w:hAnsi="宋体"/>
                <w:color w:val="auto"/>
                <w:sz w:val="24"/>
                <w:szCs w:val="20"/>
                <w:highlight w:val="none"/>
              </w:rPr>
            </w:pPr>
          </w:p>
        </w:tc>
      </w:tr>
      <w:tr w14:paraId="4EF8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EE6C6CC">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311CE98D">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0A732F36">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204CC8B5">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6828D3B5">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2C2CE50C">
            <w:pPr>
              <w:snapToGrid w:val="0"/>
              <w:spacing w:before="50" w:after="120" w:afterLines="50"/>
              <w:jc w:val="center"/>
              <w:rPr>
                <w:rFonts w:hint="eastAsia" w:ascii="宋体" w:hAnsi="宋体"/>
                <w:color w:val="auto"/>
                <w:sz w:val="24"/>
                <w:szCs w:val="20"/>
                <w:highlight w:val="none"/>
              </w:rPr>
            </w:pPr>
          </w:p>
        </w:tc>
      </w:tr>
      <w:tr w14:paraId="74B2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81332C8">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53333860">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167FA65C">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1C62A0CB">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2F0FC057">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190F185C">
            <w:pPr>
              <w:snapToGrid w:val="0"/>
              <w:spacing w:before="50" w:after="120" w:afterLines="50"/>
              <w:jc w:val="center"/>
              <w:rPr>
                <w:rFonts w:hint="eastAsia" w:ascii="宋体" w:hAnsi="宋体"/>
                <w:color w:val="auto"/>
                <w:sz w:val="24"/>
                <w:szCs w:val="20"/>
                <w:highlight w:val="none"/>
              </w:rPr>
            </w:pPr>
          </w:p>
        </w:tc>
      </w:tr>
    </w:tbl>
    <w:p w14:paraId="70025488">
      <w:pPr>
        <w:snapToGrid w:val="0"/>
        <w:spacing w:before="50" w:after="120" w:afterLines="50"/>
        <w:jc w:val="left"/>
        <w:rPr>
          <w:rFonts w:hint="eastAsia" w:ascii="宋体" w:hAnsi="宋体"/>
          <w:color w:val="auto"/>
          <w:sz w:val="24"/>
          <w:szCs w:val="20"/>
          <w:highlight w:val="none"/>
        </w:rPr>
      </w:pPr>
    </w:p>
    <w:p w14:paraId="1C4FD9DB">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1C6FC1BE">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7D61EF49">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投标人应当附本表所列证书的复印件并加盖投标人公章。</w:t>
      </w:r>
    </w:p>
    <w:p w14:paraId="5762A853">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78CC9C35">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3E10EC85">
      <w:pPr>
        <w:snapToGrid w:val="0"/>
        <w:spacing w:before="50" w:after="120" w:afterLines="50"/>
        <w:jc w:val="left"/>
        <w:rPr>
          <w:rFonts w:hint="eastAsia" w:ascii="宋体" w:hAnsi="宋体"/>
          <w:color w:val="auto"/>
          <w:sz w:val="24"/>
          <w:szCs w:val="20"/>
          <w:highlight w:val="none"/>
        </w:rPr>
      </w:pPr>
    </w:p>
    <w:p w14:paraId="2B105057">
      <w:pPr>
        <w:snapToGrid w:val="0"/>
        <w:spacing w:before="120" w:beforeLines="50" w:after="50"/>
        <w:ind w:left="142"/>
        <w:jc w:val="left"/>
        <w:rPr>
          <w:rFonts w:hint="eastAsia"/>
          <w:b/>
          <w:color w:val="auto"/>
          <w:sz w:val="28"/>
          <w:szCs w:val="28"/>
          <w:highlight w:val="none"/>
        </w:rPr>
      </w:pPr>
      <w:r>
        <w:rPr>
          <w:rFonts w:ascii="宋体" w:hAnsi="宋体"/>
          <w:b/>
          <w:color w:val="auto"/>
          <w:sz w:val="24"/>
          <w:highlight w:val="none"/>
        </w:rPr>
        <w:br w:type="page"/>
      </w:r>
      <w:r>
        <w:rPr>
          <w:rFonts w:hint="eastAsia"/>
          <w:b/>
          <w:color w:val="auto"/>
          <w:sz w:val="28"/>
          <w:szCs w:val="28"/>
          <w:highlight w:val="none"/>
        </w:rPr>
        <w:t>五、其他文书、文件格式</w:t>
      </w:r>
    </w:p>
    <w:p w14:paraId="30CBFD19">
      <w:pPr>
        <w:snapToGrid w:val="0"/>
        <w:spacing w:before="120" w:beforeLines="50" w:after="50"/>
        <w:ind w:left="142"/>
        <w:jc w:val="left"/>
        <w:rPr>
          <w:rFonts w:hint="eastAsia"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1A79DC61">
      <w:pPr>
        <w:snapToGrid w:val="0"/>
        <w:spacing w:before="120" w:beforeLines="50" w:after="50"/>
        <w:ind w:left="142"/>
        <w:jc w:val="left"/>
        <w:rPr>
          <w:rFonts w:hint="eastAsia" w:ascii="宋体" w:hAnsi="宋体"/>
          <w:b/>
          <w:color w:val="auto"/>
          <w:spacing w:val="20"/>
          <w:sz w:val="24"/>
          <w:highlight w:val="none"/>
        </w:rPr>
      </w:pPr>
    </w:p>
    <w:p w14:paraId="06F2EC55">
      <w:pPr>
        <w:pStyle w:val="8"/>
        <w:overflowPunct w:val="0"/>
        <w:ind w:firstLine="0"/>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联合体协议书</w:t>
      </w:r>
    </w:p>
    <w:p w14:paraId="1C46D62A">
      <w:pPr>
        <w:pStyle w:val="8"/>
        <w:overflowPunct w:val="0"/>
        <w:rPr>
          <w:rFonts w:ascii="宋体" w:hAnsi="宋体"/>
          <w:color w:val="auto"/>
          <w:sz w:val="24"/>
          <w:highlight w:val="none"/>
        </w:rPr>
      </w:pPr>
    </w:p>
    <w:p w14:paraId="1A32F2BB">
      <w:pPr>
        <w:pStyle w:val="8"/>
        <w:overflowPunct w:val="0"/>
        <w:spacing w:line="360" w:lineRule="auto"/>
        <w:contextualSpacing/>
        <w:rPr>
          <w:rFonts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5CD8B873">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（联合体名称）牵头人。</w:t>
      </w:r>
    </w:p>
    <w:p w14:paraId="1313FA00">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w:t>
      </w:r>
      <w:r>
        <w:rPr>
          <w:rFonts w:ascii="宋体" w:hAnsi="宋体"/>
          <w:color w:val="auto"/>
          <w:sz w:val="24"/>
          <w:highlight w:val="none"/>
        </w:rPr>
        <w:t xml:space="preserve"> </w:t>
      </w:r>
      <w:r>
        <w:rPr>
          <w:rFonts w:hint="eastAsia" w:ascii="宋体" w:hAnsi="宋体"/>
          <w:color w:val="auto"/>
          <w:sz w:val="24"/>
          <w:highlight w:val="none"/>
        </w:rPr>
        <w:t>信息及指示，进行合同谈判活动，负责合同实施阶段的组织和协调工作，以及处理与本招标项</w:t>
      </w:r>
      <w:r>
        <w:rPr>
          <w:rFonts w:ascii="宋体" w:hAnsi="宋体"/>
          <w:color w:val="auto"/>
          <w:sz w:val="24"/>
          <w:highlight w:val="none"/>
        </w:rPr>
        <w:t xml:space="preserve"> </w:t>
      </w:r>
      <w:r>
        <w:rPr>
          <w:rFonts w:hint="eastAsia" w:ascii="宋体" w:hAnsi="宋体"/>
          <w:color w:val="auto"/>
          <w:sz w:val="24"/>
          <w:highlight w:val="none"/>
        </w:rPr>
        <w:t>目有关的一切事宜。</w:t>
      </w:r>
    </w:p>
    <w:p w14:paraId="4AF7D6BE">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w:t>
      </w:r>
      <w:r>
        <w:rPr>
          <w:rFonts w:ascii="宋体" w:hAnsi="宋体"/>
          <w:color w:val="auto"/>
          <w:sz w:val="24"/>
          <w:highlight w:val="none"/>
        </w:rPr>
        <w:t xml:space="preserve"> </w:t>
      </w:r>
      <w:r>
        <w:rPr>
          <w:rFonts w:hint="eastAsia" w:ascii="宋体" w:hAnsi="宋体"/>
          <w:color w:val="auto"/>
          <w:sz w:val="24"/>
          <w:highlight w:val="none"/>
        </w:rPr>
        <w:t>联合体各成员将严格按照招标文件、投标文件和合同的要求全面履行义务，并向招标人承担连带责任。</w:t>
      </w:r>
    </w:p>
    <w:p w14:paraId="757AF573">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w:t>
      </w:r>
    </w:p>
    <w:p w14:paraId="18C23F8B">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本协议书自所有成员单位法定代表人或者其委托代理人签字或者盖公章之日起生效，合同履行完毕后自动失效。</w:t>
      </w:r>
    </w:p>
    <w:p w14:paraId="4B30BC33">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68B242D3">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注：本协议书由法定代表人签字的，应附法定代表人身份证明；由委托代理人签字的，应附授权委托书。</w:t>
      </w:r>
    </w:p>
    <w:p w14:paraId="1EDD2523">
      <w:pPr>
        <w:pStyle w:val="8"/>
        <w:overflowPunct w:val="0"/>
        <w:spacing w:line="360" w:lineRule="auto"/>
        <w:ind w:firstLineChars="175"/>
        <w:contextualSpacing/>
        <w:rPr>
          <w:rFonts w:ascii="宋体" w:hAnsi="宋体"/>
          <w:color w:val="auto"/>
          <w:sz w:val="24"/>
          <w:highlight w:val="none"/>
        </w:rPr>
      </w:pPr>
    </w:p>
    <w:p w14:paraId="4BEA4429">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联合体牵头人名称（盖公章）：</w:t>
      </w:r>
    </w:p>
    <w:p w14:paraId="7B087E78">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（签字）</w:t>
      </w:r>
    </w:p>
    <w:p w14:paraId="736A4060">
      <w:pPr>
        <w:pStyle w:val="8"/>
        <w:overflowPunct w:val="0"/>
        <w:spacing w:line="360" w:lineRule="auto"/>
        <w:ind w:firstLineChars="175"/>
        <w:contextualSpacing/>
        <w:rPr>
          <w:rFonts w:ascii="宋体" w:hAnsi="宋体"/>
          <w:color w:val="auto"/>
          <w:sz w:val="24"/>
          <w:highlight w:val="none"/>
        </w:rPr>
      </w:pPr>
    </w:p>
    <w:p w14:paraId="73176B81">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联合体成员名称（盖公章）：</w:t>
      </w:r>
    </w:p>
    <w:p w14:paraId="16B7FBE1">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（签字）</w:t>
      </w:r>
    </w:p>
    <w:p w14:paraId="2492BB41">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w:t>
      </w:r>
    </w:p>
    <w:p w14:paraId="6C3B0F96">
      <w:pPr>
        <w:pStyle w:val="8"/>
        <w:overflowPunct w:val="0"/>
        <w:spacing w:line="360" w:lineRule="auto"/>
        <w:ind w:firstLineChars="175"/>
        <w:contextualSpacing/>
        <w:rPr>
          <w:rFonts w:ascii="宋体" w:hAnsi="宋体"/>
          <w:color w:val="auto"/>
          <w:sz w:val="24"/>
          <w:highlight w:val="none"/>
        </w:rPr>
      </w:pPr>
    </w:p>
    <w:p w14:paraId="48B134E1">
      <w:pPr>
        <w:pStyle w:val="8"/>
        <w:overflowPunct w:val="0"/>
        <w:spacing w:line="360" w:lineRule="auto"/>
        <w:ind w:firstLineChars="175"/>
        <w:contextualSpacing/>
        <w:jc w:val="right"/>
        <w:rPr>
          <w:rFonts w:ascii="宋体" w:hAnsi="宋体"/>
          <w:b/>
          <w:color w:val="auto"/>
          <w:sz w:val="24"/>
          <w:highlight w:val="none"/>
        </w:rPr>
      </w:pP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日</w:t>
      </w:r>
    </w:p>
    <w:p w14:paraId="37E47322">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 xml:space="preserve"> </w:t>
      </w:r>
    </w:p>
    <w:p w14:paraId="16D775F4">
      <w:pPr>
        <w:snapToGrid w:val="0"/>
        <w:spacing w:before="120" w:beforeLines="50" w:after="50"/>
        <w:jc w:val="left"/>
        <w:rPr>
          <w:rFonts w:hint="eastAsia"/>
          <w:color w:val="auto"/>
          <w:highlight w:val="none"/>
        </w:rPr>
      </w:pPr>
      <w:r>
        <w:rPr>
          <w:rFonts w:hint="eastAsia" w:ascii="宋体" w:hAnsi="宋体"/>
          <w:b/>
          <w:color w:val="auto"/>
          <w:sz w:val="24"/>
          <w:highlight w:val="none"/>
        </w:rPr>
        <w:br w:type="page"/>
      </w:r>
      <w:r>
        <w:rPr>
          <w:rFonts w:hint="eastAsia" w:ascii="宋体" w:hAnsi="宋体"/>
          <w:b/>
          <w:color w:val="auto"/>
          <w:sz w:val="24"/>
          <w:highlight w:val="none"/>
        </w:rPr>
        <w:t>2.中小企业声明函格式</w:t>
      </w:r>
    </w:p>
    <w:p w14:paraId="6A634874">
      <w:pPr>
        <w:rPr>
          <w:rFonts w:hint="eastAsia"/>
          <w:color w:val="auto"/>
          <w:highlight w:val="none"/>
        </w:rPr>
      </w:pPr>
    </w:p>
    <w:p w14:paraId="2568BC7A">
      <w:pPr>
        <w:jc w:val="center"/>
        <w:rPr>
          <w:rFonts w:hint="eastAsia" w:ascii="宋体" w:hAnsi="宋体" w:cs="宋体"/>
          <w:color w:val="auto"/>
          <w:sz w:val="44"/>
          <w:szCs w:val="44"/>
          <w:highlight w:val="none"/>
        </w:rPr>
      </w:pPr>
      <w:bookmarkStart w:id="152" w:name="_Toc71365926"/>
      <w:r>
        <w:rPr>
          <w:rFonts w:hint="eastAsia" w:ascii="宋体" w:hAnsi="宋体" w:cs="宋体"/>
          <w:color w:val="auto"/>
          <w:sz w:val="44"/>
          <w:szCs w:val="44"/>
          <w:highlight w:val="none"/>
        </w:rPr>
        <w:t>中小企业声明函（服务）</w:t>
      </w:r>
      <w:bookmarkEnd w:id="152"/>
    </w:p>
    <w:p w14:paraId="7810996D">
      <w:pPr>
        <w:spacing w:before="2" w:line="500" w:lineRule="exact"/>
        <w:ind w:firstLine="708" w:firstLineChars="294"/>
        <w:rPr>
          <w:rFonts w:ascii="宋体" w:hAnsi="宋体" w:cs="宋体"/>
          <w:b/>
          <w:bCs/>
          <w:color w:val="auto"/>
          <w:sz w:val="24"/>
          <w:highlight w:val="none"/>
        </w:rPr>
      </w:pPr>
    </w:p>
    <w:p w14:paraId="52504109">
      <w:pPr>
        <w:pStyle w:val="20"/>
        <w:spacing w:line="500" w:lineRule="exact"/>
        <w:ind w:right="142" w:firstLine="705" w:firstLineChars="294"/>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0937B40B">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1DEC3EE">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8D42659">
      <w:pPr>
        <w:pStyle w:val="20"/>
        <w:spacing w:before="34" w:line="500" w:lineRule="exact"/>
        <w:ind w:right="142" w:firstLine="705" w:firstLineChars="294"/>
        <w:rPr>
          <w:rFonts w:ascii="宋体" w:hAnsi="宋体"/>
          <w:color w:val="auto"/>
          <w:highlight w:val="none"/>
        </w:rPr>
      </w:pPr>
      <w:r>
        <w:rPr>
          <w:rFonts w:ascii="宋体" w:hAnsi="宋体"/>
          <w:color w:val="auto"/>
          <w:highlight w:val="none"/>
        </w:rPr>
        <w:t xml:space="preserve">…… </w:t>
      </w:r>
    </w:p>
    <w:p w14:paraId="0872AC95">
      <w:pPr>
        <w:pStyle w:val="20"/>
        <w:spacing w:before="34" w:line="500" w:lineRule="exact"/>
        <w:ind w:right="142" w:firstLine="705" w:firstLineChars="294"/>
        <w:rPr>
          <w:rFonts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474B72FE">
      <w:pPr>
        <w:pStyle w:val="20"/>
        <w:spacing w:before="25" w:line="500" w:lineRule="exact"/>
        <w:ind w:right="142" w:firstLine="705" w:firstLineChars="294"/>
        <w:rPr>
          <w:rFonts w:ascii="宋体" w:hAnsi="宋体"/>
          <w:color w:val="auto"/>
          <w:highlight w:val="none"/>
        </w:rPr>
      </w:pPr>
      <w:r>
        <w:rPr>
          <w:rFonts w:ascii="宋体" w:hAnsi="宋体"/>
          <w:color w:val="auto"/>
          <w:highlight w:val="none"/>
        </w:rPr>
        <w:t>本企业对上述声明内容的真实性负责。如有虚假，将依法承担相应责任。</w:t>
      </w:r>
    </w:p>
    <w:p w14:paraId="112C0B6C">
      <w:pPr>
        <w:pStyle w:val="20"/>
        <w:spacing w:before="56" w:line="500" w:lineRule="exact"/>
        <w:ind w:right="1808" w:firstLine="705" w:firstLineChars="294"/>
        <w:rPr>
          <w:rFonts w:hint="eastAsia" w:ascii="宋体" w:hAnsi="宋体"/>
          <w:color w:val="auto"/>
          <w:highlight w:val="none"/>
        </w:rPr>
      </w:pPr>
    </w:p>
    <w:p w14:paraId="41C6B3B3">
      <w:pPr>
        <w:pStyle w:val="20"/>
        <w:spacing w:before="56" w:line="500" w:lineRule="exact"/>
        <w:ind w:right="650" w:firstLine="5625" w:firstLineChars="2344"/>
        <w:rPr>
          <w:rFonts w:ascii="宋体" w:hAnsi="宋体"/>
          <w:color w:val="auto"/>
          <w:highlight w:val="none"/>
        </w:rPr>
      </w:pPr>
      <w:r>
        <w:rPr>
          <w:rFonts w:ascii="宋体" w:hAnsi="宋体"/>
          <w:color w:val="auto"/>
          <w:highlight w:val="none"/>
        </w:rPr>
        <w:t xml:space="preserve">企业名称（章）： </w:t>
      </w:r>
    </w:p>
    <w:p w14:paraId="48C442E1">
      <w:pPr>
        <w:pStyle w:val="20"/>
        <w:spacing w:before="56" w:line="500" w:lineRule="exact"/>
        <w:ind w:right="1808" w:firstLine="5625" w:firstLineChars="2344"/>
        <w:rPr>
          <w:rFonts w:ascii="宋体" w:hAnsi="宋体"/>
          <w:color w:val="auto"/>
          <w:highlight w:val="none"/>
        </w:rPr>
      </w:pPr>
      <w:r>
        <w:rPr>
          <w:rFonts w:ascii="宋体" w:hAnsi="宋体"/>
          <w:color w:val="auto"/>
          <w:highlight w:val="none"/>
        </w:rPr>
        <w:t>日 期：</w:t>
      </w:r>
    </w:p>
    <w:p w14:paraId="7A71C9B9">
      <w:pPr>
        <w:spacing w:line="520" w:lineRule="exact"/>
        <w:jc w:val="left"/>
        <w:rPr>
          <w:rFonts w:hint="eastAsia" w:ascii="宋体" w:hAnsi="宋体" w:cs="仿宋_GB2312"/>
          <w:color w:val="auto"/>
          <w:sz w:val="24"/>
          <w:highlight w:val="none"/>
        </w:rPr>
      </w:pPr>
    </w:p>
    <w:p w14:paraId="03C06549">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投标人的《中小企业声明函》。从业人员、营业收入、资产总额填报上一年度数据，无上一年度数据的新成立企业可不填报。</w:t>
      </w:r>
    </w:p>
    <w:p w14:paraId="6D02E44A">
      <w:pPr>
        <w:snapToGrid w:val="0"/>
        <w:spacing w:before="120" w:beforeLines="50" w:after="50"/>
        <w:ind w:left="142"/>
        <w:jc w:val="left"/>
        <w:rPr>
          <w:rFonts w:hint="eastAsia" w:ascii="宋体" w:hAnsi="宋体"/>
          <w:b/>
          <w:color w:val="auto"/>
          <w:sz w:val="24"/>
          <w:highlight w:val="none"/>
        </w:rPr>
      </w:pPr>
    </w:p>
    <w:p w14:paraId="5E90C672">
      <w:pPr>
        <w:pStyle w:val="26"/>
        <w:jc w:val="left"/>
        <w:rPr>
          <w:rFonts w:hint="eastAsia" w:ascii="Arial Unicode MS" w:hAnsi="Arial Unicode MS" w:eastAsia="Arial Unicode MS" w:cs="Arial Unicode MS"/>
          <w:color w:val="auto"/>
          <w:sz w:val="32"/>
          <w:szCs w:val="32"/>
          <w:highlight w:val="none"/>
        </w:rPr>
      </w:pPr>
      <w:r>
        <w:rPr>
          <w:rFonts w:ascii="Arial Unicode MS" w:hAnsi="Arial Unicode MS" w:eastAsia="Arial Unicode MS" w:cs="Arial Unicode MS"/>
          <w:color w:val="auto"/>
          <w:sz w:val="32"/>
          <w:szCs w:val="32"/>
          <w:highlight w:val="none"/>
        </w:rPr>
        <w:br w:type="page"/>
      </w:r>
      <w:r>
        <w:rPr>
          <w:rFonts w:hint="eastAsia" w:ascii="Arial Unicode MS" w:hAnsi="Arial Unicode MS" w:eastAsia="Arial Unicode MS" w:cs="Arial Unicode MS"/>
          <w:color w:val="auto"/>
          <w:sz w:val="32"/>
          <w:szCs w:val="32"/>
          <w:highlight w:val="none"/>
        </w:rPr>
        <w:t>附：</w:t>
      </w:r>
    </w:p>
    <w:p w14:paraId="30C3A2D9">
      <w:pPr>
        <w:jc w:val="center"/>
        <w:rPr>
          <w:rFonts w:hint="eastAsia" w:ascii="宋体" w:hAnsi="宋体" w:cs="Arial Unicode MS"/>
          <w:color w:val="auto"/>
          <w:sz w:val="44"/>
          <w:szCs w:val="44"/>
          <w:highlight w:val="none"/>
        </w:rPr>
      </w:pPr>
      <w:r>
        <w:rPr>
          <w:rFonts w:hint="eastAsia" w:ascii="宋体" w:hAnsi="宋体" w:cs="Arial Unicode MS"/>
          <w:color w:val="auto"/>
          <w:sz w:val="44"/>
          <w:szCs w:val="44"/>
          <w:highlight w:val="none"/>
        </w:rPr>
        <w:t>中小微企业划型标准</w:t>
      </w:r>
    </w:p>
    <w:p w14:paraId="5BAC202A">
      <w:pPr>
        <w:ind w:left="1871"/>
        <w:rPr>
          <w:rFonts w:hint="eastAsia" w:ascii="宋体" w:hAnsi="宋体" w:cs="Arial Unicode MS"/>
          <w:color w:val="auto"/>
          <w:szCs w:val="21"/>
          <w:highlight w:val="none"/>
        </w:rPr>
      </w:pPr>
    </w:p>
    <w:tbl>
      <w:tblPr>
        <w:tblStyle w:val="49"/>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221639BA">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669518B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6F1BB3D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45B65085">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50094C9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2E9D9230">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26A11893">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74FB4B9D">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0F584B7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31995DF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E75C2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43F57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39ECAF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481C2C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2BBDF1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C53094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3A1A10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6C54F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115EE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09F787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6D4A3B3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998FE1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DECBAE4">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2836E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94E20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F7032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358512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443409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B844A3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E170BE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0ED8A5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D1088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07E5B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5734C9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1752E7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A5DBED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555ECFF">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627C0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4543FA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A8739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5DACF7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4BC8B5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BFEB74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014897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06B713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BCD25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3B3E0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56CCBC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4FEB88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3752440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2F91F7B">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60350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9CAD8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5AE9D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710AA8F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0CD52E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82887C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AF4369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3B69C1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89AA6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8C116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7EE3A7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707CEA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37F8C4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5D9F258">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03202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1D2AF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83A9D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6D68EB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6586FD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3B8648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2E04FF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6DDDB0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B8E3C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6EE33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0B0DFEF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770F3D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886860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46FCFDA">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A5EF8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43EA1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21650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000000≤Y＜0000000</w:t>
            </w:r>
          </w:p>
        </w:tc>
        <w:tc>
          <w:tcPr>
            <w:tcW w:w="1440" w:type="dxa"/>
            <w:tcBorders>
              <w:top w:val="nil"/>
              <w:left w:val="nil"/>
              <w:bottom w:val="single" w:color="auto" w:sz="4" w:space="0"/>
              <w:right w:val="single" w:color="auto" w:sz="4" w:space="0"/>
            </w:tcBorders>
            <w:noWrap w:val="0"/>
            <w:vAlign w:val="center"/>
          </w:tcPr>
          <w:p w14:paraId="6B69EBF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200≤Y＜000000</w:t>
            </w:r>
          </w:p>
        </w:tc>
        <w:tc>
          <w:tcPr>
            <w:tcW w:w="925" w:type="dxa"/>
            <w:tcBorders>
              <w:top w:val="nil"/>
              <w:left w:val="nil"/>
              <w:bottom w:val="single" w:color="auto" w:sz="4" w:space="0"/>
              <w:right w:val="single" w:color="auto" w:sz="4" w:space="0"/>
            </w:tcBorders>
            <w:noWrap w:val="0"/>
            <w:vAlign w:val="center"/>
          </w:tcPr>
          <w:p w14:paraId="55C1690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30D1AD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80F531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503078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9D10D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672DF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22251D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19B244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8E0795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3A8C05E">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65414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AF67B8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EF88C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1000≤Y＜0000000</w:t>
            </w:r>
          </w:p>
        </w:tc>
        <w:tc>
          <w:tcPr>
            <w:tcW w:w="1440" w:type="dxa"/>
            <w:tcBorders>
              <w:top w:val="nil"/>
              <w:left w:val="nil"/>
              <w:bottom w:val="single" w:color="auto" w:sz="4" w:space="0"/>
              <w:right w:val="single" w:color="auto" w:sz="4" w:space="0"/>
            </w:tcBorders>
            <w:noWrap w:val="0"/>
            <w:vAlign w:val="center"/>
          </w:tcPr>
          <w:p w14:paraId="08F5AA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20AA49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5EBBFB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CA5A94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2AAD4B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83223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67DD7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18B12C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36EEA63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A76C97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8250360">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A58E3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F7CD51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5A48A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2000≤Y＜0000000</w:t>
            </w:r>
          </w:p>
        </w:tc>
        <w:tc>
          <w:tcPr>
            <w:tcW w:w="1440" w:type="dxa"/>
            <w:tcBorders>
              <w:top w:val="nil"/>
              <w:left w:val="nil"/>
              <w:bottom w:val="single" w:color="auto" w:sz="4" w:space="0"/>
              <w:right w:val="single" w:color="auto" w:sz="4" w:space="0"/>
            </w:tcBorders>
            <w:noWrap w:val="0"/>
            <w:vAlign w:val="center"/>
          </w:tcPr>
          <w:p w14:paraId="6F0462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30EDD0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F5BF3D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2622FE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59BB619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0EA05A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4A893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4DE687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23D151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2525D2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E043794">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DB9DD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76573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DCAE4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1A250E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57F322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E0589B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9DCA6E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1BBB35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7C02D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051F0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0D6F1DF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5BA35A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C645EF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5EFD1EB">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01664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36513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42D89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1E1468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32A82D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A36723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A110BF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01F6B0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26D42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EA2C1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4BFD04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359567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0E46F8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12B22C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4279C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E35B1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E45B3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7FE7FC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5D0853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CE9AF6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E813D3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23FB2F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B962B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00BF32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58BB05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550A5F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1DAFC2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E1969F3">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7A32D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C0B93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CD006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2066DE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048C4C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BB2B7B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8B194F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240481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66988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7DC56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70D1E7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6E12C9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E82A8D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3529F35">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3BD9D3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115493B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A089C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30D49D6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1CF72E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14D6951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EC2C6B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3D9F5C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9D5187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08C0C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57B84B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3025D3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B2FF9A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5239BF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26541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F78D1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DB7D8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082FCD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55AC23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0210974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40095E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6D0F1D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50147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7B54E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7293C0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6C2E4C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648424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A8A060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B86DA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6A620B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11B752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79BC62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4E3069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3F42BFF">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0C470B9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3BFF27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3FBE2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83A99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0F875A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FAFB8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AAA70A0">
      <w:pPr>
        <w:spacing w:line="360" w:lineRule="auto"/>
        <w:ind w:firstLine="525" w:firstLineChars="250"/>
        <w:rPr>
          <w:rFonts w:hint="eastAsia" w:ascii="仿宋_GB2312" w:hAnsi="仿宋" w:eastAsia="仿宋_GB2312"/>
          <w:color w:val="auto"/>
          <w:szCs w:val="21"/>
          <w:highlight w:val="none"/>
        </w:rPr>
      </w:pPr>
    </w:p>
    <w:p w14:paraId="23D29BE7">
      <w:pPr>
        <w:spacing w:line="360" w:lineRule="auto"/>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427CDA9">
      <w:pPr>
        <w:snapToGrid w:val="0"/>
        <w:spacing w:before="120" w:beforeLines="50" w:after="50"/>
        <w:ind w:left="142"/>
        <w:jc w:val="left"/>
        <w:rPr>
          <w:rFonts w:hint="eastAsia" w:ascii="宋体" w:hAnsi="宋体"/>
          <w:b/>
          <w:color w:val="auto"/>
          <w:sz w:val="24"/>
          <w:highlight w:val="none"/>
        </w:rPr>
      </w:pPr>
    </w:p>
    <w:p w14:paraId="22EDE0CC">
      <w:pPr>
        <w:snapToGrid w:val="0"/>
        <w:spacing w:before="120" w:beforeLines="50" w:after="50"/>
        <w:ind w:left="142"/>
        <w:jc w:val="left"/>
        <w:rPr>
          <w:rFonts w:hint="eastAsia" w:ascii="宋体" w:hAnsi="宋体"/>
          <w:b/>
          <w:color w:val="auto"/>
          <w:sz w:val="24"/>
          <w:highlight w:val="none"/>
        </w:rPr>
      </w:pPr>
    </w:p>
    <w:p w14:paraId="10019793">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3.残疾人福利性单位声明函格式</w:t>
      </w:r>
    </w:p>
    <w:p w14:paraId="384BD18E">
      <w:pPr>
        <w:spacing w:line="588" w:lineRule="exact"/>
        <w:jc w:val="center"/>
        <w:rPr>
          <w:rFonts w:hint="eastAsia" w:ascii="仿宋_GB2312" w:eastAsia="仿宋_GB2312"/>
          <w:b/>
          <w:color w:val="auto"/>
          <w:spacing w:val="6"/>
          <w:sz w:val="32"/>
          <w:szCs w:val="32"/>
          <w:highlight w:val="none"/>
        </w:rPr>
      </w:pPr>
    </w:p>
    <w:p w14:paraId="0CF51056">
      <w:pPr>
        <w:spacing w:line="588" w:lineRule="exact"/>
        <w:jc w:val="center"/>
        <w:rPr>
          <w:rFonts w:hint="eastAsia"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1600764C">
      <w:pPr>
        <w:spacing w:line="360" w:lineRule="auto"/>
        <w:contextualSpacing/>
        <w:rPr>
          <w:rFonts w:ascii="仿宋_GB2312" w:eastAsia="仿宋_GB2312"/>
          <w:bCs/>
          <w:color w:val="auto"/>
          <w:spacing w:val="6"/>
          <w:sz w:val="30"/>
          <w:szCs w:val="30"/>
          <w:highlight w:val="none"/>
        </w:rPr>
      </w:pPr>
    </w:p>
    <w:p w14:paraId="363822E3">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B37D387">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26A7FB75">
      <w:pPr>
        <w:spacing w:line="360" w:lineRule="auto"/>
        <w:ind w:firstLine="504" w:firstLineChars="200"/>
        <w:contextualSpacing/>
        <w:rPr>
          <w:rFonts w:ascii="宋体" w:hAnsi="宋体"/>
          <w:color w:val="auto"/>
          <w:spacing w:val="6"/>
          <w:sz w:val="24"/>
          <w:highlight w:val="none"/>
        </w:rPr>
      </w:pPr>
    </w:p>
    <w:p w14:paraId="729EBA95">
      <w:pPr>
        <w:spacing w:line="360" w:lineRule="auto"/>
        <w:ind w:firstLine="504" w:firstLineChars="200"/>
        <w:contextualSpacing/>
        <w:rPr>
          <w:rFonts w:ascii="宋体" w:hAnsi="宋体"/>
          <w:color w:val="auto"/>
          <w:spacing w:val="6"/>
          <w:sz w:val="24"/>
          <w:highlight w:val="none"/>
        </w:rPr>
      </w:pPr>
    </w:p>
    <w:p w14:paraId="3F0339A5">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3E7ED156">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3903B952">
      <w:pPr>
        <w:spacing w:line="360" w:lineRule="auto"/>
        <w:contextualSpacing/>
        <w:rPr>
          <w:rFonts w:ascii="宋体" w:hAnsi="宋体"/>
          <w:color w:val="auto"/>
          <w:sz w:val="24"/>
          <w:highlight w:val="none"/>
        </w:rPr>
      </w:pPr>
    </w:p>
    <w:p w14:paraId="1323A8DA">
      <w:pPr>
        <w:spacing w:line="360" w:lineRule="auto"/>
        <w:contextualSpacing/>
        <w:rPr>
          <w:rFonts w:hint="eastAsia" w:ascii="宋体" w:hAnsi="宋体"/>
          <w:color w:val="auto"/>
          <w:sz w:val="24"/>
          <w:highlight w:val="none"/>
        </w:rPr>
      </w:pPr>
    </w:p>
    <w:p w14:paraId="268A2ED3">
      <w:pPr>
        <w:spacing w:line="360" w:lineRule="auto"/>
        <w:contextualSpacing/>
        <w:rPr>
          <w:rFonts w:ascii="宋体" w:hAnsi="宋体"/>
          <w:color w:val="auto"/>
          <w:sz w:val="24"/>
          <w:highlight w:val="none"/>
        </w:rPr>
      </w:pPr>
    </w:p>
    <w:p w14:paraId="0E7F83CE">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D0939EA">
      <w:pPr>
        <w:rPr>
          <w:rFonts w:ascii="宋体" w:hAnsi="宋体"/>
          <w:color w:val="auto"/>
          <w:sz w:val="24"/>
          <w:highlight w:val="none"/>
        </w:rPr>
      </w:pPr>
      <w:r>
        <w:rPr>
          <w:rFonts w:ascii="宋体" w:hAnsi="宋体"/>
          <w:color w:val="auto"/>
          <w:sz w:val="24"/>
          <w:highlight w:val="none"/>
        </w:rPr>
        <w:br w:type="page"/>
      </w:r>
    </w:p>
    <w:p w14:paraId="0358FEDF">
      <w:pPr>
        <w:spacing w:line="360" w:lineRule="auto"/>
        <w:jc w:val="left"/>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4.关于符合本国产品标准的声明函</w:t>
      </w:r>
    </w:p>
    <w:p w14:paraId="078287A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Fonts w:hint="default" w:ascii="仿宋" w:hAnsi="仿宋" w:eastAsia="仿宋" w:cs="仿宋"/>
          <w:i w:val="0"/>
          <w:iCs w:val="0"/>
          <w:caps w:val="0"/>
          <w:color w:val="auto"/>
          <w:spacing w:val="0"/>
          <w:kern w:val="0"/>
          <w:sz w:val="36"/>
          <w:szCs w:val="36"/>
          <w:highlight w:val="none"/>
          <w:lang w:val="en-US" w:eastAsia="zh-CN" w:bidi="ar"/>
        </w:rPr>
      </w:pPr>
      <w:r>
        <w:rPr>
          <w:rStyle w:val="52"/>
          <w:rFonts w:hint="eastAsia" w:ascii="仿宋" w:hAnsi="仿宋" w:eastAsia="仿宋" w:cs="仿宋"/>
          <w:i w:val="0"/>
          <w:iCs w:val="0"/>
          <w:caps w:val="0"/>
          <w:color w:val="auto"/>
          <w:spacing w:val="0"/>
          <w:kern w:val="2"/>
          <w:sz w:val="36"/>
          <w:szCs w:val="36"/>
          <w:highlight w:val="none"/>
          <w:shd w:val="clear" w:color="auto" w:fill="FFFFFF"/>
          <w:vertAlign w:val="baseline"/>
          <w:lang w:val="en-US" w:eastAsia="zh-CN" w:bidi="ar-SA"/>
        </w:rPr>
        <w:t>关于符合本国产品标准的声明函</w:t>
      </w:r>
    </w:p>
    <w:p w14:paraId="76758B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49D2774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1.</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（产品名称1）</w:t>
      </w:r>
      <w:r>
        <w:rPr>
          <w:rStyle w:val="56"/>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1</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，生产厂为</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（厂名）</w:t>
      </w:r>
      <w:r>
        <w:rPr>
          <w:rStyle w:val="56"/>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2</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，厂址为</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（生产厂址）</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的中国境内生产的组件成本占比≥</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（规定比例）</w:t>
      </w:r>
      <w:r>
        <w:rPr>
          <w:rStyle w:val="56"/>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3</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（关键组件）</w:t>
      </w:r>
      <w:r>
        <w:rPr>
          <w:rStyle w:val="56"/>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4</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在中国境内生产。</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（关键工序）</w:t>
      </w:r>
      <w:r>
        <w:rPr>
          <w:rStyle w:val="56"/>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5</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在中国境内完成。</w:t>
      </w:r>
    </w:p>
    <w:p w14:paraId="309246C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2.</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，生产厂为</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（厂名）</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，厂址为</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（生产厂址）</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的中国境内生产的组件成本占比≥</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（规定比例）</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（关键组件）</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在中国境内生产。</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（关键工序）</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在中国境内完成。</w:t>
      </w:r>
    </w:p>
    <w:p w14:paraId="0001650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w:t>
      </w:r>
    </w:p>
    <w:p w14:paraId="03C4E0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本公司（单位）对上述声明内容的真实性负责。如有虚假，愿承担相应法律责任。</w:t>
      </w:r>
    </w:p>
    <w:p w14:paraId="571E9B7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both"/>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 </w:t>
      </w:r>
    </w:p>
    <w:p w14:paraId="093FD0F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公司（单位）名称（盖章）：　        </w:t>
      </w:r>
    </w:p>
    <w:p w14:paraId="5F68BE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日期：　     年　  月　  日         </w:t>
      </w:r>
    </w:p>
    <w:p w14:paraId="3A0877B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both"/>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__________________</w:t>
      </w:r>
    </w:p>
    <w:p w14:paraId="079CF1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1.产品如有型号，请在“产品名称”栏一并填写。</w:t>
      </w:r>
    </w:p>
    <w:p w14:paraId="751B28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2.生产厂名与厂址应与生产厂营业执照载明的相关信息保持一致。</w:t>
      </w:r>
    </w:p>
    <w:p w14:paraId="2E2718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3.该产品的中国境内生产的组件成本占比相关要求实施前，“规定比例”栏可不填，下同。</w:t>
      </w:r>
    </w:p>
    <w:p w14:paraId="2E6DAC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4.该产品的关键组件要求实施前，“关键组件”栏可不填，下同。</w:t>
      </w:r>
    </w:p>
    <w:p w14:paraId="5AED03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5.该产品的关键工序要求实施前，“关键工序”栏可不填，下同。</w:t>
      </w:r>
    </w:p>
    <w:p w14:paraId="769630C5">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lang w:val="en-US" w:eastAsia="zh-CN"/>
        </w:rPr>
        <w:t>5</w:t>
      </w:r>
      <w:r>
        <w:rPr>
          <w:rFonts w:hint="eastAsia" w:ascii="宋体" w:hAnsi="宋体"/>
          <w:b/>
          <w:color w:val="auto"/>
          <w:sz w:val="24"/>
          <w:highlight w:val="none"/>
        </w:rPr>
        <w:t>.质疑函格式</w:t>
      </w:r>
    </w:p>
    <w:p w14:paraId="5A22EF20">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质疑函</w:t>
      </w:r>
    </w:p>
    <w:p w14:paraId="2595DA26">
      <w:pPr>
        <w:pStyle w:val="2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一、质疑投标人基本信息：</w:t>
      </w:r>
    </w:p>
    <w:p w14:paraId="24542CBE">
      <w:pPr>
        <w:pStyle w:val="26"/>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3661ACC">
      <w:pPr>
        <w:pStyle w:val="2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5CC1351">
      <w:pPr>
        <w:pStyle w:val="2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DF3D6EC">
      <w:pPr>
        <w:pStyle w:val="26"/>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51B91365">
      <w:pPr>
        <w:pStyle w:val="26"/>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A2E46A0">
      <w:pPr>
        <w:pStyle w:val="2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877C6D9">
      <w:pPr>
        <w:pStyle w:val="26"/>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2C534639">
      <w:pPr>
        <w:pStyle w:val="26"/>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5617A22">
      <w:pPr>
        <w:pStyle w:val="26"/>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AB4403B">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6346E7B">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20091AF6">
      <w:pPr>
        <w:pStyle w:val="26"/>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69E8E87D">
      <w:pPr>
        <w:pStyle w:val="26"/>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□采购过程   </w:t>
      </w:r>
    </w:p>
    <w:p w14:paraId="0E88C816">
      <w:pPr>
        <w:pStyle w:val="26"/>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□中标结果   </w:t>
      </w:r>
    </w:p>
    <w:p w14:paraId="0ADFCEC4">
      <w:pPr>
        <w:pStyle w:val="26"/>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091B8171">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4A98776B">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1AE98EF7">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2062457E">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07A2517F">
      <w:pPr>
        <w:pStyle w:val="26"/>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7EB431EF">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7975F29B">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AA298AC">
      <w:pPr>
        <w:pStyle w:val="26"/>
        <w:spacing w:line="360" w:lineRule="auto"/>
        <w:ind w:left="25" w:leftChars="12" w:firstLine="352" w:firstLineChars="147"/>
        <w:rPr>
          <w:rFonts w:hint="eastAsia" w:hAnsi="宋体"/>
          <w:color w:val="auto"/>
          <w:sz w:val="24"/>
          <w:szCs w:val="24"/>
          <w:highlight w:val="none"/>
        </w:rPr>
      </w:pPr>
    </w:p>
    <w:p w14:paraId="54EC1BCE">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67D3EF46">
      <w:pPr>
        <w:pStyle w:val="26"/>
        <w:spacing w:line="360" w:lineRule="auto"/>
        <w:ind w:left="25" w:leftChars="12" w:firstLine="352" w:firstLineChars="147"/>
        <w:rPr>
          <w:rFonts w:hint="eastAsia" w:hAnsi="宋体"/>
          <w:color w:val="auto"/>
          <w:sz w:val="24"/>
          <w:szCs w:val="24"/>
          <w:highlight w:val="none"/>
        </w:rPr>
      </w:pPr>
    </w:p>
    <w:p w14:paraId="240878E3">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DCEB2A2">
      <w:pPr>
        <w:pStyle w:val="26"/>
        <w:snapToGrid w:val="0"/>
        <w:spacing w:line="360" w:lineRule="auto"/>
        <w:rPr>
          <w:rFonts w:hint="eastAsia" w:hAnsi="宋体"/>
          <w:b/>
          <w:color w:val="auto"/>
          <w:sz w:val="24"/>
          <w:szCs w:val="24"/>
          <w:highlight w:val="none"/>
        </w:rPr>
      </w:pPr>
    </w:p>
    <w:p w14:paraId="11022C9F">
      <w:pPr>
        <w:pStyle w:val="26"/>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0A0A92BE">
      <w:pPr>
        <w:pStyle w:val="26"/>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1.投标人提出质疑时，应提交质疑函和必要的证明材料</w:t>
      </w:r>
      <w:r>
        <w:rPr>
          <w:rFonts w:hint="eastAsia" w:hAnsi="宋体"/>
          <w:b/>
          <w:bCs/>
          <w:color w:val="auto"/>
          <w:sz w:val="24"/>
          <w:szCs w:val="24"/>
          <w:highlight w:val="none"/>
        </w:rPr>
        <w:t>。</w:t>
      </w:r>
    </w:p>
    <w:p w14:paraId="7689E49D">
      <w:pPr>
        <w:pStyle w:val="2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40D3AD93">
      <w:pPr>
        <w:pStyle w:val="2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671F42B">
      <w:pPr>
        <w:pStyle w:val="2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4EA7BD36">
      <w:pPr>
        <w:pStyle w:val="26"/>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5.质疑投标人为法人或者其他组织的，质疑函应由法定代表人、主要负责人，或者其授权代表签字或者盖章，并加盖公章。</w:t>
      </w:r>
    </w:p>
    <w:p w14:paraId="50CCFB50">
      <w:pPr>
        <w:pStyle w:val="26"/>
        <w:snapToGrid w:val="0"/>
        <w:rPr>
          <w:rFonts w:hint="eastAsia"/>
          <w:b/>
          <w:color w:val="auto"/>
          <w:sz w:val="24"/>
          <w:szCs w:val="24"/>
          <w:highlight w:val="none"/>
        </w:rPr>
      </w:pPr>
    </w:p>
    <w:p w14:paraId="0CEC421F">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eastAsia="隶书"/>
          <w:b/>
          <w:color w:val="auto"/>
          <w:sz w:val="24"/>
          <w:highlight w:val="none"/>
          <w:lang w:val="en-US" w:eastAsia="zh-CN"/>
        </w:rPr>
        <w:t>6</w:t>
      </w:r>
      <w:r>
        <w:rPr>
          <w:rFonts w:hint="eastAsia" w:ascii="宋体" w:hAnsi="宋体"/>
          <w:b/>
          <w:color w:val="auto"/>
          <w:sz w:val="24"/>
          <w:highlight w:val="none"/>
        </w:rPr>
        <w:t>.投诉书格式</w:t>
      </w:r>
    </w:p>
    <w:p w14:paraId="21B5868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投诉书</w:t>
      </w:r>
    </w:p>
    <w:p w14:paraId="5DE463C1">
      <w:pPr>
        <w:pStyle w:val="26"/>
        <w:snapToGrid w:val="0"/>
        <w:spacing w:line="440" w:lineRule="exact"/>
        <w:ind w:firstLine="482" w:firstLineChars="200"/>
        <w:rPr>
          <w:rFonts w:hint="eastAsia" w:hAnsi="宋体"/>
          <w:b/>
          <w:bCs/>
          <w:color w:val="auto"/>
          <w:sz w:val="24"/>
          <w:szCs w:val="24"/>
          <w:highlight w:val="none"/>
        </w:rPr>
      </w:pPr>
    </w:p>
    <w:p w14:paraId="248C95C2">
      <w:pPr>
        <w:pStyle w:val="26"/>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18835C08">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4EE3B10">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70FA1BD">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4FA4C592">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BA68B45">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8D5105E">
      <w:pPr>
        <w:pStyle w:val="26"/>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AA00655">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C33CDAD">
      <w:pPr>
        <w:pStyle w:val="26"/>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3153BA54">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2712F64E">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77C0468">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42FAF16">
      <w:pPr>
        <w:pStyle w:val="26"/>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1A5000B3">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17FD278C">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相关投标人：</w:t>
      </w:r>
      <w:r>
        <w:rPr>
          <w:rFonts w:hint="eastAsia" w:hAnsi="宋体"/>
          <w:bCs/>
          <w:color w:val="auto"/>
          <w:sz w:val="24"/>
          <w:szCs w:val="24"/>
          <w:highlight w:val="none"/>
          <w:u w:val="single"/>
        </w:rPr>
        <w:t xml:space="preserve">                                                                       </w:t>
      </w:r>
    </w:p>
    <w:p w14:paraId="3ECDDE2C">
      <w:pPr>
        <w:pStyle w:val="26"/>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53313FD">
      <w:pPr>
        <w:pStyle w:val="26"/>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85C9A4A">
      <w:pPr>
        <w:pStyle w:val="26"/>
        <w:snapToGrid w:val="0"/>
        <w:spacing w:line="440" w:lineRule="exact"/>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376C7B59">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F69AE3B">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5D52AE7">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6B6A78AD">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4667DB29">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9FA9403">
      <w:pPr>
        <w:pStyle w:val="26"/>
        <w:spacing w:line="440" w:lineRule="exact"/>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6ACFBA4">
      <w:pPr>
        <w:pStyle w:val="26"/>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69354FC3">
      <w:pPr>
        <w:pStyle w:val="26"/>
        <w:spacing w:line="440" w:lineRule="exact"/>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45DD454">
      <w:pPr>
        <w:pStyle w:val="26"/>
        <w:spacing w:line="440" w:lineRule="exact"/>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0B436CF">
      <w:pPr>
        <w:pStyle w:val="26"/>
        <w:spacing w:line="440" w:lineRule="exact"/>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63DE7A8">
      <w:pPr>
        <w:pStyle w:val="26"/>
        <w:spacing w:line="440" w:lineRule="exact"/>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BABCE54">
      <w:pPr>
        <w:pStyle w:val="26"/>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735B7BBC">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0C3A2E23">
      <w:pPr>
        <w:pStyle w:val="26"/>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19C3727">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0D5ECD40">
      <w:pPr>
        <w:pStyle w:val="26"/>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BFC94FF">
      <w:pPr>
        <w:pStyle w:val="26"/>
        <w:spacing w:line="440" w:lineRule="exact"/>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2E5048A">
      <w:pPr>
        <w:pStyle w:val="26"/>
        <w:spacing w:line="440" w:lineRule="exact"/>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01ED8EBE">
      <w:pPr>
        <w:pStyle w:val="26"/>
        <w:spacing w:line="440" w:lineRule="exact"/>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2ADFA049">
      <w:pPr>
        <w:pStyle w:val="26"/>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61B38F44">
      <w:pPr>
        <w:pStyle w:val="26"/>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146D779">
      <w:pPr>
        <w:pStyle w:val="26"/>
        <w:spacing w:line="440" w:lineRule="exact"/>
        <w:ind w:left="25" w:leftChars="12" w:firstLine="352" w:firstLineChars="147"/>
        <w:rPr>
          <w:rFonts w:hint="eastAsia" w:hAnsi="宋体"/>
          <w:color w:val="auto"/>
          <w:sz w:val="24"/>
          <w:szCs w:val="24"/>
          <w:highlight w:val="none"/>
        </w:rPr>
      </w:pPr>
    </w:p>
    <w:p w14:paraId="3EB516A7">
      <w:pPr>
        <w:pStyle w:val="26"/>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0697252A">
      <w:pPr>
        <w:pStyle w:val="26"/>
        <w:spacing w:line="440" w:lineRule="exact"/>
        <w:ind w:left="25" w:leftChars="12" w:firstLine="352" w:firstLineChars="147"/>
        <w:rPr>
          <w:rFonts w:hint="eastAsia" w:hAnsi="宋体"/>
          <w:color w:val="auto"/>
          <w:sz w:val="24"/>
          <w:szCs w:val="24"/>
          <w:highlight w:val="none"/>
        </w:rPr>
      </w:pPr>
    </w:p>
    <w:p w14:paraId="133DC17B">
      <w:pPr>
        <w:pStyle w:val="26"/>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3C6EE93">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1FB699F1">
      <w:pPr>
        <w:pStyle w:val="26"/>
        <w:snapToGrid w:val="0"/>
        <w:spacing w:line="440" w:lineRule="exact"/>
        <w:rPr>
          <w:rFonts w:hint="eastAsia" w:hAnsi="宋体"/>
          <w:b/>
          <w:color w:val="auto"/>
          <w:sz w:val="24"/>
          <w:szCs w:val="24"/>
          <w:highlight w:val="none"/>
        </w:rPr>
      </w:pPr>
      <w:r>
        <w:rPr>
          <w:rFonts w:hint="eastAsia" w:hAnsi="宋体"/>
          <w:b/>
          <w:color w:val="auto"/>
          <w:sz w:val="24"/>
          <w:szCs w:val="24"/>
          <w:highlight w:val="none"/>
        </w:rPr>
        <w:t>说明：</w:t>
      </w:r>
    </w:p>
    <w:p w14:paraId="7963708A">
      <w:pPr>
        <w:pStyle w:val="26"/>
        <w:spacing w:line="440" w:lineRule="exact"/>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1.投诉人提起投诉时，应当提交投诉书和必要的证明材料，并按照被投诉人和与投诉事项有关的投标人数量提供投诉书副本</w:t>
      </w:r>
      <w:r>
        <w:rPr>
          <w:rFonts w:hint="eastAsia" w:hAnsi="宋体"/>
          <w:b/>
          <w:bCs/>
          <w:color w:val="auto"/>
          <w:sz w:val="24"/>
          <w:szCs w:val="24"/>
          <w:highlight w:val="none"/>
        </w:rPr>
        <w:t>。</w:t>
      </w:r>
    </w:p>
    <w:p w14:paraId="4CA14B93">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4317ACC">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F767F9F">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7A7658AF">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18F283DB">
      <w:pPr>
        <w:pStyle w:val="26"/>
        <w:spacing w:line="440" w:lineRule="exact"/>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A11AEA-E7D5-4C35-8B0E-83E671A2B829}"/>
  </w:font>
  <w:font w:name="黑体">
    <w:panose1 w:val="02010609060101010101"/>
    <w:charset w:val="86"/>
    <w:family w:val="auto"/>
    <w:pitch w:val="default"/>
    <w:sig w:usb0="800002BF" w:usb1="38CF7CFA" w:usb2="00000016" w:usb3="00000000" w:csb0="00040001" w:csb1="00000000"/>
    <w:embedRegular r:id="rId2" w:fontKey="{C3FB2DF7-0337-48E6-BB8A-AFD9F95D6DDE}"/>
  </w:font>
  <w:font w:name="Courier New">
    <w:panose1 w:val="02070309020205020404"/>
    <w:charset w:val="01"/>
    <w:family w:val="modern"/>
    <w:pitch w:val="default"/>
    <w:sig w:usb0="E0002EFF" w:usb1="C0007843" w:usb2="00000009" w:usb3="00000000" w:csb0="400001FF" w:csb1="FFFF0000"/>
    <w:embedRegular r:id="rId3" w:fontKey="{764C65D3-4175-41FC-9B33-75824D4D2C8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4" w:fontKey="{4AE556B3-197B-4D8F-822B-344137846A65}"/>
  </w:font>
  <w:font w:name="仿宋">
    <w:panose1 w:val="02010609060101010101"/>
    <w:charset w:val="86"/>
    <w:family w:val="modern"/>
    <w:pitch w:val="default"/>
    <w:sig w:usb0="800002BF" w:usb1="38CF7CFA" w:usb2="00000016" w:usb3="00000000" w:csb0="00040001" w:csb1="00000000"/>
    <w:embedRegular r:id="rId5" w:fontKey="{1EE91030-0743-46CC-B8B9-DBDC9E3FC623}"/>
  </w:font>
  <w:font w:name="_x000B__x000C_">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embedRegular r:id="rId6" w:fontKey="{E30A34C3-B489-4548-B442-DBD78EB7906C}"/>
  </w:font>
  <w:font w:name="微软雅黑">
    <w:panose1 w:val="020B0503020204020204"/>
    <w:charset w:val="86"/>
    <w:family w:val="auto"/>
    <w:pitch w:val="default"/>
    <w:sig w:usb0="80000287" w:usb1="2ACF3C50" w:usb2="00000016" w:usb3="00000000" w:csb0="0004001F" w:csb1="00000000"/>
    <w:embedRegular r:id="rId7" w:fontKey="{AE74737C-3CF2-4E31-8371-F6FA4FC488A1}"/>
  </w:font>
  <w:font w:name="Times New Roman Regular">
    <w:altName w:val="Times"/>
    <w:panose1 w:val="02020603050405020304"/>
    <w:charset w:val="00"/>
    <w:family w:val="auto"/>
    <w:pitch w:val="default"/>
    <w:sig w:usb0="00000000" w:usb1="00000000" w:usb2="00000009" w:usb3="00000000" w:csb0="400001FF" w:csb1="FFFF0000"/>
    <w:embedRegular r:id="rId8" w:fontKey="{94B32682-4E0F-4C02-A252-3B8C86C606E4}"/>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embedRegular r:id="rId9" w:fontKey="{E646F7CF-11F2-4DBD-94C1-053A6375B2B0}"/>
  </w:font>
  <w:font w:name="华文中宋">
    <w:altName w:val="宋体"/>
    <w:panose1 w:val="02010600040101010101"/>
    <w:charset w:val="86"/>
    <w:family w:val="auto"/>
    <w:pitch w:val="default"/>
    <w:sig w:usb0="00000000" w:usb1="00000000" w:usb2="00000000" w:usb3="00000000" w:csb0="0004009F" w:csb1="DFD70000"/>
    <w:embedRegular r:id="rId10" w:fontKey="{F238C09E-ED43-473D-84D8-8FE413062BEA}"/>
  </w:font>
  <w:font w:name="Wingdings 2">
    <w:panose1 w:val="05020102010507070707"/>
    <w:charset w:val="02"/>
    <w:family w:val="roman"/>
    <w:pitch w:val="default"/>
    <w:sig w:usb0="00000000" w:usb1="00000000" w:usb2="00000000" w:usb3="00000000" w:csb0="80000000" w:csb1="00000000"/>
    <w:embedRegular r:id="rId11" w:fontKey="{9E337E6F-4548-4C92-A0BC-C88971224CEE}"/>
  </w:font>
  <w:font w:name="隶书">
    <w:panose1 w:val="02010509060101010101"/>
    <w:charset w:val="86"/>
    <w:family w:val="modern"/>
    <w:pitch w:val="default"/>
    <w:sig w:usb0="00000001" w:usb1="080E0000" w:usb2="00000000" w:usb3="00000000" w:csb0="00040000" w:csb1="00000000"/>
    <w:embedRegular r:id="rId12" w:fontKey="{60CAD053-366A-4B22-99B1-53B07F4A5F32}"/>
  </w:font>
  <w:font w:name="KSOFE4500885">
    <w:panose1 w:val="02010609060101010101"/>
    <w:charset w:val="86"/>
    <w:family w:val="auto"/>
    <w:pitch w:val="default"/>
    <w:sig w:usb0="00000001" w:usb1="00000000" w:usb2="00000000" w:usb3="00000000" w:csb0="00040001" w:csb1="00000000"/>
  </w:font>
  <w:font w:name="WPSEMBED1">
    <w:panose1 w:val="020B0604020202020204"/>
    <w:charset w:val="86"/>
    <w:family w:val="auto"/>
    <w:pitch w:val="default"/>
    <w:sig w:usb0="FFFFFFFF" w:usb1="E9FFFFFF" w:usb2="0000003F" w:usb3="00000000" w:csb0="603F01FF" w:csb1="FFFF0000"/>
  </w:font>
  <w:font w:name="WPSEMBED2">
    <w:panose1 w:val="05020102010507070707"/>
    <w:charset w:val="00"/>
    <w:family w:val="auto"/>
    <w:pitch w:val="default"/>
    <w:sig w:usb0="00000000" w:usb1="00000000" w:usb2="00000000" w:usb3="00000000" w:csb0="80000000" w:csb1="00000000"/>
  </w:font>
  <w:font w:name="WPSEMBED3">
    <w:panose1 w:val="0201050906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53087">
    <w:pPr>
      <w:pStyle w:val="32"/>
      <w:framePr w:wrap="around" w:vAnchor="text" w:hAnchor="margin" w:xAlign="center" w:y="1"/>
      <w:rPr>
        <w:rStyle w:val="54"/>
      </w:rPr>
    </w:pPr>
    <w:r>
      <w:fldChar w:fldCharType="begin"/>
    </w:r>
    <w:r>
      <w:rPr>
        <w:rStyle w:val="54"/>
      </w:rPr>
      <w:instrText xml:space="preserve">PAGE  </w:instrText>
    </w:r>
    <w:r>
      <w:fldChar w:fldCharType="end"/>
    </w:r>
  </w:p>
  <w:p w14:paraId="6BEAF07F">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C92DE">
    <w:pPr>
      <w:pStyle w:val="32"/>
      <w:ind w:right="360"/>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9D4B3">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9A012">
    <w:pPr>
      <w:pStyle w:val="32"/>
      <w:jc w:val="center"/>
    </w:pPr>
    <w:r>
      <w:fldChar w:fldCharType="begin"/>
    </w:r>
    <w:r>
      <w:instrText xml:space="preserve">PAGE   \* MERGEFORMAT</w:instrText>
    </w:r>
    <w:r>
      <w:fldChar w:fldCharType="separate"/>
    </w:r>
    <w:r>
      <w:rPr>
        <w:lang w:val="zh-CN"/>
      </w:rPr>
      <w:t>1</w:t>
    </w:r>
    <w:r>
      <w:fldChar w:fldCharType="end"/>
    </w:r>
  </w:p>
  <w:p w14:paraId="0D7244DF">
    <w:pPr>
      <w:pStyle w:val="32"/>
      <w:ind w:right="360"/>
      <w:jc w:val="both"/>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DE569">
    <w:pPr>
      <w:pStyle w:val="3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1ECB02">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161ECB02">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FB786">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F3244B">
                          <w:pPr>
                            <w:pStyle w:val="32"/>
                          </w:pPr>
                          <w:r>
                            <w:fldChar w:fldCharType="begin"/>
                          </w:r>
                          <w:r>
                            <w:instrText xml:space="preserve"> PAGE  \* MERGEFORMAT </w:instrText>
                          </w:r>
                          <w:r>
                            <w:fldChar w:fldCharType="separate"/>
                          </w:r>
                          <w:r>
                            <w:t>124</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52F3244B">
                    <w:pPr>
                      <w:pStyle w:val="32"/>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42826">
    <w:pPr>
      <w:pStyle w:val="32"/>
      <w:framePr w:wrap="around" w:vAnchor="text" w:hAnchor="margin" w:xAlign="center" w:y="1"/>
      <w:rPr>
        <w:rStyle w:val="54"/>
      </w:rPr>
    </w:pPr>
    <w:r>
      <w:fldChar w:fldCharType="begin"/>
    </w:r>
    <w:r>
      <w:rPr>
        <w:rStyle w:val="54"/>
      </w:rPr>
      <w:instrText xml:space="preserve">PAGE  </w:instrText>
    </w:r>
    <w:r>
      <w:fldChar w:fldCharType="end"/>
    </w:r>
  </w:p>
  <w:p w14:paraId="4062B194">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72644">
    <w:pPr>
      <w:pStyle w:val="32"/>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E9B96">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1A1EC">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DA6AF"/>
    <w:multiLevelType w:val="multilevel"/>
    <w:tmpl w:val="B55DA6AF"/>
    <w:lvl w:ilvl="0" w:tentative="0">
      <w:start w:val="1"/>
      <w:numFmt w:val="decimal"/>
      <w:lvlText w:val="%1."/>
      <w:lvlJc w:val="left"/>
      <w:pPr>
        <w:tabs>
          <w:tab w:val="left" w:pos="312"/>
        </w:tabs>
      </w:pPr>
    </w:lvl>
    <w:lvl w:ilvl="1" w:tentative="0">
      <w:start w:val="1"/>
      <w:numFmt w:val="decimal"/>
      <w:suff w:val="space"/>
      <w:lvlText w:val="%1.%2"/>
      <w:lvlJc w:val="left"/>
      <w:pPr>
        <w:ind w:left="420" w:firstLine="0"/>
      </w:pPr>
      <w:rPr>
        <w:rFonts w:hint="default"/>
      </w:rPr>
    </w:lvl>
    <w:lvl w:ilvl="2" w:tentative="0">
      <w:start w:val="1"/>
      <w:numFmt w:val="decimal"/>
      <w:suff w:val="space"/>
      <w:lvlText w:val="%1.%2.%3"/>
      <w:lvlJc w:val="left"/>
      <w:pPr>
        <w:ind w:left="420" w:firstLine="0"/>
      </w:pPr>
      <w:rPr>
        <w:rFonts w:hint="default"/>
      </w:rPr>
    </w:lvl>
    <w:lvl w:ilvl="3" w:tentative="0">
      <w:start w:val="1"/>
      <w:numFmt w:val="decimal"/>
      <w:suff w:val="space"/>
      <w:lvlText w:val="%1.%2.%3.%4"/>
      <w:lvlJc w:val="left"/>
      <w:pPr>
        <w:ind w:left="420" w:firstLine="0"/>
      </w:pPr>
      <w:rPr>
        <w:rFonts w:hint="default"/>
      </w:rPr>
    </w:lvl>
    <w:lvl w:ilvl="4" w:tentative="0">
      <w:start w:val="1"/>
      <w:numFmt w:val="decimal"/>
      <w:suff w:val="space"/>
      <w:lvlText w:val="%1.%2.%3.%4.%5"/>
      <w:lvlJc w:val="left"/>
      <w:pPr>
        <w:ind w:left="420" w:firstLine="0"/>
      </w:pPr>
      <w:rPr>
        <w:rFonts w:hint="default"/>
      </w:rPr>
    </w:lvl>
    <w:lvl w:ilvl="5" w:tentative="0">
      <w:start w:val="1"/>
      <w:numFmt w:val="decimal"/>
      <w:suff w:val="space"/>
      <w:lvlText w:val="%1.%2.%3.%4.%5.%6"/>
      <w:lvlJc w:val="left"/>
      <w:pPr>
        <w:ind w:left="420" w:firstLine="0"/>
      </w:pPr>
      <w:rPr>
        <w:rFonts w:hint="default"/>
      </w:rPr>
    </w:lvl>
    <w:lvl w:ilvl="6" w:tentative="0">
      <w:start w:val="1"/>
      <w:numFmt w:val="decimal"/>
      <w:suff w:val="space"/>
      <w:lvlText w:val="%1.%2.%3.%4.%5.%6.%7"/>
      <w:lvlJc w:val="left"/>
      <w:pPr>
        <w:ind w:left="420" w:firstLine="0"/>
      </w:pPr>
      <w:rPr>
        <w:rFonts w:hint="default"/>
      </w:rPr>
    </w:lvl>
    <w:lvl w:ilvl="7" w:tentative="0">
      <w:start w:val="1"/>
      <w:numFmt w:val="decimal"/>
      <w:suff w:val="space"/>
      <w:lvlText w:val="%1.%2.%3.%4.%5.%6.%7.%8"/>
      <w:lvlJc w:val="left"/>
      <w:pPr>
        <w:ind w:left="420" w:firstLine="0"/>
      </w:pPr>
      <w:rPr>
        <w:rFonts w:hint="default"/>
      </w:rPr>
    </w:lvl>
    <w:lvl w:ilvl="8" w:tentative="0">
      <w:start w:val="1"/>
      <w:numFmt w:val="decimal"/>
      <w:suff w:val="space"/>
      <w:lvlText w:val="%1.%2.%3.%4.%5.%6.%7.%8.%9"/>
      <w:lvlJc w:val="left"/>
      <w:pPr>
        <w:ind w:left="420" w:firstLine="0"/>
      </w:pPr>
      <w:rPr>
        <w:rFonts w:hint="default"/>
      </w:rPr>
    </w:lvl>
  </w:abstractNum>
  <w:abstractNum w:abstractNumId="1">
    <w:nsid w:val="BB074D4A"/>
    <w:multiLevelType w:val="singleLevel"/>
    <w:tmpl w:val="BB074D4A"/>
    <w:lvl w:ilvl="0" w:tentative="0">
      <w:start w:val="1"/>
      <w:numFmt w:val="decimal"/>
      <w:pStyle w:val="139"/>
      <w:suff w:val="space"/>
      <w:lvlText w:val="(%1)"/>
      <w:lvlJc w:val="left"/>
      <w:pPr>
        <w:tabs>
          <w:tab w:val="left" w:pos="0"/>
        </w:tabs>
        <w:ind w:left="0" w:firstLine="0"/>
      </w:pPr>
      <w:rPr>
        <w:rFonts w:hint="default"/>
      </w:rPr>
    </w:lvl>
  </w:abstractNum>
  <w:abstractNum w:abstractNumId="2">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3">
    <w:nsid w:val="04013D14"/>
    <w:multiLevelType w:val="singleLevel"/>
    <w:tmpl w:val="04013D14"/>
    <w:lvl w:ilvl="0" w:tentative="0">
      <w:start w:val="1"/>
      <w:numFmt w:val="decimal"/>
      <w:lvlText w:val="%1"/>
      <w:lvlJc w:val="left"/>
      <w:pPr>
        <w:tabs>
          <w:tab w:val="left" w:pos="420"/>
        </w:tabs>
        <w:ind w:left="425" w:leftChars="0" w:hanging="425" w:firstLineChars="0"/>
      </w:pPr>
      <w:rPr>
        <w:rFonts w:hint="default"/>
      </w:r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4C601917"/>
    <w:multiLevelType w:val="singleLevel"/>
    <w:tmpl w:val="4C601917"/>
    <w:lvl w:ilvl="0" w:tentative="0">
      <w:start w:val="1"/>
      <w:numFmt w:val="decimal"/>
      <w:suff w:val="nothing"/>
      <w:lvlText w:val="（%1）"/>
      <w:lvlJc w:val="left"/>
      <w:pPr>
        <w:ind w:left="-2"/>
      </w:pPr>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6217AE6C"/>
    <w:multiLevelType w:val="singleLevel"/>
    <w:tmpl w:val="6217AE6C"/>
    <w:lvl w:ilvl="0" w:tentative="0">
      <w:start w:val="1"/>
      <w:numFmt w:val="decimal"/>
      <w:lvlText w:val="%1."/>
      <w:lvlJc w:val="left"/>
      <w:pPr>
        <w:tabs>
          <w:tab w:val="left" w:pos="312"/>
        </w:tabs>
      </w:pPr>
    </w:lvl>
  </w:abstractNum>
  <w:abstractNum w:abstractNumId="8">
    <w:nsid w:val="65EC5093"/>
    <w:multiLevelType w:val="singleLevel"/>
    <w:tmpl w:val="65EC5093"/>
    <w:lvl w:ilvl="0" w:tentative="0">
      <w:start w:val="1"/>
      <w:numFmt w:val="decimal"/>
      <w:lvlText w:val="%1."/>
      <w:lvlJc w:val="left"/>
      <w:pPr>
        <w:ind w:left="425" w:hanging="425"/>
      </w:pPr>
      <w:rPr>
        <w:rFonts w:hint="default"/>
      </w:rPr>
    </w:lvl>
  </w:abstractNum>
  <w:abstractNum w:abstractNumId="9">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7815CFAB"/>
    <w:multiLevelType w:val="singleLevel"/>
    <w:tmpl w:val="7815CFAB"/>
    <w:lvl w:ilvl="0" w:tentative="0">
      <w:start w:val="1"/>
      <w:numFmt w:val="decimal"/>
      <w:pStyle w:val="138"/>
      <w:suff w:val="space"/>
      <w:lvlText w:val="%1."/>
      <w:lvlJc w:val="left"/>
      <w:pPr>
        <w:tabs>
          <w:tab w:val="left" w:pos="0"/>
        </w:tabs>
        <w:ind w:left="0" w:firstLine="0"/>
      </w:pPr>
      <w:rPr>
        <w:rFonts w:hint="default"/>
        <w:b w:val="0"/>
        <w:bCs w:val="0"/>
      </w:rPr>
    </w:lvl>
  </w:abstractNum>
  <w:num w:numId="1">
    <w:abstractNumId w:val="4"/>
  </w:num>
  <w:num w:numId="2">
    <w:abstractNumId w:val="2"/>
  </w:num>
  <w:num w:numId="3">
    <w:abstractNumId w:val="10"/>
  </w:num>
  <w:num w:numId="4">
    <w:abstractNumId w:val="1"/>
  </w:num>
  <w:num w:numId="5">
    <w:abstractNumId w:val="3"/>
  </w:num>
  <w:num w:numId="6">
    <w:abstractNumId w:val="8"/>
  </w:num>
  <w:num w:numId="7">
    <w:abstractNumId w:val="7"/>
  </w:num>
  <w:num w:numId="8">
    <w:abstractNumId w:val="5"/>
  </w:num>
  <w:num w:numId="9">
    <w:abstractNumId w:val="6"/>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xNWU1N2QxY2UxZWI4YzNlODg4ODFmNzk0YTgzMDQifQ=="/>
  </w:docVars>
  <w:rsids>
    <w:rsidRoot w:val="00F9008B"/>
    <w:rsid w:val="0000010C"/>
    <w:rsid w:val="000004FE"/>
    <w:rsid w:val="00000FE0"/>
    <w:rsid w:val="00001068"/>
    <w:rsid w:val="0000114A"/>
    <w:rsid w:val="00001731"/>
    <w:rsid w:val="00001C2D"/>
    <w:rsid w:val="00001C55"/>
    <w:rsid w:val="00001CA8"/>
    <w:rsid w:val="00001F20"/>
    <w:rsid w:val="00001FAE"/>
    <w:rsid w:val="00002291"/>
    <w:rsid w:val="00002DBF"/>
    <w:rsid w:val="00002EC0"/>
    <w:rsid w:val="00003224"/>
    <w:rsid w:val="000033B9"/>
    <w:rsid w:val="000033F5"/>
    <w:rsid w:val="0000358C"/>
    <w:rsid w:val="0000361D"/>
    <w:rsid w:val="00003BEF"/>
    <w:rsid w:val="00004130"/>
    <w:rsid w:val="0000431F"/>
    <w:rsid w:val="00004634"/>
    <w:rsid w:val="00004D8B"/>
    <w:rsid w:val="000059E2"/>
    <w:rsid w:val="00005FAD"/>
    <w:rsid w:val="000061EA"/>
    <w:rsid w:val="00006AE7"/>
    <w:rsid w:val="00006B9B"/>
    <w:rsid w:val="00006BCA"/>
    <w:rsid w:val="00006C35"/>
    <w:rsid w:val="000072B1"/>
    <w:rsid w:val="00007329"/>
    <w:rsid w:val="00007E28"/>
    <w:rsid w:val="00007E84"/>
    <w:rsid w:val="00007F72"/>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D6"/>
    <w:rsid w:val="00014085"/>
    <w:rsid w:val="00014C49"/>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3C4"/>
    <w:rsid w:val="00021715"/>
    <w:rsid w:val="000217E4"/>
    <w:rsid w:val="00021852"/>
    <w:rsid w:val="00021A12"/>
    <w:rsid w:val="000223BF"/>
    <w:rsid w:val="00022622"/>
    <w:rsid w:val="00023363"/>
    <w:rsid w:val="000235F3"/>
    <w:rsid w:val="00023644"/>
    <w:rsid w:val="00023712"/>
    <w:rsid w:val="00024E3C"/>
    <w:rsid w:val="00024EB0"/>
    <w:rsid w:val="00025604"/>
    <w:rsid w:val="00025DAF"/>
    <w:rsid w:val="0002646A"/>
    <w:rsid w:val="0002651D"/>
    <w:rsid w:val="00026CFD"/>
    <w:rsid w:val="00027C8B"/>
    <w:rsid w:val="00027CD9"/>
    <w:rsid w:val="00030242"/>
    <w:rsid w:val="00030B06"/>
    <w:rsid w:val="0003183A"/>
    <w:rsid w:val="00031CDC"/>
    <w:rsid w:val="00032461"/>
    <w:rsid w:val="0003263B"/>
    <w:rsid w:val="0003282C"/>
    <w:rsid w:val="00032F6D"/>
    <w:rsid w:val="0003304A"/>
    <w:rsid w:val="0003317E"/>
    <w:rsid w:val="00033413"/>
    <w:rsid w:val="000335D5"/>
    <w:rsid w:val="000337F3"/>
    <w:rsid w:val="00033DDB"/>
    <w:rsid w:val="00034B24"/>
    <w:rsid w:val="00034C27"/>
    <w:rsid w:val="00034E2A"/>
    <w:rsid w:val="0003577F"/>
    <w:rsid w:val="00035B29"/>
    <w:rsid w:val="00036140"/>
    <w:rsid w:val="00036466"/>
    <w:rsid w:val="0003675E"/>
    <w:rsid w:val="00037F87"/>
    <w:rsid w:val="00037FA2"/>
    <w:rsid w:val="000400D0"/>
    <w:rsid w:val="00040343"/>
    <w:rsid w:val="000424B8"/>
    <w:rsid w:val="000425AC"/>
    <w:rsid w:val="000427B8"/>
    <w:rsid w:val="00042D07"/>
    <w:rsid w:val="00042F4A"/>
    <w:rsid w:val="00043AC8"/>
    <w:rsid w:val="00043BE5"/>
    <w:rsid w:val="00043C80"/>
    <w:rsid w:val="00044003"/>
    <w:rsid w:val="00044527"/>
    <w:rsid w:val="000447E8"/>
    <w:rsid w:val="00044897"/>
    <w:rsid w:val="00044ACF"/>
    <w:rsid w:val="000454F4"/>
    <w:rsid w:val="00045D1E"/>
    <w:rsid w:val="00045E69"/>
    <w:rsid w:val="00045E97"/>
    <w:rsid w:val="00045EF4"/>
    <w:rsid w:val="00046547"/>
    <w:rsid w:val="000466D7"/>
    <w:rsid w:val="00046753"/>
    <w:rsid w:val="00047254"/>
    <w:rsid w:val="00047E41"/>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57F73"/>
    <w:rsid w:val="00060131"/>
    <w:rsid w:val="0006026B"/>
    <w:rsid w:val="00060293"/>
    <w:rsid w:val="00061341"/>
    <w:rsid w:val="00061AA1"/>
    <w:rsid w:val="00061BD3"/>
    <w:rsid w:val="00061BDA"/>
    <w:rsid w:val="000621FE"/>
    <w:rsid w:val="00062B90"/>
    <w:rsid w:val="00062C70"/>
    <w:rsid w:val="00062DD0"/>
    <w:rsid w:val="00062E6F"/>
    <w:rsid w:val="000630C7"/>
    <w:rsid w:val="0006361C"/>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430"/>
    <w:rsid w:val="0007578F"/>
    <w:rsid w:val="00075E43"/>
    <w:rsid w:val="0007616D"/>
    <w:rsid w:val="00077706"/>
    <w:rsid w:val="00077878"/>
    <w:rsid w:val="000804EF"/>
    <w:rsid w:val="00080558"/>
    <w:rsid w:val="00080D9F"/>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CE5"/>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153"/>
    <w:rsid w:val="000B5627"/>
    <w:rsid w:val="000B5671"/>
    <w:rsid w:val="000B5B47"/>
    <w:rsid w:val="000B64C0"/>
    <w:rsid w:val="000B6BF0"/>
    <w:rsid w:val="000B6CE8"/>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595D"/>
    <w:rsid w:val="000E64B2"/>
    <w:rsid w:val="000E65D2"/>
    <w:rsid w:val="000E6919"/>
    <w:rsid w:val="000E6B1B"/>
    <w:rsid w:val="000E6F0C"/>
    <w:rsid w:val="000E732D"/>
    <w:rsid w:val="000F07ED"/>
    <w:rsid w:val="000F0CF2"/>
    <w:rsid w:val="000F1401"/>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502"/>
    <w:rsid w:val="000F7616"/>
    <w:rsid w:val="000F7DE9"/>
    <w:rsid w:val="000F7F7A"/>
    <w:rsid w:val="001002F4"/>
    <w:rsid w:val="0010050C"/>
    <w:rsid w:val="001006CB"/>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C3F"/>
    <w:rsid w:val="00117EFC"/>
    <w:rsid w:val="001205A8"/>
    <w:rsid w:val="00121766"/>
    <w:rsid w:val="00122451"/>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85D"/>
    <w:rsid w:val="0013089C"/>
    <w:rsid w:val="00130A2D"/>
    <w:rsid w:val="00130F54"/>
    <w:rsid w:val="00131888"/>
    <w:rsid w:val="00131F17"/>
    <w:rsid w:val="0013212F"/>
    <w:rsid w:val="00132284"/>
    <w:rsid w:val="001323F9"/>
    <w:rsid w:val="0013251F"/>
    <w:rsid w:val="001326E6"/>
    <w:rsid w:val="00133088"/>
    <w:rsid w:val="00133346"/>
    <w:rsid w:val="001335B1"/>
    <w:rsid w:val="00133B4E"/>
    <w:rsid w:val="0013410F"/>
    <w:rsid w:val="001346AF"/>
    <w:rsid w:val="00134990"/>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0F6"/>
    <w:rsid w:val="00150827"/>
    <w:rsid w:val="00150B0D"/>
    <w:rsid w:val="00150E10"/>
    <w:rsid w:val="00151A32"/>
    <w:rsid w:val="00151B2C"/>
    <w:rsid w:val="00151E31"/>
    <w:rsid w:val="00151F9B"/>
    <w:rsid w:val="00152289"/>
    <w:rsid w:val="00152425"/>
    <w:rsid w:val="00152BAD"/>
    <w:rsid w:val="00152CE3"/>
    <w:rsid w:val="00153652"/>
    <w:rsid w:val="00153697"/>
    <w:rsid w:val="00153701"/>
    <w:rsid w:val="00153956"/>
    <w:rsid w:val="00153B95"/>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236C"/>
    <w:rsid w:val="00162625"/>
    <w:rsid w:val="001630A8"/>
    <w:rsid w:val="00163826"/>
    <w:rsid w:val="00163943"/>
    <w:rsid w:val="00163BA1"/>
    <w:rsid w:val="00163F22"/>
    <w:rsid w:val="0016417B"/>
    <w:rsid w:val="001643A6"/>
    <w:rsid w:val="0016470E"/>
    <w:rsid w:val="001649D3"/>
    <w:rsid w:val="00164E0A"/>
    <w:rsid w:val="001652D7"/>
    <w:rsid w:val="00165A5F"/>
    <w:rsid w:val="00166223"/>
    <w:rsid w:val="00166F17"/>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44A"/>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FE0"/>
    <w:rsid w:val="00183911"/>
    <w:rsid w:val="001845FB"/>
    <w:rsid w:val="001857FB"/>
    <w:rsid w:val="00185DA6"/>
    <w:rsid w:val="00185F64"/>
    <w:rsid w:val="00186096"/>
    <w:rsid w:val="001862FE"/>
    <w:rsid w:val="001864AC"/>
    <w:rsid w:val="00187317"/>
    <w:rsid w:val="0018772E"/>
    <w:rsid w:val="00187A94"/>
    <w:rsid w:val="0019029E"/>
    <w:rsid w:val="00190804"/>
    <w:rsid w:val="0019088F"/>
    <w:rsid w:val="00190C51"/>
    <w:rsid w:val="00192F00"/>
    <w:rsid w:val="00193ACC"/>
    <w:rsid w:val="00193BFE"/>
    <w:rsid w:val="00195322"/>
    <w:rsid w:val="0019560E"/>
    <w:rsid w:val="001958E3"/>
    <w:rsid w:val="00195FFA"/>
    <w:rsid w:val="0019601B"/>
    <w:rsid w:val="00196048"/>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482"/>
    <w:rsid w:val="001A389C"/>
    <w:rsid w:val="001A3B75"/>
    <w:rsid w:val="001A42A3"/>
    <w:rsid w:val="001A46FB"/>
    <w:rsid w:val="001A4EC9"/>
    <w:rsid w:val="001A5944"/>
    <w:rsid w:val="001A5FB1"/>
    <w:rsid w:val="001A618F"/>
    <w:rsid w:val="001A698A"/>
    <w:rsid w:val="001A6CCC"/>
    <w:rsid w:val="001A6E3B"/>
    <w:rsid w:val="001A70C8"/>
    <w:rsid w:val="001A71C9"/>
    <w:rsid w:val="001A7429"/>
    <w:rsid w:val="001A760C"/>
    <w:rsid w:val="001A76F0"/>
    <w:rsid w:val="001A7977"/>
    <w:rsid w:val="001A799B"/>
    <w:rsid w:val="001A7AC7"/>
    <w:rsid w:val="001A7C38"/>
    <w:rsid w:val="001B02F8"/>
    <w:rsid w:val="001B2104"/>
    <w:rsid w:val="001B2220"/>
    <w:rsid w:val="001B2279"/>
    <w:rsid w:val="001B2729"/>
    <w:rsid w:val="001B2866"/>
    <w:rsid w:val="001B2881"/>
    <w:rsid w:val="001B2B73"/>
    <w:rsid w:val="001B3675"/>
    <w:rsid w:val="001B37C8"/>
    <w:rsid w:val="001B48BA"/>
    <w:rsid w:val="001B4B2C"/>
    <w:rsid w:val="001B4EAB"/>
    <w:rsid w:val="001B4F10"/>
    <w:rsid w:val="001B5154"/>
    <w:rsid w:val="001B6E30"/>
    <w:rsid w:val="001B7C83"/>
    <w:rsid w:val="001B7F9E"/>
    <w:rsid w:val="001C0206"/>
    <w:rsid w:val="001C0246"/>
    <w:rsid w:val="001C04D4"/>
    <w:rsid w:val="001C0B34"/>
    <w:rsid w:val="001C12A3"/>
    <w:rsid w:val="001C1419"/>
    <w:rsid w:val="001C17BB"/>
    <w:rsid w:val="001C187E"/>
    <w:rsid w:val="001C1A37"/>
    <w:rsid w:val="001C1C49"/>
    <w:rsid w:val="001C24D9"/>
    <w:rsid w:val="001C278A"/>
    <w:rsid w:val="001C286F"/>
    <w:rsid w:val="001C2B86"/>
    <w:rsid w:val="001C2F54"/>
    <w:rsid w:val="001C3308"/>
    <w:rsid w:val="001C3BBB"/>
    <w:rsid w:val="001C40D1"/>
    <w:rsid w:val="001C468A"/>
    <w:rsid w:val="001C4A38"/>
    <w:rsid w:val="001C4A9E"/>
    <w:rsid w:val="001C5001"/>
    <w:rsid w:val="001C5103"/>
    <w:rsid w:val="001C52A8"/>
    <w:rsid w:val="001C5ADF"/>
    <w:rsid w:val="001C5DBD"/>
    <w:rsid w:val="001C5E8E"/>
    <w:rsid w:val="001C6120"/>
    <w:rsid w:val="001C6516"/>
    <w:rsid w:val="001C6B5C"/>
    <w:rsid w:val="001C7155"/>
    <w:rsid w:val="001C7E48"/>
    <w:rsid w:val="001D039B"/>
    <w:rsid w:val="001D0849"/>
    <w:rsid w:val="001D1258"/>
    <w:rsid w:val="001D1715"/>
    <w:rsid w:val="001D1AB8"/>
    <w:rsid w:val="001D26F5"/>
    <w:rsid w:val="001D286F"/>
    <w:rsid w:val="001D2C94"/>
    <w:rsid w:val="001D33D9"/>
    <w:rsid w:val="001D36F6"/>
    <w:rsid w:val="001D4303"/>
    <w:rsid w:val="001D45E5"/>
    <w:rsid w:val="001D461A"/>
    <w:rsid w:val="001D4A9D"/>
    <w:rsid w:val="001D4AAD"/>
    <w:rsid w:val="001D4C1D"/>
    <w:rsid w:val="001D4E16"/>
    <w:rsid w:val="001D5AFA"/>
    <w:rsid w:val="001D652D"/>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700A"/>
    <w:rsid w:val="001E70AD"/>
    <w:rsid w:val="001E7237"/>
    <w:rsid w:val="001E76AD"/>
    <w:rsid w:val="001E7AF6"/>
    <w:rsid w:val="001F01B8"/>
    <w:rsid w:val="001F0FC3"/>
    <w:rsid w:val="001F1188"/>
    <w:rsid w:val="001F1B8D"/>
    <w:rsid w:val="001F1C50"/>
    <w:rsid w:val="001F263B"/>
    <w:rsid w:val="001F274F"/>
    <w:rsid w:val="001F289C"/>
    <w:rsid w:val="001F2BF9"/>
    <w:rsid w:val="001F348D"/>
    <w:rsid w:val="001F3AF2"/>
    <w:rsid w:val="001F6008"/>
    <w:rsid w:val="001F604B"/>
    <w:rsid w:val="001F641B"/>
    <w:rsid w:val="001F6D4D"/>
    <w:rsid w:val="0020125C"/>
    <w:rsid w:val="0020130D"/>
    <w:rsid w:val="00201916"/>
    <w:rsid w:val="00201D06"/>
    <w:rsid w:val="00201E9F"/>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2C"/>
    <w:rsid w:val="00215D95"/>
    <w:rsid w:val="00215ED8"/>
    <w:rsid w:val="00215FAF"/>
    <w:rsid w:val="00217700"/>
    <w:rsid w:val="002177E2"/>
    <w:rsid w:val="0021783B"/>
    <w:rsid w:val="00217B43"/>
    <w:rsid w:val="00217E71"/>
    <w:rsid w:val="002205F3"/>
    <w:rsid w:val="0022085B"/>
    <w:rsid w:val="00220E53"/>
    <w:rsid w:val="0022176C"/>
    <w:rsid w:val="002225D1"/>
    <w:rsid w:val="002230FA"/>
    <w:rsid w:val="002232B9"/>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1D05"/>
    <w:rsid w:val="00231F40"/>
    <w:rsid w:val="0023241A"/>
    <w:rsid w:val="002336E2"/>
    <w:rsid w:val="00233AC2"/>
    <w:rsid w:val="00233B15"/>
    <w:rsid w:val="00233BAF"/>
    <w:rsid w:val="00233F80"/>
    <w:rsid w:val="0023423A"/>
    <w:rsid w:val="00235420"/>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418"/>
    <w:rsid w:val="00245A81"/>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6590"/>
    <w:rsid w:val="00257059"/>
    <w:rsid w:val="0025712F"/>
    <w:rsid w:val="00257395"/>
    <w:rsid w:val="00257857"/>
    <w:rsid w:val="002578DA"/>
    <w:rsid w:val="00257CBC"/>
    <w:rsid w:val="002602C2"/>
    <w:rsid w:val="002602DA"/>
    <w:rsid w:val="0026040B"/>
    <w:rsid w:val="00260472"/>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36"/>
    <w:rsid w:val="00272E48"/>
    <w:rsid w:val="00272FBF"/>
    <w:rsid w:val="00273A10"/>
    <w:rsid w:val="00273A58"/>
    <w:rsid w:val="00273B96"/>
    <w:rsid w:val="00274C6E"/>
    <w:rsid w:val="00274CAB"/>
    <w:rsid w:val="00274E8A"/>
    <w:rsid w:val="002755A8"/>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A4"/>
    <w:rsid w:val="00285BF2"/>
    <w:rsid w:val="00285C78"/>
    <w:rsid w:val="002863CE"/>
    <w:rsid w:val="00287E20"/>
    <w:rsid w:val="0029035E"/>
    <w:rsid w:val="0029110F"/>
    <w:rsid w:val="00291492"/>
    <w:rsid w:val="00291527"/>
    <w:rsid w:val="002916B4"/>
    <w:rsid w:val="0029199A"/>
    <w:rsid w:val="002919F3"/>
    <w:rsid w:val="00291BBE"/>
    <w:rsid w:val="00291FEB"/>
    <w:rsid w:val="00293146"/>
    <w:rsid w:val="0029361E"/>
    <w:rsid w:val="00293D68"/>
    <w:rsid w:val="0029408A"/>
    <w:rsid w:val="00294352"/>
    <w:rsid w:val="002944A0"/>
    <w:rsid w:val="002946E4"/>
    <w:rsid w:val="0029495C"/>
    <w:rsid w:val="002957D9"/>
    <w:rsid w:val="00295B52"/>
    <w:rsid w:val="00295ED9"/>
    <w:rsid w:val="00296024"/>
    <w:rsid w:val="00296293"/>
    <w:rsid w:val="002969C7"/>
    <w:rsid w:val="00296AF7"/>
    <w:rsid w:val="00296E2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33C"/>
    <w:rsid w:val="002B0685"/>
    <w:rsid w:val="002B0B53"/>
    <w:rsid w:val="002B0C16"/>
    <w:rsid w:val="002B1617"/>
    <w:rsid w:val="002B1A90"/>
    <w:rsid w:val="002B1D11"/>
    <w:rsid w:val="002B273B"/>
    <w:rsid w:val="002B29AA"/>
    <w:rsid w:val="002B2A7E"/>
    <w:rsid w:val="002B2F1B"/>
    <w:rsid w:val="002B2F40"/>
    <w:rsid w:val="002B3332"/>
    <w:rsid w:val="002B34C7"/>
    <w:rsid w:val="002B3F25"/>
    <w:rsid w:val="002B4CCF"/>
    <w:rsid w:val="002B5964"/>
    <w:rsid w:val="002B5AFB"/>
    <w:rsid w:val="002B6320"/>
    <w:rsid w:val="002B66AC"/>
    <w:rsid w:val="002B6852"/>
    <w:rsid w:val="002B7167"/>
    <w:rsid w:val="002B751D"/>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CE9"/>
    <w:rsid w:val="002E2E74"/>
    <w:rsid w:val="002E32D2"/>
    <w:rsid w:val="002E361B"/>
    <w:rsid w:val="002E37AB"/>
    <w:rsid w:val="002E3A80"/>
    <w:rsid w:val="002E41C7"/>
    <w:rsid w:val="002E51DF"/>
    <w:rsid w:val="002E57B9"/>
    <w:rsid w:val="002E6127"/>
    <w:rsid w:val="002E6885"/>
    <w:rsid w:val="002E72E4"/>
    <w:rsid w:val="002E739D"/>
    <w:rsid w:val="002F0F36"/>
    <w:rsid w:val="002F1276"/>
    <w:rsid w:val="002F1986"/>
    <w:rsid w:val="002F1E5F"/>
    <w:rsid w:val="002F1F98"/>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D6A"/>
    <w:rsid w:val="00301E89"/>
    <w:rsid w:val="00302052"/>
    <w:rsid w:val="00302142"/>
    <w:rsid w:val="00302169"/>
    <w:rsid w:val="00302612"/>
    <w:rsid w:val="00303254"/>
    <w:rsid w:val="003044D9"/>
    <w:rsid w:val="0030457E"/>
    <w:rsid w:val="00304D8A"/>
    <w:rsid w:val="00305216"/>
    <w:rsid w:val="0030555B"/>
    <w:rsid w:val="003061F5"/>
    <w:rsid w:val="00306A49"/>
    <w:rsid w:val="00306D27"/>
    <w:rsid w:val="0030739C"/>
    <w:rsid w:val="00310D51"/>
    <w:rsid w:val="00311B36"/>
    <w:rsid w:val="00311C92"/>
    <w:rsid w:val="00312CC4"/>
    <w:rsid w:val="00313321"/>
    <w:rsid w:val="003133AE"/>
    <w:rsid w:val="0031371B"/>
    <w:rsid w:val="00314156"/>
    <w:rsid w:val="00314CF8"/>
    <w:rsid w:val="0031535B"/>
    <w:rsid w:val="003154DD"/>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C9D"/>
    <w:rsid w:val="003310AB"/>
    <w:rsid w:val="003314D2"/>
    <w:rsid w:val="00331712"/>
    <w:rsid w:val="00331847"/>
    <w:rsid w:val="00331A3F"/>
    <w:rsid w:val="00332191"/>
    <w:rsid w:val="00332720"/>
    <w:rsid w:val="00332EED"/>
    <w:rsid w:val="003334A7"/>
    <w:rsid w:val="003337E8"/>
    <w:rsid w:val="00333A14"/>
    <w:rsid w:val="00333B2A"/>
    <w:rsid w:val="00333FD5"/>
    <w:rsid w:val="00334649"/>
    <w:rsid w:val="003350E9"/>
    <w:rsid w:val="003351BA"/>
    <w:rsid w:val="0033520F"/>
    <w:rsid w:val="0033588B"/>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50F3"/>
    <w:rsid w:val="0036572E"/>
    <w:rsid w:val="00366168"/>
    <w:rsid w:val="003663D9"/>
    <w:rsid w:val="003666BF"/>
    <w:rsid w:val="00366707"/>
    <w:rsid w:val="00366FA9"/>
    <w:rsid w:val="00367B19"/>
    <w:rsid w:val="00367E49"/>
    <w:rsid w:val="003700E6"/>
    <w:rsid w:val="0037017C"/>
    <w:rsid w:val="00370490"/>
    <w:rsid w:val="00370C7E"/>
    <w:rsid w:val="00371C86"/>
    <w:rsid w:val="0037236C"/>
    <w:rsid w:val="003729DE"/>
    <w:rsid w:val="00372EA2"/>
    <w:rsid w:val="0037345A"/>
    <w:rsid w:val="003735D3"/>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4E89"/>
    <w:rsid w:val="003854D5"/>
    <w:rsid w:val="0038552A"/>
    <w:rsid w:val="003859EA"/>
    <w:rsid w:val="0038709E"/>
    <w:rsid w:val="00387D30"/>
    <w:rsid w:val="003901A4"/>
    <w:rsid w:val="00391753"/>
    <w:rsid w:val="00391C7F"/>
    <w:rsid w:val="00392454"/>
    <w:rsid w:val="00392C85"/>
    <w:rsid w:val="00392FD8"/>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A0"/>
    <w:rsid w:val="003B11EE"/>
    <w:rsid w:val="003B15F8"/>
    <w:rsid w:val="003B166F"/>
    <w:rsid w:val="003B1B60"/>
    <w:rsid w:val="003B207E"/>
    <w:rsid w:val="003B230B"/>
    <w:rsid w:val="003B23BC"/>
    <w:rsid w:val="003B28BA"/>
    <w:rsid w:val="003B28F6"/>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DCD"/>
    <w:rsid w:val="003C0E6B"/>
    <w:rsid w:val="003C16EE"/>
    <w:rsid w:val="003C1C87"/>
    <w:rsid w:val="003C1D4D"/>
    <w:rsid w:val="003C2927"/>
    <w:rsid w:val="003C2C85"/>
    <w:rsid w:val="003C2F61"/>
    <w:rsid w:val="003C345E"/>
    <w:rsid w:val="003C4409"/>
    <w:rsid w:val="003C4997"/>
    <w:rsid w:val="003C4DA5"/>
    <w:rsid w:val="003C502A"/>
    <w:rsid w:val="003C5666"/>
    <w:rsid w:val="003C60A7"/>
    <w:rsid w:val="003C60CC"/>
    <w:rsid w:val="003C64F4"/>
    <w:rsid w:val="003C6D4E"/>
    <w:rsid w:val="003C6EB7"/>
    <w:rsid w:val="003C724B"/>
    <w:rsid w:val="003C73DB"/>
    <w:rsid w:val="003D0185"/>
    <w:rsid w:val="003D02CB"/>
    <w:rsid w:val="003D0382"/>
    <w:rsid w:val="003D069C"/>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7109"/>
    <w:rsid w:val="003E77DC"/>
    <w:rsid w:val="003E7BC1"/>
    <w:rsid w:val="003F0453"/>
    <w:rsid w:val="003F0C9F"/>
    <w:rsid w:val="003F144A"/>
    <w:rsid w:val="003F1B02"/>
    <w:rsid w:val="003F1EFE"/>
    <w:rsid w:val="003F2240"/>
    <w:rsid w:val="003F2460"/>
    <w:rsid w:val="003F28DA"/>
    <w:rsid w:val="003F2E7B"/>
    <w:rsid w:val="003F3CD5"/>
    <w:rsid w:val="003F4473"/>
    <w:rsid w:val="003F4CF5"/>
    <w:rsid w:val="003F4E31"/>
    <w:rsid w:val="003F51EE"/>
    <w:rsid w:val="003F574E"/>
    <w:rsid w:val="003F60D6"/>
    <w:rsid w:val="003F68E9"/>
    <w:rsid w:val="003F728C"/>
    <w:rsid w:val="003F7E15"/>
    <w:rsid w:val="003F7FDA"/>
    <w:rsid w:val="00400E65"/>
    <w:rsid w:val="004013AD"/>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2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6B8"/>
    <w:rsid w:val="00417724"/>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C3E"/>
    <w:rsid w:val="00426CF3"/>
    <w:rsid w:val="004275CD"/>
    <w:rsid w:val="00427E74"/>
    <w:rsid w:val="00427FEB"/>
    <w:rsid w:val="00427FF2"/>
    <w:rsid w:val="0043013F"/>
    <w:rsid w:val="004305C0"/>
    <w:rsid w:val="00430B20"/>
    <w:rsid w:val="00430B6C"/>
    <w:rsid w:val="0043227C"/>
    <w:rsid w:val="004330B1"/>
    <w:rsid w:val="004335C0"/>
    <w:rsid w:val="004337B7"/>
    <w:rsid w:val="00433B34"/>
    <w:rsid w:val="00435121"/>
    <w:rsid w:val="00435470"/>
    <w:rsid w:val="00435715"/>
    <w:rsid w:val="0043571B"/>
    <w:rsid w:val="00435EE0"/>
    <w:rsid w:val="00435F29"/>
    <w:rsid w:val="0043610C"/>
    <w:rsid w:val="004366FF"/>
    <w:rsid w:val="00437D83"/>
    <w:rsid w:val="004401DD"/>
    <w:rsid w:val="00440344"/>
    <w:rsid w:val="00441264"/>
    <w:rsid w:val="00441B0F"/>
    <w:rsid w:val="00441F06"/>
    <w:rsid w:val="004425C6"/>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2433"/>
    <w:rsid w:val="00452576"/>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488"/>
    <w:rsid w:val="00466A4A"/>
    <w:rsid w:val="00466AFD"/>
    <w:rsid w:val="00466DCD"/>
    <w:rsid w:val="00470696"/>
    <w:rsid w:val="004713A5"/>
    <w:rsid w:val="0047162F"/>
    <w:rsid w:val="00472177"/>
    <w:rsid w:val="00472234"/>
    <w:rsid w:val="004724C9"/>
    <w:rsid w:val="00472585"/>
    <w:rsid w:val="00472FC3"/>
    <w:rsid w:val="00474130"/>
    <w:rsid w:val="00474EDD"/>
    <w:rsid w:val="00475A6C"/>
    <w:rsid w:val="004764AF"/>
    <w:rsid w:val="00476D04"/>
    <w:rsid w:val="00476F58"/>
    <w:rsid w:val="0047775E"/>
    <w:rsid w:val="00477AAE"/>
    <w:rsid w:val="00477AF6"/>
    <w:rsid w:val="00477B3B"/>
    <w:rsid w:val="00477BCB"/>
    <w:rsid w:val="004801A7"/>
    <w:rsid w:val="00480E47"/>
    <w:rsid w:val="00480F16"/>
    <w:rsid w:val="00481666"/>
    <w:rsid w:val="0048181B"/>
    <w:rsid w:val="00481F2B"/>
    <w:rsid w:val="004820C5"/>
    <w:rsid w:val="00482198"/>
    <w:rsid w:val="004823D8"/>
    <w:rsid w:val="0048292A"/>
    <w:rsid w:val="00482F20"/>
    <w:rsid w:val="00483196"/>
    <w:rsid w:val="0048340F"/>
    <w:rsid w:val="0048423C"/>
    <w:rsid w:val="00484449"/>
    <w:rsid w:val="004852CE"/>
    <w:rsid w:val="0048540C"/>
    <w:rsid w:val="00485F92"/>
    <w:rsid w:val="004860BD"/>
    <w:rsid w:val="004866E1"/>
    <w:rsid w:val="00486C72"/>
    <w:rsid w:val="00487406"/>
    <w:rsid w:val="00487D3A"/>
    <w:rsid w:val="00490954"/>
    <w:rsid w:val="0049102F"/>
    <w:rsid w:val="0049277A"/>
    <w:rsid w:val="00492B38"/>
    <w:rsid w:val="00492FE4"/>
    <w:rsid w:val="00493035"/>
    <w:rsid w:val="0049330F"/>
    <w:rsid w:val="00493321"/>
    <w:rsid w:val="004936DE"/>
    <w:rsid w:val="004949B0"/>
    <w:rsid w:val="00494A50"/>
    <w:rsid w:val="0049544E"/>
    <w:rsid w:val="00495670"/>
    <w:rsid w:val="0049567B"/>
    <w:rsid w:val="0049604B"/>
    <w:rsid w:val="00496666"/>
    <w:rsid w:val="00496AC9"/>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E98"/>
    <w:rsid w:val="004A7F21"/>
    <w:rsid w:val="004B08DB"/>
    <w:rsid w:val="004B1422"/>
    <w:rsid w:val="004B18F7"/>
    <w:rsid w:val="004B1DF2"/>
    <w:rsid w:val="004B24EB"/>
    <w:rsid w:val="004B29AC"/>
    <w:rsid w:val="004B3C8B"/>
    <w:rsid w:val="004B41EF"/>
    <w:rsid w:val="004B44A9"/>
    <w:rsid w:val="004B4509"/>
    <w:rsid w:val="004B452A"/>
    <w:rsid w:val="004B4871"/>
    <w:rsid w:val="004B4ADF"/>
    <w:rsid w:val="004B4C00"/>
    <w:rsid w:val="004B4E06"/>
    <w:rsid w:val="004B5493"/>
    <w:rsid w:val="004B5914"/>
    <w:rsid w:val="004B6C77"/>
    <w:rsid w:val="004B6D0A"/>
    <w:rsid w:val="004B6DA4"/>
    <w:rsid w:val="004B77F1"/>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5D5"/>
    <w:rsid w:val="004D3A57"/>
    <w:rsid w:val="004D47FF"/>
    <w:rsid w:val="004D4D35"/>
    <w:rsid w:val="004D4E0D"/>
    <w:rsid w:val="004D518F"/>
    <w:rsid w:val="004D54D7"/>
    <w:rsid w:val="004D5BB7"/>
    <w:rsid w:val="004D6053"/>
    <w:rsid w:val="004D6FA4"/>
    <w:rsid w:val="004D7034"/>
    <w:rsid w:val="004D7C23"/>
    <w:rsid w:val="004E01C6"/>
    <w:rsid w:val="004E0212"/>
    <w:rsid w:val="004E0ADC"/>
    <w:rsid w:val="004E0FB1"/>
    <w:rsid w:val="004E1043"/>
    <w:rsid w:val="004E1DCA"/>
    <w:rsid w:val="004E21B4"/>
    <w:rsid w:val="004E252B"/>
    <w:rsid w:val="004E2861"/>
    <w:rsid w:val="004E2A85"/>
    <w:rsid w:val="004E308A"/>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355B"/>
    <w:rsid w:val="004F3BD2"/>
    <w:rsid w:val="004F3BEA"/>
    <w:rsid w:val="004F4372"/>
    <w:rsid w:val="004F43E0"/>
    <w:rsid w:val="004F45EB"/>
    <w:rsid w:val="004F49F4"/>
    <w:rsid w:val="004F4A33"/>
    <w:rsid w:val="004F5079"/>
    <w:rsid w:val="004F521B"/>
    <w:rsid w:val="004F52BB"/>
    <w:rsid w:val="004F5582"/>
    <w:rsid w:val="004F56B1"/>
    <w:rsid w:val="004F59B8"/>
    <w:rsid w:val="004F62A7"/>
    <w:rsid w:val="004F62F9"/>
    <w:rsid w:val="004F66B3"/>
    <w:rsid w:val="004F6FA7"/>
    <w:rsid w:val="004F72DA"/>
    <w:rsid w:val="004F7352"/>
    <w:rsid w:val="004F7889"/>
    <w:rsid w:val="00500098"/>
    <w:rsid w:val="0050015C"/>
    <w:rsid w:val="00500418"/>
    <w:rsid w:val="00500CCF"/>
    <w:rsid w:val="00500E62"/>
    <w:rsid w:val="00500FEC"/>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9B9"/>
    <w:rsid w:val="00505F64"/>
    <w:rsid w:val="00506DCD"/>
    <w:rsid w:val="00507325"/>
    <w:rsid w:val="00507583"/>
    <w:rsid w:val="00507C56"/>
    <w:rsid w:val="00507F13"/>
    <w:rsid w:val="005109D4"/>
    <w:rsid w:val="00510CF4"/>
    <w:rsid w:val="0051160A"/>
    <w:rsid w:val="005118BA"/>
    <w:rsid w:val="00511C56"/>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575D"/>
    <w:rsid w:val="005259FC"/>
    <w:rsid w:val="00525A53"/>
    <w:rsid w:val="005260F1"/>
    <w:rsid w:val="00526569"/>
    <w:rsid w:val="00526726"/>
    <w:rsid w:val="00526F91"/>
    <w:rsid w:val="00527256"/>
    <w:rsid w:val="00527934"/>
    <w:rsid w:val="00527B57"/>
    <w:rsid w:val="00527C8D"/>
    <w:rsid w:val="00527C9C"/>
    <w:rsid w:val="005306B7"/>
    <w:rsid w:val="00530AC4"/>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CBB"/>
    <w:rsid w:val="00536DDD"/>
    <w:rsid w:val="00537033"/>
    <w:rsid w:val="0054004B"/>
    <w:rsid w:val="00540A37"/>
    <w:rsid w:val="00540B49"/>
    <w:rsid w:val="005416D7"/>
    <w:rsid w:val="005418DB"/>
    <w:rsid w:val="0054230B"/>
    <w:rsid w:val="005434EA"/>
    <w:rsid w:val="00544ABA"/>
    <w:rsid w:val="00544F0B"/>
    <w:rsid w:val="00545D55"/>
    <w:rsid w:val="00545FE8"/>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7E2"/>
    <w:rsid w:val="00555A59"/>
    <w:rsid w:val="00555DE6"/>
    <w:rsid w:val="00555EB3"/>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270"/>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0B85"/>
    <w:rsid w:val="00581042"/>
    <w:rsid w:val="00581703"/>
    <w:rsid w:val="00581B15"/>
    <w:rsid w:val="005821DD"/>
    <w:rsid w:val="0058317A"/>
    <w:rsid w:val="00583908"/>
    <w:rsid w:val="00583C9C"/>
    <w:rsid w:val="00584757"/>
    <w:rsid w:val="00584E21"/>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BB4"/>
    <w:rsid w:val="00595F17"/>
    <w:rsid w:val="00595F3D"/>
    <w:rsid w:val="00595F89"/>
    <w:rsid w:val="005960C7"/>
    <w:rsid w:val="005963FB"/>
    <w:rsid w:val="00596873"/>
    <w:rsid w:val="00596BB3"/>
    <w:rsid w:val="00596BD4"/>
    <w:rsid w:val="00596FA8"/>
    <w:rsid w:val="005971A7"/>
    <w:rsid w:val="00597310"/>
    <w:rsid w:val="005977AB"/>
    <w:rsid w:val="005A01C5"/>
    <w:rsid w:val="005A02DD"/>
    <w:rsid w:val="005A0532"/>
    <w:rsid w:val="005A071C"/>
    <w:rsid w:val="005A07E7"/>
    <w:rsid w:val="005A0A57"/>
    <w:rsid w:val="005A0B9F"/>
    <w:rsid w:val="005A0DBB"/>
    <w:rsid w:val="005A0EBD"/>
    <w:rsid w:val="005A1270"/>
    <w:rsid w:val="005A1295"/>
    <w:rsid w:val="005A1FBF"/>
    <w:rsid w:val="005A1FD5"/>
    <w:rsid w:val="005A29B1"/>
    <w:rsid w:val="005A2EBF"/>
    <w:rsid w:val="005A31E7"/>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14F"/>
    <w:rsid w:val="005B3EBD"/>
    <w:rsid w:val="005B3F0C"/>
    <w:rsid w:val="005B48E8"/>
    <w:rsid w:val="005B5464"/>
    <w:rsid w:val="005B564F"/>
    <w:rsid w:val="005B56D9"/>
    <w:rsid w:val="005B5BA3"/>
    <w:rsid w:val="005B5E62"/>
    <w:rsid w:val="005B6DBE"/>
    <w:rsid w:val="005B7E97"/>
    <w:rsid w:val="005B7F46"/>
    <w:rsid w:val="005B7F4F"/>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3FCC"/>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C83"/>
    <w:rsid w:val="005D113B"/>
    <w:rsid w:val="005D1732"/>
    <w:rsid w:val="005D2D9A"/>
    <w:rsid w:val="005D2DF1"/>
    <w:rsid w:val="005D3A6E"/>
    <w:rsid w:val="005D3B21"/>
    <w:rsid w:val="005D4019"/>
    <w:rsid w:val="005D41DC"/>
    <w:rsid w:val="005D460F"/>
    <w:rsid w:val="005D4DC5"/>
    <w:rsid w:val="005D5442"/>
    <w:rsid w:val="005D5C0A"/>
    <w:rsid w:val="005D5C22"/>
    <w:rsid w:val="005D5E6C"/>
    <w:rsid w:val="005D63A9"/>
    <w:rsid w:val="005D65D5"/>
    <w:rsid w:val="005D6C56"/>
    <w:rsid w:val="005D6CED"/>
    <w:rsid w:val="005D6F49"/>
    <w:rsid w:val="005D7E8A"/>
    <w:rsid w:val="005E06FA"/>
    <w:rsid w:val="005E0FD0"/>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B00"/>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6A9"/>
    <w:rsid w:val="0060471B"/>
    <w:rsid w:val="00604F37"/>
    <w:rsid w:val="0060508A"/>
    <w:rsid w:val="006055AF"/>
    <w:rsid w:val="00605942"/>
    <w:rsid w:val="00605C9F"/>
    <w:rsid w:val="006068E8"/>
    <w:rsid w:val="00606ADB"/>
    <w:rsid w:val="006072DE"/>
    <w:rsid w:val="006075F4"/>
    <w:rsid w:val="006078A8"/>
    <w:rsid w:val="00607BAD"/>
    <w:rsid w:val="00607EC7"/>
    <w:rsid w:val="0061048A"/>
    <w:rsid w:val="00610AE7"/>
    <w:rsid w:val="00611178"/>
    <w:rsid w:val="0061148D"/>
    <w:rsid w:val="00611D01"/>
    <w:rsid w:val="006122EC"/>
    <w:rsid w:val="006124B3"/>
    <w:rsid w:val="00612611"/>
    <w:rsid w:val="0061279A"/>
    <w:rsid w:val="00612A10"/>
    <w:rsid w:val="00613009"/>
    <w:rsid w:val="006132EA"/>
    <w:rsid w:val="00613481"/>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7F4"/>
    <w:rsid w:val="00620C67"/>
    <w:rsid w:val="00621646"/>
    <w:rsid w:val="00621803"/>
    <w:rsid w:val="00621A34"/>
    <w:rsid w:val="00621A7A"/>
    <w:rsid w:val="006220F1"/>
    <w:rsid w:val="00623E46"/>
    <w:rsid w:val="00623FEB"/>
    <w:rsid w:val="00624604"/>
    <w:rsid w:val="00624D2C"/>
    <w:rsid w:val="00624EBD"/>
    <w:rsid w:val="00624F7F"/>
    <w:rsid w:val="00625142"/>
    <w:rsid w:val="00625145"/>
    <w:rsid w:val="00626768"/>
    <w:rsid w:val="00626F9D"/>
    <w:rsid w:val="00627402"/>
    <w:rsid w:val="00627403"/>
    <w:rsid w:val="00627474"/>
    <w:rsid w:val="00627CEA"/>
    <w:rsid w:val="00627E37"/>
    <w:rsid w:val="00630480"/>
    <w:rsid w:val="0063058E"/>
    <w:rsid w:val="006305F8"/>
    <w:rsid w:val="0063197B"/>
    <w:rsid w:val="006319D0"/>
    <w:rsid w:val="00631DA7"/>
    <w:rsid w:val="00631F1D"/>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409EE"/>
    <w:rsid w:val="00640BF7"/>
    <w:rsid w:val="00640FFF"/>
    <w:rsid w:val="00641040"/>
    <w:rsid w:val="00641761"/>
    <w:rsid w:val="006419AF"/>
    <w:rsid w:val="00642517"/>
    <w:rsid w:val="006425FC"/>
    <w:rsid w:val="00642631"/>
    <w:rsid w:val="00642DF5"/>
    <w:rsid w:val="0064304A"/>
    <w:rsid w:val="0064380B"/>
    <w:rsid w:val="00643A4F"/>
    <w:rsid w:val="00643FF5"/>
    <w:rsid w:val="006441FD"/>
    <w:rsid w:val="00644E5A"/>
    <w:rsid w:val="00644F2C"/>
    <w:rsid w:val="00644FA4"/>
    <w:rsid w:val="00645065"/>
    <w:rsid w:val="006450DD"/>
    <w:rsid w:val="00645141"/>
    <w:rsid w:val="00645AEE"/>
    <w:rsid w:val="00646428"/>
    <w:rsid w:val="00646AFD"/>
    <w:rsid w:val="0064707F"/>
    <w:rsid w:val="006471E8"/>
    <w:rsid w:val="00647E90"/>
    <w:rsid w:val="00647FA3"/>
    <w:rsid w:val="006500F7"/>
    <w:rsid w:val="00650641"/>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8D1"/>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2FE"/>
    <w:rsid w:val="00671F3E"/>
    <w:rsid w:val="00672482"/>
    <w:rsid w:val="00672A18"/>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1A7"/>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577E"/>
    <w:rsid w:val="0069600D"/>
    <w:rsid w:val="006963AE"/>
    <w:rsid w:val="00697053"/>
    <w:rsid w:val="006A066A"/>
    <w:rsid w:val="006A06CA"/>
    <w:rsid w:val="006A083E"/>
    <w:rsid w:val="006A0FFD"/>
    <w:rsid w:val="006A1170"/>
    <w:rsid w:val="006A14A3"/>
    <w:rsid w:val="006A159D"/>
    <w:rsid w:val="006A18BF"/>
    <w:rsid w:val="006A1F58"/>
    <w:rsid w:val="006A242E"/>
    <w:rsid w:val="006A26AB"/>
    <w:rsid w:val="006A282B"/>
    <w:rsid w:val="006A298D"/>
    <w:rsid w:val="006A2F80"/>
    <w:rsid w:val="006A3249"/>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BF6"/>
    <w:rsid w:val="006B6C0D"/>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C7926"/>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6A72"/>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7F7"/>
    <w:rsid w:val="006F3909"/>
    <w:rsid w:val="006F4036"/>
    <w:rsid w:val="006F428E"/>
    <w:rsid w:val="006F48E1"/>
    <w:rsid w:val="006F4FA0"/>
    <w:rsid w:val="006F5096"/>
    <w:rsid w:val="006F5160"/>
    <w:rsid w:val="006F5374"/>
    <w:rsid w:val="006F57D7"/>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7BF"/>
    <w:rsid w:val="00703981"/>
    <w:rsid w:val="00703CDF"/>
    <w:rsid w:val="00703D7E"/>
    <w:rsid w:val="0070495F"/>
    <w:rsid w:val="00704B6E"/>
    <w:rsid w:val="00704F73"/>
    <w:rsid w:val="0070508D"/>
    <w:rsid w:val="0070542E"/>
    <w:rsid w:val="0070604A"/>
    <w:rsid w:val="007060D4"/>
    <w:rsid w:val="0070624C"/>
    <w:rsid w:val="00706451"/>
    <w:rsid w:val="00707E0F"/>
    <w:rsid w:val="0071068A"/>
    <w:rsid w:val="00710E19"/>
    <w:rsid w:val="00710E52"/>
    <w:rsid w:val="00711047"/>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295"/>
    <w:rsid w:val="007233C3"/>
    <w:rsid w:val="00723C95"/>
    <w:rsid w:val="007244E7"/>
    <w:rsid w:val="0072505F"/>
    <w:rsid w:val="00725B00"/>
    <w:rsid w:val="0072680C"/>
    <w:rsid w:val="00726B3D"/>
    <w:rsid w:val="00726C64"/>
    <w:rsid w:val="007310B7"/>
    <w:rsid w:val="00731237"/>
    <w:rsid w:val="00731A22"/>
    <w:rsid w:val="0073207E"/>
    <w:rsid w:val="00732523"/>
    <w:rsid w:val="0073254B"/>
    <w:rsid w:val="00732664"/>
    <w:rsid w:val="00732BA7"/>
    <w:rsid w:val="007333EA"/>
    <w:rsid w:val="00733601"/>
    <w:rsid w:val="00733A57"/>
    <w:rsid w:val="00733F36"/>
    <w:rsid w:val="007340CE"/>
    <w:rsid w:val="00734684"/>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6CB"/>
    <w:rsid w:val="007407DB"/>
    <w:rsid w:val="00740BFC"/>
    <w:rsid w:val="00740F76"/>
    <w:rsid w:val="00741037"/>
    <w:rsid w:val="007422B3"/>
    <w:rsid w:val="007424BF"/>
    <w:rsid w:val="007435F1"/>
    <w:rsid w:val="007437F3"/>
    <w:rsid w:val="00743BC1"/>
    <w:rsid w:val="00743DDD"/>
    <w:rsid w:val="00743F65"/>
    <w:rsid w:val="00744625"/>
    <w:rsid w:val="007446BB"/>
    <w:rsid w:val="00744AF1"/>
    <w:rsid w:val="00745882"/>
    <w:rsid w:val="00745A04"/>
    <w:rsid w:val="00745A0F"/>
    <w:rsid w:val="00745DFD"/>
    <w:rsid w:val="00746197"/>
    <w:rsid w:val="0074689C"/>
    <w:rsid w:val="00746B3F"/>
    <w:rsid w:val="00747117"/>
    <w:rsid w:val="007479C2"/>
    <w:rsid w:val="00747B0D"/>
    <w:rsid w:val="00751452"/>
    <w:rsid w:val="007521A5"/>
    <w:rsid w:val="00752E99"/>
    <w:rsid w:val="00753959"/>
    <w:rsid w:val="00753DD6"/>
    <w:rsid w:val="0075402F"/>
    <w:rsid w:val="00754A4A"/>
    <w:rsid w:val="00755F9F"/>
    <w:rsid w:val="007566FB"/>
    <w:rsid w:val="007567A8"/>
    <w:rsid w:val="00756D6A"/>
    <w:rsid w:val="007575F2"/>
    <w:rsid w:val="00757EE2"/>
    <w:rsid w:val="0076043F"/>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7294"/>
    <w:rsid w:val="00767A28"/>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4AE"/>
    <w:rsid w:val="00777E7E"/>
    <w:rsid w:val="00777EFA"/>
    <w:rsid w:val="007804DD"/>
    <w:rsid w:val="00780EC1"/>
    <w:rsid w:val="00780F3B"/>
    <w:rsid w:val="0078115B"/>
    <w:rsid w:val="007816EE"/>
    <w:rsid w:val="00782071"/>
    <w:rsid w:val="00782783"/>
    <w:rsid w:val="00782946"/>
    <w:rsid w:val="00782ECD"/>
    <w:rsid w:val="00782F44"/>
    <w:rsid w:val="0078363B"/>
    <w:rsid w:val="00783CCF"/>
    <w:rsid w:val="00783F5B"/>
    <w:rsid w:val="00784609"/>
    <w:rsid w:val="00784720"/>
    <w:rsid w:val="0078481D"/>
    <w:rsid w:val="00785847"/>
    <w:rsid w:val="007859FC"/>
    <w:rsid w:val="00785F1E"/>
    <w:rsid w:val="00785F4C"/>
    <w:rsid w:val="0078609C"/>
    <w:rsid w:val="00786355"/>
    <w:rsid w:val="00787370"/>
    <w:rsid w:val="007874AE"/>
    <w:rsid w:val="0078750B"/>
    <w:rsid w:val="00787F5E"/>
    <w:rsid w:val="0079024D"/>
    <w:rsid w:val="00791069"/>
    <w:rsid w:val="007911B8"/>
    <w:rsid w:val="007919AC"/>
    <w:rsid w:val="00791DAE"/>
    <w:rsid w:val="007930E8"/>
    <w:rsid w:val="00793A57"/>
    <w:rsid w:val="00793A9C"/>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6D9"/>
    <w:rsid w:val="007A7A04"/>
    <w:rsid w:val="007B03F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711"/>
    <w:rsid w:val="007C57B9"/>
    <w:rsid w:val="007C6325"/>
    <w:rsid w:val="007C73A3"/>
    <w:rsid w:val="007C7975"/>
    <w:rsid w:val="007C7EF5"/>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0CE0"/>
    <w:rsid w:val="007E107F"/>
    <w:rsid w:val="007E2FD7"/>
    <w:rsid w:val="007E310B"/>
    <w:rsid w:val="007E379E"/>
    <w:rsid w:val="007E38DA"/>
    <w:rsid w:val="007E3D65"/>
    <w:rsid w:val="007E3EE2"/>
    <w:rsid w:val="007E47E7"/>
    <w:rsid w:val="007E4A68"/>
    <w:rsid w:val="007E4A98"/>
    <w:rsid w:val="007E4EB6"/>
    <w:rsid w:val="007E5DD7"/>
    <w:rsid w:val="007E6831"/>
    <w:rsid w:val="007E6FB9"/>
    <w:rsid w:val="007E7139"/>
    <w:rsid w:val="007E7366"/>
    <w:rsid w:val="007E7EA1"/>
    <w:rsid w:val="007E7EA4"/>
    <w:rsid w:val="007F03CE"/>
    <w:rsid w:val="007F04D3"/>
    <w:rsid w:val="007F137D"/>
    <w:rsid w:val="007F17B5"/>
    <w:rsid w:val="007F23F3"/>
    <w:rsid w:val="007F245F"/>
    <w:rsid w:val="007F2D8D"/>
    <w:rsid w:val="007F2EBF"/>
    <w:rsid w:val="007F3044"/>
    <w:rsid w:val="007F3249"/>
    <w:rsid w:val="007F3704"/>
    <w:rsid w:val="007F4657"/>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4F94"/>
    <w:rsid w:val="008050F5"/>
    <w:rsid w:val="0080519C"/>
    <w:rsid w:val="0080553F"/>
    <w:rsid w:val="008055C3"/>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5D4D"/>
    <w:rsid w:val="00816755"/>
    <w:rsid w:val="00816805"/>
    <w:rsid w:val="00816BE8"/>
    <w:rsid w:val="00816CD5"/>
    <w:rsid w:val="00816DBD"/>
    <w:rsid w:val="00816FE2"/>
    <w:rsid w:val="00817062"/>
    <w:rsid w:val="00817991"/>
    <w:rsid w:val="00817F58"/>
    <w:rsid w:val="008203C5"/>
    <w:rsid w:val="0082046A"/>
    <w:rsid w:val="00820B84"/>
    <w:rsid w:val="0082199B"/>
    <w:rsid w:val="00821C2A"/>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31"/>
    <w:rsid w:val="00833AB9"/>
    <w:rsid w:val="00833B62"/>
    <w:rsid w:val="00834820"/>
    <w:rsid w:val="00834C82"/>
    <w:rsid w:val="00834DB6"/>
    <w:rsid w:val="00834F93"/>
    <w:rsid w:val="00835F6D"/>
    <w:rsid w:val="0083632E"/>
    <w:rsid w:val="008371D2"/>
    <w:rsid w:val="008375DA"/>
    <w:rsid w:val="00840C4A"/>
    <w:rsid w:val="008411B9"/>
    <w:rsid w:val="0084122F"/>
    <w:rsid w:val="00841573"/>
    <w:rsid w:val="00841955"/>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0F7"/>
    <w:rsid w:val="00861252"/>
    <w:rsid w:val="0086171A"/>
    <w:rsid w:val="0086226C"/>
    <w:rsid w:val="00863237"/>
    <w:rsid w:val="00863C07"/>
    <w:rsid w:val="008640B7"/>
    <w:rsid w:val="008644A4"/>
    <w:rsid w:val="00864A6C"/>
    <w:rsid w:val="00864BB1"/>
    <w:rsid w:val="00864DF7"/>
    <w:rsid w:val="00865278"/>
    <w:rsid w:val="008654F9"/>
    <w:rsid w:val="008658C0"/>
    <w:rsid w:val="00866388"/>
    <w:rsid w:val="0086644B"/>
    <w:rsid w:val="00866FE3"/>
    <w:rsid w:val="0086722D"/>
    <w:rsid w:val="00867AD8"/>
    <w:rsid w:val="00867D56"/>
    <w:rsid w:val="00867D70"/>
    <w:rsid w:val="00870646"/>
    <w:rsid w:val="008706C3"/>
    <w:rsid w:val="00870BAA"/>
    <w:rsid w:val="00870D91"/>
    <w:rsid w:val="0087144E"/>
    <w:rsid w:val="008716D1"/>
    <w:rsid w:val="008716ED"/>
    <w:rsid w:val="008718AD"/>
    <w:rsid w:val="0087193F"/>
    <w:rsid w:val="008724E6"/>
    <w:rsid w:val="008728C8"/>
    <w:rsid w:val="00873205"/>
    <w:rsid w:val="008735E8"/>
    <w:rsid w:val="00873626"/>
    <w:rsid w:val="0087377E"/>
    <w:rsid w:val="00874594"/>
    <w:rsid w:val="00874654"/>
    <w:rsid w:val="00874776"/>
    <w:rsid w:val="0087487C"/>
    <w:rsid w:val="00874A07"/>
    <w:rsid w:val="00874B75"/>
    <w:rsid w:val="00875007"/>
    <w:rsid w:val="008750DB"/>
    <w:rsid w:val="008751B4"/>
    <w:rsid w:val="0087527F"/>
    <w:rsid w:val="008754B5"/>
    <w:rsid w:val="00875AF3"/>
    <w:rsid w:val="00875D54"/>
    <w:rsid w:val="008765E9"/>
    <w:rsid w:val="00876605"/>
    <w:rsid w:val="00876B13"/>
    <w:rsid w:val="00880017"/>
    <w:rsid w:val="00880305"/>
    <w:rsid w:val="0088088A"/>
    <w:rsid w:val="00880A3F"/>
    <w:rsid w:val="00880EE2"/>
    <w:rsid w:val="008813BC"/>
    <w:rsid w:val="00881732"/>
    <w:rsid w:val="008818A2"/>
    <w:rsid w:val="00881FF9"/>
    <w:rsid w:val="0088213D"/>
    <w:rsid w:val="008821C6"/>
    <w:rsid w:val="0088243D"/>
    <w:rsid w:val="0088251A"/>
    <w:rsid w:val="00882554"/>
    <w:rsid w:val="00882D28"/>
    <w:rsid w:val="00883A67"/>
    <w:rsid w:val="008848E9"/>
    <w:rsid w:val="00884FD8"/>
    <w:rsid w:val="00885244"/>
    <w:rsid w:val="008857C7"/>
    <w:rsid w:val="008858B3"/>
    <w:rsid w:val="00885BF6"/>
    <w:rsid w:val="008866CF"/>
    <w:rsid w:val="00886782"/>
    <w:rsid w:val="008869A1"/>
    <w:rsid w:val="00886B3F"/>
    <w:rsid w:val="0088727A"/>
    <w:rsid w:val="008874C3"/>
    <w:rsid w:val="0089015D"/>
    <w:rsid w:val="0089021A"/>
    <w:rsid w:val="0089022E"/>
    <w:rsid w:val="00890475"/>
    <w:rsid w:val="00890A7C"/>
    <w:rsid w:val="00890D11"/>
    <w:rsid w:val="008910EE"/>
    <w:rsid w:val="00891A26"/>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D8"/>
    <w:rsid w:val="008B66EE"/>
    <w:rsid w:val="008B6793"/>
    <w:rsid w:val="008B6E87"/>
    <w:rsid w:val="008B75C2"/>
    <w:rsid w:val="008B787A"/>
    <w:rsid w:val="008C0A89"/>
    <w:rsid w:val="008C0AA9"/>
    <w:rsid w:val="008C0E71"/>
    <w:rsid w:val="008C1852"/>
    <w:rsid w:val="008C2CFF"/>
    <w:rsid w:val="008C2E1E"/>
    <w:rsid w:val="008C2E22"/>
    <w:rsid w:val="008C2ED2"/>
    <w:rsid w:val="008C35CE"/>
    <w:rsid w:val="008C3612"/>
    <w:rsid w:val="008C3D4D"/>
    <w:rsid w:val="008C4026"/>
    <w:rsid w:val="008C417E"/>
    <w:rsid w:val="008C4E31"/>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7B0"/>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4A53"/>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9C0"/>
    <w:rsid w:val="008F39E4"/>
    <w:rsid w:val="008F51F0"/>
    <w:rsid w:val="008F57CD"/>
    <w:rsid w:val="008F5960"/>
    <w:rsid w:val="008F5CD0"/>
    <w:rsid w:val="008F629A"/>
    <w:rsid w:val="008F6A9B"/>
    <w:rsid w:val="008F6F01"/>
    <w:rsid w:val="008F6F03"/>
    <w:rsid w:val="008F7603"/>
    <w:rsid w:val="008F769D"/>
    <w:rsid w:val="008F76B7"/>
    <w:rsid w:val="008F76DC"/>
    <w:rsid w:val="008F7D2F"/>
    <w:rsid w:val="009013C5"/>
    <w:rsid w:val="0090147B"/>
    <w:rsid w:val="00901649"/>
    <w:rsid w:val="00901CBA"/>
    <w:rsid w:val="00901DC6"/>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2D"/>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5428"/>
    <w:rsid w:val="009162DD"/>
    <w:rsid w:val="009163E7"/>
    <w:rsid w:val="009165E4"/>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3A"/>
    <w:rsid w:val="009252F1"/>
    <w:rsid w:val="00925588"/>
    <w:rsid w:val="00925733"/>
    <w:rsid w:val="00925AF5"/>
    <w:rsid w:val="00926268"/>
    <w:rsid w:val="009264A2"/>
    <w:rsid w:val="00926FC2"/>
    <w:rsid w:val="0092715D"/>
    <w:rsid w:val="00927299"/>
    <w:rsid w:val="00930069"/>
    <w:rsid w:val="00930632"/>
    <w:rsid w:val="009310BC"/>
    <w:rsid w:val="00931D3F"/>
    <w:rsid w:val="009320C6"/>
    <w:rsid w:val="009324C4"/>
    <w:rsid w:val="00932671"/>
    <w:rsid w:val="00932A7A"/>
    <w:rsid w:val="00932D26"/>
    <w:rsid w:val="009330BF"/>
    <w:rsid w:val="00933817"/>
    <w:rsid w:val="00933BB1"/>
    <w:rsid w:val="009340EB"/>
    <w:rsid w:val="00934510"/>
    <w:rsid w:val="0093476C"/>
    <w:rsid w:val="00934C7D"/>
    <w:rsid w:val="00935A1E"/>
    <w:rsid w:val="00935AA3"/>
    <w:rsid w:val="00935B7C"/>
    <w:rsid w:val="00935E3A"/>
    <w:rsid w:val="00936005"/>
    <w:rsid w:val="0093607C"/>
    <w:rsid w:val="00940008"/>
    <w:rsid w:val="00940FFA"/>
    <w:rsid w:val="00941010"/>
    <w:rsid w:val="00941503"/>
    <w:rsid w:val="0094187D"/>
    <w:rsid w:val="009423ED"/>
    <w:rsid w:val="00942C90"/>
    <w:rsid w:val="00942F29"/>
    <w:rsid w:val="00942FB6"/>
    <w:rsid w:val="009430E1"/>
    <w:rsid w:val="009434EB"/>
    <w:rsid w:val="00943EA6"/>
    <w:rsid w:val="009443F2"/>
    <w:rsid w:val="009448F2"/>
    <w:rsid w:val="009451E0"/>
    <w:rsid w:val="0094524B"/>
    <w:rsid w:val="009456E3"/>
    <w:rsid w:val="00945759"/>
    <w:rsid w:val="00945925"/>
    <w:rsid w:val="009466E9"/>
    <w:rsid w:val="00946CB3"/>
    <w:rsid w:val="00946D20"/>
    <w:rsid w:val="00946E51"/>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BE7"/>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C0A"/>
    <w:rsid w:val="00964D4A"/>
    <w:rsid w:val="00964EAE"/>
    <w:rsid w:val="00965023"/>
    <w:rsid w:val="009650B7"/>
    <w:rsid w:val="0096515D"/>
    <w:rsid w:val="0096554B"/>
    <w:rsid w:val="00965841"/>
    <w:rsid w:val="00966623"/>
    <w:rsid w:val="009678DB"/>
    <w:rsid w:val="00970728"/>
    <w:rsid w:val="009707C9"/>
    <w:rsid w:val="00971303"/>
    <w:rsid w:val="00971E0B"/>
    <w:rsid w:val="00972101"/>
    <w:rsid w:val="00972285"/>
    <w:rsid w:val="00972FB5"/>
    <w:rsid w:val="00973607"/>
    <w:rsid w:val="009736FE"/>
    <w:rsid w:val="00973B96"/>
    <w:rsid w:val="00973E3C"/>
    <w:rsid w:val="00974763"/>
    <w:rsid w:val="009757CA"/>
    <w:rsid w:val="00976E76"/>
    <w:rsid w:val="009771D3"/>
    <w:rsid w:val="00977A14"/>
    <w:rsid w:val="00977E9B"/>
    <w:rsid w:val="009807BF"/>
    <w:rsid w:val="009809CE"/>
    <w:rsid w:val="0098131F"/>
    <w:rsid w:val="00981479"/>
    <w:rsid w:val="00981F74"/>
    <w:rsid w:val="0098237C"/>
    <w:rsid w:val="0098270E"/>
    <w:rsid w:val="009829B3"/>
    <w:rsid w:val="009829EE"/>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E77"/>
    <w:rsid w:val="0099177B"/>
    <w:rsid w:val="00991B8C"/>
    <w:rsid w:val="0099367E"/>
    <w:rsid w:val="00993FE4"/>
    <w:rsid w:val="0099425E"/>
    <w:rsid w:val="00994BF3"/>
    <w:rsid w:val="00994CDC"/>
    <w:rsid w:val="00994DE1"/>
    <w:rsid w:val="009969CD"/>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6EE2"/>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A06"/>
    <w:rsid w:val="009B60EA"/>
    <w:rsid w:val="009B6E71"/>
    <w:rsid w:val="009B70C8"/>
    <w:rsid w:val="009B737C"/>
    <w:rsid w:val="009B742E"/>
    <w:rsid w:val="009B7A33"/>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357"/>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5BDB"/>
    <w:rsid w:val="009D6B03"/>
    <w:rsid w:val="009D6B3D"/>
    <w:rsid w:val="009D7422"/>
    <w:rsid w:val="009D7499"/>
    <w:rsid w:val="009D78E7"/>
    <w:rsid w:val="009E0293"/>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601"/>
    <w:rsid w:val="009E57C1"/>
    <w:rsid w:val="009E624A"/>
    <w:rsid w:val="009E63CE"/>
    <w:rsid w:val="009E6B32"/>
    <w:rsid w:val="009E7039"/>
    <w:rsid w:val="009E70F3"/>
    <w:rsid w:val="009E7E98"/>
    <w:rsid w:val="009F00EE"/>
    <w:rsid w:val="009F079C"/>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9A0"/>
    <w:rsid w:val="009F7F86"/>
    <w:rsid w:val="00A0034D"/>
    <w:rsid w:val="00A00BFB"/>
    <w:rsid w:val="00A00DCF"/>
    <w:rsid w:val="00A0126C"/>
    <w:rsid w:val="00A012DA"/>
    <w:rsid w:val="00A0187E"/>
    <w:rsid w:val="00A02543"/>
    <w:rsid w:val="00A026F0"/>
    <w:rsid w:val="00A02F2D"/>
    <w:rsid w:val="00A02F61"/>
    <w:rsid w:val="00A03529"/>
    <w:rsid w:val="00A03671"/>
    <w:rsid w:val="00A03E0E"/>
    <w:rsid w:val="00A040D1"/>
    <w:rsid w:val="00A044B7"/>
    <w:rsid w:val="00A04A0A"/>
    <w:rsid w:val="00A050A8"/>
    <w:rsid w:val="00A056A3"/>
    <w:rsid w:val="00A059AF"/>
    <w:rsid w:val="00A05A59"/>
    <w:rsid w:val="00A05B51"/>
    <w:rsid w:val="00A06286"/>
    <w:rsid w:val="00A06318"/>
    <w:rsid w:val="00A063BC"/>
    <w:rsid w:val="00A068E1"/>
    <w:rsid w:val="00A06A80"/>
    <w:rsid w:val="00A06D8A"/>
    <w:rsid w:val="00A0711F"/>
    <w:rsid w:val="00A07B0B"/>
    <w:rsid w:val="00A102A0"/>
    <w:rsid w:val="00A1065D"/>
    <w:rsid w:val="00A10860"/>
    <w:rsid w:val="00A109FB"/>
    <w:rsid w:val="00A114FA"/>
    <w:rsid w:val="00A11629"/>
    <w:rsid w:val="00A11AF3"/>
    <w:rsid w:val="00A12ACF"/>
    <w:rsid w:val="00A12B42"/>
    <w:rsid w:val="00A12BD4"/>
    <w:rsid w:val="00A12C09"/>
    <w:rsid w:val="00A13084"/>
    <w:rsid w:val="00A1327F"/>
    <w:rsid w:val="00A13817"/>
    <w:rsid w:val="00A138D3"/>
    <w:rsid w:val="00A13E0F"/>
    <w:rsid w:val="00A144B7"/>
    <w:rsid w:val="00A149B4"/>
    <w:rsid w:val="00A152D3"/>
    <w:rsid w:val="00A15F4F"/>
    <w:rsid w:val="00A160AB"/>
    <w:rsid w:val="00A16745"/>
    <w:rsid w:val="00A16747"/>
    <w:rsid w:val="00A169A7"/>
    <w:rsid w:val="00A1704E"/>
    <w:rsid w:val="00A17E93"/>
    <w:rsid w:val="00A20013"/>
    <w:rsid w:val="00A2056F"/>
    <w:rsid w:val="00A20582"/>
    <w:rsid w:val="00A20C65"/>
    <w:rsid w:val="00A21767"/>
    <w:rsid w:val="00A21FD5"/>
    <w:rsid w:val="00A22751"/>
    <w:rsid w:val="00A22940"/>
    <w:rsid w:val="00A23102"/>
    <w:rsid w:val="00A233D8"/>
    <w:rsid w:val="00A2343F"/>
    <w:rsid w:val="00A23505"/>
    <w:rsid w:val="00A2428B"/>
    <w:rsid w:val="00A247E5"/>
    <w:rsid w:val="00A248BD"/>
    <w:rsid w:val="00A24D81"/>
    <w:rsid w:val="00A24EA5"/>
    <w:rsid w:val="00A25173"/>
    <w:rsid w:val="00A252F0"/>
    <w:rsid w:val="00A259F2"/>
    <w:rsid w:val="00A26463"/>
    <w:rsid w:val="00A2660E"/>
    <w:rsid w:val="00A26916"/>
    <w:rsid w:val="00A26B47"/>
    <w:rsid w:val="00A26FF1"/>
    <w:rsid w:val="00A27547"/>
    <w:rsid w:val="00A2770B"/>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C"/>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9C5"/>
    <w:rsid w:val="00A84FFD"/>
    <w:rsid w:val="00A86104"/>
    <w:rsid w:val="00A8655A"/>
    <w:rsid w:val="00A87203"/>
    <w:rsid w:val="00A87744"/>
    <w:rsid w:val="00A87AE6"/>
    <w:rsid w:val="00A87B09"/>
    <w:rsid w:val="00A87C22"/>
    <w:rsid w:val="00A90590"/>
    <w:rsid w:val="00A90A97"/>
    <w:rsid w:val="00A90CB4"/>
    <w:rsid w:val="00A910DA"/>
    <w:rsid w:val="00A920E1"/>
    <w:rsid w:val="00A933AE"/>
    <w:rsid w:val="00A93863"/>
    <w:rsid w:val="00A93928"/>
    <w:rsid w:val="00A93F73"/>
    <w:rsid w:val="00A9415E"/>
    <w:rsid w:val="00A9423F"/>
    <w:rsid w:val="00A94722"/>
    <w:rsid w:val="00A94EBD"/>
    <w:rsid w:val="00A9510D"/>
    <w:rsid w:val="00A95580"/>
    <w:rsid w:val="00A956AC"/>
    <w:rsid w:val="00A95A84"/>
    <w:rsid w:val="00A95D2A"/>
    <w:rsid w:val="00A961D6"/>
    <w:rsid w:val="00A96214"/>
    <w:rsid w:val="00A967E8"/>
    <w:rsid w:val="00A97F4B"/>
    <w:rsid w:val="00AA04C5"/>
    <w:rsid w:val="00AA10B1"/>
    <w:rsid w:val="00AA2803"/>
    <w:rsid w:val="00AA2BF2"/>
    <w:rsid w:val="00AA2D68"/>
    <w:rsid w:val="00AA2D6F"/>
    <w:rsid w:val="00AA2E92"/>
    <w:rsid w:val="00AA3987"/>
    <w:rsid w:val="00AA3B68"/>
    <w:rsid w:val="00AA3DAE"/>
    <w:rsid w:val="00AA3E79"/>
    <w:rsid w:val="00AA4FB4"/>
    <w:rsid w:val="00AA5C0B"/>
    <w:rsid w:val="00AA5E3B"/>
    <w:rsid w:val="00AA63AD"/>
    <w:rsid w:val="00AA65B4"/>
    <w:rsid w:val="00AA6A75"/>
    <w:rsid w:val="00AA745E"/>
    <w:rsid w:val="00AA787F"/>
    <w:rsid w:val="00AB04AB"/>
    <w:rsid w:val="00AB0733"/>
    <w:rsid w:val="00AB09D2"/>
    <w:rsid w:val="00AB0B64"/>
    <w:rsid w:val="00AB0C30"/>
    <w:rsid w:val="00AB16DA"/>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E2"/>
    <w:rsid w:val="00AD4261"/>
    <w:rsid w:val="00AD46F5"/>
    <w:rsid w:val="00AD51A3"/>
    <w:rsid w:val="00AD598B"/>
    <w:rsid w:val="00AD7154"/>
    <w:rsid w:val="00AD797D"/>
    <w:rsid w:val="00AD7E02"/>
    <w:rsid w:val="00AE0034"/>
    <w:rsid w:val="00AE0483"/>
    <w:rsid w:val="00AE08DD"/>
    <w:rsid w:val="00AE13BD"/>
    <w:rsid w:val="00AE154B"/>
    <w:rsid w:val="00AE1ABF"/>
    <w:rsid w:val="00AE1AF9"/>
    <w:rsid w:val="00AE1E60"/>
    <w:rsid w:val="00AE2068"/>
    <w:rsid w:val="00AE2258"/>
    <w:rsid w:val="00AE277E"/>
    <w:rsid w:val="00AE29C3"/>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8E2"/>
    <w:rsid w:val="00AF24E7"/>
    <w:rsid w:val="00AF272B"/>
    <w:rsid w:val="00AF291B"/>
    <w:rsid w:val="00AF2DAA"/>
    <w:rsid w:val="00AF2EBD"/>
    <w:rsid w:val="00AF33AE"/>
    <w:rsid w:val="00AF3CDC"/>
    <w:rsid w:val="00AF44B1"/>
    <w:rsid w:val="00AF5800"/>
    <w:rsid w:val="00AF61E2"/>
    <w:rsid w:val="00AF6986"/>
    <w:rsid w:val="00AF69FE"/>
    <w:rsid w:val="00AF6A77"/>
    <w:rsid w:val="00AF6D1B"/>
    <w:rsid w:val="00AF73ED"/>
    <w:rsid w:val="00AF7D69"/>
    <w:rsid w:val="00AF7ED2"/>
    <w:rsid w:val="00B004D8"/>
    <w:rsid w:val="00B00830"/>
    <w:rsid w:val="00B00CC5"/>
    <w:rsid w:val="00B016D2"/>
    <w:rsid w:val="00B02091"/>
    <w:rsid w:val="00B02B43"/>
    <w:rsid w:val="00B03697"/>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797"/>
    <w:rsid w:val="00B137BF"/>
    <w:rsid w:val="00B13A1B"/>
    <w:rsid w:val="00B13A76"/>
    <w:rsid w:val="00B142D9"/>
    <w:rsid w:val="00B145D5"/>
    <w:rsid w:val="00B14BC4"/>
    <w:rsid w:val="00B158A3"/>
    <w:rsid w:val="00B15B25"/>
    <w:rsid w:val="00B15C36"/>
    <w:rsid w:val="00B15E95"/>
    <w:rsid w:val="00B15EA0"/>
    <w:rsid w:val="00B16069"/>
    <w:rsid w:val="00B1745A"/>
    <w:rsid w:val="00B17785"/>
    <w:rsid w:val="00B17A4E"/>
    <w:rsid w:val="00B17B30"/>
    <w:rsid w:val="00B17C2F"/>
    <w:rsid w:val="00B17CDA"/>
    <w:rsid w:val="00B2153E"/>
    <w:rsid w:val="00B218CB"/>
    <w:rsid w:val="00B21FA7"/>
    <w:rsid w:val="00B22022"/>
    <w:rsid w:val="00B225E4"/>
    <w:rsid w:val="00B23223"/>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100"/>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6527"/>
    <w:rsid w:val="00B56706"/>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0D0"/>
    <w:rsid w:val="00B67722"/>
    <w:rsid w:val="00B67B97"/>
    <w:rsid w:val="00B67F01"/>
    <w:rsid w:val="00B67FED"/>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0FD"/>
    <w:rsid w:val="00B76185"/>
    <w:rsid w:val="00B76BCD"/>
    <w:rsid w:val="00B779E6"/>
    <w:rsid w:val="00B804E2"/>
    <w:rsid w:val="00B811B2"/>
    <w:rsid w:val="00B815B0"/>
    <w:rsid w:val="00B81BA3"/>
    <w:rsid w:val="00B82213"/>
    <w:rsid w:val="00B8276E"/>
    <w:rsid w:val="00B82912"/>
    <w:rsid w:val="00B839A9"/>
    <w:rsid w:val="00B83A62"/>
    <w:rsid w:val="00B83B59"/>
    <w:rsid w:val="00B84252"/>
    <w:rsid w:val="00B8468F"/>
    <w:rsid w:val="00B849F1"/>
    <w:rsid w:val="00B84FC6"/>
    <w:rsid w:val="00B857F5"/>
    <w:rsid w:val="00B86D6C"/>
    <w:rsid w:val="00B86EB5"/>
    <w:rsid w:val="00B86F47"/>
    <w:rsid w:val="00B874B4"/>
    <w:rsid w:val="00B8787A"/>
    <w:rsid w:val="00B87887"/>
    <w:rsid w:val="00B90123"/>
    <w:rsid w:val="00B90196"/>
    <w:rsid w:val="00B911C1"/>
    <w:rsid w:val="00B91374"/>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50B"/>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033"/>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2FA0"/>
    <w:rsid w:val="00BE330E"/>
    <w:rsid w:val="00BE39EB"/>
    <w:rsid w:val="00BE4875"/>
    <w:rsid w:val="00BE4CCF"/>
    <w:rsid w:val="00BE5964"/>
    <w:rsid w:val="00BE660B"/>
    <w:rsid w:val="00BE6AFE"/>
    <w:rsid w:val="00BE6BBE"/>
    <w:rsid w:val="00BE7021"/>
    <w:rsid w:val="00BE7300"/>
    <w:rsid w:val="00BE76F7"/>
    <w:rsid w:val="00BE784F"/>
    <w:rsid w:val="00BE79C6"/>
    <w:rsid w:val="00BF0019"/>
    <w:rsid w:val="00BF0238"/>
    <w:rsid w:val="00BF0717"/>
    <w:rsid w:val="00BF1750"/>
    <w:rsid w:val="00BF178E"/>
    <w:rsid w:val="00BF189F"/>
    <w:rsid w:val="00BF1B44"/>
    <w:rsid w:val="00BF1D88"/>
    <w:rsid w:val="00BF1F01"/>
    <w:rsid w:val="00BF1FC2"/>
    <w:rsid w:val="00BF23CC"/>
    <w:rsid w:val="00BF243F"/>
    <w:rsid w:val="00BF2708"/>
    <w:rsid w:val="00BF4C2B"/>
    <w:rsid w:val="00BF507A"/>
    <w:rsid w:val="00BF53F1"/>
    <w:rsid w:val="00BF5717"/>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730"/>
    <w:rsid w:val="00C128C9"/>
    <w:rsid w:val="00C12CF3"/>
    <w:rsid w:val="00C12F88"/>
    <w:rsid w:val="00C131A8"/>
    <w:rsid w:val="00C1322D"/>
    <w:rsid w:val="00C135A3"/>
    <w:rsid w:val="00C1455F"/>
    <w:rsid w:val="00C1477A"/>
    <w:rsid w:val="00C14A62"/>
    <w:rsid w:val="00C158EB"/>
    <w:rsid w:val="00C159B1"/>
    <w:rsid w:val="00C15D51"/>
    <w:rsid w:val="00C161F5"/>
    <w:rsid w:val="00C16C92"/>
    <w:rsid w:val="00C16ED6"/>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55D9"/>
    <w:rsid w:val="00C26170"/>
    <w:rsid w:val="00C26734"/>
    <w:rsid w:val="00C26B5A"/>
    <w:rsid w:val="00C26BB1"/>
    <w:rsid w:val="00C26D52"/>
    <w:rsid w:val="00C303E4"/>
    <w:rsid w:val="00C30775"/>
    <w:rsid w:val="00C30B8D"/>
    <w:rsid w:val="00C30BED"/>
    <w:rsid w:val="00C30DBE"/>
    <w:rsid w:val="00C3134E"/>
    <w:rsid w:val="00C315D8"/>
    <w:rsid w:val="00C31C4A"/>
    <w:rsid w:val="00C31D2D"/>
    <w:rsid w:val="00C3209A"/>
    <w:rsid w:val="00C32639"/>
    <w:rsid w:val="00C32808"/>
    <w:rsid w:val="00C32AD2"/>
    <w:rsid w:val="00C33114"/>
    <w:rsid w:val="00C3415E"/>
    <w:rsid w:val="00C34193"/>
    <w:rsid w:val="00C347FD"/>
    <w:rsid w:val="00C34DAE"/>
    <w:rsid w:val="00C34DF8"/>
    <w:rsid w:val="00C34E1E"/>
    <w:rsid w:val="00C34E5A"/>
    <w:rsid w:val="00C35553"/>
    <w:rsid w:val="00C35D9C"/>
    <w:rsid w:val="00C36219"/>
    <w:rsid w:val="00C36656"/>
    <w:rsid w:val="00C3698E"/>
    <w:rsid w:val="00C36CCA"/>
    <w:rsid w:val="00C36E1C"/>
    <w:rsid w:val="00C36F42"/>
    <w:rsid w:val="00C3718A"/>
    <w:rsid w:val="00C379C5"/>
    <w:rsid w:val="00C37EEE"/>
    <w:rsid w:val="00C40037"/>
    <w:rsid w:val="00C40453"/>
    <w:rsid w:val="00C404A7"/>
    <w:rsid w:val="00C40BCA"/>
    <w:rsid w:val="00C40E71"/>
    <w:rsid w:val="00C41879"/>
    <w:rsid w:val="00C41A7C"/>
    <w:rsid w:val="00C41CCD"/>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4C0"/>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4FB"/>
    <w:rsid w:val="00C565F2"/>
    <w:rsid w:val="00C567E3"/>
    <w:rsid w:val="00C56C45"/>
    <w:rsid w:val="00C573CC"/>
    <w:rsid w:val="00C57B81"/>
    <w:rsid w:val="00C57FB9"/>
    <w:rsid w:val="00C6077B"/>
    <w:rsid w:val="00C60950"/>
    <w:rsid w:val="00C60C68"/>
    <w:rsid w:val="00C60DD1"/>
    <w:rsid w:val="00C61565"/>
    <w:rsid w:val="00C61574"/>
    <w:rsid w:val="00C615B4"/>
    <w:rsid w:val="00C6184A"/>
    <w:rsid w:val="00C61AC6"/>
    <w:rsid w:val="00C61ACF"/>
    <w:rsid w:val="00C6211D"/>
    <w:rsid w:val="00C62B32"/>
    <w:rsid w:val="00C63DED"/>
    <w:rsid w:val="00C63E88"/>
    <w:rsid w:val="00C6436D"/>
    <w:rsid w:val="00C64F97"/>
    <w:rsid w:val="00C65585"/>
    <w:rsid w:val="00C656EB"/>
    <w:rsid w:val="00C65DF4"/>
    <w:rsid w:val="00C667F0"/>
    <w:rsid w:val="00C66AC8"/>
    <w:rsid w:val="00C67598"/>
    <w:rsid w:val="00C67B49"/>
    <w:rsid w:val="00C711F5"/>
    <w:rsid w:val="00C713A1"/>
    <w:rsid w:val="00C71828"/>
    <w:rsid w:val="00C72105"/>
    <w:rsid w:val="00C74520"/>
    <w:rsid w:val="00C74954"/>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4C8"/>
    <w:rsid w:val="00C90165"/>
    <w:rsid w:val="00C902DA"/>
    <w:rsid w:val="00C90733"/>
    <w:rsid w:val="00C921C4"/>
    <w:rsid w:val="00C9235F"/>
    <w:rsid w:val="00C9257F"/>
    <w:rsid w:val="00C9319C"/>
    <w:rsid w:val="00C9330C"/>
    <w:rsid w:val="00C934F6"/>
    <w:rsid w:val="00C93874"/>
    <w:rsid w:val="00C93A4C"/>
    <w:rsid w:val="00C944EB"/>
    <w:rsid w:val="00C94FD2"/>
    <w:rsid w:val="00C95341"/>
    <w:rsid w:val="00C95B76"/>
    <w:rsid w:val="00C962CB"/>
    <w:rsid w:val="00C964C3"/>
    <w:rsid w:val="00C964D6"/>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12D"/>
    <w:rsid w:val="00CA66C3"/>
    <w:rsid w:val="00CA6CAD"/>
    <w:rsid w:val="00CA6E65"/>
    <w:rsid w:val="00CA70A8"/>
    <w:rsid w:val="00CA70D0"/>
    <w:rsid w:val="00CA74A4"/>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B7F1F"/>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875"/>
    <w:rsid w:val="00CD2DF3"/>
    <w:rsid w:val="00CD305C"/>
    <w:rsid w:val="00CD3A6D"/>
    <w:rsid w:val="00CD3B07"/>
    <w:rsid w:val="00CD3E5A"/>
    <w:rsid w:val="00CD3E63"/>
    <w:rsid w:val="00CD40A3"/>
    <w:rsid w:val="00CD457E"/>
    <w:rsid w:val="00CD4CD3"/>
    <w:rsid w:val="00CD589F"/>
    <w:rsid w:val="00CD5B17"/>
    <w:rsid w:val="00CD60C9"/>
    <w:rsid w:val="00CD6345"/>
    <w:rsid w:val="00CD6835"/>
    <w:rsid w:val="00CD6AEA"/>
    <w:rsid w:val="00CD6BBB"/>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D3A"/>
    <w:rsid w:val="00CE67D8"/>
    <w:rsid w:val="00CE68EA"/>
    <w:rsid w:val="00CE7381"/>
    <w:rsid w:val="00CE7447"/>
    <w:rsid w:val="00CE74CE"/>
    <w:rsid w:val="00CE7510"/>
    <w:rsid w:val="00CE7ACE"/>
    <w:rsid w:val="00CF065B"/>
    <w:rsid w:val="00CF0829"/>
    <w:rsid w:val="00CF0E74"/>
    <w:rsid w:val="00CF1833"/>
    <w:rsid w:val="00CF1AEA"/>
    <w:rsid w:val="00CF2091"/>
    <w:rsid w:val="00CF21F6"/>
    <w:rsid w:val="00CF2278"/>
    <w:rsid w:val="00CF2C62"/>
    <w:rsid w:val="00CF2F66"/>
    <w:rsid w:val="00CF337B"/>
    <w:rsid w:val="00CF3828"/>
    <w:rsid w:val="00CF3FE7"/>
    <w:rsid w:val="00CF4416"/>
    <w:rsid w:val="00CF5762"/>
    <w:rsid w:val="00CF65B4"/>
    <w:rsid w:val="00CF6806"/>
    <w:rsid w:val="00CF69B0"/>
    <w:rsid w:val="00CF6C05"/>
    <w:rsid w:val="00CF7485"/>
    <w:rsid w:val="00CF7E56"/>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1FA"/>
    <w:rsid w:val="00D1033B"/>
    <w:rsid w:val="00D10477"/>
    <w:rsid w:val="00D107E2"/>
    <w:rsid w:val="00D11D76"/>
    <w:rsid w:val="00D121F5"/>
    <w:rsid w:val="00D126E4"/>
    <w:rsid w:val="00D12A53"/>
    <w:rsid w:val="00D131BF"/>
    <w:rsid w:val="00D13A90"/>
    <w:rsid w:val="00D140E6"/>
    <w:rsid w:val="00D14C7E"/>
    <w:rsid w:val="00D158E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51AB"/>
    <w:rsid w:val="00D25240"/>
    <w:rsid w:val="00D25AC6"/>
    <w:rsid w:val="00D25BCD"/>
    <w:rsid w:val="00D25BF1"/>
    <w:rsid w:val="00D261D3"/>
    <w:rsid w:val="00D27086"/>
    <w:rsid w:val="00D319DF"/>
    <w:rsid w:val="00D31C02"/>
    <w:rsid w:val="00D3225E"/>
    <w:rsid w:val="00D324BC"/>
    <w:rsid w:val="00D32B9F"/>
    <w:rsid w:val="00D32DF7"/>
    <w:rsid w:val="00D331A5"/>
    <w:rsid w:val="00D33565"/>
    <w:rsid w:val="00D33761"/>
    <w:rsid w:val="00D33762"/>
    <w:rsid w:val="00D34BD1"/>
    <w:rsid w:val="00D35177"/>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104"/>
    <w:rsid w:val="00D51675"/>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74F"/>
    <w:rsid w:val="00D60809"/>
    <w:rsid w:val="00D60D7F"/>
    <w:rsid w:val="00D61C9C"/>
    <w:rsid w:val="00D61E7B"/>
    <w:rsid w:val="00D62111"/>
    <w:rsid w:val="00D62229"/>
    <w:rsid w:val="00D625B8"/>
    <w:rsid w:val="00D626F8"/>
    <w:rsid w:val="00D62ABB"/>
    <w:rsid w:val="00D636DC"/>
    <w:rsid w:val="00D63F4C"/>
    <w:rsid w:val="00D64613"/>
    <w:rsid w:val="00D64702"/>
    <w:rsid w:val="00D649DC"/>
    <w:rsid w:val="00D66BFD"/>
    <w:rsid w:val="00D66C91"/>
    <w:rsid w:val="00D674EE"/>
    <w:rsid w:val="00D67535"/>
    <w:rsid w:val="00D67BC9"/>
    <w:rsid w:val="00D67DBC"/>
    <w:rsid w:val="00D704D9"/>
    <w:rsid w:val="00D70612"/>
    <w:rsid w:val="00D70934"/>
    <w:rsid w:val="00D70BD2"/>
    <w:rsid w:val="00D713F2"/>
    <w:rsid w:val="00D721B1"/>
    <w:rsid w:val="00D72705"/>
    <w:rsid w:val="00D738BF"/>
    <w:rsid w:val="00D73B93"/>
    <w:rsid w:val="00D73C95"/>
    <w:rsid w:val="00D7400F"/>
    <w:rsid w:val="00D745C1"/>
    <w:rsid w:val="00D74784"/>
    <w:rsid w:val="00D74F42"/>
    <w:rsid w:val="00D756F6"/>
    <w:rsid w:val="00D75731"/>
    <w:rsid w:val="00D75B45"/>
    <w:rsid w:val="00D75B5C"/>
    <w:rsid w:val="00D75F8C"/>
    <w:rsid w:val="00D76050"/>
    <w:rsid w:val="00D76309"/>
    <w:rsid w:val="00D76423"/>
    <w:rsid w:val="00D767BF"/>
    <w:rsid w:val="00D77278"/>
    <w:rsid w:val="00D775B5"/>
    <w:rsid w:val="00D77961"/>
    <w:rsid w:val="00D77A47"/>
    <w:rsid w:val="00D77B20"/>
    <w:rsid w:val="00D77B3B"/>
    <w:rsid w:val="00D77BFF"/>
    <w:rsid w:val="00D8007C"/>
    <w:rsid w:val="00D806F7"/>
    <w:rsid w:val="00D8079F"/>
    <w:rsid w:val="00D8103B"/>
    <w:rsid w:val="00D8111B"/>
    <w:rsid w:val="00D81242"/>
    <w:rsid w:val="00D812D2"/>
    <w:rsid w:val="00D82259"/>
    <w:rsid w:val="00D82347"/>
    <w:rsid w:val="00D82C80"/>
    <w:rsid w:val="00D82D02"/>
    <w:rsid w:val="00D82D0F"/>
    <w:rsid w:val="00D82D1B"/>
    <w:rsid w:val="00D8344D"/>
    <w:rsid w:val="00D83A5A"/>
    <w:rsid w:val="00D84157"/>
    <w:rsid w:val="00D84AB8"/>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C45"/>
    <w:rsid w:val="00DE2D49"/>
    <w:rsid w:val="00DE2ED5"/>
    <w:rsid w:val="00DE2F4E"/>
    <w:rsid w:val="00DE3E66"/>
    <w:rsid w:val="00DE3F75"/>
    <w:rsid w:val="00DE41FC"/>
    <w:rsid w:val="00DE45F5"/>
    <w:rsid w:val="00DE497D"/>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14C"/>
    <w:rsid w:val="00DF5F13"/>
    <w:rsid w:val="00DF63DD"/>
    <w:rsid w:val="00DF6B62"/>
    <w:rsid w:val="00DF6D27"/>
    <w:rsid w:val="00DF7BD0"/>
    <w:rsid w:val="00DF7BDF"/>
    <w:rsid w:val="00E00303"/>
    <w:rsid w:val="00E00A62"/>
    <w:rsid w:val="00E010A0"/>
    <w:rsid w:val="00E010A2"/>
    <w:rsid w:val="00E0125E"/>
    <w:rsid w:val="00E01668"/>
    <w:rsid w:val="00E0173A"/>
    <w:rsid w:val="00E01849"/>
    <w:rsid w:val="00E020D1"/>
    <w:rsid w:val="00E02B64"/>
    <w:rsid w:val="00E02EAD"/>
    <w:rsid w:val="00E03453"/>
    <w:rsid w:val="00E03D3F"/>
    <w:rsid w:val="00E03DED"/>
    <w:rsid w:val="00E0437C"/>
    <w:rsid w:val="00E0452C"/>
    <w:rsid w:val="00E04CA0"/>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36"/>
    <w:rsid w:val="00E10D4E"/>
    <w:rsid w:val="00E1100C"/>
    <w:rsid w:val="00E11489"/>
    <w:rsid w:val="00E11711"/>
    <w:rsid w:val="00E11E63"/>
    <w:rsid w:val="00E11EEC"/>
    <w:rsid w:val="00E11F94"/>
    <w:rsid w:val="00E12696"/>
    <w:rsid w:val="00E1310D"/>
    <w:rsid w:val="00E13359"/>
    <w:rsid w:val="00E138BF"/>
    <w:rsid w:val="00E13A3E"/>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2CC"/>
    <w:rsid w:val="00E40916"/>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7F7"/>
    <w:rsid w:val="00E50B6F"/>
    <w:rsid w:val="00E50C48"/>
    <w:rsid w:val="00E50EBE"/>
    <w:rsid w:val="00E50F69"/>
    <w:rsid w:val="00E50FC6"/>
    <w:rsid w:val="00E52372"/>
    <w:rsid w:val="00E5272D"/>
    <w:rsid w:val="00E52786"/>
    <w:rsid w:val="00E52F05"/>
    <w:rsid w:val="00E540CA"/>
    <w:rsid w:val="00E54C83"/>
    <w:rsid w:val="00E54E99"/>
    <w:rsid w:val="00E55460"/>
    <w:rsid w:val="00E5596B"/>
    <w:rsid w:val="00E55B28"/>
    <w:rsid w:val="00E56D4A"/>
    <w:rsid w:val="00E57119"/>
    <w:rsid w:val="00E5719E"/>
    <w:rsid w:val="00E57D7B"/>
    <w:rsid w:val="00E57F4B"/>
    <w:rsid w:val="00E601A5"/>
    <w:rsid w:val="00E602E5"/>
    <w:rsid w:val="00E602F8"/>
    <w:rsid w:val="00E6085B"/>
    <w:rsid w:val="00E60964"/>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D24"/>
    <w:rsid w:val="00E64FAF"/>
    <w:rsid w:val="00E653A6"/>
    <w:rsid w:val="00E6549C"/>
    <w:rsid w:val="00E654B9"/>
    <w:rsid w:val="00E6589D"/>
    <w:rsid w:val="00E65E8C"/>
    <w:rsid w:val="00E663BF"/>
    <w:rsid w:val="00E665E7"/>
    <w:rsid w:val="00E6661C"/>
    <w:rsid w:val="00E66C96"/>
    <w:rsid w:val="00E674D0"/>
    <w:rsid w:val="00E70130"/>
    <w:rsid w:val="00E703FE"/>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FC"/>
    <w:rsid w:val="00E773E5"/>
    <w:rsid w:val="00E77A98"/>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C97"/>
    <w:rsid w:val="00E85005"/>
    <w:rsid w:val="00E85296"/>
    <w:rsid w:val="00E8533B"/>
    <w:rsid w:val="00E8595B"/>
    <w:rsid w:val="00E85E4E"/>
    <w:rsid w:val="00E86327"/>
    <w:rsid w:val="00E86DF0"/>
    <w:rsid w:val="00E87BD2"/>
    <w:rsid w:val="00E87CDC"/>
    <w:rsid w:val="00E90B33"/>
    <w:rsid w:val="00E910E4"/>
    <w:rsid w:val="00E911E0"/>
    <w:rsid w:val="00E92115"/>
    <w:rsid w:val="00E93407"/>
    <w:rsid w:val="00E9348C"/>
    <w:rsid w:val="00E940A8"/>
    <w:rsid w:val="00E94307"/>
    <w:rsid w:val="00E947E8"/>
    <w:rsid w:val="00E94B0F"/>
    <w:rsid w:val="00E9503F"/>
    <w:rsid w:val="00E956F3"/>
    <w:rsid w:val="00E95AA7"/>
    <w:rsid w:val="00E96E68"/>
    <w:rsid w:val="00E97013"/>
    <w:rsid w:val="00E97EA1"/>
    <w:rsid w:val="00EA0BBE"/>
    <w:rsid w:val="00EA18B9"/>
    <w:rsid w:val="00EA1FBC"/>
    <w:rsid w:val="00EA20A1"/>
    <w:rsid w:val="00EA212B"/>
    <w:rsid w:val="00EA24B5"/>
    <w:rsid w:val="00EA2AAA"/>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14"/>
    <w:rsid w:val="00EC54EE"/>
    <w:rsid w:val="00EC59B2"/>
    <w:rsid w:val="00EC5A3B"/>
    <w:rsid w:val="00EC615A"/>
    <w:rsid w:val="00EC6424"/>
    <w:rsid w:val="00EC786C"/>
    <w:rsid w:val="00EC7ADD"/>
    <w:rsid w:val="00EC7C26"/>
    <w:rsid w:val="00ED04FE"/>
    <w:rsid w:val="00ED0DD0"/>
    <w:rsid w:val="00ED1122"/>
    <w:rsid w:val="00ED1989"/>
    <w:rsid w:val="00ED28F2"/>
    <w:rsid w:val="00ED2F3E"/>
    <w:rsid w:val="00ED3145"/>
    <w:rsid w:val="00ED3309"/>
    <w:rsid w:val="00ED356E"/>
    <w:rsid w:val="00ED3792"/>
    <w:rsid w:val="00ED3BDA"/>
    <w:rsid w:val="00ED5648"/>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38"/>
    <w:rsid w:val="00EF7E0B"/>
    <w:rsid w:val="00F00881"/>
    <w:rsid w:val="00F00917"/>
    <w:rsid w:val="00F00B65"/>
    <w:rsid w:val="00F00EFE"/>
    <w:rsid w:val="00F010BB"/>
    <w:rsid w:val="00F012C1"/>
    <w:rsid w:val="00F0175F"/>
    <w:rsid w:val="00F01A41"/>
    <w:rsid w:val="00F03280"/>
    <w:rsid w:val="00F0362A"/>
    <w:rsid w:val="00F0385C"/>
    <w:rsid w:val="00F03ABE"/>
    <w:rsid w:val="00F03B69"/>
    <w:rsid w:val="00F04345"/>
    <w:rsid w:val="00F047A4"/>
    <w:rsid w:val="00F04B40"/>
    <w:rsid w:val="00F04F52"/>
    <w:rsid w:val="00F0510F"/>
    <w:rsid w:val="00F0563F"/>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43E"/>
    <w:rsid w:val="00F16695"/>
    <w:rsid w:val="00F17159"/>
    <w:rsid w:val="00F1733F"/>
    <w:rsid w:val="00F177F3"/>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A19"/>
    <w:rsid w:val="00F2500D"/>
    <w:rsid w:val="00F251B2"/>
    <w:rsid w:val="00F2596D"/>
    <w:rsid w:val="00F25CAA"/>
    <w:rsid w:val="00F26AD6"/>
    <w:rsid w:val="00F2711C"/>
    <w:rsid w:val="00F2720E"/>
    <w:rsid w:val="00F27253"/>
    <w:rsid w:val="00F277E8"/>
    <w:rsid w:val="00F27ADE"/>
    <w:rsid w:val="00F27B04"/>
    <w:rsid w:val="00F27E3D"/>
    <w:rsid w:val="00F27EB2"/>
    <w:rsid w:val="00F301D0"/>
    <w:rsid w:val="00F3069F"/>
    <w:rsid w:val="00F30A02"/>
    <w:rsid w:val="00F30C3F"/>
    <w:rsid w:val="00F30C60"/>
    <w:rsid w:val="00F30CFA"/>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283"/>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4CC"/>
    <w:rsid w:val="00F44542"/>
    <w:rsid w:val="00F448DD"/>
    <w:rsid w:val="00F44D6A"/>
    <w:rsid w:val="00F44DB8"/>
    <w:rsid w:val="00F45760"/>
    <w:rsid w:val="00F45925"/>
    <w:rsid w:val="00F462B1"/>
    <w:rsid w:val="00F468E7"/>
    <w:rsid w:val="00F46BA6"/>
    <w:rsid w:val="00F46C97"/>
    <w:rsid w:val="00F4703E"/>
    <w:rsid w:val="00F4775F"/>
    <w:rsid w:val="00F47B16"/>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4F77"/>
    <w:rsid w:val="00F75731"/>
    <w:rsid w:val="00F75841"/>
    <w:rsid w:val="00F76333"/>
    <w:rsid w:val="00F770C6"/>
    <w:rsid w:val="00F77100"/>
    <w:rsid w:val="00F8090F"/>
    <w:rsid w:val="00F80A8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261"/>
    <w:rsid w:val="00F93A31"/>
    <w:rsid w:val="00F93D6E"/>
    <w:rsid w:val="00F9423D"/>
    <w:rsid w:val="00F942C2"/>
    <w:rsid w:val="00F94609"/>
    <w:rsid w:val="00F94F16"/>
    <w:rsid w:val="00F95182"/>
    <w:rsid w:val="00F957D2"/>
    <w:rsid w:val="00F95D94"/>
    <w:rsid w:val="00F95FAD"/>
    <w:rsid w:val="00F966D7"/>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917"/>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14C"/>
    <w:rsid w:val="00FB4267"/>
    <w:rsid w:val="00FB59D4"/>
    <w:rsid w:val="00FB5E81"/>
    <w:rsid w:val="00FB6E6C"/>
    <w:rsid w:val="00FB71B0"/>
    <w:rsid w:val="00FB7ABA"/>
    <w:rsid w:val="00FB7C21"/>
    <w:rsid w:val="00FB7C46"/>
    <w:rsid w:val="00FC04E0"/>
    <w:rsid w:val="00FC06CE"/>
    <w:rsid w:val="00FC0D98"/>
    <w:rsid w:val="00FC0E2F"/>
    <w:rsid w:val="00FC1042"/>
    <w:rsid w:val="00FC11C6"/>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713B"/>
    <w:rsid w:val="00FC7862"/>
    <w:rsid w:val="00FC79D5"/>
    <w:rsid w:val="00FC7B35"/>
    <w:rsid w:val="00FC7B53"/>
    <w:rsid w:val="00FC7BD8"/>
    <w:rsid w:val="00FD0177"/>
    <w:rsid w:val="00FD0AE7"/>
    <w:rsid w:val="00FD0B44"/>
    <w:rsid w:val="00FD0F70"/>
    <w:rsid w:val="00FD1A3F"/>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0A0F"/>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0B1261"/>
    <w:rsid w:val="01457570"/>
    <w:rsid w:val="016F43BB"/>
    <w:rsid w:val="01AA2C10"/>
    <w:rsid w:val="01AC75F0"/>
    <w:rsid w:val="01D45B44"/>
    <w:rsid w:val="01E64116"/>
    <w:rsid w:val="02131C1D"/>
    <w:rsid w:val="02377DA4"/>
    <w:rsid w:val="02532161"/>
    <w:rsid w:val="02813948"/>
    <w:rsid w:val="02B21FFC"/>
    <w:rsid w:val="03193843"/>
    <w:rsid w:val="031F2398"/>
    <w:rsid w:val="032004FB"/>
    <w:rsid w:val="032A2EC2"/>
    <w:rsid w:val="032E1CD4"/>
    <w:rsid w:val="036F7D2F"/>
    <w:rsid w:val="037738D8"/>
    <w:rsid w:val="03AC114D"/>
    <w:rsid w:val="04272850"/>
    <w:rsid w:val="04B82889"/>
    <w:rsid w:val="04CB3F6F"/>
    <w:rsid w:val="04DD11BF"/>
    <w:rsid w:val="05264E82"/>
    <w:rsid w:val="054F67F2"/>
    <w:rsid w:val="05647814"/>
    <w:rsid w:val="05B4379B"/>
    <w:rsid w:val="05BF5CC8"/>
    <w:rsid w:val="060B0240"/>
    <w:rsid w:val="065155EA"/>
    <w:rsid w:val="065E2E82"/>
    <w:rsid w:val="0664230B"/>
    <w:rsid w:val="0671473D"/>
    <w:rsid w:val="068955F4"/>
    <w:rsid w:val="06A133D6"/>
    <w:rsid w:val="06D7523A"/>
    <w:rsid w:val="07124399"/>
    <w:rsid w:val="071E3E19"/>
    <w:rsid w:val="071F0864"/>
    <w:rsid w:val="07230354"/>
    <w:rsid w:val="0729334D"/>
    <w:rsid w:val="072B545A"/>
    <w:rsid w:val="0744651C"/>
    <w:rsid w:val="07553B26"/>
    <w:rsid w:val="07585233"/>
    <w:rsid w:val="075F0692"/>
    <w:rsid w:val="07831AC0"/>
    <w:rsid w:val="07905B50"/>
    <w:rsid w:val="079C5571"/>
    <w:rsid w:val="079E5B2A"/>
    <w:rsid w:val="07D4521B"/>
    <w:rsid w:val="07DB054A"/>
    <w:rsid w:val="08055804"/>
    <w:rsid w:val="08165225"/>
    <w:rsid w:val="083D2AF4"/>
    <w:rsid w:val="085A706A"/>
    <w:rsid w:val="08B25674"/>
    <w:rsid w:val="08C2364C"/>
    <w:rsid w:val="08D32F8F"/>
    <w:rsid w:val="08F53B23"/>
    <w:rsid w:val="092D6169"/>
    <w:rsid w:val="09310F40"/>
    <w:rsid w:val="095011A8"/>
    <w:rsid w:val="09640931"/>
    <w:rsid w:val="09A514F4"/>
    <w:rsid w:val="0A053C89"/>
    <w:rsid w:val="0A070656"/>
    <w:rsid w:val="0A651725"/>
    <w:rsid w:val="0A6878BB"/>
    <w:rsid w:val="0A913ED8"/>
    <w:rsid w:val="0AA65618"/>
    <w:rsid w:val="0AB35B81"/>
    <w:rsid w:val="0AD578B8"/>
    <w:rsid w:val="0B24171E"/>
    <w:rsid w:val="0B5C3243"/>
    <w:rsid w:val="0B5E59FA"/>
    <w:rsid w:val="0B72406D"/>
    <w:rsid w:val="0B782F29"/>
    <w:rsid w:val="0B9A36F3"/>
    <w:rsid w:val="0BA12052"/>
    <w:rsid w:val="0BAD59A4"/>
    <w:rsid w:val="0BDF6813"/>
    <w:rsid w:val="0BF745E4"/>
    <w:rsid w:val="0C357211"/>
    <w:rsid w:val="0C466B45"/>
    <w:rsid w:val="0C746CE6"/>
    <w:rsid w:val="0C8D626F"/>
    <w:rsid w:val="0C9155D8"/>
    <w:rsid w:val="0CB101B0"/>
    <w:rsid w:val="0CCC58E6"/>
    <w:rsid w:val="0CD10852"/>
    <w:rsid w:val="0CD1596F"/>
    <w:rsid w:val="0CDE6F16"/>
    <w:rsid w:val="0D004744"/>
    <w:rsid w:val="0D1E1D5F"/>
    <w:rsid w:val="0D34505C"/>
    <w:rsid w:val="0D563CC5"/>
    <w:rsid w:val="0D584403"/>
    <w:rsid w:val="0D60177E"/>
    <w:rsid w:val="0D775FE2"/>
    <w:rsid w:val="0D856B35"/>
    <w:rsid w:val="0DEE7765"/>
    <w:rsid w:val="0DF02F5A"/>
    <w:rsid w:val="0E455182"/>
    <w:rsid w:val="0E6504E4"/>
    <w:rsid w:val="0E867D51"/>
    <w:rsid w:val="0EBD415F"/>
    <w:rsid w:val="0ECC7E79"/>
    <w:rsid w:val="0EEC54CF"/>
    <w:rsid w:val="0EF3685E"/>
    <w:rsid w:val="0F08305D"/>
    <w:rsid w:val="0F144A26"/>
    <w:rsid w:val="0F204221"/>
    <w:rsid w:val="0F2B5D1F"/>
    <w:rsid w:val="0F2D61CB"/>
    <w:rsid w:val="0F405BCB"/>
    <w:rsid w:val="0F45621F"/>
    <w:rsid w:val="0F8F183D"/>
    <w:rsid w:val="0F9067A2"/>
    <w:rsid w:val="0FA45DAA"/>
    <w:rsid w:val="0FBF0C03"/>
    <w:rsid w:val="0FCA06F9"/>
    <w:rsid w:val="0FE05351"/>
    <w:rsid w:val="0FE6638E"/>
    <w:rsid w:val="100903D4"/>
    <w:rsid w:val="101C0A97"/>
    <w:rsid w:val="102B4703"/>
    <w:rsid w:val="10B82D25"/>
    <w:rsid w:val="10C607DE"/>
    <w:rsid w:val="10D42A8B"/>
    <w:rsid w:val="10DE168E"/>
    <w:rsid w:val="10E32514"/>
    <w:rsid w:val="10F67974"/>
    <w:rsid w:val="10FF1EBE"/>
    <w:rsid w:val="11051CC3"/>
    <w:rsid w:val="110E5707"/>
    <w:rsid w:val="11495112"/>
    <w:rsid w:val="11651A18"/>
    <w:rsid w:val="11936674"/>
    <w:rsid w:val="11DD18E2"/>
    <w:rsid w:val="11E40DBA"/>
    <w:rsid w:val="11E701D0"/>
    <w:rsid w:val="11F43E80"/>
    <w:rsid w:val="121A6430"/>
    <w:rsid w:val="123478B9"/>
    <w:rsid w:val="123C0533"/>
    <w:rsid w:val="12414C51"/>
    <w:rsid w:val="12685FCD"/>
    <w:rsid w:val="128F6633"/>
    <w:rsid w:val="12B15FBE"/>
    <w:rsid w:val="12C7072D"/>
    <w:rsid w:val="12F74050"/>
    <w:rsid w:val="133833D9"/>
    <w:rsid w:val="135759C1"/>
    <w:rsid w:val="135F0ED4"/>
    <w:rsid w:val="137469CA"/>
    <w:rsid w:val="138C1BEB"/>
    <w:rsid w:val="138D1D96"/>
    <w:rsid w:val="13A02D2C"/>
    <w:rsid w:val="13B04DAC"/>
    <w:rsid w:val="13B41253"/>
    <w:rsid w:val="13D12DDC"/>
    <w:rsid w:val="13D80718"/>
    <w:rsid w:val="13EF0479"/>
    <w:rsid w:val="13FC4A98"/>
    <w:rsid w:val="1416555A"/>
    <w:rsid w:val="143571AB"/>
    <w:rsid w:val="143A34B9"/>
    <w:rsid w:val="146F2C7A"/>
    <w:rsid w:val="148301A4"/>
    <w:rsid w:val="148F6460"/>
    <w:rsid w:val="1492464C"/>
    <w:rsid w:val="149E4992"/>
    <w:rsid w:val="14A968EE"/>
    <w:rsid w:val="14E0178F"/>
    <w:rsid w:val="14EC447B"/>
    <w:rsid w:val="152E2E60"/>
    <w:rsid w:val="15804BC3"/>
    <w:rsid w:val="1581420C"/>
    <w:rsid w:val="1585042C"/>
    <w:rsid w:val="16464112"/>
    <w:rsid w:val="164F66A2"/>
    <w:rsid w:val="166E4572"/>
    <w:rsid w:val="167835BA"/>
    <w:rsid w:val="16EF70D4"/>
    <w:rsid w:val="16F8046E"/>
    <w:rsid w:val="16FF5CCD"/>
    <w:rsid w:val="16FF6D87"/>
    <w:rsid w:val="170E5D26"/>
    <w:rsid w:val="17694B12"/>
    <w:rsid w:val="176D5C4E"/>
    <w:rsid w:val="17753BE6"/>
    <w:rsid w:val="17852965"/>
    <w:rsid w:val="17BE59A2"/>
    <w:rsid w:val="17DA4A5F"/>
    <w:rsid w:val="17FE5263"/>
    <w:rsid w:val="18185849"/>
    <w:rsid w:val="182B350C"/>
    <w:rsid w:val="18464068"/>
    <w:rsid w:val="188D5F62"/>
    <w:rsid w:val="189248ED"/>
    <w:rsid w:val="18D35CED"/>
    <w:rsid w:val="18F41CA0"/>
    <w:rsid w:val="19335864"/>
    <w:rsid w:val="195C37DD"/>
    <w:rsid w:val="19956766"/>
    <w:rsid w:val="19D21766"/>
    <w:rsid w:val="19F64B3B"/>
    <w:rsid w:val="1A376583"/>
    <w:rsid w:val="1A442DE9"/>
    <w:rsid w:val="1A662169"/>
    <w:rsid w:val="1A6B53C8"/>
    <w:rsid w:val="1A910448"/>
    <w:rsid w:val="1ACC4783"/>
    <w:rsid w:val="1ADA6B24"/>
    <w:rsid w:val="1AE030E5"/>
    <w:rsid w:val="1AFB2E83"/>
    <w:rsid w:val="1B232898"/>
    <w:rsid w:val="1B761033"/>
    <w:rsid w:val="1B8D003A"/>
    <w:rsid w:val="1B8E1807"/>
    <w:rsid w:val="1B973A55"/>
    <w:rsid w:val="1BC305D3"/>
    <w:rsid w:val="1BD134B8"/>
    <w:rsid w:val="1BD9300C"/>
    <w:rsid w:val="1BF97A03"/>
    <w:rsid w:val="1BFB1448"/>
    <w:rsid w:val="1C097B8F"/>
    <w:rsid w:val="1C130409"/>
    <w:rsid w:val="1C2323A3"/>
    <w:rsid w:val="1C3A5A50"/>
    <w:rsid w:val="1C452122"/>
    <w:rsid w:val="1C484763"/>
    <w:rsid w:val="1C6C5EA1"/>
    <w:rsid w:val="1CA23671"/>
    <w:rsid w:val="1CB53E21"/>
    <w:rsid w:val="1CB54B59"/>
    <w:rsid w:val="1CD01313"/>
    <w:rsid w:val="1CD55680"/>
    <w:rsid w:val="1CDF6673"/>
    <w:rsid w:val="1CF71C0F"/>
    <w:rsid w:val="1CFF5090"/>
    <w:rsid w:val="1D321E13"/>
    <w:rsid w:val="1D63299D"/>
    <w:rsid w:val="1D721AE5"/>
    <w:rsid w:val="1D792624"/>
    <w:rsid w:val="1D951428"/>
    <w:rsid w:val="1DAB1D3A"/>
    <w:rsid w:val="1DBC044E"/>
    <w:rsid w:val="1DED1E8D"/>
    <w:rsid w:val="1E00077D"/>
    <w:rsid w:val="1E0F688E"/>
    <w:rsid w:val="1E107C03"/>
    <w:rsid w:val="1E136732"/>
    <w:rsid w:val="1E4F5170"/>
    <w:rsid w:val="1E571BEC"/>
    <w:rsid w:val="1EBB4EBE"/>
    <w:rsid w:val="1EE84B75"/>
    <w:rsid w:val="1EE90A0A"/>
    <w:rsid w:val="1EEE0DF0"/>
    <w:rsid w:val="1F2167A3"/>
    <w:rsid w:val="1F3F2BD4"/>
    <w:rsid w:val="1F4849CA"/>
    <w:rsid w:val="1F5053F0"/>
    <w:rsid w:val="1F873477"/>
    <w:rsid w:val="1FA51677"/>
    <w:rsid w:val="1FB57B5F"/>
    <w:rsid w:val="1FC96EB6"/>
    <w:rsid w:val="1FCD447E"/>
    <w:rsid w:val="1FEFF0B9"/>
    <w:rsid w:val="200521DD"/>
    <w:rsid w:val="2033244A"/>
    <w:rsid w:val="208A6DFA"/>
    <w:rsid w:val="20966FF2"/>
    <w:rsid w:val="20B00655"/>
    <w:rsid w:val="20DB7AF0"/>
    <w:rsid w:val="21050DBD"/>
    <w:rsid w:val="210C7C53"/>
    <w:rsid w:val="211508B6"/>
    <w:rsid w:val="21364A0F"/>
    <w:rsid w:val="21455F84"/>
    <w:rsid w:val="219A700D"/>
    <w:rsid w:val="21B35628"/>
    <w:rsid w:val="21BF1A86"/>
    <w:rsid w:val="21CA43CD"/>
    <w:rsid w:val="21CF15C2"/>
    <w:rsid w:val="22021D48"/>
    <w:rsid w:val="220A1EE8"/>
    <w:rsid w:val="222F6497"/>
    <w:rsid w:val="2230171F"/>
    <w:rsid w:val="224B4640"/>
    <w:rsid w:val="22765384"/>
    <w:rsid w:val="228F40D1"/>
    <w:rsid w:val="22BC1770"/>
    <w:rsid w:val="22D10941"/>
    <w:rsid w:val="230318A9"/>
    <w:rsid w:val="230D3B35"/>
    <w:rsid w:val="231B7B5C"/>
    <w:rsid w:val="233209BF"/>
    <w:rsid w:val="23482F54"/>
    <w:rsid w:val="23734B64"/>
    <w:rsid w:val="23AE574A"/>
    <w:rsid w:val="23E9458B"/>
    <w:rsid w:val="23FC7C17"/>
    <w:rsid w:val="243472A5"/>
    <w:rsid w:val="24382045"/>
    <w:rsid w:val="245B0C78"/>
    <w:rsid w:val="246C493C"/>
    <w:rsid w:val="24763D61"/>
    <w:rsid w:val="247B2AA1"/>
    <w:rsid w:val="24977600"/>
    <w:rsid w:val="24B831E2"/>
    <w:rsid w:val="24BF61EC"/>
    <w:rsid w:val="24E21FE9"/>
    <w:rsid w:val="24EF75A7"/>
    <w:rsid w:val="25076E4C"/>
    <w:rsid w:val="250B120F"/>
    <w:rsid w:val="251E0143"/>
    <w:rsid w:val="252C7220"/>
    <w:rsid w:val="252D7084"/>
    <w:rsid w:val="254A2AF8"/>
    <w:rsid w:val="254F42BB"/>
    <w:rsid w:val="257638ED"/>
    <w:rsid w:val="25DE12EA"/>
    <w:rsid w:val="25E371C9"/>
    <w:rsid w:val="26257624"/>
    <w:rsid w:val="26395B91"/>
    <w:rsid w:val="264562B9"/>
    <w:rsid w:val="26A050C5"/>
    <w:rsid w:val="26A50560"/>
    <w:rsid w:val="26EA4592"/>
    <w:rsid w:val="26F060BC"/>
    <w:rsid w:val="26FD1CCB"/>
    <w:rsid w:val="270C4509"/>
    <w:rsid w:val="270F55EE"/>
    <w:rsid w:val="272F1A96"/>
    <w:rsid w:val="277A413B"/>
    <w:rsid w:val="27A77198"/>
    <w:rsid w:val="27BB6298"/>
    <w:rsid w:val="27BB73E5"/>
    <w:rsid w:val="27F52753"/>
    <w:rsid w:val="27FF5E1C"/>
    <w:rsid w:val="28362A72"/>
    <w:rsid w:val="28520641"/>
    <w:rsid w:val="286B34B1"/>
    <w:rsid w:val="2873599C"/>
    <w:rsid w:val="287610F2"/>
    <w:rsid w:val="2879797C"/>
    <w:rsid w:val="289B2B0B"/>
    <w:rsid w:val="28F55108"/>
    <w:rsid w:val="28F94ACB"/>
    <w:rsid w:val="29086F52"/>
    <w:rsid w:val="292E4C0A"/>
    <w:rsid w:val="29396A89"/>
    <w:rsid w:val="29491934"/>
    <w:rsid w:val="295D755E"/>
    <w:rsid w:val="29600A1E"/>
    <w:rsid w:val="297B0CF7"/>
    <w:rsid w:val="29CA7085"/>
    <w:rsid w:val="29FF2103"/>
    <w:rsid w:val="2A0C5717"/>
    <w:rsid w:val="2A12304A"/>
    <w:rsid w:val="2A3A7A42"/>
    <w:rsid w:val="2A3B37FF"/>
    <w:rsid w:val="2AC122F0"/>
    <w:rsid w:val="2ACA2711"/>
    <w:rsid w:val="2B4F0E68"/>
    <w:rsid w:val="2B5C6B16"/>
    <w:rsid w:val="2B6D6108"/>
    <w:rsid w:val="2B822DA1"/>
    <w:rsid w:val="2BB7668C"/>
    <w:rsid w:val="2BBB02AC"/>
    <w:rsid w:val="2BD1121A"/>
    <w:rsid w:val="2C1D399B"/>
    <w:rsid w:val="2C3923E3"/>
    <w:rsid w:val="2C3B1E3C"/>
    <w:rsid w:val="2C490D4B"/>
    <w:rsid w:val="2C8F68B4"/>
    <w:rsid w:val="2C937C52"/>
    <w:rsid w:val="2C956D4E"/>
    <w:rsid w:val="2C974875"/>
    <w:rsid w:val="2D047E04"/>
    <w:rsid w:val="2D132B12"/>
    <w:rsid w:val="2D2325AC"/>
    <w:rsid w:val="2D25466F"/>
    <w:rsid w:val="2D2563CC"/>
    <w:rsid w:val="2D5A78BE"/>
    <w:rsid w:val="2D662499"/>
    <w:rsid w:val="2D6B04D6"/>
    <w:rsid w:val="2D886EC1"/>
    <w:rsid w:val="2D9D3287"/>
    <w:rsid w:val="2DAF3E40"/>
    <w:rsid w:val="2DBC044D"/>
    <w:rsid w:val="2DD00FFA"/>
    <w:rsid w:val="2DD75257"/>
    <w:rsid w:val="2E024E2F"/>
    <w:rsid w:val="2E0E6DB8"/>
    <w:rsid w:val="2E266E54"/>
    <w:rsid w:val="2E341DD7"/>
    <w:rsid w:val="2E3E5816"/>
    <w:rsid w:val="2EA133AF"/>
    <w:rsid w:val="2EAA2890"/>
    <w:rsid w:val="2ED20E13"/>
    <w:rsid w:val="2ED85206"/>
    <w:rsid w:val="2EDB1886"/>
    <w:rsid w:val="2EDD2DD9"/>
    <w:rsid w:val="2F0C27F3"/>
    <w:rsid w:val="2F335980"/>
    <w:rsid w:val="2F336759"/>
    <w:rsid w:val="2F3B1D20"/>
    <w:rsid w:val="2F410368"/>
    <w:rsid w:val="2F422E59"/>
    <w:rsid w:val="2F5D6410"/>
    <w:rsid w:val="2F723467"/>
    <w:rsid w:val="2F922149"/>
    <w:rsid w:val="2FAD50FF"/>
    <w:rsid w:val="2FD46F7C"/>
    <w:rsid w:val="2FE851A7"/>
    <w:rsid w:val="2FEF0366"/>
    <w:rsid w:val="30661471"/>
    <w:rsid w:val="306835D0"/>
    <w:rsid w:val="309B4287"/>
    <w:rsid w:val="30AA08EF"/>
    <w:rsid w:val="30D07FA5"/>
    <w:rsid w:val="30F32296"/>
    <w:rsid w:val="30F61B91"/>
    <w:rsid w:val="310B2B24"/>
    <w:rsid w:val="3137221E"/>
    <w:rsid w:val="31480833"/>
    <w:rsid w:val="315213EE"/>
    <w:rsid w:val="317473A5"/>
    <w:rsid w:val="31BB7257"/>
    <w:rsid w:val="31DD737B"/>
    <w:rsid w:val="320A28B0"/>
    <w:rsid w:val="32153FA4"/>
    <w:rsid w:val="322A618B"/>
    <w:rsid w:val="328B5E32"/>
    <w:rsid w:val="32A0292F"/>
    <w:rsid w:val="32A02B99"/>
    <w:rsid w:val="32C34D51"/>
    <w:rsid w:val="32DD0826"/>
    <w:rsid w:val="32E95EDD"/>
    <w:rsid w:val="32FA790B"/>
    <w:rsid w:val="33055B07"/>
    <w:rsid w:val="330F2BAA"/>
    <w:rsid w:val="331D2279"/>
    <w:rsid w:val="332B5D17"/>
    <w:rsid w:val="33675AA7"/>
    <w:rsid w:val="337D5F7B"/>
    <w:rsid w:val="337E44B5"/>
    <w:rsid w:val="3390570F"/>
    <w:rsid w:val="33953AD8"/>
    <w:rsid w:val="33C06C05"/>
    <w:rsid w:val="33D414D0"/>
    <w:rsid w:val="33ED121E"/>
    <w:rsid w:val="3411197D"/>
    <w:rsid w:val="34192013"/>
    <w:rsid w:val="34603E67"/>
    <w:rsid w:val="347A51A5"/>
    <w:rsid w:val="3483666A"/>
    <w:rsid w:val="348A2F11"/>
    <w:rsid w:val="34952A9C"/>
    <w:rsid w:val="34A23D27"/>
    <w:rsid w:val="34C7293A"/>
    <w:rsid w:val="34CD025D"/>
    <w:rsid w:val="34FB03D0"/>
    <w:rsid w:val="35123069"/>
    <w:rsid w:val="35284C04"/>
    <w:rsid w:val="35373099"/>
    <w:rsid w:val="355643C5"/>
    <w:rsid w:val="358B3826"/>
    <w:rsid w:val="359C2256"/>
    <w:rsid w:val="35B91D00"/>
    <w:rsid w:val="35CD358A"/>
    <w:rsid w:val="35E16DD3"/>
    <w:rsid w:val="36050AA1"/>
    <w:rsid w:val="36232DB0"/>
    <w:rsid w:val="362C5EB3"/>
    <w:rsid w:val="36445687"/>
    <w:rsid w:val="36482B5D"/>
    <w:rsid w:val="36555923"/>
    <w:rsid w:val="36A33D10"/>
    <w:rsid w:val="36A50485"/>
    <w:rsid w:val="36D31069"/>
    <w:rsid w:val="36EC388B"/>
    <w:rsid w:val="37136570"/>
    <w:rsid w:val="37252074"/>
    <w:rsid w:val="37471EDD"/>
    <w:rsid w:val="37494A25"/>
    <w:rsid w:val="374C0952"/>
    <w:rsid w:val="37742786"/>
    <w:rsid w:val="378123A9"/>
    <w:rsid w:val="379F3D2C"/>
    <w:rsid w:val="37B63C1C"/>
    <w:rsid w:val="37DF20DE"/>
    <w:rsid w:val="37FE110B"/>
    <w:rsid w:val="38206066"/>
    <w:rsid w:val="38397128"/>
    <w:rsid w:val="385F359C"/>
    <w:rsid w:val="386F48F8"/>
    <w:rsid w:val="38865F6E"/>
    <w:rsid w:val="388B3D55"/>
    <w:rsid w:val="38970C19"/>
    <w:rsid w:val="38E250CA"/>
    <w:rsid w:val="38FD6768"/>
    <w:rsid w:val="394E7351"/>
    <w:rsid w:val="395105A2"/>
    <w:rsid w:val="39794115"/>
    <w:rsid w:val="399307E1"/>
    <w:rsid w:val="39C82DD9"/>
    <w:rsid w:val="39D8513B"/>
    <w:rsid w:val="39EB26A4"/>
    <w:rsid w:val="3A120C1D"/>
    <w:rsid w:val="3A1E073A"/>
    <w:rsid w:val="3A4D3B1E"/>
    <w:rsid w:val="3A664C10"/>
    <w:rsid w:val="3A965CFC"/>
    <w:rsid w:val="3AD3639A"/>
    <w:rsid w:val="3B051543"/>
    <w:rsid w:val="3B1C64B2"/>
    <w:rsid w:val="3B2A3362"/>
    <w:rsid w:val="3B514788"/>
    <w:rsid w:val="3B547DD5"/>
    <w:rsid w:val="3B5F6EA5"/>
    <w:rsid w:val="3B746489"/>
    <w:rsid w:val="3B7937C1"/>
    <w:rsid w:val="3B8701AA"/>
    <w:rsid w:val="3BA80B19"/>
    <w:rsid w:val="3BCF67ED"/>
    <w:rsid w:val="3C0A6FF7"/>
    <w:rsid w:val="3C2A67D5"/>
    <w:rsid w:val="3C4240EC"/>
    <w:rsid w:val="3CA737D7"/>
    <w:rsid w:val="3CD42104"/>
    <w:rsid w:val="3CEB1DA8"/>
    <w:rsid w:val="3D1255B0"/>
    <w:rsid w:val="3D222457"/>
    <w:rsid w:val="3D6313C6"/>
    <w:rsid w:val="3D711B40"/>
    <w:rsid w:val="3D801B10"/>
    <w:rsid w:val="3DE10046"/>
    <w:rsid w:val="3DFE0BF8"/>
    <w:rsid w:val="3E32264F"/>
    <w:rsid w:val="3E397E76"/>
    <w:rsid w:val="3E594D47"/>
    <w:rsid w:val="3E5B405C"/>
    <w:rsid w:val="3E800AA6"/>
    <w:rsid w:val="3E907BE3"/>
    <w:rsid w:val="3F0F6641"/>
    <w:rsid w:val="3F3A1FEB"/>
    <w:rsid w:val="3F411969"/>
    <w:rsid w:val="3F620D12"/>
    <w:rsid w:val="3F653727"/>
    <w:rsid w:val="3FB837B0"/>
    <w:rsid w:val="40117D74"/>
    <w:rsid w:val="40520154"/>
    <w:rsid w:val="40624D42"/>
    <w:rsid w:val="406F4F58"/>
    <w:rsid w:val="407A541B"/>
    <w:rsid w:val="407F5A7C"/>
    <w:rsid w:val="408E3D89"/>
    <w:rsid w:val="40977C03"/>
    <w:rsid w:val="40A67243"/>
    <w:rsid w:val="40C07BCB"/>
    <w:rsid w:val="40C477AB"/>
    <w:rsid w:val="40CD2B03"/>
    <w:rsid w:val="40D36339"/>
    <w:rsid w:val="40D36C24"/>
    <w:rsid w:val="40D82819"/>
    <w:rsid w:val="40E02836"/>
    <w:rsid w:val="40F956A6"/>
    <w:rsid w:val="41236C02"/>
    <w:rsid w:val="41524275"/>
    <w:rsid w:val="41561C25"/>
    <w:rsid w:val="416B225B"/>
    <w:rsid w:val="417411D9"/>
    <w:rsid w:val="41A156F1"/>
    <w:rsid w:val="41DB55E6"/>
    <w:rsid w:val="41EA1096"/>
    <w:rsid w:val="41ED50AC"/>
    <w:rsid w:val="41FB0363"/>
    <w:rsid w:val="42224ABA"/>
    <w:rsid w:val="42253D73"/>
    <w:rsid w:val="422C7D41"/>
    <w:rsid w:val="42DC4764"/>
    <w:rsid w:val="42E51598"/>
    <w:rsid w:val="43010A9A"/>
    <w:rsid w:val="43140575"/>
    <w:rsid w:val="43206AD1"/>
    <w:rsid w:val="433A199D"/>
    <w:rsid w:val="433A31B9"/>
    <w:rsid w:val="433D1C73"/>
    <w:rsid w:val="43476B9D"/>
    <w:rsid w:val="435D6732"/>
    <w:rsid w:val="43660C58"/>
    <w:rsid w:val="43AB0A4F"/>
    <w:rsid w:val="43E10029"/>
    <w:rsid w:val="43E34F4A"/>
    <w:rsid w:val="442962A2"/>
    <w:rsid w:val="445D7CFA"/>
    <w:rsid w:val="446B419A"/>
    <w:rsid w:val="449F5EAC"/>
    <w:rsid w:val="44AC48CA"/>
    <w:rsid w:val="44E4602A"/>
    <w:rsid w:val="44E558FF"/>
    <w:rsid w:val="44FE1897"/>
    <w:rsid w:val="45086A83"/>
    <w:rsid w:val="450B1AF4"/>
    <w:rsid w:val="45B778DE"/>
    <w:rsid w:val="45B80788"/>
    <w:rsid w:val="45BE6EBE"/>
    <w:rsid w:val="46235014"/>
    <w:rsid w:val="462E7BA0"/>
    <w:rsid w:val="463D7DE3"/>
    <w:rsid w:val="466622E2"/>
    <w:rsid w:val="46704557"/>
    <w:rsid w:val="46B5206F"/>
    <w:rsid w:val="46DB30D4"/>
    <w:rsid w:val="46EE37D3"/>
    <w:rsid w:val="46FD6CEB"/>
    <w:rsid w:val="47024B89"/>
    <w:rsid w:val="470D3404"/>
    <w:rsid w:val="47120827"/>
    <w:rsid w:val="471B73BB"/>
    <w:rsid w:val="471F4D18"/>
    <w:rsid w:val="47473562"/>
    <w:rsid w:val="474927B8"/>
    <w:rsid w:val="47731209"/>
    <w:rsid w:val="47B73BC5"/>
    <w:rsid w:val="47D93032"/>
    <w:rsid w:val="47E9061B"/>
    <w:rsid w:val="4832149E"/>
    <w:rsid w:val="484245C7"/>
    <w:rsid w:val="48447FD7"/>
    <w:rsid w:val="488D7CFE"/>
    <w:rsid w:val="48C40C98"/>
    <w:rsid w:val="48C56FFE"/>
    <w:rsid w:val="48ED0C4F"/>
    <w:rsid w:val="4900334A"/>
    <w:rsid w:val="49323FD7"/>
    <w:rsid w:val="493F3132"/>
    <w:rsid w:val="49747FC0"/>
    <w:rsid w:val="49917034"/>
    <w:rsid w:val="49AC7F85"/>
    <w:rsid w:val="49B733E4"/>
    <w:rsid w:val="49C30532"/>
    <w:rsid w:val="49D06B92"/>
    <w:rsid w:val="49D17D6F"/>
    <w:rsid w:val="49E52C6C"/>
    <w:rsid w:val="49F46678"/>
    <w:rsid w:val="4A11580F"/>
    <w:rsid w:val="4A371147"/>
    <w:rsid w:val="4A931818"/>
    <w:rsid w:val="4AB16081"/>
    <w:rsid w:val="4ADD7DE7"/>
    <w:rsid w:val="4AF30DD3"/>
    <w:rsid w:val="4AF9419C"/>
    <w:rsid w:val="4B132170"/>
    <w:rsid w:val="4B2449EC"/>
    <w:rsid w:val="4B3D426F"/>
    <w:rsid w:val="4B533803"/>
    <w:rsid w:val="4B553E21"/>
    <w:rsid w:val="4B813E1D"/>
    <w:rsid w:val="4BA53EF1"/>
    <w:rsid w:val="4BB529B2"/>
    <w:rsid w:val="4BCF2B77"/>
    <w:rsid w:val="4BD209B3"/>
    <w:rsid w:val="4BF21A7A"/>
    <w:rsid w:val="4C12409B"/>
    <w:rsid w:val="4C213D03"/>
    <w:rsid w:val="4C292770"/>
    <w:rsid w:val="4C315FBB"/>
    <w:rsid w:val="4C4C1CAD"/>
    <w:rsid w:val="4C4C783F"/>
    <w:rsid w:val="4C514CFA"/>
    <w:rsid w:val="4C59524B"/>
    <w:rsid w:val="4C68672E"/>
    <w:rsid w:val="4CC457CA"/>
    <w:rsid w:val="4CE2211D"/>
    <w:rsid w:val="4CF15D4A"/>
    <w:rsid w:val="4CF403FF"/>
    <w:rsid w:val="4D301F69"/>
    <w:rsid w:val="4D5601C7"/>
    <w:rsid w:val="4D6153F6"/>
    <w:rsid w:val="4D783DF7"/>
    <w:rsid w:val="4DAA392F"/>
    <w:rsid w:val="4DCD5EF0"/>
    <w:rsid w:val="4DDA057B"/>
    <w:rsid w:val="4DF85F23"/>
    <w:rsid w:val="4E2953E4"/>
    <w:rsid w:val="4E324FB1"/>
    <w:rsid w:val="4E5E7F75"/>
    <w:rsid w:val="4E7803E9"/>
    <w:rsid w:val="4EAC5711"/>
    <w:rsid w:val="4EE94897"/>
    <w:rsid w:val="4EF70D4B"/>
    <w:rsid w:val="4EFB3672"/>
    <w:rsid w:val="4F1576CB"/>
    <w:rsid w:val="4F5E48FD"/>
    <w:rsid w:val="4FAE1D52"/>
    <w:rsid w:val="4FBA0DCA"/>
    <w:rsid w:val="4FF260E2"/>
    <w:rsid w:val="500A411E"/>
    <w:rsid w:val="50173012"/>
    <w:rsid w:val="50373E78"/>
    <w:rsid w:val="504D4821"/>
    <w:rsid w:val="50AC1958"/>
    <w:rsid w:val="50AF5D81"/>
    <w:rsid w:val="50BB3EB8"/>
    <w:rsid w:val="51273B6A"/>
    <w:rsid w:val="51363DAD"/>
    <w:rsid w:val="51414746"/>
    <w:rsid w:val="518D6B97"/>
    <w:rsid w:val="51B2004B"/>
    <w:rsid w:val="52253F45"/>
    <w:rsid w:val="522E5EFF"/>
    <w:rsid w:val="523739C7"/>
    <w:rsid w:val="52825E86"/>
    <w:rsid w:val="52A25052"/>
    <w:rsid w:val="52A707CD"/>
    <w:rsid w:val="52B0193D"/>
    <w:rsid w:val="52C927B5"/>
    <w:rsid w:val="52F757BE"/>
    <w:rsid w:val="53190690"/>
    <w:rsid w:val="53575FFF"/>
    <w:rsid w:val="535E5F6B"/>
    <w:rsid w:val="537B1F4B"/>
    <w:rsid w:val="537D468A"/>
    <w:rsid w:val="53A70F92"/>
    <w:rsid w:val="53B03F05"/>
    <w:rsid w:val="53BF2783"/>
    <w:rsid w:val="53D11CA6"/>
    <w:rsid w:val="53E2646E"/>
    <w:rsid w:val="542F6351"/>
    <w:rsid w:val="54556AEA"/>
    <w:rsid w:val="545A24A8"/>
    <w:rsid w:val="546B6463"/>
    <w:rsid w:val="546F6918"/>
    <w:rsid w:val="5472041A"/>
    <w:rsid w:val="54E83A9F"/>
    <w:rsid w:val="54F77CF7"/>
    <w:rsid w:val="55131A57"/>
    <w:rsid w:val="553B5E36"/>
    <w:rsid w:val="5547596F"/>
    <w:rsid w:val="55622629"/>
    <w:rsid w:val="559F45C9"/>
    <w:rsid w:val="55A71CA4"/>
    <w:rsid w:val="55F04E72"/>
    <w:rsid w:val="56372F6E"/>
    <w:rsid w:val="56625644"/>
    <w:rsid w:val="568A6EF6"/>
    <w:rsid w:val="5697353F"/>
    <w:rsid w:val="569F39BB"/>
    <w:rsid w:val="56EA0868"/>
    <w:rsid w:val="57296C8A"/>
    <w:rsid w:val="57406F77"/>
    <w:rsid w:val="57467AE9"/>
    <w:rsid w:val="57564C7B"/>
    <w:rsid w:val="577D71D5"/>
    <w:rsid w:val="57800F01"/>
    <w:rsid w:val="57852178"/>
    <w:rsid w:val="578E4204"/>
    <w:rsid w:val="57A94ECD"/>
    <w:rsid w:val="585F764D"/>
    <w:rsid w:val="58B65B9B"/>
    <w:rsid w:val="58B9727E"/>
    <w:rsid w:val="58ED38EB"/>
    <w:rsid w:val="58F61CCC"/>
    <w:rsid w:val="58FA4291"/>
    <w:rsid w:val="59087B9A"/>
    <w:rsid w:val="59253085"/>
    <w:rsid w:val="59637709"/>
    <w:rsid w:val="596C3BD8"/>
    <w:rsid w:val="59A659EE"/>
    <w:rsid w:val="5A3115B5"/>
    <w:rsid w:val="5A3A2DDD"/>
    <w:rsid w:val="5A737E20"/>
    <w:rsid w:val="5A82078C"/>
    <w:rsid w:val="5A8F0385"/>
    <w:rsid w:val="5AA224B3"/>
    <w:rsid w:val="5AC82171"/>
    <w:rsid w:val="5ACA4A36"/>
    <w:rsid w:val="5AEC4941"/>
    <w:rsid w:val="5B014761"/>
    <w:rsid w:val="5B046CCA"/>
    <w:rsid w:val="5B340B71"/>
    <w:rsid w:val="5B6B6A35"/>
    <w:rsid w:val="5B747FA2"/>
    <w:rsid w:val="5B9825E8"/>
    <w:rsid w:val="5BB13D97"/>
    <w:rsid w:val="5BC367AE"/>
    <w:rsid w:val="5BDA2667"/>
    <w:rsid w:val="5BEA15F7"/>
    <w:rsid w:val="5BF918A2"/>
    <w:rsid w:val="5C1775E7"/>
    <w:rsid w:val="5C622ED3"/>
    <w:rsid w:val="5C6739B4"/>
    <w:rsid w:val="5C71213D"/>
    <w:rsid w:val="5C977CD5"/>
    <w:rsid w:val="5CC1443C"/>
    <w:rsid w:val="5CD05F7C"/>
    <w:rsid w:val="5CDF25FD"/>
    <w:rsid w:val="5CE0276D"/>
    <w:rsid w:val="5D011801"/>
    <w:rsid w:val="5D0603AF"/>
    <w:rsid w:val="5D0C1E6E"/>
    <w:rsid w:val="5D5C27B2"/>
    <w:rsid w:val="5D7E7207"/>
    <w:rsid w:val="5D81328C"/>
    <w:rsid w:val="5D8A5BAC"/>
    <w:rsid w:val="5DBE7604"/>
    <w:rsid w:val="5DF64BBB"/>
    <w:rsid w:val="5E03201B"/>
    <w:rsid w:val="5E086AD1"/>
    <w:rsid w:val="5E2A6A47"/>
    <w:rsid w:val="5E8F0FA0"/>
    <w:rsid w:val="5E960298"/>
    <w:rsid w:val="5EEB2D9E"/>
    <w:rsid w:val="5EF26008"/>
    <w:rsid w:val="5F011E9E"/>
    <w:rsid w:val="5F086742"/>
    <w:rsid w:val="5F3D1CF1"/>
    <w:rsid w:val="5F6366B5"/>
    <w:rsid w:val="5F7912CB"/>
    <w:rsid w:val="5F7A30E0"/>
    <w:rsid w:val="5F9E662B"/>
    <w:rsid w:val="5FA40A7B"/>
    <w:rsid w:val="5FCF3808"/>
    <w:rsid w:val="5FE1759B"/>
    <w:rsid w:val="5FF7D708"/>
    <w:rsid w:val="60317303"/>
    <w:rsid w:val="6035775C"/>
    <w:rsid w:val="603C575F"/>
    <w:rsid w:val="607D37A6"/>
    <w:rsid w:val="60852FE3"/>
    <w:rsid w:val="60AF6C19"/>
    <w:rsid w:val="60BE3C27"/>
    <w:rsid w:val="60D945A9"/>
    <w:rsid w:val="61042BF8"/>
    <w:rsid w:val="61081F46"/>
    <w:rsid w:val="610B7004"/>
    <w:rsid w:val="61480D21"/>
    <w:rsid w:val="615B2E7E"/>
    <w:rsid w:val="61721872"/>
    <w:rsid w:val="61786E1D"/>
    <w:rsid w:val="61806B66"/>
    <w:rsid w:val="61A94AF6"/>
    <w:rsid w:val="61F21F72"/>
    <w:rsid w:val="62093465"/>
    <w:rsid w:val="62142FEB"/>
    <w:rsid w:val="62315204"/>
    <w:rsid w:val="625203F3"/>
    <w:rsid w:val="625658CD"/>
    <w:rsid w:val="62730229"/>
    <w:rsid w:val="62765685"/>
    <w:rsid w:val="627D7494"/>
    <w:rsid w:val="628E5ED5"/>
    <w:rsid w:val="62B8336A"/>
    <w:rsid w:val="62DB0C58"/>
    <w:rsid w:val="63057A83"/>
    <w:rsid w:val="63351F05"/>
    <w:rsid w:val="634611EE"/>
    <w:rsid w:val="635C2D61"/>
    <w:rsid w:val="63626220"/>
    <w:rsid w:val="637C5F97"/>
    <w:rsid w:val="638B7D32"/>
    <w:rsid w:val="638C7755"/>
    <w:rsid w:val="639C3F43"/>
    <w:rsid w:val="63CB2BF0"/>
    <w:rsid w:val="63E94CAF"/>
    <w:rsid w:val="63F7561D"/>
    <w:rsid w:val="63FC4B56"/>
    <w:rsid w:val="640D7932"/>
    <w:rsid w:val="642235E3"/>
    <w:rsid w:val="642B3713"/>
    <w:rsid w:val="64337579"/>
    <w:rsid w:val="643A375C"/>
    <w:rsid w:val="64441196"/>
    <w:rsid w:val="64A83BAD"/>
    <w:rsid w:val="64AC3EB3"/>
    <w:rsid w:val="64B646C3"/>
    <w:rsid w:val="650268E5"/>
    <w:rsid w:val="65072020"/>
    <w:rsid w:val="65091B75"/>
    <w:rsid w:val="65254A6D"/>
    <w:rsid w:val="65378BD8"/>
    <w:rsid w:val="65BC6440"/>
    <w:rsid w:val="65C36E7F"/>
    <w:rsid w:val="65D11B88"/>
    <w:rsid w:val="65D21A26"/>
    <w:rsid w:val="65EA78D2"/>
    <w:rsid w:val="660F5F18"/>
    <w:rsid w:val="6622615E"/>
    <w:rsid w:val="663B7430"/>
    <w:rsid w:val="66A172F9"/>
    <w:rsid w:val="66CE73AC"/>
    <w:rsid w:val="66D25B39"/>
    <w:rsid w:val="66EA3218"/>
    <w:rsid w:val="672A0BC3"/>
    <w:rsid w:val="67604452"/>
    <w:rsid w:val="67B51A77"/>
    <w:rsid w:val="67EE6D37"/>
    <w:rsid w:val="682448B7"/>
    <w:rsid w:val="687775B2"/>
    <w:rsid w:val="68B41F83"/>
    <w:rsid w:val="68D72FB6"/>
    <w:rsid w:val="68E93949"/>
    <w:rsid w:val="68F0088D"/>
    <w:rsid w:val="69251E09"/>
    <w:rsid w:val="6940715E"/>
    <w:rsid w:val="69576081"/>
    <w:rsid w:val="69F40BE1"/>
    <w:rsid w:val="6A1B14A7"/>
    <w:rsid w:val="6A200354"/>
    <w:rsid w:val="6A917F09"/>
    <w:rsid w:val="6A9B2674"/>
    <w:rsid w:val="6AA302AD"/>
    <w:rsid w:val="6AB778B5"/>
    <w:rsid w:val="6ACF1B6A"/>
    <w:rsid w:val="6AE13192"/>
    <w:rsid w:val="6AE5012B"/>
    <w:rsid w:val="6B06168D"/>
    <w:rsid w:val="6B1271E1"/>
    <w:rsid w:val="6B222DD6"/>
    <w:rsid w:val="6B241A17"/>
    <w:rsid w:val="6B432AA4"/>
    <w:rsid w:val="6B5642EE"/>
    <w:rsid w:val="6B7636D8"/>
    <w:rsid w:val="6B891A21"/>
    <w:rsid w:val="6BD66460"/>
    <w:rsid w:val="6BF948B8"/>
    <w:rsid w:val="6C503249"/>
    <w:rsid w:val="6C5E7628"/>
    <w:rsid w:val="6C757EF1"/>
    <w:rsid w:val="6C7E0D8E"/>
    <w:rsid w:val="6CCB7647"/>
    <w:rsid w:val="6CD603D3"/>
    <w:rsid w:val="6CF04454"/>
    <w:rsid w:val="6D0010E2"/>
    <w:rsid w:val="6D0520F7"/>
    <w:rsid w:val="6D064B23"/>
    <w:rsid w:val="6D0C0E01"/>
    <w:rsid w:val="6D3F3B91"/>
    <w:rsid w:val="6D512242"/>
    <w:rsid w:val="6D5855C1"/>
    <w:rsid w:val="6D5A61BC"/>
    <w:rsid w:val="6DB561E6"/>
    <w:rsid w:val="6DE50270"/>
    <w:rsid w:val="6E072901"/>
    <w:rsid w:val="6E1148C4"/>
    <w:rsid w:val="6E274D51"/>
    <w:rsid w:val="6E315382"/>
    <w:rsid w:val="6E634A12"/>
    <w:rsid w:val="6E667866"/>
    <w:rsid w:val="6E914282"/>
    <w:rsid w:val="6E9C0F6F"/>
    <w:rsid w:val="6EFE3D04"/>
    <w:rsid w:val="6F0B0EB6"/>
    <w:rsid w:val="6F0E4EC3"/>
    <w:rsid w:val="6F1D039F"/>
    <w:rsid w:val="6F4274B2"/>
    <w:rsid w:val="6F4A519B"/>
    <w:rsid w:val="6FC860C0"/>
    <w:rsid w:val="6FFF2F60"/>
    <w:rsid w:val="70104A39"/>
    <w:rsid w:val="70202FB4"/>
    <w:rsid w:val="70557737"/>
    <w:rsid w:val="705D4C56"/>
    <w:rsid w:val="70751679"/>
    <w:rsid w:val="70F01D72"/>
    <w:rsid w:val="711904E4"/>
    <w:rsid w:val="712215CC"/>
    <w:rsid w:val="7128128D"/>
    <w:rsid w:val="71397275"/>
    <w:rsid w:val="7146565B"/>
    <w:rsid w:val="71473A67"/>
    <w:rsid w:val="71671D9D"/>
    <w:rsid w:val="7199730D"/>
    <w:rsid w:val="71AD7318"/>
    <w:rsid w:val="71C37A53"/>
    <w:rsid w:val="71E3050D"/>
    <w:rsid w:val="71F118FE"/>
    <w:rsid w:val="721675B7"/>
    <w:rsid w:val="721C4020"/>
    <w:rsid w:val="72553376"/>
    <w:rsid w:val="725566FC"/>
    <w:rsid w:val="726D70E7"/>
    <w:rsid w:val="726F754F"/>
    <w:rsid w:val="72A63D8F"/>
    <w:rsid w:val="72C5502F"/>
    <w:rsid w:val="72CC0B7B"/>
    <w:rsid w:val="72EE4EBF"/>
    <w:rsid w:val="73406045"/>
    <w:rsid w:val="734D12CF"/>
    <w:rsid w:val="7363098C"/>
    <w:rsid w:val="736A39A2"/>
    <w:rsid w:val="73763D1E"/>
    <w:rsid w:val="73DD4830"/>
    <w:rsid w:val="73E31570"/>
    <w:rsid w:val="73EA0EDA"/>
    <w:rsid w:val="743662F5"/>
    <w:rsid w:val="743F19B9"/>
    <w:rsid w:val="746C1710"/>
    <w:rsid w:val="74783080"/>
    <w:rsid w:val="747D74F0"/>
    <w:rsid w:val="74C31ECB"/>
    <w:rsid w:val="74CB28DA"/>
    <w:rsid w:val="74CD717F"/>
    <w:rsid w:val="74EF0832"/>
    <w:rsid w:val="74F34CB3"/>
    <w:rsid w:val="75215F09"/>
    <w:rsid w:val="754F7B5D"/>
    <w:rsid w:val="755E1BC6"/>
    <w:rsid w:val="756F7C68"/>
    <w:rsid w:val="75905010"/>
    <w:rsid w:val="75942919"/>
    <w:rsid w:val="75B27C6E"/>
    <w:rsid w:val="75B92311"/>
    <w:rsid w:val="75C90D7D"/>
    <w:rsid w:val="75DD5AAF"/>
    <w:rsid w:val="761558C9"/>
    <w:rsid w:val="76521EAA"/>
    <w:rsid w:val="76673540"/>
    <w:rsid w:val="768F16E6"/>
    <w:rsid w:val="76CC708D"/>
    <w:rsid w:val="76D63021"/>
    <w:rsid w:val="76DC005F"/>
    <w:rsid w:val="76DE441B"/>
    <w:rsid w:val="76FB218F"/>
    <w:rsid w:val="7709196E"/>
    <w:rsid w:val="77291B3A"/>
    <w:rsid w:val="776624E3"/>
    <w:rsid w:val="777D3C34"/>
    <w:rsid w:val="778E5E41"/>
    <w:rsid w:val="779D47ED"/>
    <w:rsid w:val="77A46024"/>
    <w:rsid w:val="77AA57AB"/>
    <w:rsid w:val="77D77194"/>
    <w:rsid w:val="77D8360D"/>
    <w:rsid w:val="78003B51"/>
    <w:rsid w:val="781D0D71"/>
    <w:rsid w:val="789631FF"/>
    <w:rsid w:val="78A54023"/>
    <w:rsid w:val="78AE6916"/>
    <w:rsid w:val="78C145E9"/>
    <w:rsid w:val="78CC4E73"/>
    <w:rsid w:val="79221D63"/>
    <w:rsid w:val="79782905"/>
    <w:rsid w:val="79D00993"/>
    <w:rsid w:val="79E104AA"/>
    <w:rsid w:val="79E81839"/>
    <w:rsid w:val="7A056C5C"/>
    <w:rsid w:val="7A4342FF"/>
    <w:rsid w:val="7A797175"/>
    <w:rsid w:val="7A7C6425"/>
    <w:rsid w:val="7A8E216A"/>
    <w:rsid w:val="7AAA36FF"/>
    <w:rsid w:val="7AFA4DC2"/>
    <w:rsid w:val="7AFF35DB"/>
    <w:rsid w:val="7B00281D"/>
    <w:rsid w:val="7B034D60"/>
    <w:rsid w:val="7B04743F"/>
    <w:rsid w:val="7B594B51"/>
    <w:rsid w:val="7B7E4076"/>
    <w:rsid w:val="7B982755"/>
    <w:rsid w:val="7BA06CCE"/>
    <w:rsid w:val="7BB14A8F"/>
    <w:rsid w:val="7BB73BB8"/>
    <w:rsid w:val="7BE11BBF"/>
    <w:rsid w:val="7C181810"/>
    <w:rsid w:val="7C1F03DB"/>
    <w:rsid w:val="7C314E4E"/>
    <w:rsid w:val="7C321491"/>
    <w:rsid w:val="7C347785"/>
    <w:rsid w:val="7C5B5D0B"/>
    <w:rsid w:val="7C907F65"/>
    <w:rsid w:val="7C9C4E59"/>
    <w:rsid w:val="7CA428F9"/>
    <w:rsid w:val="7CE64029"/>
    <w:rsid w:val="7CF722B1"/>
    <w:rsid w:val="7D16490F"/>
    <w:rsid w:val="7D361F0F"/>
    <w:rsid w:val="7D685BC6"/>
    <w:rsid w:val="7D8335F7"/>
    <w:rsid w:val="7D8C2F70"/>
    <w:rsid w:val="7D987831"/>
    <w:rsid w:val="7DA45501"/>
    <w:rsid w:val="7DB609FF"/>
    <w:rsid w:val="7DBD4C18"/>
    <w:rsid w:val="7DBF3E97"/>
    <w:rsid w:val="7DC45B78"/>
    <w:rsid w:val="7E2F1D63"/>
    <w:rsid w:val="7E3119A9"/>
    <w:rsid w:val="7E59665A"/>
    <w:rsid w:val="7E6D10D6"/>
    <w:rsid w:val="7E722949"/>
    <w:rsid w:val="7E831383"/>
    <w:rsid w:val="7EC3792C"/>
    <w:rsid w:val="7ED2187F"/>
    <w:rsid w:val="7EEB17D0"/>
    <w:rsid w:val="7EFE05D4"/>
    <w:rsid w:val="7F0A04A3"/>
    <w:rsid w:val="7F472BBC"/>
    <w:rsid w:val="7F4A4D43"/>
    <w:rsid w:val="7F4E3729"/>
    <w:rsid w:val="7F4F4482"/>
    <w:rsid w:val="7F796D86"/>
    <w:rsid w:val="7F89586C"/>
    <w:rsid w:val="7FA2248A"/>
    <w:rsid w:val="7FFBF5B5"/>
    <w:rsid w:val="8ED750F3"/>
    <w:rsid w:val="8FE3B95D"/>
    <w:rsid w:val="BEB774AB"/>
    <w:rsid w:val="D3FFBC44"/>
    <w:rsid w:val="EBDF4A5C"/>
    <w:rsid w:val="F753382A"/>
    <w:rsid w:val="FEF708B5"/>
    <w:rsid w:val="FFDF1F68"/>
    <w:rsid w:val="FFFF0C7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63"/>
    <w:qFormat/>
    <w:uiPriority w:val="0"/>
    <w:pPr>
      <w:keepNext/>
      <w:keepLines/>
      <w:numPr>
        <w:ilvl w:val="4"/>
        <w:numId w:val="1"/>
      </w:numPr>
      <w:spacing w:before="280" w:after="290" w:line="376" w:lineRule="auto"/>
      <w:outlineLvl w:val="4"/>
    </w:pPr>
    <w:rPr>
      <w:b/>
      <w:sz w:val="28"/>
    </w:rPr>
  </w:style>
  <w:style w:type="paragraph" w:styleId="7">
    <w:name w:val="heading 6"/>
    <w:basedOn w:val="1"/>
    <w:next w:val="8"/>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8"/>
    <w:link w:val="65"/>
    <w:qFormat/>
    <w:uiPriority w:val="0"/>
    <w:pPr>
      <w:keepNext/>
      <w:keepLines/>
      <w:numPr>
        <w:ilvl w:val="6"/>
        <w:numId w:val="1"/>
      </w:numPr>
      <w:spacing w:before="240" w:after="64" w:line="320" w:lineRule="auto"/>
      <w:outlineLvl w:val="6"/>
    </w:pPr>
    <w:rPr>
      <w:b/>
      <w:sz w:val="24"/>
    </w:rPr>
  </w:style>
  <w:style w:type="paragraph" w:styleId="10">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Note Heading"/>
    <w:basedOn w:val="1"/>
    <w:next w:val="1"/>
    <w:qFormat/>
    <w:uiPriority w:val="0"/>
    <w:pPr>
      <w:spacing w:line="360" w:lineRule="auto"/>
      <w:jc w:val="center"/>
    </w:pPr>
    <w:rPr>
      <w:sz w:val="24"/>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8"/>
    <w:unhideWhenUsed/>
    <w:qFormat/>
    <w:uiPriority w:val="0"/>
    <w:pPr>
      <w:shd w:val="clear" w:color="auto" w:fill="000080"/>
    </w:pPr>
    <w:rPr>
      <w:rFonts w:hint="eastAsia" w:ascii="宋体" w:hAnsi="宋体"/>
      <w:kern w:val="0"/>
      <w:sz w:val="20"/>
      <w:szCs w:val="20"/>
    </w:rPr>
  </w:style>
  <w:style w:type="paragraph" w:styleId="18">
    <w:name w:val="annotation text"/>
    <w:basedOn w:val="1"/>
    <w:link w:val="69"/>
    <w:unhideWhenUsed/>
    <w:qFormat/>
    <w:uiPriority w:val="0"/>
    <w:pPr>
      <w:jc w:val="left"/>
    </w:pPr>
  </w:style>
  <w:style w:type="paragraph" w:styleId="19">
    <w:name w:val="Body Text 3"/>
    <w:basedOn w:val="1"/>
    <w:link w:val="70"/>
    <w:qFormat/>
    <w:uiPriority w:val="0"/>
    <w:pPr>
      <w:spacing w:line="500" w:lineRule="exact"/>
    </w:pPr>
    <w:rPr>
      <w:b/>
      <w:bCs/>
      <w:kern w:val="0"/>
      <w:sz w:val="24"/>
    </w:rPr>
  </w:style>
  <w:style w:type="paragraph" w:styleId="20">
    <w:name w:val="Body Text"/>
    <w:basedOn w:val="1"/>
    <w:link w:val="71"/>
    <w:qFormat/>
    <w:uiPriority w:val="99"/>
    <w:pPr>
      <w:spacing w:line="380" w:lineRule="exact"/>
    </w:pPr>
    <w:rPr>
      <w:kern w:val="0"/>
      <w:sz w:val="24"/>
    </w:rPr>
  </w:style>
  <w:style w:type="paragraph" w:styleId="21">
    <w:name w:val="Body Text Indent"/>
    <w:basedOn w:val="1"/>
    <w:next w:val="1"/>
    <w:link w:val="72"/>
    <w:qFormat/>
    <w:uiPriority w:val="0"/>
    <w:pPr>
      <w:ind w:firstLine="830" w:firstLineChars="352"/>
    </w:pPr>
    <w:rPr>
      <w:rFonts w:ascii="仿宋_GB2312" w:eastAsia="仿宋_GB2312"/>
      <w:kern w:val="0"/>
      <w:sz w:val="32"/>
      <w:szCs w:val="20"/>
    </w:rPr>
  </w:style>
  <w:style w:type="paragraph" w:styleId="22">
    <w:name w:val="List Number 3"/>
    <w:basedOn w:val="1"/>
    <w:qFormat/>
    <w:uiPriority w:val="0"/>
    <w:pPr>
      <w:numPr>
        <w:ilvl w:val="0"/>
        <w:numId w:val="2"/>
      </w:numPr>
    </w:pPr>
  </w:style>
  <w:style w:type="paragraph" w:styleId="23">
    <w:name w:val="List 2"/>
    <w:basedOn w:val="1"/>
    <w:qFormat/>
    <w:uiPriority w:val="0"/>
    <w:pPr>
      <w:ind w:left="100" w:leftChars="200" w:hanging="200" w:hangingChars="200"/>
    </w:pPr>
    <w:rPr>
      <w:sz w:val="28"/>
    </w:rPr>
  </w:style>
  <w:style w:type="paragraph" w:styleId="24">
    <w:name w:val="toc 5"/>
    <w:basedOn w:val="1"/>
    <w:next w:val="1"/>
    <w:unhideWhenUsed/>
    <w:qFormat/>
    <w:uiPriority w:val="39"/>
    <w:pPr>
      <w:ind w:left="1680" w:leftChars="800"/>
    </w:pPr>
    <w:rPr>
      <w:rFonts w:ascii="Calibri" w:hAnsi="Calibri" w:eastAsia="宋体" w:cs="Times New Roman"/>
      <w:szCs w:val="22"/>
    </w:rPr>
  </w:style>
  <w:style w:type="paragraph" w:styleId="25">
    <w:name w:val="toc 3"/>
    <w:basedOn w:val="1"/>
    <w:next w:val="1"/>
    <w:unhideWhenUsed/>
    <w:qFormat/>
    <w:uiPriority w:val="39"/>
    <w:pPr>
      <w:ind w:left="840" w:leftChars="400"/>
    </w:pPr>
    <w:rPr>
      <w:rFonts w:ascii="Calibri" w:hAnsi="Calibri" w:eastAsia="宋体" w:cs="Times New Roman"/>
      <w:szCs w:val="22"/>
    </w:rPr>
  </w:style>
  <w:style w:type="paragraph" w:styleId="26">
    <w:name w:val="Plain Text"/>
    <w:basedOn w:val="1"/>
    <w:link w:val="73"/>
    <w:qFormat/>
    <w:uiPriority w:val="0"/>
    <w:rPr>
      <w:rFonts w:ascii="宋体" w:hAnsi="Courier New"/>
      <w:kern w:val="0"/>
      <w:sz w:val="20"/>
      <w:szCs w:val="21"/>
    </w:rPr>
  </w:style>
  <w:style w:type="paragraph" w:styleId="27">
    <w:name w:val="toc 8"/>
    <w:basedOn w:val="1"/>
    <w:next w:val="1"/>
    <w:unhideWhenUsed/>
    <w:qFormat/>
    <w:uiPriority w:val="39"/>
    <w:pPr>
      <w:ind w:left="2940" w:leftChars="1400"/>
    </w:pPr>
    <w:rPr>
      <w:rFonts w:ascii="Calibri" w:hAnsi="Calibri" w:eastAsia="宋体" w:cs="Times New Roman"/>
      <w:szCs w:val="22"/>
    </w:rPr>
  </w:style>
  <w:style w:type="paragraph" w:styleId="28">
    <w:name w:val="Date"/>
    <w:basedOn w:val="1"/>
    <w:next w:val="1"/>
    <w:link w:val="74"/>
    <w:qFormat/>
    <w:uiPriority w:val="0"/>
    <w:pPr>
      <w:ind w:left="100" w:leftChars="2500"/>
    </w:pPr>
    <w:rPr>
      <w:rFonts w:ascii="宋体" w:hAnsi="Courier New"/>
      <w:kern w:val="0"/>
      <w:sz w:val="20"/>
      <w:szCs w:val="21"/>
    </w:rPr>
  </w:style>
  <w:style w:type="paragraph" w:styleId="29">
    <w:name w:val="Body Text Indent 2"/>
    <w:basedOn w:val="1"/>
    <w:link w:val="75"/>
    <w:qFormat/>
    <w:uiPriority w:val="0"/>
    <w:pPr>
      <w:ind w:firstLine="630"/>
    </w:pPr>
    <w:rPr>
      <w:kern w:val="0"/>
      <w:sz w:val="32"/>
      <w:szCs w:val="20"/>
    </w:rPr>
  </w:style>
  <w:style w:type="paragraph" w:styleId="30">
    <w:name w:val="endnote text"/>
    <w:basedOn w:val="1"/>
    <w:link w:val="76"/>
    <w:unhideWhenUsed/>
    <w:qFormat/>
    <w:uiPriority w:val="99"/>
    <w:pPr>
      <w:snapToGrid w:val="0"/>
      <w:jc w:val="left"/>
    </w:pPr>
  </w:style>
  <w:style w:type="paragraph" w:styleId="31">
    <w:name w:val="Balloon Text"/>
    <w:basedOn w:val="1"/>
    <w:link w:val="77"/>
    <w:semiHidden/>
    <w:qFormat/>
    <w:uiPriority w:val="0"/>
    <w:rPr>
      <w:kern w:val="0"/>
      <w:sz w:val="18"/>
      <w:szCs w:val="18"/>
    </w:rPr>
  </w:style>
  <w:style w:type="paragraph" w:styleId="32">
    <w:name w:val="footer"/>
    <w:basedOn w:val="1"/>
    <w:link w:val="78"/>
    <w:unhideWhenUsed/>
    <w:qFormat/>
    <w:uiPriority w:val="99"/>
    <w:pPr>
      <w:tabs>
        <w:tab w:val="center" w:pos="4153"/>
        <w:tab w:val="right" w:pos="8306"/>
      </w:tabs>
      <w:snapToGrid w:val="0"/>
      <w:jc w:val="left"/>
    </w:pPr>
    <w:rPr>
      <w:kern w:val="0"/>
      <w:sz w:val="18"/>
      <w:szCs w:val="18"/>
    </w:rPr>
  </w:style>
  <w:style w:type="paragraph" w:styleId="33">
    <w:name w:val="header"/>
    <w:basedOn w:val="1"/>
    <w:link w:val="79"/>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Calibri" w:hAnsi="Calibri" w:eastAsia="宋体" w:cs="Times New Roman"/>
      <w:szCs w:val="22"/>
    </w:rPr>
  </w:style>
  <w:style w:type="paragraph" w:styleId="36">
    <w:name w:val="List"/>
    <w:basedOn w:val="1"/>
    <w:qFormat/>
    <w:uiPriority w:val="0"/>
    <w:pPr>
      <w:ind w:left="200" w:hanging="200" w:hangingChars="200"/>
    </w:pPr>
    <w:rPr>
      <w:sz w:val="28"/>
    </w:rPr>
  </w:style>
  <w:style w:type="paragraph" w:styleId="37">
    <w:name w:val="footnote text"/>
    <w:basedOn w:val="1"/>
    <w:link w:val="80"/>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eastAsia="宋体" w:cs="Times New Roman"/>
      <w:szCs w:val="22"/>
    </w:rPr>
  </w:style>
  <w:style w:type="paragraph" w:styleId="39">
    <w:name w:val="Body Text Indent 3"/>
    <w:basedOn w:val="1"/>
    <w:link w:val="81"/>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eastAsia="宋体" w:cs="Times New Roman"/>
      <w:szCs w:val="22"/>
    </w:rPr>
  </w:style>
  <w:style w:type="paragraph" w:styleId="42">
    <w:name w:val="Body Text 2"/>
    <w:basedOn w:val="1"/>
    <w:link w:val="82"/>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83"/>
    <w:qFormat/>
    <w:uiPriority w:val="10"/>
    <w:pPr>
      <w:spacing w:before="240" w:after="60"/>
      <w:jc w:val="center"/>
      <w:outlineLvl w:val="0"/>
    </w:pPr>
    <w:rPr>
      <w:rFonts w:ascii="Cambria" w:hAnsi="Cambria"/>
      <w:b/>
      <w:bCs/>
      <w:sz w:val="32"/>
      <w:szCs w:val="32"/>
    </w:rPr>
  </w:style>
  <w:style w:type="paragraph" w:styleId="46">
    <w:name w:val="annotation subject"/>
    <w:basedOn w:val="18"/>
    <w:next w:val="18"/>
    <w:link w:val="84"/>
    <w:unhideWhenUsed/>
    <w:qFormat/>
    <w:uiPriority w:val="99"/>
    <w:rPr>
      <w:b/>
      <w:bCs/>
    </w:rPr>
  </w:style>
  <w:style w:type="paragraph" w:styleId="47">
    <w:name w:val="Body Text First Indent"/>
    <w:basedOn w:val="20"/>
    <w:next w:val="48"/>
    <w:qFormat/>
    <w:uiPriority w:val="0"/>
    <w:pPr>
      <w:ind w:firstLine="420" w:firstLineChars="100"/>
    </w:pPr>
    <w:rPr>
      <w:rFonts w:ascii="宋体" w:hAnsi="Courier New"/>
      <w:kern w:val="0"/>
      <w:sz w:val="20"/>
      <w:szCs w:val="21"/>
    </w:rPr>
  </w:style>
  <w:style w:type="paragraph" w:styleId="48">
    <w:name w:val="Body Text First Indent 2"/>
    <w:basedOn w:val="21"/>
    <w:next w:val="20"/>
    <w:qFormat/>
    <w:uiPriority w:val="0"/>
    <w:pPr>
      <w:spacing w:after="120" w:afterLines="0"/>
      <w:ind w:left="420" w:leftChars="200" w:firstLine="420" w:firstLineChars="200"/>
    </w:pPr>
  </w:style>
  <w:style w:type="table" w:styleId="50">
    <w:name w:val="Table Grid"/>
    <w:basedOn w:val="4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22"/>
    <w:rPr>
      <w:b/>
    </w:rPr>
  </w:style>
  <w:style w:type="character" w:styleId="53">
    <w:name w:val="endnote reference"/>
    <w:unhideWhenUsed/>
    <w:qFormat/>
    <w:uiPriority w:val="99"/>
    <w:rPr>
      <w:vertAlign w:val="superscript"/>
    </w:rPr>
  </w:style>
  <w:style w:type="character" w:styleId="54">
    <w:name w:val="page number"/>
    <w:qFormat/>
    <w:uiPriority w:val="0"/>
  </w:style>
  <w:style w:type="character" w:styleId="55">
    <w:name w:val="FollowedHyperlink"/>
    <w:qFormat/>
    <w:uiPriority w:val="0"/>
    <w:rPr>
      <w:color w:val="000000"/>
      <w:u w:val="none"/>
    </w:rPr>
  </w:style>
  <w:style w:type="character" w:styleId="56">
    <w:name w:val="Emphasis"/>
    <w:basedOn w:val="51"/>
    <w:qFormat/>
    <w:uiPriority w:val="20"/>
    <w:rPr>
      <w:i/>
    </w:rPr>
  </w:style>
  <w:style w:type="character" w:styleId="57">
    <w:name w:val="Hyperlink"/>
    <w:qFormat/>
    <w:uiPriority w:val="99"/>
    <w:rPr>
      <w:color w:val="000000"/>
      <w:u w:val="none"/>
    </w:rPr>
  </w:style>
  <w:style w:type="character" w:styleId="58">
    <w:name w:val="annotation reference"/>
    <w:unhideWhenUsed/>
    <w:qFormat/>
    <w:uiPriority w:val="0"/>
    <w:rPr>
      <w:sz w:val="21"/>
      <w:szCs w:val="21"/>
    </w:rPr>
  </w:style>
  <w:style w:type="character" w:styleId="59">
    <w:name w:val="footnote reference"/>
    <w:unhideWhenUsed/>
    <w:qFormat/>
    <w:uiPriority w:val="99"/>
    <w:rPr>
      <w:vertAlign w:val="superscript"/>
    </w:rPr>
  </w:style>
  <w:style w:type="character" w:customStyle="1" w:styleId="60">
    <w:name w:val="标题 1 字符1"/>
    <w:link w:val="2"/>
    <w:qFormat/>
    <w:uiPriority w:val="0"/>
    <w:rPr>
      <w:rFonts w:ascii="Times New Roman" w:hAnsi="Times New Roman" w:eastAsia="宋体" w:cs="Times New Roman"/>
      <w:b/>
      <w:bCs/>
      <w:kern w:val="44"/>
      <w:sz w:val="44"/>
      <w:szCs w:val="44"/>
    </w:rPr>
  </w:style>
  <w:style w:type="character" w:customStyle="1" w:styleId="61">
    <w:name w:val="标题 2 字符"/>
    <w:link w:val="3"/>
    <w:qFormat/>
    <w:uiPriority w:val="0"/>
    <w:rPr>
      <w:rFonts w:ascii="Arial" w:hAnsi="Arial" w:eastAsia="黑体" w:cs="Times New Roman"/>
      <w:b/>
      <w:bCs/>
      <w:sz w:val="32"/>
      <w:szCs w:val="32"/>
    </w:rPr>
  </w:style>
  <w:style w:type="character" w:customStyle="1" w:styleId="62">
    <w:name w:val="标题 3 字符"/>
    <w:link w:val="4"/>
    <w:qFormat/>
    <w:uiPriority w:val="0"/>
    <w:rPr>
      <w:rFonts w:ascii="Times New Roman" w:hAnsi="Times New Roman" w:eastAsia="宋体" w:cs="Times New Roman"/>
      <w:b/>
      <w:bCs/>
      <w:sz w:val="32"/>
      <w:szCs w:val="32"/>
    </w:rPr>
  </w:style>
  <w:style w:type="character" w:customStyle="1" w:styleId="63">
    <w:name w:val="标题 5 字符"/>
    <w:link w:val="6"/>
    <w:qFormat/>
    <w:uiPriority w:val="0"/>
    <w:rPr>
      <w:b/>
      <w:kern w:val="2"/>
      <w:sz w:val="28"/>
      <w:szCs w:val="24"/>
    </w:rPr>
  </w:style>
  <w:style w:type="character" w:customStyle="1" w:styleId="64">
    <w:name w:val="标题 6 字符1"/>
    <w:link w:val="7"/>
    <w:qFormat/>
    <w:uiPriority w:val="0"/>
    <w:rPr>
      <w:rFonts w:ascii="Arial" w:hAnsi="Arial" w:eastAsia="黑体"/>
      <w:b/>
      <w:kern w:val="2"/>
      <w:sz w:val="24"/>
      <w:szCs w:val="24"/>
    </w:rPr>
  </w:style>
  <w:style w:type="character" w:customStyle="1" w:styleId="65">
    <w:name w:val="标题 7 字符"/>
    <w:link w:val="9"/>
    <w:qFormat/>
    <w:uiPriority w:val="0"/>
    <w:rPr>
      <w:rFonts w:ascii="Times New Roman" w:hAnsi="Times New Roman"/>
      <w:b/>
      <w:kern w:val="2"/>
      <w:sz w:val="24"/>
      <w:szCs w:val="24"/>
    </w:rPr>
  </w:style>
  <w:style w:type="character" w:customStyle="1" w:styleId="66">
    <w:name w:val="标题 8 字符"/>
    <w:link w:val="10"/>
    <w:qFormat/>
    <w:uiPriority w:val="0"/>
    <w:rPr>
      <w:rFonts w:ascii="Arial" w:hAnsi="Arial" w:eastAsia="黑体"/>
      <w:kern w:val="2"/>
      <w:sz w:val="24"/>
      <w:szCs w:val="24"/>
    </w:rPr>
  </w:style>
  <w:style w:type="character" w:customStyle="1" w:styleId="67">
    <w:name w:val="标题 9 字符"/>
    <w:link w:val="11"/>
    <w:qFormat/>
    <w:uiPriority w:val="0"/>
    <w:rPr>
      <w:rFonts w:ascii="Arial" w:hAnsi="Arial" w:eastAsia="黑体"/>
      <w:kern w:val="2"/>
      <w:sz w:val="21"/>
      <w:szCs w:val="24"/>
    </w:rPr>
  </w:style>
  <w:style w:type="character" w:customStyle="1" w:styleId="68">
    <w:name w:val="文档结构图 字符"/>
    <w:link w:val="17"/>
    <w:qFormat/>
    <w:uiPriority w:val="0"/>
    <w:rPr>
      <w:rFonts w:hint="eastAsia" w:ascii="宋体" w:hAnsi="宋体" w:eastAsia="宋体" w:cs="宋体"/>
    </w:rPr>
  </w:style>
  <w:style w:type="character" w:customStyle="1" w:styleId="69">
    <w:name w:val="批注文字 字符2"/>
    <w:link w:val="18"/>
    <w:qFormat/>
    <w:uiPriority w:val="0"/>
    <w:rPr>
      <w:rFonts w:ascii="Times New Roman" w:hAnsi="Times New Roman"/>
      <w:kern w:val="2"/>
      <w:sz w:val="21"/>
      <w:szCs w:val="24"/>
    </w:rPr>
  </w:style>
  <w:style w:type="character" w:customStyle="1" w:styleId="70">
    <w:name w:val="正文文本 3 字符"/>
    <w:link w:val="19"/>
    <w:qFormat/>
    <w:uiPriority w:val="0"/>
    <w:rPr>
      <w:rFonts w:ascii="Times New Roman" w:hAnsi="Times New Roman" w:eastAsia="宋体" w:cs="Times New Roman"/>
      <w:b/>
      <w:bCs/>
      <w:sz w:val="24"/>
      <w:szCs w:val="24"/>
    </w:rPr>
  </w:style>
  <w:style w:type="character" w:customStyle="1" w:styleId="71">
    <w:name w:val="正文文本 字符"/>
    <w:link w:val="20"/>
    <w:qFormat/>
    <w:uiPriority w:val="99"/>
    <w:rPr>
      <w:rFonts w:ascii="Times New Roman" w:hAnsi="Times New Roman" w:eastAsia="宋体" w:cs="Times New Roman"/>
      <w:sz w:val="24"/>
      <w:szCs w:val="24"/>
    </w:rPr>
  </w:style>
  <w:style w:type="character" w:customStyle="1" w:styleId="72">
    <w:name w:val="正文文本缩进 字符1"/>
    <w:link w:val="21"/>
    <w:qFormat/>
    <w:uiPriority w:val="0"/>
    <w:rPr>
      <w:rFonts w:ascii="仿宋_GB2312" w:hAnsi="Times New Roman" w:eastAsia="仿宋_GB2312" w:cs="Times New Roman"/>
      <w:sz w:val="32"/>
      <w:szCs w:val="20"/>
    </w:rPr>
  </w:style>
  <w:style w:type="character" w:customStyle="1" w:styleId="73">
    <w:name w:val="纯文本 字符2"/>
    <w:link w:val="26"/>
    <w:qFormat/>
    <w:uiPriority w:val="0"/>
    <w:rPr>
      <w:rFonts w:ascii="宋体" w:hAnsi="Courier New" w:eastAsia="宋体" w:cs="Courier New"/>
      <w:szCs w:val="21"/>
    </w:rPr>
  </w:style>
  <w:style w:type="character" w:customStyle="1" w:styleId="74">
    <w:name w:val="日期 字符"/>
    <w:link w:val="28"/>
    <w:qFormat/>
    <w:uiPriority w:val="0"/>
    <w:rPr>
      <w:rFonts w:ascii="宋体" w:hAnsi="Courier New" w:eastAsia="宋体" w:cs="Courier New"/>
      <w:szCs w:val="21"/>
    </w:rPr>
  </w:style>
  <w:style w:type="character" w:customStyle="1" w:styleId="75">
    <w:name w:val="正文文本缩进 2 字符"/>
    <w:link w:val="29"/>
    <w:qFormat/>
    <w:uiPriority w:val="0"/>
    <w:rPr>
      <w:rFonts w:ascii="Times New Roman" w:hAnsi="Times New Roman" w:eastAsia="宋体" w:cs="Times New Roman"/>
      <w:sz w:val="32"/>
      <w:szCs w:val="20"/>
    </w:rPr>
  </w:style>
  <w:style w:type="character" w:customStyle="1" w:styleId="76">
    <w:name w:val="尾注文本 字符"/>
    <w:link w:val="30"/>
    <w:semiHidden/>
    <w:qFormat/>
    <w:uiPriority w:val="99"/>
    <w:rPr>
      <w:rFonts w:ascii="Times New Roman" w:hAnsi="Times New Roman"/>
      <w:kern w:val="2"/>
      <w:sz w:val="21"/>
      <w:szCs w:val="24"/>
    </w:rPr>
  </w:style>
  <w:style w:type="character" w:customStyle="1" w:styleId="77">
    <w:name w:val="批注框文本 字符"/>
    <w:link w:val="31"/>
    <w:semiHidden/>
    <w:qFormat/>
    <w:uiPriority w:val="0"/>
    <w:rPr>
      <w:rFonts w:ascii="Times New Roman" w:hAnsi="Times New Roman" w:eastAsia="宋体" w:cs="Times New Roman"/>
      <w:sz w:val="18"/>
      <w:szCs w:val="18"/>
    </w:rPr>
  </w:style>
  <w:style w:type="character" w:customStyle="1" w:styleId="78">
    <w:name w:val="页脚 字符1"/>
    <w:link w:val="32"/>
    <w:qFormat/>
    <w:uiPriority w:val="99"/>
    <w:rPr>
      <w:sz w:val="18"/>
      <w:szCs w:val="18"/>
    </w:rPr>
  </w:style>
  <w:style w:type="character" w:customStyle="1" w:styleId="79">
    <w:name w:val="页眉 字符"/>
    <w:link w:val="33"/>
    <w:qFormat/>
    <w:uiPriority w:val="99"/>
    <w:rPr>
      <w:rFonts w:ascii="Times New Roman" w:hAnsi="Times New Roman"/>
      <w:kern w:val="2"/>
      <w:sz w:val="18"/>
      <w:szCs w:val="18"/>
    </w:rPr>
  </w:style>
  <w:style w:type="character" w:customStyle="1" w:styleId="80">
    <w:name w:val="脚注文本 字符"/>
    <w:link w:val="37"/>
    <w:semiHidden/>
    <w:qFormat/>
    <w:uiPriority w:val="99"/>
    <w:rPr>
      <w:rFonts w:ascii="Times New Roman" w:hAnsi="Times New Roman"/>
      <w:kern w:val="2"/>
      <w:sz w:val="18"/>
      <w:szCs w:val="18"/>
    </w:rPr>
  </w:style>
  <w:style w:type="character" w:customStyle="1" w:styleId="81">
    <w:name w:val="正文文本缩进 3 字符"/>
    <w:link w:val="39"/>
    <w:qFormat/>
    <w:uiPriority w:val="0"/>
    <w:rPr>
      <w:rFonts w:ascii="Times New Roman" w:hAnsi="Times New Roman" w:eastAsia="宋体" w:cs="Times New Roman"/>
      <w:sz w:val="16"/>
      <w:szCs w:val="16"/>
    </w:rPr>
  </w:style>
  <w:style w:type="character" w:customStyle="1" w:styleId="82">
    <w:name w:val="正文文本 2 字符"/>
    <w:link w:val="42"/>
    <w:qFormat/>
    <w:uiPriority w:val="0"/>
    <w:rPr>
      <w:rFonts w:ascii="Times New Roman" w:hAnsi="Times New Roman" w:eastAsia="宋体" w:cs="Times New Roman"/>
      <w:szCs w:val="24"/>
    </w:rPr>
  </w:style>
  <w:style w:type="character" w:customStyle="1" w:styleId="83">
    <w:name w:val="标题 字符"/>
    <w:link w:val="45"/>
    <w:qFormat/>
    <w:uiPriority w:val="10"/>
    <w:rPr>
      <w:rFonts w:ascii="Cambria" w:hAnsi="Cambria" w:cs="Times New Roman"/>
      <w:b/>
      <w:bCs/>
      <w:kern w:val="2"/>
      <w:sz w:val="32"/>
      <w:szCs w:val="32"/>
    </w:rPr>
  </w:style>
  <w:style w:type="character" w:customStyle="1" w:styleId="84">
    <w:name w:val="批注主题 字符"/>
    <w:link w:val="46"/>
    <w:semiHidden/>
    <w:qFormat/>
    <w:uiPriority w:val="99"/>
    <w:rPr>
      <w:rFonts w:ascii="Times New Roman" w:hAnsi="Times New Roman"/>
      <w:b/>
      <w:bCs/>
      <w:kern w:val="2"/>
      <w:sz w:val="21"/>
      <w:szCs w:val="24"/>
    </w:rPr>
  </w:style>
  <w:style w:type="paragraph" w:customStyle="1" w:styleId="85">
    <w:name w:val="表格文字"/>
    <w:basedOn w:val="1"/>
    <w:qFormat/>
    <w:uiPriority w:val="99"/>
    <w:pPr>
      <w:spacing w:before="25" w:after="25"/>
      <w:jc w:val="left"/>
    </w:pPr>
    <w:rPr>
      <w:bCs/>
      <w:spacing w:val="10"/>
      <w:kern w:val="0"/>
      <w:sz w:val="24"/>
      <w:szCs w:val="22"/>
    </w:rPr>
  </w:style>
  <w:style w:type="paragraph" w:customStyle="1" w:styleId="8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87">
    <w:name w:val="批注文字 Char1"/>
    <w:qFormat/>
    <w:locked/>
    <w:uiPriority w:val="0"/>
    <w:rPr>
      <w:rFonts w:ascii="Times New Roman" w:hAnsi="Times New Roman"/>
      <w:kern w:val="2"/>
      <w:sz w:val="21"/>
      <w:szCs w:val="24"/>
    </w:rPr>
  </w:style>
  <w:style w:type="character" w:customStyle="1" w:styleId="88">
    <w:name w:val="case31"/>
    <w:qFormat/>
    <w:uiPriority w:val="0"/>
    <w:rPr>
      <w:rFonts w:hint="default" w:ascii="_x000B__x000C_" w:hAnsi="_x000B__x000C_"/>
      <w:sz w:val="21"/>
      <w:szCs w:val="21"/>
    </w:rPr>
  </w:style>
  <w:style w:type="character" w:customStyle="1" w:styleId="89">
    <w:name w:val="批注文字 Char"/>
    <w:qFormat/>
    <w:uiPriority w:val="0"/>
    <w:rPr>
      <w:rFonts w:ascii="Times New Roman" w:hAnsi="Times New Roman"/>
      <w:kern w:val="2"/>
      <w:sz w:val="21"/>
      <w:szCs w:val="24"/>
    </w:rPr>
  </w:style>
  <w:style w:type="character" w:customStyle="1" w:styleId="90">
    <w:name w:val="纯文本 Char"/>
    <w:qFormat/>
    <w:uiPriority w:val="0"/>
    <w:rPr>
      <w:rFonts w:ascii="宋体" w:hAnsi="Courier New" w:eastAsia="宋体"/>
      <w:kern w:val="2"/>
      <w:sz w:val="21"/>
      <w:lang w:val="en-US" w:eastAsia="zh-CN" w:bidi="ar-SA"/>
    </w:rPr>
  </w:style>
  <w:style w:type="character" w:customStyle="1" w:styleId="91">
    <w:name w:val="纯文本 字符1"/>
    <w:qFormat/>
    <w:uiPriority w:val="0"/>
    <w:rPr>
      <w:rFonts w:ascii="宋体" w:hAnsi="Courier New"/>
    </w:rPr>
  </w:style>
  <w:style w:type="character" w:customStyle="1" w:styleId="92">
    <w:name w:val="批注文字 字符1"/>
    <w:qFormat/>
    <w:uiPriority w:val="0"/>
    <w:rPr>
      <w:rFonts w:ascii="Times New Roman" w:hAnsi="Times New Roman"/>
      <w:kern w:val="2"/>
      <w:sz w:val="21"/>
      <w:szCs w:val="24"/>
    </w:rPr>
  </w:style>
  <w:style w:type="character" w:customStyle="1" w:styleId="93">
    <w:name w:val="正文文本 Char1"/>
    <w:semiHidden/>
    <w:qFormat/>
    <w:locked/>
    <w:uiPriority w:val="99"/>
    <w:rPr>
      <w:sz w:val="24"/>
      <w:szCs w:val="24"/>
    </w:rPr>
  </w:style>
  <w:style w:type="character" w:customStyle="1" w:styleId="94">
    <w:name w:val="apple-style-span"/>
    <w:qFormat/>
    <w:uiPriority w:val="0"/>
  </w:style>
  <w:style w:type="character" w:customStyle="1" w:styleId="95">
    <w:name w:val="textcontents"/>
    <w:qFormat/>
    <w:uiPriority w:val="0"/>
  </w:style>
  <w:style w:type="character" w:customStyle="1" w:styleId="96">
    <w:name w:val="普通文字 Char Char2"/>
    <w:qFormat/>
    <w:uiPriority w:val="0"/>
    <w:rPr>
      <w:rFonts w:ascii="宋体" w:hAnsi="Courier New" w:eastAsia="宋体"/>
      <w:kern w:val="2"/>
      <w:sz w:val="21"/>
      <w:lang w:val="en-US" w:eastAsia="zh-CN" w:bidi="ar-SA"/>
    </w:rPr>
  </w:style>
  <w:style w:type="character" w:customStyle="1" w:styleId="97">
    <w:name w:val="标题 5 Char"/>
    <w:qFormat/>
    <w:uiPriority w:val="9"/>
    <w:rPr>
      <w:b/>
      <w:kern w:val="2"/>
      <w:sz w:val="28"/>
      <w:szCs w:val="24"/>
    </w:rPr>
  </w:style>
  <w:style w:type="character" w:customStyle="1" w:styleId="98">
    <w:name w:val="批注文字 字符"/>
    <w:qFormat/>
    <w:uiPriority w:val="0"/>
    <w:rPr>
      <w:rFonts w:ascii="Times New Roman" w:hAnsi="Times New Roman"/>
      <w:kern w:val="2"/>
      <w:sz w:val="21"/>
      <w:szCs w:val="24"/>
    </w:rPr>
  </w:style>
  <w:style w:type="character" w:customStyle="1" w:styleId="99">
    <w:name w:val="标题 1 字符"/>
    <w:qFormat/>
    <w:uiPriority w:val="9"/>
    <w:rPr>
      <w:rFonts w:ascii="Times New Roman" w:hAnsi="Times New Roman" w:eastAsia="宋体" w:cs="Times New Roman"/>
      <w:b/>
      <w:bCs/>
      <w:kern w:val="44"/>
      <w:sz w:val="44"/>
      <w:szCs w:val="44"/>
    </w:rPr>
  </w:style>
  <w:style w:type="character" w:customStyle="1" w:styleId="100">
    <w:name w:val="纯文本 字符"/>
    <w:qFormat/>
    <w:uiPriority w:val="0"/>
    <w:rPr>
      <w:rFonts w:ascii="宋体" w:hAnsi="Courier New" w:eastAsia="宋体" w:cs="Courier New"/>
      <w:szCs w:val="21"/>
    </w:rPr>
  </w:style>
  <w:style w:type="character" w:customStyle="1" w:styleId="101">
    <w:name w:val="headline-content4"/>
    <w:qFormat/>
    <w:uiPriority w:val="0"/>
  </w:style>
  <w:style w:type="character" w:customStyle="1" w:styleId="10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3">
    <w:name w:val="正文文本缩进 字符"/>
    <w:qFormat/>
    <w:uiPriority w:val="0"/>
    <w:rPr>
      <w:rFonts w:ascii="仿宋_GB2312" w:hAnsi="Times New Roman" w:eastAsia="仿宋_GB2312" w:cs="Times New Roman"/>
      <w:sz w:val="32"/>
      <w:szCs w:val="20"/>
    </w:rPr>
  </w:style>
  <w:style w:type="paragraph" w:customStyle="1" w:styleId="104">
    <w:name w:val="Char1"/>
    <w:basedOn w:val="1"/>
    <w:qFormat/>
    <w:uiPriority w:val="0"/>
    <w:rPr>
      <w:szCs w:val="21"/>
    </w:rPr>
  </w:style>
  <w:style w:type="paragraph" w:styleId="105">
    <w:name w:val="List Paragraph"/>
    <w:basedOn w:val="1"/>
    <w:qFormat/>
    <w:uiPriority w:val="34"/>
    <w:pPr>
      <w:ind w:firstLine="420" w:firstLineChars="200"/>
    </w:pPr>
  </w:style>
  <w:style w:type="paragraph" w:customStyle="1" w:styleId="10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7">
    <w:name w:val="默认段落字体 Para Char Char Char Char Char Char Char Char Char1 Char Char Char Char"/>
    <w:basedOn w:val="1"/>
    <w:qFormat/>
    <w:uiPriority w:val="0"/>
    <w:rPr>
      <w:rFonts w:ascii="Tahoma" w:hAnsi="Tahoma"/>
      <w:sz w:val="24"/>
      <w:szCs w:val="20"/>
    </w:rPr>
  </w:style>
  <w:style w:type="paragraph" w:customStyle="1" w:styleId="108">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9">
    <w:name w:val="Plain Text"/>
    <w:basedOn w:val="1"/>
    <w:qFormat/>
    <w:uiPriority w:val="0"/>
    <w:rPr>
      <w:rFonts w:ascii="宋体" w:hAnsi="Courier New" w:cs="Century"/>
      <w:szCs w:val="21"/>
    </w:rPr>
  </w:style>
  <w:style w:type="paragraph" w:customStyle="1" w:styleId="110">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1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2">
    <w:name w:val="表格"/>
    <w:basedOn w:val="1"/>
    <w:qFormat/>
    <w:uiPriority w:val="0"/>
    <w:pPr>
      <w:spacing w:line="400" w:lineRule="exact"/>
    </w:pPr>
    <w:rPr>
      <w:sz w:val="24"/>
    </w:rPr>
  </w:style>
  <w:style w:type="paragraph" w:customStyle="1" w:styleId="113">
    <w:name w:val="样式 首行缩进:  2 字符"/>
    <w:basedOn w:val="1"/>
    <w:qFormat/>
    <w:uiPriority w:val="0"/>
    <w:pPr>
      <w:spacing w:line="400" w:lineRule="exact"/>
      <w:ind w:firstLine="200" w:firstLineChars="200"/>
    </w:pPr>
    <w:rPr>
      <w:rFonts w:cs="宋体"/>
      <w:sz w:val="24"/>
    </w:rPr>
  </w:style>
  <w:style w:type="paragraph" w:customStyle="1" w:styleId="114">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6">
    <w:name w:val="正文首行缩进两字符"/>
    <w:basedOn w:val="1"/>
    <w:qFormat/>
    <w:uiPriority w:val="0"/>
    <w:pPr>
      <w:spacing w:line="360" w:lineRule="auto"/>
      <w:ind w:firstLine="200" w:firstLineChars="200"/>
    </w:pPr>
  </w:style>
  <w:style w:type="paragraph" w:customStyle="1" w:styleId="117">
    <w:name w:val="正文段"/>
    <w:basedOn w:val="1"/>
    <w:qFormat/>
    <w:uiPriority w:val="0"/>
    <w:pPr>
      <w:widowControl/>
      <w:snapToGrid w:val="0"/>
      <w:spacing w:after="50" w:afterLines="50"/>
      <w:ind w:firstLine="200" w:firstLineChars="200"/>
    </w:pPr>
    <w:rPr>
      <w:kern w:val="0"/>
      <w:sz w:val="24"/>
      <w:szCs w:val="20"/>
    </w:rPr>
  </w:style>
  <w:style w:type="table" w:customStyle="1" w:styleId="118">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19">
    <w:name w:val="页脚 字符"/>
    <w:qFormat/>
    <w:uiPriority w:val="99"/>
  </w:style>
  <w:style w:type="character" w:customStyle="1" w:styleId="120">
    <w:name w:val="标题 1 Char1"/>
    <w:qFormat/>
    <w:uiPriority w:val="0"/>
    <w:rPr>
      <w:rFonts w:eastAsia="宋体"/>
      <w:b/>
      <w:bCs/>
      <w:kern w:val="44"/>
      <w:sz w:val="44"/>
      <w:szCs w:val="44"/>
      <w:lang w:val="en-US" w:eastAsia="zh-CN" w:bidi="ar-SA"/>
    </w:rPr>
  </w:style>
  <w:style w:type="character" w:customStyle="1" w:styleId="121">
    <w:name w:val="纯文本 Char2"/>
    <w:qFormat/>
    <w:uiPriority w:val="0"/>
    <w:rPr>
      <w:rFonts w:ascii="宋体" w:hAnsi="Courier New" w:eastAsia="宋体" w:cs="Courier New"/>
      <w:szCs w:val="21"/>
    </w:rPr>
  </w:style>
  <w:style w:type="paragraph" w:styleId="12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23">
    <w:name w:val="标题 6 字符"/>
    <w:qFormat/>
    <w:uiPriority w:val="0"/>
    <w:rPr>
      <w:rFonts w:ascii="Arial" w:hAnsi="Arial" w:eastAsia="黑体"/>
      <w:b/>
      <w:kern w:val="2"/>
      <w:sz w:val="24"/>
      <w:szCs w:val="24"/>
    </w:rPr>
  </w:style>
  <w:style w:type="paragraph" w:styleId="124">
    <w:name w:val="Intense Quote"/>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125">
    <w:name w:val="font61"/>
    <w:qFormat/>
    <w:uiPriority w:val="0"/>
    <w:rPr>
      <w:rFonts w:hint="eastAsia" w:ascii="宋体" w:hAnsi="宋体" w:eastAsia="宋体" w:cs="宋体"/>
      <w:b/>
      <w:bCs/>
      <w:color w:val="000000"/>
      <w:sz w:val="21"/>
      <w:szCs w:val="21"/>
      <w:u w:val="none"/>
      <w:vertAlign w:val="superscript"/>
    </w:rPr>
  </w:style>
  <w:style w:type="character" w:customStyle="1" w:styleId="126">
    <w:name w:val="font01"/>
    <w:qFormat/>
    <w:uiPriority w:val="0"/>
    <w:rPr>
      <w:rFonts w:hint="eastAsia" w:ascii="宋体" w:hAnsi="宋体" w:eastAsia="宋体" w:cs="宋体"/>
      <w:b/>
      <w:bCs/>
      <w:color w:val="000000"/>
      <w:sz w:val="21"/>
      <w:szCs w:val="21"/>
      <w:u w:val="none"/>
    </w:rPr>
  </w:style>
  <w:style w:type="character" w:customStyle="1" w:styleId="127">
    <w:name w:val="font41"/>
    <w:qFormat/>
    <w:uiPriority w:val="0"/>
    <w:rPr>
      <w:rFonts w:hint="eastAsia" w:ascii="宋体" w:hAnsi="宋体" w:eastAsia="宋体" w:cs="宋体"/>
      <w:color w:val="000000"/>
      <w:sz w:val="19"/>
      <w:szCs w:val="19"/>
      <w:u w:val="none"/>
    </w:rPr>
  </w:style>
  <w:style w:type="character" w:customStyle="1" w:styleId="128">
    <w:name w:val="font31"/>
    <w:qFormat/>
    <w:uiPriority w:val="0"/>
    <w:rPr>
      <w:rFonts w:hint="eastAsia" w:ascii="宋体" w:hAnsi="宋体" w:eastAsia="宋体" w:cs="宋体"/>
      <w:color w:val="000000"/>
      <w:sz w:val="21"/>
      <w:szCs w:val="21"/>
      <w:u w:val="none"/>
    </w:rPr>
  </w:style>
  <w:style w:type="character" w:customStyle="1" w:styleId="129">
    <w:name w:val="font51"/>
    <w:qFormat/>
    <w:uiPriority w:val="0"/>
    <w:rPr>
      <w:rFonts w:hint="default" w:ascii="Calibri" w:hAnsi="Calibri" w:cs="Calibri"/>
      <w:color w:val="000000"/>
      <w:sz w:val="21"/>
      <w:szCs w:val="21"/>
      <w:u w:val="none"/>
    </w:rPr>
  </w:style>
  <w:style w:type="paragraph" w:customStyle="1" w:styleId="130">
    <w:name w:val="null3"/>
    <w:qFormat/>
    <w:uiPriority w:val="0"/>
    <w:rPr>
      <w:rFonts w:hint="eastAsia" w:ascii="Calibri" w:hAnsi="Calibri" w:eastAsia="宋体" w:cs="Times New Roman"/>
      <w:lang w:val="en-US" w:eastAsia="zh-CN" w:bidi="ar-SA"/>
    </w:rPr>
  </w:style>
  <w:style w:type="paragraph" w:customStyle="1" w:styleId="131">
    <w:name w:val="_Style 128"/>
    <w:unhideWhenUsed/>
    <w:qFormat/>
    <w:uiPriority w:val="99"/>
    <w:rPr>
      <w:rFonts w:ascii="Times New Roman" w:hAnsi="Times New Roman" w:eastAsia="宋体" w:cs="Times New Roman"/>
      <w:kern w:val="2"/>
      <w:sz w:val="21"/>
      <w:szCs w:val="24"/>
      <w:lang w:val="en-US" w:eastAsia="zh-CN" w:bidi="ar-SA"/>
    </w:rPr>
  </w:style>
  <w:style w:type="paragraph" w:customStyle="1" w:styleId="132">
    <w:name w:val="Table Text"/>
    <w:basedOn w:val="1"/>
    <w:semiHidden/>
    <w:qFormat/>
    <w:uiPriority w:val="0"/>
    <w:rPr>
      <w:rFonts w:ascii="宋体" w:hAnsi="宋体" w:eastAsia="宋体" w:cs="宋体"/>
      <w:sz w:val="22"/>
      <w:szCs w:val="22"/>
      <w:lang w:val="en-US" w:eastAsia="en-US" w:bidi="ar-SA"/>
    </w:rPr>
  </w:style>
  <w:style w:type="paragraph" w:customStyle="1" w:styleId="133">
    <w:name w:val="p16"/>
    <w:basedOn w:val="1"/>
    <w:qFormat/>
    <w:uiPriority w:val="99"/>
    <w:pPr>
      <w:widowControl/>
    </w:pPr>
    <w:rPr>
      <w:rFonts w:ascii="宋体" w:hAnsi="宋体" w:cs="宋体"/>
      <w:kern w:val="0"/>
      <w:szCs w:val="21"/>
    </w:rPr>
  </w:style>
  <w:style w:type="character" w:customStyle="1" w:styleId="134">
    <w:name w:val="font11"/>
    <w:qFormat/>
    <w:uiPriority w:val="0"/>
    <w:rPr>
      <w:rFonts w:hint="eastAsia" w:ascii="宋体" w:hAnsi="宋体" w:eastAsia="宋体" w:cs="宋体"/>
      <w:color w:val="000000"/>
      <w:sz w:val="21"/>
      <w:szCs w:val="21"/>
      <w:u w:val="none"/>
    </w:rPr>
  </w:style>
  <w:style w:type="character" w:customStyle="1" w:styleId="135">
    <w:name w:val="font21"/>
    <w:qFormat/>
    <w:uiPriority w:val="0"/>
    <w:rPr>
      <w:rFonts w:hint="default" w:ascii="Times New Roman" w:hAnsi="Times New Roman" w:cs="Times New Roman"/>
      <w:color w:val="000000"/>
      <w:sz w:val="21"/>
      <w:szCs w:val="21"/>
      <w:u w:val="none"/>
    </w:rPr>
  </w:style>
  <w:style w:type="character" w:customStyle="1" w:styleId="136">
    <w:name w:val="font91"/>
    <w:qFormat/>
    <w:uiPriority w:val="0"/>
    <w:rPr>
      <w:rFonts w:hint="default" w:ascii="Times New Roman" w:hAnsi="Times New Roman" w:cs="Times New Roman"/>
      <w:color w:val="000000"/>
      <w:sz w:val="14"/>
      <w:szCs w:val="14"/>
      <w:u w:val="none"/>
    </w:rPr>
  </w:style>
  <w:style w:type="paragraph" w:customStyle="1" w:styleId="137">
    <w:name w:val="样式 正文缩进 + 首行缩进:  2 字符"/>
    <w:basedOn w:val="8"/>
    <w:qFormat/>
    <w:uiPriority w:val="0"/>
    <w:pPr>
      <w:spacing w:line="360" w:lineRule="auto"/>
      <w:ind w:firstLine="200"/>
    </w:pPr>
    <w:rPr>
      <w:rFonts w:ascii="Times New Roman" w:hAnsi="Times New Roman" w:eastAsia="宋体" w:cs="Times New Roman"/>
      <w:sz w:val="24"/>
      <w:szCs w:val="20"/>
    </w:rPr>
  </w:style>
  <w:style w:type="paragraph" w:customStyle="1" w:styleId="138">
    <w:name w:val="数字编号带点"/>
    <w:basedOn w:val="1"/>
    <w:qFormat/>
    <w:uiPriority w:val="0"/>
    <w:pPr>
      <w:numPr>
        <w:ilvl w:val="0"/>
        <w:numId w:val="3"/>
      </w:numPr>
      <w:adjustRightInd w:val="0"/>
      <w:snapToGrid w:val="0"/>
      <w:spacing w:before="50" w:beforeLines="50"/>
      <w:ind w:firstLineChars="0"/>
    </w:pPr>
    <w:rPr>
      <w:rFonts w:hint="eastAsia" w:ascii="宋体" w:hAnsi="宋体" w:eastAsia="宋体"/>
      <w:szCs w:val="21"/>
    </w:rPr>
  </w:style>
  <w:style w:type="paragraph" w:customStyle="1" w:styleId="139">
    <w:name w:val="数字编号双括号"/>
    <w:basedOn w:val="1"/>
    <w:qFormat/>
    <w:uiPriority w:val="0"/>
    <w:pPr>
      <w:numPr>
        <w:ilvl w:val="0"/>
        <w:numId w:val="4"/>
      </w:numPr>
      <w:adjustRightInd w:val="0"/>
      <w:snapToGrid w:val="0"/>
      <w:ind w:firstLineChars="0"/>
    </w:pPr>
    <w:rPr>
      <w:rFonts w:hint="eastAsia" w:ascii="宋体" w:hAnsi="宋体" w:eastAsia="宋体"/>
      <w:sz w:val="24"/>
      <w:szCs w:val="21"/>
    </w:rPr>
  </w:style>
  <w:style w:type="paragraph" w:customStyle="1" w:styleId="140">
    <w:name w:val="KS表格"/>
    <w:basedOn w:val="1"/>
    <w:qFormat/>
    <w:uiPriority w:val="0"/>
    <w:pPr>
      <w:spacing w:line="300" w:lineRule="auto"/>
    </w:pPr>
    <w:rPr>
      <w:rFonts w:ascii="Calibri" w:hAnsi="Calibri" w:cs="Calibri"/>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KWZB;</Company>
  <Pages>110</Pages>
  <Words>9105</Words>
  <Characters>9919</Characters>
  <Lines>506</Lines>
  <Paragraphs>142</Paragraphs>
  <TotalTime>27</TotalTime>
  <ScaleCrop>false</ScaleCrop>
  <LinksUpToDate>false</LinksUpToDate>
  <CharactersWithSpaces>10209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2025-03-24T00:07:00Z</dcterms:created>
  <dc:creator>KWZB</dc:creator>
  <cp:lastModifiedBy>代理公司</cp:lastModifiedBy>
  <cp:lastPrinted>2025-07-13T01:58:00Z</cp:lastPrinted>
  <dcterms:modified xsi:type="dcterms:W3CDTF">2026-06-25T10:16:24Z</dcterms:modified>
  <dc:title>公开招标采购文件范本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C6402D5FABD94692B7D7E142616AB004_13</vt:lpwstr>
  </property>
  <property fmtid="{D5CDD505-2E9C-101B-9397-08002B2CF9AE}" pid="4" name="KSOTemplateDocerSaveRecord">
    <vt:lpwstr>eyJoZGlkIjoiMmU5MWE3OGI2Yzk0NTQ5N2IyNTgxZTU4ZTYxMzg3ZGMiLCJ1c2VySWQiOiI2MzU4NTg4ODcifQ==</vt:lpwstr>
  </property>
</Properties>
</file>