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BBA07D">
      <w:pPr>
        <w:spacing w:line="360" w:lineRule="auto"/>
        <w:jc w:val="center"/>
        <w:rPr>
          <w:rFonts w:hint="eastAsia" w:ascii="仿宋" w:hAnsi="宋体" w:eastAsia="仿宋"/>
          <w:color w:val="auto"/>
          <w:sz w:val="52"/>
          <w:szCs w:val="52"/>
          <w:highlight w:val="none"/>
        </w:rPr>
      </w:pPr>
    </w:p>
    <w:p w14:paraId="182082AF">
      <w:pPr>
        <w:pStyle w:val="27"/>
        <w:jc w:val="center"/>
        <w:rPr>
          <w:rFonts w:ascii="黑体" w:hAnsi="黑体" w:eastAsia="黑体"/>
          <w:color w:val="auto"/>
          <w:spacing w:val="30"/>
          <w:kern w:val="52"/>
          <w:sz w:val="64"/>
          <w:szCs w:val="64"/>
          <w:highlight w:val="none"/>
        </w:rPr>
      </w:pPr>
      <w:r>
        <w:rPr>
          <w:rFonts w:ascii="黑体" w:hAnsi="黑体" w:eastAsia="黑体"/>
          <w:color w:val="auto"/>
          <w:spacing w:val="30"/>
          <w:kern w:val="52"/>
          <w:sz w:val="64"/>
          <w:szCs w:val="64"/>
          <w:highlight w:val="none"/>
        </w:rPr>
        <w:t>广西科文招标有限公司</w:t>
      </w:r>
    </w:p>
    <w:p w14:paraId="1C2ACC67">
      <w:pPr>
        <w:pStyle w:val="27"/>
        <w:jc w:val="center"/>
        <w:rPr>
          <w:rFonts w:hint="eastAsia" w:ascii="黑体" w:hAnsi="黑体" w:eastAsia="黑体"/>
          <w:color w:val="auto"/>
          <w:spacing w:val="28"/>
          <w:sz w:val="64"/>
          <w:szCs w:val="64"/>
          <w:highlight w:val="none"/>
        </w:rPr>
      </w:pPr>
      <w:r>
        <w:rPr>
          <w:rFonts w:ascii="黑体" w:hAnsi="黑体" w:eastAsia="黑体"/>
          <w:b/>
          <w:color w:val="auto"/>
          <w:spacing w:val="-18"/>
          <w:sz w:val="64"/>
          <w:szCs w:val="64"/>
          <w:highlight w:val="none"/>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5486400" cy="0"/>
                <wp:effectExtent l="0" t="0" r="0" b="0"/>
                <wp:wrapNone/>
                <wp:docPr id="1" name="Line 2"/>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27pt;margin-top:7.8pt;height:0pt;width:432pt;z-index:251659264;mso-width-relative:page;mso-height-relative:page;" filled="f" stroked="t" coordsize="21600,21600" o:gfxdata="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qhQAKNYAAAAIAQAADwAAAAAAAAAB&#10;ACAAAAAiAAAAZHJzL2Rvd25yZXYueG1sUEsBAhQAFAAAAAgAh07iQDPL187ZAQAA2gMAAA4AAAAA&#10;AAAAAQAgAAAAJQEAAGRycy9lMm9Eb2MueG1sUEsFBgAAAAAGAAYAWQEAAHAFAAAAAA==&#10;">
                <v:fill on="f" focussize="0,0"/>
                <v:stroke weight="1pt" color="#000000" joinstyle="round"/>
                <v:imagedata o:title=""/>
                <o:lock v:ext="edit" aspectratio="f"/>
              </v:line>
            </w:pict>
          </mc:Fallback>
        </mc:AlternateContent>
      </w:r>
    </w:p>
    <w:p w14:paraId="5708CDE2">
      <w:pPr>
        <w:snapToGrid w:val="0"/>
        <w:spacing w:before="120" w:beforeLines="50" w:line="360" w:lineRule="auto"/>
        <w:jc w:val="center"/>
        <w:rPr>
          <w:rFonts w:hint="eastAsia" w:ascii="黑体" w:hAnsi="黑体" w:eastAsia="黑体"/>
          <w:color w:val="auto"/>
          <w:sz w:val="120"/>
          <w:szCs w:val="120"/>
          <w:highlight w:val="none"/>
        </w:rPr>
      </w:pPr>
      <w:r>
        <w:rPr>
          <w:rFonts w:hint="eastAsia" w:ascii="黑体" w:hAnsi="黑体" w:eastAsia="黑体"/>
          <w:color w:val="auto"/>
          <w:sz w:val="120"/>
          <w:szCs w:val="120"/>
          <w:highlight w:val="none"/>
        </w:rPr>
        <w:t>招 标 文 件</w:t>
      </w:r>
    </w:p>
    <w:p w14:paraId="0F0E7D79">
      <w:pPr>
        <w:pStyle w:val="27"/>
        <w:snapToGrid w:val="0"/>
        <w:spacing w:line="360" w:lineRule="auto"/>
        <w:ind w:firstLine="1977" w:firstLineChars="691"/>
        <w:rPr>
          <w:rFonts w:hint="eastAsia" w:ascii="仿宋_GB2312" w:hAnsi="宋体" w:eastAsia="仿宋_GB2312"/>
          <w:b/>
          <w:bCs/>
          <w:color w:val="auto"/>
          <w:w w:val="95"/>
          <w:sz w:val="30"/>
          <w:szCs w:val="30"/>
          <w:highlight w:val="none"/>
        </w:rPr>
      </w:pPr>
    </w:p>
    <w:p w14:paraId="650150B0">
      <w:pPr>
        <w:pStyle w:val="27"/>
        <w:snapToGrid w:val="0"/>
        <w:spacing w:line="360" w:lineRule="auto"/>
        <w:ind w:firstLine="1977" w:firstLineChars="691"/>
        <w:rPr>
          <w:rFonts w:hint="eastAsia" w:ascii="仿宋_GB2312" w:hAnsi="宋体" w:eastAsia="仿宋_GB2312"/>
          <w:b/>
          <w:bCs/>
          <w:color w:val="auto"/>
          <w:w w:val="95"/>
          <w:sz w:val="30"/>
          <w:szCs w:val="30"/>
          <w:highlight w:val="none"/>
        </w:rPr>
      </w:pPr>
    </w:p>
    <w:p w14:paraId="532A99B0">
      <w:pPr>
        <w:pStyle w:val="27"/>
        <w:keepNext w:val="0"/>
        <w:keepLines w:val="0"/>
        <w:pageBreakBefore w:val="0"/>
        <w:widowControl w:val="0"/>
        <w:kinsoku/>
        <w:wordWrap/>
        <w:overflowPunct/>
        <w:topLinePunct w:val="0"/>
        <w:autoSpaceDE/>
        <w:autoSpaceDN/>
        <w:bidi w:val="0"/>
        <w:adjustRightInd/>
        <w:snapToGrid w:val="0"/>
        <w:spacing w:line="360" w:lineRule="auto"/>
        <w:ind w:firstLine="859" w:firstLineChars="300"/>
        <w:jc w:val="left"/>
        <w:textAlignment w:val="auto"/>
        <w:rPr>
          <w:rFonts w:hint="eastAsia" w:hAnsi="宋体" w:eastAsia="宋体"/>
          <w:b/>
          <w:bCs/>
          <w:color w:val="auto"/>
          <w:w w:val="95"/>
          <w:sz w:val="30"/>
          <w:szCs w:val="30"/>
          <w:highlight w:val="none"/>
          <w:lang w:eastAsia="zh-CN"/>
        </w:rPr>
      </w:pPr>
      <w:r>
        <w:rPr>
          <w:rFonts w:hint="eastAsia" w:hAnsi="宋体"/>
          <w:b/>
          <w:bCs/>
          <w:color w:val="auto"/>
          <w:w w:val="95"/>
          <w:sz w:val="30"/>
          <w:szCs w:val="30"/>
          <w:highlight w:val="none"/>
        </w:rPr>
        <w:t>项目名称：</w:t>
      </w:r>
      <w:r>
        <w:rPr>
          <w:rFonts w:hint="eastAsia" w:hAnsi="宋体"/>
          <w:b/>
          <w:bCs/>
          <w:color w:val="auto"/>
          <w:w w:val="95"/>
          <w:sz w:val="30"/>
          <w:szCs w:val="30"/>
          <w:highlight w:val="none"/>
          <w:lang w:eastAsia="zh-CN"/>
        </w:rPr>
        <w:t>达芬奇IS4000手术机器人三年维保服务</w:t>
      </w:r>
    </w:p>
    <w:p w14:paraId="11E48ACA">
      <w:pPr>
        <w:pStyle w:val="27"/>
        <w:keepNext w:val="0"/>
        <w:keepLines w:val="0"/>
        <w:pageBreakBefore w:val="0"/>
        <w:widowControl w:val="0"/>
        <w:kinsoku/>
        <w:wordWrap/>
        <w:overflowPunct/>
        <w:topLinePunct w:val="0"/>
        <w:autoSpaceDE/>
        <w:autoSpaceDN/>
        <w:bidi w:val="0"/>
        <w:adjustRightInd/>
        <w:snapToGrid w:val="0"/>
        <w:spacing w:line="360" w:lineRule="auto"/>
        <w:ind w:firstLine="859" w:firstLineChars="300"/>
        <w:textAlignment w:val="auto"/>
        <w:rPr>
          <w:rFonts w:hint="eastAsia" w:hAnsi="宋体" w:eastAsia="宋体"/>
          <w:b/>
          <w:bCs/>
          <w:color w:val="auto"/>
          <w:w w:val="95"/>
          <w:sz w:val="30"/>
          <w:szCs w:val="30"/>
          <w:highlight w:val="none"/>
          <w:lang w:eastAsia="zh-CN"/>
        </w:rPr>
      </w:pPr>
      <w:r>
        <w:rPr>
          <w:rFonts w:hint="eastAsia" w:hAnsi="宋体"/>
          <w:b/>
          <w:bCs/>
          <w:color w:val="auto"/>
          <w:w w:val="95"/>
          <w:sz w:val="30"/>
          <w:szCs w:val="30"/>
          <w:highlight w:val="none"/>
        </w:rPr>
        <w:t>项目编号：</w:t>
      </w:r>
      <w:r>
        <w:rPr>
          <w:rFonts w:hint="eastAsia" w:hAnsi="宋体"/>
          <w:b/>
          <w:bCs/>
          <w:color w:val="auto"/>
          <w:w w:val="95"/>
          <w:sz w:val="30"/>
          <w:szCs w:val="30"/>
          <w:highlight w:val="none"/>
          <w:lang w:eastAsia="zh-CN"/>
        </w:rPr>
        <w:t>GXZC2026-G3-001644-KWZB</w:t>
      </w:r>
    </w:p>
    <w:p w14:paraId="6AE61FD1">
      <w:pPr>
        <w:pStyle w:val="27"/>
        <w:snapToGrid w:val="0"/>
        <w:spacing w:line="360" w:lineRule="auto"/>
        <w:ind w:firstLine="1977" w:firstLineChars="691"/>
        <w:rPr>
          <w:rFonts w:hint="eastAsia" w:hAnsi="宋体"/>
          <w:b/>
          <w:bCs/>
          <w:color w:val="auto"/>
          <w:w w:val="95"/>
          <w:sz w:val="30"/>
          <w:szCs w:val="30"/>
          <w:highlight w:val="none"/>
        </w:rPr>
      </w:pPr>
    </w:p>
    <w:p w14:paraId="392B40CD">
      <w:pPr>
        <w:pStyle w:val="27"/>
        <w:snapToGrid w:val="0"/>
        <w:spacing w:line="360" w:lineRule="auto"/>
        <w:ind w:firstLine="1977" w:firstLineChars="691"/>
        <w:rPr>
          <w:rFonts w:hint="eastAsia" w:hAnsi="宋体"/>
          <w:b/>
          <w:bCs/>
          <w:color w:val="auto"/>
          <w:w w:val="95"/>
          <w:sz w:val="30"/>
          <w:szCs w:val="30"/>
          <w:highlight w:val="none"/>
        </w:rPr>
      </w:pPr>
    </w:p>
    <w:p w14:paraId="102FD04C">
      <w:pPr>
        <w:pStyle w:val="27"/>
        <w:snapToGrid w:val="0"/>
        <w:spacing w:line="360" w:lineRule="auto"/>
        <w:ind w:firstLine="1977" w:firstLineChars="691"/>
        <w:rPr>
          <w:rFonts w:hint="eastAsia" w:hAnsi="宋体"/>
          <w:b/>
          <w:bCs/>
          <w:color w:val="auto"/>
          <w:w w:val="95"/>
          <w:sz w:val="30"/>
          <w:szCs w:val="30"/>
          <w:highlight w:val="none"/>
        </w:rPr>
      </w:pPr>
    </w:p>
    <w:p w14:paraId="52710F42">
      <w:pPr>
        <w:pStyle w:val="27"/>
        <w:snapToGrid w:val="0"/>
        <w:spacing w:line="360" w:lineRule="auto"/>
        <w:ind w:firstLine="1977" w:firstLineChars="691"/>
        <w:rPr>
          <w:rFonts w:hint="eastAsia" w:hAnsi="宋体"/>
          <w:b/>
          <w:bCs/>
          <w:color w:val="auto"/>
          <w:w w:val="95"/>
          <w:sz w:val="30"/>
          <w:szCs w:val="30"/>
          <w:highlight w:val="none"/>
        </w:rPr>
      </w:pPr>
    </w:p>
    <w:p w14:paraId="3308A5E4">
      <w:pPr>
        <w:pStyle w:val="27"/>
        <w:snapToGrid w:val="0"/>
        <w:spacing w:line="360" w:lineRule="auto"/>
        <w:ind w:firstLine="1977" w:firstLineChars="691"/>
        <w:rPr>
          <w:rFonts w:hint="eastAsia" w:hAnsi="宋体"/>
          <w:b/>
          <w:bCs/>
          <w:color w:val="auto"/>
          <w:w w:val="95"/>
          <w:sz w:val="30"/>
          <w:szCs w:val="30"/>
          <w:highlight w:val="none"/>
        </w:rPr>
      </w:pPr>
    </w:p>
    <w:p w14:paraId="0EF41F7B">
      <w:pPr>
        <w:pStyle w:val="27"/>
        <w:snapToGrid w:val="0"/>
        <w:spacing w:line="360" w:lineRule="auto"/>
        <w:ind w:firstLine="2106" w:firstLineChars="736"/>
        <w:rPr>
          <w:rFonts w:hint="eastAsia" w:hAnsi="宋体" w:eastAsia="宋体" w:cs="宋体"/>
          <w:b/>
          <w:bCs/>
          <w:color w:val="auto"/>
          <w:w w:val="95"/>
          <w:sz w:val="30"/>
          <w:szCs w:val="30"/>
          <w:highlight w:val="none"/>
          <w:lang w:eastAsia="zh-CN"/>
        </w:rPr>
      </w:pPr>
      <w:r>
        <w:rPr>
          <w:rFonts w:hint="eastAsia" w:hAnsi="宋体"/>
          <w:b/>
          <w:bCs/>
          <w:color w:val="auto"/>
          <w:w w:val="95"/>
          <w:sz w:val="30"/>
          <w:szCs w:val="30"/>
          <w:highlight w:val="none"/>
        </w:rPr>
        <w:t>采 购 人：</w:t>
      </w:r>
      <w:r>
        <w:rPr>
          <w:rFonts w:hint="eastAsia" w:hAnsi="宋体" w:cs="宋体"/>
          <w:b/>
          <w:bCs/>
          <w:color w:val="auto"/>
          <w:w w:val="95"/>
          <w:sz w:val="30"/>
          <w:szCs w:val="30"/>
          <w:highlight w:val="none"/>
          <w:lang w:eastAsia="zh-CN"/>
        </w:rPr>
        <w:t>广西医科大学第一附属医院</w:t>
      </w:r>
    </w:p>
    <w:p w14:paraId="0C2EF16D">
      <w:pPr>
        <w:pStyle w:val="27"/>
        <w:snapToGrid w:val="0"/>
        <w:spacing w:line="360" w:lineRule="auto"/>
        <w:ind w:firstLine="1977" w:firstLineChars="691"/>
        <w:rPr>
          <w:rFonts w:hint="eastAsia" w:hAnsi="宋体"/>
          <w:b/>
          <w:bCs/>
          <w:color w:val="auto"/>
          <w:w w:val="95"/>
          <w:sz w:val="30"/>
          <w:szCs w:val="30"/>
          <w:highlight w:val="none"/>
        </w:rPr>
      </w:pPr>
      <w:r>
        <w:rPr>
          <w:rFonts w:hint="eastAsia" w:hAnsi="宋体"/>
          <w:b/>
          <w:bCs/>
          <w:color w:val="auto"/>
          <w:w w:val="95"/>
          <w:sz w:val="30"/>
          <w:szCs w:val="30"/>
          <w:highlight w:val="none"/>
        </w:rPr>
        <w:t>采购代理机构：广西科文招标有限公司</w:t>
      </w:r>
    </w:p>
    <w:p w14:paraId="7DF8D098">
      <w:pPr>
        <w:pStyle w:val="27"/>
        <w:snapToGrid w:val="0"/>
        <w:spacing w:line="360" w:lineRule="auto"/>
        <w:ind w:firstLine="1125" w:firstLineChars="393"/>
        <w:rPr>
          <w:rFonts w:hint="eastAsia" w:hAnsi="宋体"/>
          <w:b/>
          <w:bCs/>
          <w:color w:val="auto"/>
          <w:w w:val="95"/>
          <w:sz w:val="30"/>
          <w:szCs w:val="30"/>
          <w:highlight w:val="none"/>
        </w:rPr>
      </w:pPr>
    </w:p>
    <w:p w14:paraId="453EB0DF">
      <w:pPr>
        <w:pStyle w:val="27"/>
        <w:snapToGrid w:val="0"/>
        <w:spacing w:line="360" w:lineRule="auto"/>
        <w:jc w:val="center"/>
        <w:rPr>
          <w:rFonts w:hint="eastAsia" w:hAnsi="宋体" w:eastAsia="宋体"/>
          <w:color w:val="auto"/>
          <w:szCs w:val="20"/>
          <w:highlight w:val="none"/>
          <w:lang w:eastAsia="zh-CN"/>
        </w:rPr>
      </w:pPr>
      <w:r>
        <w:rPr>
          <w:rFonts w:hint="eastAsia" w:hAnsi="宋体"/>
          <w:b/>
          <w:bCs/>
          <w:color w:val="auto"/>
          <w:w w:val="95"/>
          <w:sz w:val="30"/>
          <w:szCs w:val="30"/>
          <w:highlight w:val="none"/>
          <w:lang w:eastAsia="zh-CN"/>
        </w:rPr>
        <w:t>2026年6月  日</w:t>
      </w:r>
    </w:p>
    <w:p w14:paraId="75FF03FA">
      <w:pPr>
        <w:pStyle w:val="27"/>
        <w:spacing w:before="120" w:after="120" w:line="360" w:lineRule="auto"/>
        <w:jc w:val="center"/>
        <w:rPr>
          <w:rFonts w:hint="eastAsia" w:ascii="仿宋_GB2312" w:hAnsi="宋体" w:eastAsia="仿宋_GB2312"/>
          <w:color w:val="auto"/>
          <w:highlight w:val="none"/>
        </w:rPr>
        <w:sectPr>
          <w:footerReference r:id="rId5" w:type="first"/>
          <w:headerReference r:id="rId3" w:type="default"/>
          <w:footerReference r:id="rId4" w:type="even"/>
          <w:pgSz w:w="11906" w:h="16838"/>
          <w:pgMar w:top="1134" w:right="1134" w:bottom="2269" w:left="1134" w:header="851" w:footer="567" w:gutter="0"/>
          <w:cols w:space="720" w:num="1"/>
          <w:titlePg/>
          <w:docGrid w:linePitch="312" w:charSpace="0"/>
        </w:sectPr>
      </w:pPr>
    </w:p>
    <w:p w14:paraId="7B0949DD">
      <w:pPr>
        <w:pStyle w:val="5"/>
        <w:rPr>
          <w:rFonts w:hint="eastAsia"/>
          <w:color w:val="auto"/>
          <w:highlight w:val="none"/>
        </w:rPr>
      </w:pPr>
    </w:p>
    <w:p w14:paraId="523CA686">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7650D665">
      <w:pPr>
        <w:pStyle w:val="35"/>
        <w:tabs>
          <w:tab w:val="right" w:leader="dot" w:pos="9638"/>
          <w:tab w:val="clear" w:pos="8398"/>
        </w:tabs>
        <w:ind w:firstLine="280"/>
        <w:rPr>
          <w:color w:val="auto"/>
          <w:sz w:val="28"/>
          <w:szCs w:val="28"/>
          <w:highlight w:val="none"/>
        </w:rPr>
      </w:pPr>
      <w:r>
        <w:rPr>
          <w:rFonts w:ascii="仿宋_GB2312" w:eastAsia="仿宋_GB2312"/>
          <w:b w:val="0"/>
          <w:color w:val="auto"/>
          <w:sz w:val="28"/>
          <w:szCs w:val="28"/>
          <w:highlight w:val="none"/>
        </w:rPr>
        <w:fldChar w:fldCharType="begin"/>
      </w:r>
      <w:r>
        <w:rPr>
          <w:rFonts w:ascii="仿宋_GB2312" w:eastAsia="仿宋_GB2312"/>
          <w:b w:val="0"/>
          <w:color w:val="auto"/>
          <w:sz w:val="28"/>
          <w:szCs w:val="28"/>
          <w:highlight w:val="none"/>
        </w:rPr>
        <w:instrText xml:space="preserve"> </w:instrText>
      </w:r>
      <w:r>
        <w:rPr>
          <w:rFonts w:hint="eastAsia" w:ascii="仿宋_GB2312" w:eastAsia="仿宋_GB2312"/>
          <w:b w:val="0"/>
          <w:color w:val="auto"/>
          <w:sz w:val="28"/>
          <w:szCs w:val="28"/>
          <w:highlight w:val="none"/>
        </w:rPr>
        <w:instrText xml:space="preserve">TOC \o "1-2" \h \z \u</w:instrText>
      </w:r>
      <w:r>
        <w:rPr>
          <w:rFonts w:ascii="仿宋_GB2312" w:eastAsia="仿宋_GB2312"/>
          <w:b w:val="0"/>
          <w:color w:val="auto"/>
          <w:sz w:val="28"/>
          <w:szCs w:val="28"/>
          <w:highlight w:val="none"/>
        </w:rPr>
        <w:instrText xml:space="preserve"> </w:instrText>
      </w:r>
      <w:r>
        <w:rPr>
          <w:rFonts w:ascii="仿宋_GB2312" w:eastAsia="仿宋_GB2312"/>
          <w:b w:val="0"/>
          <w:color w:val="auto"/>
          <w:sz w:val="28"/>
          <w:szCs w:val="28"/>
          <w:highlight w:val="none"/>
        </w:rPr>
        <w:fldChar w:fldCharType="separate"/>
      </w:r>
      <w:r>
        <w:rPr>
          <w:rFonts w:ascii="仿宋_GB2312" w:eastAsia="仿宋_GB2312"/>
          <w:color w:val="auto"/>
          <w:sz w:val="28"/>
          <w:szCs w:val="28"/>
          <w:highlight w:val="none"/>
        </w:rPr>
        <w:fldChar w:fldCharType="begin"/>
      </w:r>
      <w:r>
        <w:rPr>
          <w:rFonts w:ascii="仿宋_GB2312" w:eastAsia="仿宋_GB2312"/>
          <w:color w:val="auto"/>
          <w:sz w:val="28"/>
          <w:szCs w:val="28"/>
          <w:highlight w:val="none"/>
        </w:rPr>
        <w:instrText xml:space="preserve"> HYPERLINK \l _Toc25674 </w:instrText>
      </w:r>
      <w:r>
        <w:rPr>
          <w:rFonts w:ascii="仿宋_GB2312" w:eastAsia="仿宋_GB2312"/>
          <w:color w:val="auto"/>
          <w:sz w:val="28"/>
          <w:szCs w:val="28"/>
          <w:highlight w:val="none"/>
        </w:rPr>
        <w:fldChar w:fldCharType="separate"/>
      </w:r>
      <w:r>
        <w:rPr>
          <w:rFonts w:hint="eastAsia"/>
          <w:color w:val="auto"/>
          <w:sz w:val="28"/>
          <w:szCs w:val="28"/>
          <w:highlight w:val="none"/>
        </w:rPr>
        <w:t xml:space="preserve">第一章 </w:t>
      </w:r>
      <w:r>
        <w:rPr>
          <w:rFonts w:hint="eastAsia"/>
          <w:color w:val="auto"/>
          <w:sz w:val="28"/>
          <w:szCs w:val="28"/>
          <w:highlight w:val="none"/>
          <w:lang w:val="en-US" w:eastAsia="zh-CN"/>
        </w:rPr>
        <w:t xml:space="preserve"> </w:t>
      </w:r>
      <w:r>
        <w:rPr>
          <w:rFonts w:hint="eastAsia"/>
          <w:color w:val="auto"/>
          <w:sz w:val="28"/>
          <w:szCs w:val="28"/>
          <w:highlight w:val="none"/>
        </w:rPr>
        <w:t>招标公告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_Toc25674 \h </w:instrText>
      </w:r>
      <w:r>
        <w:rPr>
          <w:color w:val="auto"/>
          <w:sz w:val="28"/>
          <w:szCs w:val="28"/>
          <w:highlight w:val="none"/>
        </w:rPr>
        <w:fldChar w:fldCharType="separate"/>
      </w:r>
      <w:r>
        <w:rPr>
          <w:color w:val="auto"/>
          <w:sz w:val="28"/>
          <w:szCs w:val="28"/>
          <w:highlight w:val="none"/>
        </w:rPr>
        <w:t>2</w:t>
      </w:r>
      <w:r>
        <w:rPr>
          <w:color w:val="auto"/>
          <w:sz w:val="28"/>
          <w:szCs w:val="28"/>
          <w:highlight w:val="none"/>
        </w:rPr>
        <w:fldChar w:fldCharType="end"/>
      </w:r>
      <w:r>
        <w:rPr>
          <w:rFonts w:ascii="仿宋_GB2312" w:eastAsia="仿宋_GB2312"/>
          <w:color w:val="auto"/>
          <w:sz w:val="28"/>
          <w:szCs w:val="28"/>
          <w:highlight w:val="none"/>
        </w:rPr>
        <w:fldChar w:fldCharType="end"/>
      </w:r>
    </w:p>
    <w:p w14:paraId="24A3DFAC">
      <w:pPr>
        <w:pStyle w:val="35"/>
        <w:tabs>
          <w:tab w:val="right" w:leader="dot" w:pos="9638"/>
          <w:tab w:val="clear" w:pos="8398"/>
        </w:tabs>
        <w:ind w:firstLine="280"/>
        <w:rPr>
          <w:color w:val="auto"/>
          <w:sz w:val="28"/>
          <w:szCs w:val="28"/>
          <w:highlight w:val="none"/>
        </w:rPr>
      </w:pPr>
      <w:r>
        <w:rPr>
          <w:rFonts w:ascii="仿宋_GB2312" w:eastAsia="仿宋_GB2312"/>
          <w:color w:val="auto"/>
          <w:sz w:val="28"/>
          <w:szCs w:val="28"/>
          <w:highlight w:val="none"/>
        </w:rPr>
        <w:fldChar w:fldCharType="begin"/>
      </w:r>
      <w:r>
        <w:rPr>
          <w:rFonts w:ascii="仿宋_GB2312" w:eastAsia="仿宋_GB2312"/>
          <w:color w:val="auto"/>
          <w:sz w:val="28"/>
          <w:szCs w:val="28"/>
          <w:highlight w:val="none"/>
        </w:rPr>
        <w:instrText xml:space="preserve"> HYPERLINK \l _Toc22512 </w:instrText>
      </w:r>
      <w:r>
        <w:rPr>
          <w:rFonts w:ascii="仿宋_GB2312" w:eastAsia="仿宋_GB2312"/>
          <w:color w:val="auto"/>
          <w:sz w:val="28"/>
          <w:szCs w:val="28"/>
          <w:highlight w:val="none"/>
        </w:rPr>
        <w:fldChar w:fldCharType="separate"/>
      </w:r>
      <w:r>
        <w:rPr>
          <w:rFonts w:hint="eastAsia"/>
          <w:color w:val="auto"/>
          <w:sz w:val="28"/>
          <w:szCs w:val="28"/>
          <w:highlight w:val="none"/>
        </w:rPr>
        <w:t>第二章  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_Toc22512 \h </w:instrText>
      </w:r>
      <w:r>
        <w:rPr>
          <w:color w:val="auto"/>
          <w:sz w:val="28"/>
          <w:szCs w:val="28"/>
          <w:highlight w:val="none"/>
        </w:rPr>
        <w:fldChar w:fldCharType="separate"/>
      </w:r>
      <w:r>
        <w:rPr>
          <w:color w:val="auto"/>
          <w:sz w:val="28"/>
          <w:szCs w:val="28"/>
          <w:highlight w:val="none"/>
        </w:rPr>
        <w:t>6</w:t>
      </w:r>
      <w:r>
        <w:rPr>
          <w:color w:val="auto"/>
          <w:sz w:val="28"/>
          <w:szCs w:val="28"/>
          <w:highlight w:val="none"/>
        </w:rPr>
        <w:fldChar w:fldCharType="end"/>
      </w:r>
      <w:r>
        <w:rPr>
          <w:rFonts w:ascii="仿宋_GB2312" w:eastAsia="仿宋_GB2312"/>
          <w:color w:val="auto"/>
          <w:sz w:val="28"/>
          <w:szCs w:val="28"/>
          <w:highlight w:val="none"/>
        </w:rPr>
        <w:fldChar w:fldCharType="end"/>
      </w:r>
    </w:p>
    <w:p w14:paraId="7DAF84A4">
      <w:pPr>
        <w:pStyle w:val="35"/>
        <w:tabs>
          <w:tab w:val="right" w:leader="dot" w:pos="9638"/>
          <w:tab w:val="clear" w:pos="8398"/>
        </w:tabs>
        <w:ind w:firstLine="280"/>
        <w:rPr>
          <w:color w:val="auto"/>
          <w:sz w:val="28"/>
          <w:szCs w:val="28"/>
          <w:highlight w:val="none"/>
        </w:rPr>
      </w:pPr>
      <w:r>
        <w:rPr>
          <w:rFonts w:ascii="仿宋_GB2312" w:eastAsia="仿宋_GB2312"/>
          <w:color w:val="auto"/>
          <w:sz w:val="28"/>
          <w:szCs w:val="28"/>
          <w:highlight w:val="none"/>
        </w:rPr>
        <w:fldChar w:fldCharType="begin"/>
      </w:r>
      <w:r>
        <w:rPr>
          <w:rFonts w:ascii="仿宋_GB2312" w:eastAsia="仿宋_GB2312"/>
          <w:color w:val="auto"/>
          <w:sz w:val="28"/>
          <w:szCs w:val="28"/>
          <w:highlight w:val="none"/>
        </w:rPr>
        <w:instrText xml:space="preserve"> HYPERLINK \l _Toc10714 </w:instrText>
      </w:r>
      <w:r>
        <w:rPr>
          <w:rFonts w:ascii="仿宋_GB2312" w:eastAsia="仿宋_GB2312"/>
          <w:color w:val="auto"/>
          <w:sz w:val="28"/>
          <w:szCs w:val="28"/>
          <w:highlight w:val="none"/>
        </w:rPr>
        <w:fldChar w:fldCharType="separate"/>
      </w:r>
      <w:r>
        <w:rPr>
          <w:rFonts w:hint="eastAsia"/>
          <w:color w:val="auto"/>
          <w:sz w:val="28"/>
          <w:szCs w:val="28"/>
          <w:highlight w:val="none"/>
        </w:rPr>
        <w:t>第三章  投标人须知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_Toc10714 \h </w:instrText>
      </w:r>
      <w:r>
        <w:rPr>
          <w:color w:val="auto"/>
          <w:sz w:val="28"/>
          <w:szCs w:val="28"/>
          <w:highlight w:val="none"/>
        </w:rPr>
        <w:fldChar w:fldCharType="separate"/>
      </w:r>
      <w:r>
        <w:rPr>
          <w:color w:val="auto"/>
          <w:sz w:val="28"/>
          <w:szCs w:val="28"/>
          <w:highlight w:val="none"/>
        </w:rPr>
        <w:t>13</w:t>
      </w:r>
      <w:r>
        <w:rPr>
          <w:color w:val="auto"/>
          <w:sz w:val="28"/>
          <w:szCs w:val="28"/>
          <w:highlight w:val="none"/>
        </w:rPr>
        <w:fldChar w:fldCharType="end"/>
      </w:r>
      <w:r>
        <w:rPr>
          <w:rFonts w:ascii="仿宋_GB2312" w:eastAsia="仿宋_GB2312"/>
          <w:color w:val="auto"/>
          <w:sz w:val="28"/>
          <w:szCs w:val="28"/>
          <w:highlight w:val="none"/>
        </w:rPr>
        <w:fldChar w:fldCharType="end"/>
      </w:r>
    </w:p>
    <w:p w14:paraId="21CF7028">
      <w:pPr>
        <w:pStyle w:val="35"/>
        <w:tabs>
          <w:tab w:val="right" w:leader="dot" w:pos="9638"/>
          <w:tab w:val="clear" w:pos="8398"/>
        </w:tabs>
        <w:ind w:firstLine="280"/>
        <w:rPr>
          <w:color w:val="auto"/>
          <w:sz w:val="28"/>
          <w:szCs w:val="28"/>
          <w:highlight w:val="none"/>
        </w:rPr>
      </w:pPr>
      <w:r>
        <w:rPr>
          <w:rFonts w:ascii="仿宋_GB2312" w:eastAsia="仿宋_GB2312"/>
          <w:color w:val="auto"/>
          <w:sz w:val="28"/>
          <w:szCs w:val="28"/>
          <w:highlight w:val="none"/>
        </w:rPr>
        <w:fldChar w:fldCharType="begin"/>
      </w:r>
      <w:r>
        <w:rPr>
          <w:rFonts w:ascii="仿宋_GB2312" w:eastAsia="仿宋_GB2312"/>
          <w:color w:val="auto"/>
          <w:sz w:val="28"/>
          <w:szCs w:val="28"/>
          <w:highlight w:val="none"/>
        </w:rPr>
        <w:instrText xml:space="preserve"> HYPERLINK \l _Toc22041 </w:instrText>
      </w:r>
      <w:r>
        <w:rPr>
          <w:rFonts w:ascii="仿宋_GB2312" w:eastAsia="仿宋_GB2312"/>
          <w:color w:val="auto"/>
          <w:sz w:val="28"/>
          <w:szCs w:val="28"/>
          <w:highlight w:val="none"/>
        </w:rPr>
        <w:fldChar w:fldCharType="separate"/>
      </w:r>
      <w:r>
        <w:rPr>
          <w:rFonts w:hint="eastAsia"/>
          <w:color w:val="auto"/>
          <w:sz w:val="28"/>
          <w:szCs w:val="28"/>
          <w:highlight w:val="none"/>
        </w:rPr>
        <w:t>第四章  评标方法及评标标准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_Toc22041 \h </w:instrText>
      </w:r>
      <w:r>
        <w:rPr>
          <w:color w:val="auto"/>
          <w:sz w:val="28"/>
          <w:szCs w:val="28"/>
          <w:highlight w:val="none"/>
        </w:rPr>
        <w:fldChar w:fldCharType="separate"/>
      </w:r>
      <w:r>
        <w:rPr>
          <w:color w:val="auto"/>
          <w:sz w:val="28"/>
          <w:szCs w:val="28"/>
          <w:highlight w:val="none"/>
        </w:rPr>
        <w:t>35</w:t>
      </w:r>
      <w:r>
        <w:rPr>
          <w:color w:val="auto"/>
          <w:sz w:val="28"/>
          <w:szCs w:val="28"/>
          <w:highlight w:val="none"/>
        </w:rPr>
        <w:fldChar w:fldCharType="end"/>
      </w:r>
      <w:r>
        <w:rPr>
          <w:rFonts w:ascii="仿宋_GB2312" w:eastAsia="仿宋_GB2312"/>
          <w:color w:val="auto"/>
          <w:sz w:val="28"/>
          <w:szCs w:val="28"/>
          <w:highlight w:val="none"/>
        </w:rPr>
        <w:fldChar w:fldCharType="end"/>
      </w:r>
    </w:p>
    <w:p w14:paraId="47D35721">
      <w:pPr>
        <w:pStyle w:val="35"/>
        <w:tabs>
          <w:tab w:val="right" w:leader="dot" w:pos="9638"/>
          <w:tab w:val="clear" w:pos="8398"/>
        </w:tabs>
        <w:ind w:firstLine="280"/>
        <w:rPr>
          <w:color w:val="auto"/>
          <w:sz w:val="28"/>
          <w:szCs w:val="28"/>
          <w:highlight w:val="none"/>
        </w:rPr>
      </w:pPr>
      <w:r>
        <w:rPr>
          <w:rFonts w:ascii="仿宋_GB2312" w:eastAsia="仿宋_GB2312"/>
          <w:color w:val="auto"/>
          <w:sz w:val="28"/>
          <w:szCs w:val="28"/>
          <w:highlight w:val="none"/>
        </w:rPr>
        <w:fldChar w:fldCharType="begin"/>
      </w:r>
      <w:r>
        <w:rPr>
          <w:rFonts w:ascii="仿宋_GB2312" w:eastAsia="仿宋_GB2312"/>
          <w:color w:val="auto"/>
          <w:sz w:val="28"/>
          <w:szCs w:val="28"/>
          <w:highlight w:val="none"/>
        </w:rPr>
        <w:instrText xml:space="preserve"> HYPERLINK \l _Toc12053 </w:instrText>
      </w:r>
      <w:r>
        <w:rPr>
          <w:rFonts w:ascii="仿宋_GB2312" w:eastAsia="仿宋_GB2312"/>
          <w:color w:val="auto"/>
          <w:sz w:val="28"/>
          <w:szCs w:val="28"/>
          <w:highlight w:val="none"/>
        </w:rPr>
        <w:fldChar w:fldCharType="separate"/>
      </w:r>
      <w:r>
        <w:rPr>
          <w:rFonts w:hint="eastAsia"/>
          <w:color w:val="auto"/>
          <w:sz w:val="28"/>
          <w:szCs w:val="28"/>
          <w:highlight w:val="none"/>
        </w:rPr>
        <w:t>第五章  拟签订的合同文本</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_Toc12053 \h </w:instrText>
      </w:r>
      <w:r>
        <w:rPr>
          <w:color w:val="auto"/>
          <w:sz w:val="28"/>
          <w:szCs w:val="28"/>
          <w:highlight w:val="none"/>
        </w:rPr>
        <w:fldChar w:fldCharType="separate"/>
      </w:r>
      <w:r>
        <w:rPr>
          <w:color w:val="auto"/>
          <w:sz w:val="28"/>
          <w:szCs w:val="28"/>
          <w:highlight w:val="none"/>
        </w:rPr>
        <w:t>43</w:t>
      </w:r>
      <w:r>
        <w:rPr>
          <w:color w:val="auto"/>
          <w:sz w:val="28"/>
          <w:szCs w:val="28"/>
          <w:highlight w:val="none"/>
        </w:rPr>
        <w:fldChar w:fldCharType="end"/>
      </w:r>
      <w:r>
        <w:rPr>
          <w:rFonts w:ascii="仿宋_GB2312" w:eastAsia="仿宋_GB2312"/>
          <w:color w:val="auto"/>
          <w:sz w:val="28"/>
          <w:szCs w:val="28"/>
          <w:highlight w:val="none"/>
        </w:rPr>
        <w:fldChar w:fldCharType="end"/>
      </w:r>
    </w:p>
    <w:p w14:paraId="5DBF0E27">
      <w:pPr>
        <w:pStyle w:val="35"/>
        <w:tabs>
          <w:tab w:val="right" w:leader="dot" w:pos="9638"/>
          <w:tab w:val="clear" w:pos="8398"/>
        </w:tabs>
        <w:ind w:firstLine="280"/>
        <w:rPr>
          <w:rFonts w:hint="eastAsia" w:eastAsia="仿宋_GB2312"/>
          <w:color w:val="auto"/>
          <w:sz w:val="28"/>
          <w:szCs w:val="28"/>
          <w:highlight w:val="none"/>
          <w:lang w:val="en-US" w:eastAsia="zh-CN"/>
        </w:rPr>
      </w:pPr>
      <w:r>
        <w:rPr>
          <w:rFonts w:ascii="仿宋_GB2312" w:eastAsia="仿宋_GB2312"/>
          <w:color w:val="auto"/>
          <w:sz w:val="28"/>
          <w:szCs w:val="28"/>
          <w:highlight w:val="none"/>
        </w:rPr>
        <w:fldChar w:fldCharType="begin"/>
      </w:r>
      <w:r>
        <w:rPr>
          <w:rFonts w:ascii="仿宋_GB2312" w:eastAsia="仿宋_GB2312"/>
          <w:color w:val="auto"/>
          <w:sz w:val="28"/>
          <w:szCs w:val="28"/>
          <w:highlight w:val="none"/>
        </w:rPr>
        <w:instrText xml:space="preserve"> HYPERLINK \l _Toc31786 </w:instrText>
      </w:r>
      <w:r>
        <w:rPr>
          <w:rFonts w:ascii="仿宋_GB2312" w:eastAsia="仿宋_GB2312"/>
          <w:color w:val="auto"/>
          <w:sz w:val="28"/>
          <w:szCs w:val="28"/>
          <w:highlight w:val="none"/>
        </w:rPr>
        <w:fldChar w:fldCharType="separate"/>
      </w:r>
      <w:r>
        <w:rPr>
          <w:rFonts w:hint="eastAsia"/>
          <w:color w:val="auto"/>
          <w:sz w:val="28"/>
          <w:szCs w:val="28"/>
          <w:highlight w:val="none"/>
        </w:rPr>
        <w:t>第六章　投标文件格式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_Toc31786 \h </w:instrText>
      </w:r>
      <w:r>
        <w:rPr>
          <w:color w:val="auto"/>
          <w:sz w:val="28"/>
          <w:szCs w:val="28"/>
          <w:highlight w:val="none"/>
        </w:rPr>
        <w:fldChar w:fldCharType="separate"/>
      </w:r>
      <w:r>
        <w:rPr>
          <w:color w:val="auto"/>
          <w:sz w:val="28"/>
          <w:szCs w:val="28"/>
          <w:highlight w:val="none"/>
        </w:rPr>
        <w:t>48</w:t>
      </w:r>
      <w:r>
        <w:rPr>
          <w:color w:val="auto"/>
          <w:sz w:val="28"/>
          <w:szCs w:val="28"/>
          <w:highlight w:val="none"/>
        </w:rPr>
        <w:fldChar w:fldCharType="end"/>
      </w:r>
      <w:r>
        <w:rPr>
          <w:rFonts w:ascii="仿宋_GB2312" w:eastAsia="仿宋_GB2312"/>
          <w:color w:val="auto"/>
          <w:sz w:val="28"/>
          <w:szCs w:val="28"/>
          <w:highlight w:val="none"/>
        </w:rPr>
        <w:fldChar w:fldCharType="end"/>
      </w:r>
    </w:p>
    <w:p w14:paraId="3E4C6650">
      <w:pPr>
        <w:spacing w:before="120" w:beforeLines="50" w:line="600" w:lineRule="exact"/>
        <w:jc w:val="center"/>
        <w:rPr>
          <w:rFonts w:hint="eastAsia" w:ascii="仿宋_GB2312" w:hAnsi="宋体" w:eastAsia="仿宋_GB2312"/>
          <w:color w:val="auto"/>
          <w:sz w:val="24"/>
          <w:highlight w:val="none"/>
        </w:rPr>
      </w:pPr>
      <w:r>
        <w:rPr>
          <w:rFonts w:ascii="仿宋_GB2312" w:hAnsi="宋体" w:eastAsia="仿宋_GB2312"/>
          <w:color w:val="auto"/>
          <w:sz w:val="28"/>
          <w:szCs w:val="28"/>
          <w:highlight w:val="none"/>
        </w:rPr>
        <w:fldChar w:fldCharType="end"/>
      </w:r>
    </w:p>
    <w:p w14:paraId="6DB7899F">
      <w:pPr>
        <w:spacing w:before="120" w:beforeLines="50" w:line="480" w:lineRule="exact"/>
        <w:rPr>
          <w:rFonts w:hint="eastAsia" w:ascii="仿宋_GB2312" w:hAnsi="宋体" w:eastAsia="仿宋_GB2312"/>
          <w:color w:val="auto"/>
          <w:sz w:val="30"/>
          <w:highlight w:val="none"/>
        </w:rPr>
      </w:pPr>
    </w:p>
    <w:p w14:paraId="6255F931">
      <w:pPr>
        <w:rPr>
          <w:rFonts w:hint="eastAsia"/>
          <w:color w:val="auto"/>
          <w:highlight w:val="none"/>
        </w:rPr>
      </w:pPr>
    </w:p>
    <w:p w14:paraId="1DBA1233">
      <w:pPr>
        <w:spacing w:before="120" w:beforeLines="50" w:line="480" w:lineRule="exact"/>
        <w:rPr>
          <w:rFonts w:hint="eastAsia" w:ascii="仿宋_GB2312" w:hAnsi="宋体" w:eastAsia="仿宋_GB2312"/>
          <w:color w:val="auto"/>
          <w:sz w:val="30"/>
          <w:highlight w:val="none"/>
        </w:rPr>
      </w:pPr>
    </w:p>
    <w:p w14:paraId="19A9BC51">
      <w:pPr>
        <w:spacing w:before="120" w:beforeLines="50" w:line="480" w:lineRule="exact"/>
        <w:rPr>
          <w:rFonts w:hint="eastAsia" w:ascii="仿宋_GB2312" w:hAnsi="宋体" w:eastAsia="仿宋_GB2312"/>
          <w:color w:val="auto"/>
          <w:sz w:val="30"/>
          <w:highlight w:val="none"/>
        </w:rPr>
      </w:pPr>
    </w:p>
    <w:p w14:paraId="383B451E">
      <w:pPr>
        <w:pStyle w:val="18"/>
        <w:rPr>
          <w:rFonts w:hint="eastAsia" w:ascii="宋体" w:hAnsi="宋体" w:cs="宋体"/>
          <w:b/>
          <w:bCs/>
          <w:color w:val="auto"/>
          <w:highlight w:val="none"/>
        </w:rPr>
      </w:pPr>
      <w:bookmarkStart w:id="0" w:name="_Toc254970489"/>
      <w:bookmarkStart w:id="1" w:name="_Toc254970630"/>
    </w:p>
    <w:p w14:paraId="57294852">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color w:val="auto"/>
          <w:highlight w:val="none"/>
        </w:rPr>
        <w:sectPr>
          <w:footerReference r:id="rId7" w:type="first"/>
          <w:footerReference r:id="rId6" w:type="default"/>
          <w:pgSz w:w="11906" w:h="16838"/>
          <w:pgMar w:top="1134" w:right="1134" w:bottom="2269" w:left="1134" w:header="851" w:footer="567" w:gutter="0"/>
          <w:pgNumType w:start="1"/>
          <w:cols w:space="720" w:num="1"/>
          <w:docGrid w:linePitch="312" w:charSpace="0"/>
        </w:sectPr>
      </w:pPr>
    </w:p>
    <w:p w14:paraId="2346B368">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color w:val="auto"/>
          <w:highlight w:val="none"/>
        </w:rPr>
      </w:pPr>
      <w:bookmarkStart w:id="2" w:name="_Toc25674"/>
      <w:r>
        <w:rPr>
          <w:rFonts w:hint="eastAsia"/>
          <w:color w:val="auto"/>
          <w:highlight w:val="none"/>
        </w:rPr>
        <w:t>第一章</w:t>
      </w:r>
      <w:bookmarkEnd w:id="0"/>
      <w:bookmarkEnd w:id="1"/>
      <w:bookmarkStart w:id="3" w:name="_Toc28359001"/>
      <w:bookmarkStart w:id="4" w:name="_Toc35393789"/>
      <w:r>
        <w:rPr>
          <w:rFonts w:hint="eastAsia"/>
          <w:color w:val="auto"/>
          <w:highlight w:val="none"/>
        </w:rPr>
        <w:t xml:space="preserve"> 招标公告</w:t>
      </w:r>
      <w:bookmarkEnd w:id="2"/>
      <w:bookmarkEnd w:id="3"/>
      <w:bookmarkEnd w:id="4"/>
    </w:p>
    <w:p w14:paraId="2874F74D">
      <w:pPr>
        <w:rPr>
          <w:rFonts w:hint="eastAsia"/>
          <w:color w:val="auto"/>
          <w:highlight w:val="none"/>
        </w:rPr>
      </w:pPr>
    </w:p>
    <w:p w14:paraId="62195290">
      <w:pPr>
        <w:pStyle w:val="27"/>
        <w:spacing w:line="500" w:lineRule="exact"/>
        <w:jc w:val="center"/>
        <w:rPr>
          <w:b/>
          <w:color w:val="auto"/>
          <w:sz w:val="36"/>
          <w:szCs w:val="36"/>
          <w:highlight w:val="none"/>
        </w:rPr>
      </w:pPr>
      <w:r>
        <w:rPr>
          <w:rFonts w:hint="eastAsia"/>
          <w:b/>
          <w:color w:val="auto"/>
          <w:sz w:val="36"/>
          <w:szCs w:val="36"/>
          <w:highlight w:val="none"/>
        </w:rPr>
        <w:t>广西科文招标有限公司</w:t>
      </w:r>
    </w:p>
    <w:p w14:paraId="39E409E2">
      <w:pPr>
        <w:pStyle w:val="2"/>
        <w:tabs>
          <w:tab w:val="left" w:pos="0"/>
          <w:tab w:val="left" w:pos="3165"/>
          <w:tab w:val="center" w:pos="4153"/>
        </w:tabs>
        <w:autoSpaceDE w:val="0"/>
        <w:autoSpaceDN w:val="0"/>
        <w:adjustRightInd w:val="0"/>
        <w:spacing w:before="0" w:after="0" w:line="500" w:lineRule="exact"/>
        <w:jc w:val="center"/>
        <w:rPr>
          <w:rFonts w:hint="eastAsia" w:ascii="宋体" w:hAnsi="宋体"/>
          <w:color w:val="auto"/>
          <w:szCs w:val="21"/>
          <w:highlight w:val="none"/>
        </w:rPr>
      </w:pPr>
      <w:bookmarkStart w:id="5" w:name="_Toc29290"/>
      <w:r>
        <w:rPr>
          <w:rFonts w:hint="eastAsia" w:ascii="宋体" w:hAnsi="Courier New"/>
          <w:bCs w:val="0"/>
          <w:color w:val="auto"/>
          <w:kern w:val="2"/>
          <w:sz w:val="36"/>
          <w:szCs w:val="36"/>
          <w:highlight w:val="none"/>
          <w:lang w:eastAsia="zh-CN"/>
        </w:rPr>
        <w:t>达芬奇IS4000手术机器人三年维保服务</w:t>
      </w:r>
      <w:r>
        <w:rPr>
          <w:rFonts w:hint="eastAsia" w:ascii="宋体" w:hAnsi="Courier New"/>
          <w:bCs w:val="0"/>
          <w:color w:val="auto"/>
          <w:kern w:val="2"/>
          <w:sz w:val="36"/>
          <w:szCs w:val="36"/>
          <w:highlight w:val="none"/>
        </w:rPr>
        <w:t>（</w:t>
      </w:r>
      <w:r>
        <w:rPr>
          <w:rFonts w:hint="eastAsia" w:ascii="宋体" w:hAnsi="Courier New"/>
          <w:bCs w:val="0"/>
          <w:color w:val="auto"/>
          <w:kern w:val="2"/>
          <w:sz w:val="36"/>
          <w:szCs w:val="36"/>
          <w:highlight w:val="none"/>
          <w:lang w:eastAsia="zh-CN"/>
        </w:rPr>
        <w:t>GXZC2026-G3-001644-KWZB</w:t>
      </w:r>
      <w:r>
        <w:rPr>
          <w:rFonts w:hint="eastAsia" w:ascii="宋体" w:hAnsi="Courier New"/>
          <w:bCs w:val="0"/>
          <w:color w:val="auto"/>
          <w:kern w:val="2"/>
          <w:sz w:val="36"/>
          <w:szCs w:val="36"/>
          <w:highlight w:val="none"/>
        </w:rPr>
        <w:t>）招标公告</w:t>
      </w:r>
      <w:bookmarkEnd w:id="5"/>
    </w:p>
    <w:p w14:paraId="2AF99F16">
      <w:pPr>
        <w:pStyle w:val="2"/>
        <w:tabs>
          <w:tab w:val="left" w:pos="0"/>
          <w:tab w:val="left" w:pos="3165"/>
          <w:tab w:val="center" w:pos="4153"/>
        </w:tabs>
        <w:autoSpaceDE w:val="0"/>
        <w:autoSpaceDN w:val="0"/>
        <w:adjustRightInd w:val="0"/>
        <w:spacing w:before="0" w:after="0" w:line="500" w:lineRule="exact"/>
        <w:jc w:val="center"/>
        <w:rPr>
          <w:rFonts w:hint="eastAsia" w:ascii="宋体" w:hAnsi="Courier New"/>
          <w:bCs w:val="0"/>
          <w:color w:val="auto"/>
          <w:kern w:val="2"/>
          <w:sz w:val="36"/>
          <w:szCs w:val="36"/>
          <w:highlight w:val="none"/>
        </w:rPr>
      </w:pPr>
    </w:p>
    <w:p w14:paraId="705ADF99">
      <w:pPr>
        <w:pBdr>
          <w:top w:val="single" w:color="auto" w:sz="4" w:space="1"/>
          <w:left w:val="single" w:color="auto" w:sz="4" w:space="4"/>
          <w:bottom w:val="single" w:color="auto" w:sz="4" w:space="0"/>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项目概况</w:t>
      </w:r>
    </w:p>
    <w:p w14:paraId="439A1036">
      <w:pPr>
        <w:pBdr>
          <w:top w:val="single" w:color="auto" w:sz="4" w:space="1"/>
          <w:left w:val="single" w:color="auto" w:sz="4" w:space="4"/>
          <w:bottom w:val="single" w:color="auto" w:sz="4" w:space="0"/>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达芬奇IS4000手术机器人三年维保服务</w:t>
      </w:r>
      <w:r>
        <w:rPr>
          <w:rFonts w:hint="eastAsia" w:ascii="宋体" w:hAnsi="宋体"/>
          <w:color w:val="auto"/>
          <w:szCs w:val="21"/>
          <w:highlight w:val="none"/>
        </w:rPr>
        <w:t>招标项目的潜在投标人应在广西政府采购云平台（https://www.gcy.zfcg.gxzf.gov.cn）获取（下载）招标文件，并于</w:t>
      </w:r>
      <w:r>
        <w:rPr>
          <w:rFonts w:hint="eastAsia" w:ascii="宋体" w:hAnsi="宋体"/>
          <w:color w:val="auto"/>
          <w:szCs w:val="21"/>
          <w:highlight w:val="none"/>
          <w:lang w:eastAsia="zh-CN"/>
        </w:rPr>
        <w:t>2026年  月  日9时30分</w:t>
      </w:r>
      <w:r>
        <w:rPr>
          <w:rFonts w:hint="eastAsia" w:ascii="宋体" w:hAnsi="宋体"/>
          <w:color w:val="auto"/>
          <w:szCs w:val="21"/>
          <w:highlight w:val="none"/>
        </w:rPr>
        <w:t>（北京时间）前</w:t>
      </w:r>
      <w:r>
        <w:rPr>
          <w:rFonts w:hint="eastAsia" w:ascii="宋体" w:hAnsi="宋体"/>
          <w:bCs/>
          <w:color w:val="auto"/>
          <w:szCs w:val="21"/>
          <w:highlight w:val="none"/>
        </w:rPr>
        <w:t>递交投标</w:t>
      </w:r>
      <w:r>
        <w:rPr>
          <w:rFonts w:ascii="宋体" w:hAnsi="宋体"/>
          <w:bCs/>
          <w:color w:val="auto"/>
          <w:szCs w:val="21"/>
          <w:highlight w:val="none"/>
        </w:rPr>
        <w:t>文件</w:t>
      </w:r>
      <w:r>
        <w:rPr>
          <w:rFonts w:hint="eastAsia" w:ascii="宋体" w:hAnsi="宋体"/>
          <w:color w:val="auto"/>
          <w:szCs w:val="21"/>
          <w:highlight w:val="none"/>
        </w:rPr>
        <w:t>。</w:t>
      </w:r>
    </w:p>
    <w:p w14:paraId="73F1D551">
      <w:pPr>
        <w:spacing w:line="360" w:lineRule="auto"/>
        <w:rPr>
          <w:rFonts w:ascii="宋体" w:hAnsi="宋体"/>
          <w:color w:val="auto"/>
          <w:szCs w:val="21"/>
          <w:highlight w:val="none"/>
        </w:rPr>
      </w:pPr>
    </w:p>
    <w:p w14:paraId="1EEBF074">
      <w:pPr>
        <w:spacing w:line="440" w:lineRule="exact"/>
        <w:rPr>
          <w:rFonts w:ascii="黑体" w:hAnsi="黑体" w:eastAsia="黑体"/>
          <w:b/>
          <w:bCs/>
          <w:color w:val="auto"/>
          <w:sz w:val="24"/>
          <w:highlight w:val="none"/>
        </w:rPr>
      </w:pPr>
      <w:bookmarkStart w:id="6" w:name="_Toc35393790"/>
      <w:bookmarkStart w:id="7" w:name="_Toc35393621"/>
      <w:bookmarkStart w:id="8" w:name="_Toc28359002"/>
      <w:bookmarkStart w:id="9" w:name="_Toc28359079"/>
      <w:bookmarkStart w:id="10" w:name="_Hlk24379207"/>
      <w:r>
        <w:rPr>
          <w:rFonts w:hint="eastAsia" w:ascii="黑体" w:hAnsi="黑体" w:eastAsia="黑体"/>
          <w:b/>
          <w:bCs/>
          <w:color w:val="auto"/>
          <w:sz w:val="24"/>
          <w:highlight w:val="none"/>
        </w:rPr>
        <w:t>一、项目基本情况</w:t>
      </w:r>
      <w:bookmarkEnd w:id="6"/>
      <w:bookmarkEnd w:id="7"/>
      <w:bookmarkEnd w:id="8"/>
      <w:bookmarkEnd w:id="9"/>
    </w:p>
    <w:p w14:paraId="3092E67A">
      <w:pPr>
        <w:spacing w:line="44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GXZC2026-G3-001644-KWZB</w:t>
      </w:r>
    </w:p>
    <w:p w14:paraId="05D19EAB">
      <w:pPr>
        <w:spacing w:line="44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达芬奇IS4000手术机器人三年维保服务</w:t>
      </w:r>
    </w:p>
    <w:bookmarkEnd w:id="10"/>
    <w:p w14:paraId="2DBEF0D8">
      <w:pPr>
        <w:spacing w:line="440" w:lineRule="exact"/>
        <w:ind w:firstLine="420" w:firstLineChars="200"/>
        <w:rPr>
          <w:rFonts w:hint="eastAsia" w:ascii="宋体" w:hAnsi="宋体" w:eastAsia="宋体"/>
          <w:color w:val="auto"/>
          <w:szCs w:val="21"/>
          <w:highlight w:val="none"/>
          <w:lang w:val="en-US" w:eastAsia="zh-CN"/>
        </w:rPr>
      </w:pPr>
      <w:r>
        <w:rPr>
          <w:rFonts w:hint="eastAsia" w:ascii="宋体" w:hAnsi="宋体"/>
          <w:color w:val="auto"/>
          <w:szCs w:val="21"/>
          <w:highlight w:val="none"/>
        </w:rPr>
        <w:t>预算金额：</w:t>
      </w:r>
      <w:r>
        <w:rPr>
          <w:rFonts w:hint="eastAsia" w:ascii="宋体" w:hAnsi="宋体"/>
          <w:color w:val="auto"/>
          <w:szCs w:val="21"/>
          <w:highlight w:val="none"/>
          <w:lang w:val="en-US" w:eastAsia="zh-CN"/>
        </w:rPr>
        <w:t>585万元</w:t>
      </w:r>
    </w:p>
    <w:p w14:paraId="62A95565">
      <w:pPr>
        <w:spacing w:line="440" w:lineRule="exact"/>
        <w:ind w:firstLine="420" w:firstLineChars="200"/>
        <w:rPr>
          <w:rFonts w:hint="default" w:ascii="宋体" w:hAnsi="宋体"/>
          <w:color w:val="auto"/>
          <w:szCs w:val="21"/>
          <w:highlight w:val="none"/>
          <w:lang w:val="en-US"/>
        </w:rPr>
      </w:pPr>
      <w:r>
        <w:rPr>
          <w:rFonts w:hint="eastAsia" w:ascii="宋体" w:hAnsi="宋体"/>
          <w:color w:val="auto"/>
          <w:szCs w:val="21"/>
          <w:highlight w:val="none"/>
        </w:rPr>
        <w:t>最高限价：</w:t>
      </w:r>
      <w:r>
        <w:rPr>
          <w:rFonts w:hint="eastAsia" w:ascii="宋体" w:hAnsi="宋体"/>
          <w:color w:val="auto"/>
          <w:szCs w:val="21"/>
          <w:highlight w:val="none"/>
          <w:lang w:val="en-US" w:eastAsia="zh-CN"/>
        </w:rPr>
        <w:t>585万元</w:t>
      </w:r>
    </w:p>
    <w:p w14:paraId="541E000D">
      <w:pPr>
        <w:pStyle w:val="27"/>
        <w:spacing w:line="440" w:lineRule="exact"/>
        <w:ind w:firstLine="420" w:firstLineChars="200"/>
        <w:rPr>
          <w:rFonts w:hAnsi="宋体"/>
          <w:b/>
          <w:bCs/>
          <w:color w:val="auto"/>
          <w:sz w:val="21"/>
          <w:szCs w:val="21"/>
          <w:highlight w:val="none"/>
        </w:rPr>
      </w:pPr>
      <w:r>
        <w:rPr>
          <w:rFonts w:hint="eastAsia" w:hAnsi="宋体"/>
          <w:color w:val="auto"/>
          <w:sz w:val="21"/>
          <w:highlight w:val="none"/>
        </w:rPr>
        <w:t>采购需求：</w:t>
      </w:r>
    </w:p>
    <w:tbl>
      <w:tblPr>
        <w:tblStyle w:val="4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0"/>
        <w:gridCol w:w="1537"/>
        <w:gridCol w:w="865"/>
        <w:gridCol w:w="6145"/>
      </w:tblGrid>
      <w:tr w14:paraId="7AA549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150B7667">
            <w:pPr>
              <w:snapToGrid w:val="0"/>
              <w:spacing w:line="440" w:lineRule="exact"/>
              <w:jc w:val="center"/>
              <w:rPr>
                <w:rFonts w:ascii="宋体" w:hAnsi="宋体"/>
                <w:color w:val="auto"/>
                <w:szCs w:val="21"/>
                <w:highlight w:val="none"/>
              </w:rPr>
            </w:pPr>
            <w:r>
              <w:rPr>
                <w:rFonts w:hint="eastAsia" w:ascii="宋体" w:hAnsi="宋体"/>
                <w:color w:val="auto"/>
                <w:szCs w:val="21"/>
                <w:highlight w:val="none"/>
              </w:rPr>
              <w:t>序号</w:t>
            </w:r>
          </w:p>
        </w:tc>
        <w:tc>
          <w:tcPr>
            <w:tcW w:w="1537" w:type="dxa"/>
            <w:tcBorders>
              <w:top w:val="single" w:color="auto" w:sz="4" w:space="0"/>
              <w:left w:val="single" w:color="auto" w:sz="4" w:space="0"/>
              <w:bottom w:val="single" w:color="auto" w:sz="4" w:space="0"/>
              <w:right w:val="single" w:color="auto" w:sz="4" w:space="0"/>
            </w:tcBorders>
            <w:noWrap w:val="0"/>
            <w:vAlign w:val="center"/>
          </w:tcPr>
          <w:p w14:paraId="66B8FBFD">
            <w:pPr>
              <w:snapToGrid w:val="0"/>
              <w:spacing w:line="440" w:lineRule="exact"/>
              <w:jc w:val="center"/>
              <w:rPr>
                <w:rFonts w:ascii="宋体" w:hAnsi="宋体"/>
                <w:color w:val="auto"/>
                <w:szCs w:val="21"/>
                <w:highlight w:val="none"/>
              </w:rPr>
            </w:pPr>
            <w:r>
              <w:rPr>
                <w:rFonts w:hint="eastAsia" w:ascii="宋体" w:hAnsi="宋体"/>
                <w:color w:val="auto"/>
                <w:szCs w:val="21"/>
                <w:highlight w:val="none"/>
              </w:rPr>
              <w:t>标的的名称</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7001F396">
            <w:pPr>
              <w:snapToGrid w:val="0"/>
              <w:spacing w:line="440" w:lineRule="exact"/>
              <w:jc w:val="center"/>
              <w:rPr>
                <w:rFonts w:ascii="宋体" w:hAnsi="宋体"/>
                <w:color w:val="auto"/>
                <w:szCs w:val="21"/>
                <w:highlight w:val="none"/>
              </w:rPr>
            </w:pPr>
            <w:r>
              <w:rPr>
                <w:rFonts w:hint="eastAsia" w:ascii="宋体" w:hAnsi="宋体"/>
                <w:color w:val="auto"/>
                <w:szCs w:val="21"/>
                <w:highlight w:val="none"/>
              </w:rPr>
              <w:t>数量及单位</w:t>
            </w:r>
          </w:p>
        </w:tc>
        <w:tc>
          <w:tcPr>
            <w:tcW w:w="6145" w:type="dxa"/>
            <w:tcBorders>
              <w:top w:val="single" w:color="auto" w:sz="4" w:space="0"/>
              <w:left w:val="single" w:color="auto" w:sz="4" w:space="0"/>
              <w:bottom w:val="single" w:color="auto" w:sz="4" w:space="0"/>
              <w:right w:val="single" w:color="auto" w:sz="4" w:space="0"/>
            </w:tcBorders>
            <w:noWrap w:val="0"/>
            <w:vAlign w:val="center"/>
          </w:tcPr>
          <w:p w14:paraId="345BD01F">
            <w:pPr>
              <w:snapToGrid w:val="0"/>
              <w:spacing w:line="440" w:lineRule="exact"/>
              <w:jc w:val="center"/>
              <w:rPr>
                <w:rFonts w:ascii="宋体" w:hAnsi="宋体"/>
                <w:color w:val="auto"/>
                <w:szCs w:val="21"/>
                <w:highlight w:val="none"/>
              </w:rPr>
            </w:pPr>
            <w:r>
              <w:rPr>
                <w:rFonts w:hint="eastAsia" w:ascii="宋体" w:hAnsi="宋体"/>
                <w:color w:val="auto"/>
                <w:szCs w:val="21"/>
                <w:highlight w:val="none"/>
              </w:rPr>
              <w:t>简要技术需求或者服务要求</w:t>
            </w:r>
          </w:p>
        </w:tc>
      </w:tr>
      <w:tr w14:paraId="14C10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5B931D1B">
            <w:pPr>
              <w:snapToGrid w:val="0"/>
              <w:spacing w:line="44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w:t>
            </w:r>
          </w:p>
        </w:tc>
        <w:tc>
          <w:tcPr>
            <w:tcW w:w="1537" w:type="dxa"/>
            <w:tcBorders>
              <w:top w:val="single" w:color="auto" w:sz="4" w:space="0"/>
              <w:left w:val="single" w:color="auto" w:sz="4" w:space="0"/>
              <w:bottom w:val="single" w:color="auto" w:sz="4" w:space="0"/>
              <w:right w:val="single" w:color="auto" w:sz="4" w:space="0"/>
            </w:tcBorders>
            <w:noWrap w:val="0"/>
            <w:vAlign w:val="center"/>
          </w:tcPr>
          <w:p w14:paraId="713ECCD1">
            <w:pPr>
              <w:tabs>
                <w:tab w:val="left" w:pos="180"/>
                <w:tab w:val="left" w:pos="1620"/>
              </w:tabs>
              <w:spacing w:line="360" w:lineRule="auto"/>
              <w:jc w:val="both"/>
              <w:rPr>
                <w:rFonts w:hint="eastAsia" w:ascii="宋体" w:hAnsi="宋体"/>
                <w:color w:val="auto"/>
                <w:szCs w:val="21"/>
                <w:highlight w:val="none"/>
              </w:rPr>
            </w:pPr>
            <w:r>
              <w:rPr>
                <w:rFonts w:hint="eastAsia" w:ascii="宋体" w:hAnsi="宋体" w:eastAsia="宋体" w:cs="宋体"/>
                <w:szCs w:val="21"/>
              </w:rPr>
              <w:t>达芬奇IS4000手术机器人三年维保服务</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34851FED">
            <w:pPr>
              <w:spacing w:line="360" w:lineRule="auto"/>
              <w:jc w:val="center"/>
              <w:rPr>
                <w:rFonts w:hint="default" w:ascii="宋体" w:hAnsi="宋体" w:eastAsia="宋体"/>
                <w:color w:val="auto"/>
                <w:szCs w:val="21"/>
                <w:highlight w:val="none"/>
                <w:lang w:val="en-US" w:eastAsia="zh-CN"/>
              </w:rPr>
            </w:pPr>
            <w:r>
              <w:rPr>
                <w:rFonts w:hint="eastAsia" w:ascii="宋体" w:hAnsi="宋体" w:eastAsia="宋体" w:cs="Arial"/>
                <w:szCs w:val="21"/>
              </w:rPr>
              <w:t>1项</w:t>
            </w:r>
          </w:p>
        </w:tc>
        <w:tc>
          <w:tcPr>
            <w:tcW w:w="6145" w:type="dxa"/>
            <w:tcBorders>
              <w:top w:val="single" w:color="auto" w:sz="4" w:space="0"/>
              <w:left w:val="single" w:color="auto" w:sz="4" w:space="0"/>
              <w:bottom w:val="single" w:color="auto" w:sz="4" w:space="0"/>
              <w:right w:val="single" w:color="auto" w:sz="4" w:space="0"/>
            </w:tcBorders>
            <w:noWrap w:val="0"/>
            <w:vAlign w:val="center"/>
          </w:tcPr>
          <w:p w14:paraId="01409B56">
            <w:pPr>
              <w:snapToGrid w:val="0"/>
              <w:spacing w:line="440" w:lineRule="exact"/>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一、基本服务要求</w:t>
            </w:r>
          </w:p>
          <w:p w14:paraId="4DDA9EFD">
            <w:pPr>
              <w:snapToGrid w:val="0"/>
              <w:spacing w:line="440" w:lineRule="exact"/>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1.维保类型：全保服务。</w:t>
            </w:r>
          </w:p>
          <w:p w14:paraId="4607E39D">
            <w:pPr>
              <w:snapToGrid w:val="0"/>
              <w:spacing w:line="440" w:lineRule="exact"/>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2.维保期内，设备进行维修，保养和更换配件，承担配件、劳务和差旅等费用，不再收取除合同款外的其他费用。</w:t>
            </w:r>
          </w:p>
          <w:p w14:paraId="498C3B92">
            <w:pPr>
              <w:snapToGrid w:val="0"/>
              <w:spacing w:line="440" w:lineRule="exact"/>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3.每年4次预防性维护，包括设备的安全检查、除尘保养及运行状态检查、定期更换设备易损部件等。</w:t>
            </w:r>
          </w:p>
          <w:p w14:paraId="3E62DC53">
            <w:pPr>
              <w:snapToGrid w:val="0"/>
              <w:spacing w:line="440" w:lineRule="exact"/>
              <w:jc w:val="left"/>
              <w:rPr>
                <w:rFonts w:hint="default"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bidi="ar"/>
              </w:rPr>
              <w:t>4.提供原厂系统免费软件版本升级。升级版本</w:t>
            </w:r>
            <w:r>
              <w:rPr>
                <w:rFonts w:hint="eastAsia" w:ascii="宋体" w:hAnsi="宋体" w:cs="宋体"/>
                <w:color w:val="auto"/>
                <w:kern w:val="0"/>
                <w:szCs w:val="21"/>
                <w:highlight w:val="none"/>
                <w:lang w:val="en-US" w:eastAsia="zh-CN" w:bidi="ar"/>
              </w:rPr>
              <w:t>应保持为合同期内最高级别、最新、功能最全的版本。</w:t>
            </w:r>
          </w:p>
          <w:p w14:paraId="3A156E39">
            <w:pPr>
              <w:snapToGrid w:val="0"/>
              <w:spacing w:line="440" w:lineRule="exact"/>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5.服务期内，根据用户需求提供设备使用咨询及必要的现场技术交流服务。</w:t>
            </w:r>
          </w:p>
          <w:p w14:paraId="783DEF1C">
            <w:pPr>
              <w:snapToGrid w:val="0"/>
              <w:spacing w:line="440" w:lineRule="exact"/>
              <w:jc w:val="left"/>
              <w:rPr>
                <w:rFonts w:hint="eastAsia" w:ascii="宋体" w:hAnsi="宋体" w:cs="宋体"/>
                <w:color w:val="auto"/>
                <w:kern w:val="0"/>
                <w:szCs w:val="21"/>
                <w:highlight w:val="none"/>
                <w:lang w:bidi="ar"/>
              </w:rPr>
            </w:pPr>
            <w:r>
              <w:rPr>
                <w:rFonts w:hint="eastAsia" w:ascii="宋体" w:hAnsi="宋体" w:eastAsia="宋体" w:cs="宋体"/>
                <w:b/>
                <w:bCs/>
                <w:color w:val="auto"/>
                <w:kern w:val="0"/>
                <w:szCs w:val="21"/>
                <w:highlight w:val="none"/>
                <w:lang w:bidi="ar"/>
              </w:rPr>
              <w:t>……</w:t>
            </w:r>
          </w:p>
        </w:tc>
      </w:tr>
    </w:tbl>
    <w:p w14:paraId="36F08218">
      <w:pPr>
        <w:spacing w:line="440" w:lineRule="exact"/>
        <w:ind w:firstLine="420" w:firstLineChars="200"/>
        <w:rPr>
          <w:rFonts w:ascii="宋体" w:hAnsi="宋体"/>
          <w:color w:val="auto"/>
          <w:szCs w:val="21"/>
          <w:highlight w:val="none"/>
          <w:u w:val="single"/>
        </w:rPr>
      </w:pPr>
      <w:r>
        <w:rPr>
          <w:rFonts w:hint="eastAsia" w:ascii="宋体" w:hAnsi="宋体"/>
          <w:color w:val="auto"/>
          <w:szCs w:val="21"/>
          <w:highlight w:val="none"/>
        </w:rPr>
        <w:t>合同履行期限：</w:t>
      </w:r>
      <w:r>
        <w:rPr>
          <w:rFonts w:hint="eastAsia" w:ascii="宋体" w:hAnsi="宋体"/>
          <w:color w:val="auto"/>
          <w:szCs w:val="21"/>
          <w:highlight w:val="none"/>
          <w:lang w:eastAsia="zh-CN"/>
        </w:rPr>
        <w:t>自合同签订之日起3年</w:t>
      </w:r>
      <w:r>
        <w:rPr>
          <w:rFonts w:hint="eastAsia" w:ascii="宋体" w:hAnsi="宋体"/>
          <w:color w:val="auto"/>
          <w:szCs w:val="21"/>
          <w:highlight w:val="none"/>
        </w:rPr>
        <w:t>。</w:t>
      </w:r>
    </w:p>
    <w:p w14:paraId="7ED97B4E">
      <w:pPr>
        <w:spacing w:line="440" w:lineRule="exact"/>
        <w:ind w:firstLine="422" w:firstLineChars="200"/>
        <w:rPr>
          <w:rFonts w:ascii="宋体" w:hAnsi="宋体"/>
          <w:b/>
          <w:color w:val="auto"/>
          <w:szCs w:val="21"/>
          <w:highlight w:val="none"/>
        </w:rPr>
      </w:pPr>
      <w:r>
        <w:rPr>
          <w:rFonts w:hint="eastAsia" w:ascii="宋体" w:hAnsi="宋体"/>
          <w:b/>
          <w:color w:val="auto"/>
          <w:szCs w:val="21"/>
          <w:highlight w:val="none"/>
        </w:rPr>
        <w:t>本项目不接受联合体投标。</w:t>
      </w:r>
    </w:p>
    <w:p w14:paraId="4A81A28A">
      <w:pPr>
        <w:spacing w:line="440" w:lineRule="exact"/>
        <w:rPr>
          <w:rFonts w:ascii="黑体" w:hAnsi="黑体" w:eastAsia="黑体"/>
          <w:b/>
          <w:bCs/>
          <w:color w:val="auto"/>
          <w:sz w:val="24"/>
          <w:highlight w:val="none"/>
        </w:rPr>
      </w:pPr>
      <w:bookmarkStart w:id="11" w:name="_Toc28359080"/>
      <w:bookmarkStart w:id="12" w:name="_Toc28359003"/>
      <w:bookmarkStart w:id="13" w:name="_Toc35393622"/>
      <w:bookmarkStart w:id="14" w:name="_Toc35393791"/>
      <w:r>
        <w:rPr>
          <w:rFonts w:hint="eastAsia" w:ascii="黑体" w:hAnsi="黑体" w:eastAsia="黑体"/>
          <w:b/>
          <w:bCs/>
          <w:color w:val="auto"/>
          <w:sz w:val="24"/>
          <w:highlight w:val="none"/>
        </w:rPr>
        <w:t>二、申请人的资格要求：</w:t>
      </w:r>
      <w:bookmarkEnd w:id="11"/>
      <w:bookmarkEnd w:id="12"/>
      <w:bookmarkEnd w:id="13"/>
      <w:bookmarkEnd w:id="14"/>
    </w:p>
    <w:p w14:paraId="371D2676">
      <w:pPr>
        <w:spacing w:line="440" w:lineRule="exact"/>
        <w:ind w:firstLine="420" w:firstLineChars="200"/>
        <w:rPr>
          <w:rFonts w:ascii="宋体" w:hAnsi="宋体"/>
          <w:color w:val="auto"/>
          <w:szCs w:val="21"/>
          <w:highlight w:val="none"/>
        </w:rPr>
      </w:pPr>
      <w:bookmarkStart w:id="15" w:name="_Toc28359081"/>
      <w:bookmarkStart w:id="16" w:name="_Toc28359004"/>
      <w:bookmarkStart w:id="17" w:name="_Toc35393792"/>
      <w:bookmarkStart w:id="18" w:name="_Toc35393623"/>
      <w:r>
        <w:rPr>
          <w:rFonts w:hint="eastAsia" w:ascii="宋体" w:hAnsi="宋体"/>
          <w:color w:val="auto"/>
          <w:szCs w:val="21"/>
          <w:highlight w:val="none"/>
        </w:rPr>
        <w:t>1、满足《中华人民共和国政府采购法》第二十二条规定；</w:t>
      </w:r>
    </w:p>
    <w:p w14:paraId="6E4AFE3F">
      <w:pPr>
        <w:spacing w:line="440" w:lineRule="exact"/>
        <w:ind w:firstLine="420" w:firstLineChars="200"/>
        <w:rPr>
          <w:rFonts w:hint="eastAsia" w:ascii="宋体" w:hAnsi="宋体" w:eastAsia="宋体"/>
          <w:color w:val="auto"/>
          <w:szCs w:val="21"/>
          <w:highlight w:val="none"/>
          <w:u w:val="none"/>
          <w:lang w:eastAsia="zh-CN"/>
        </w:rPr>
      </w:pPr>
      <w:r>
        <w:rPr>
          <w:rFonts w:ascii="宋体" w:hAnsi="宋体"/>
          <w:color w:val="auto"/>
          <w:szCs w:val="21"/>
          <w:highlight w:val="none"/>
        </w:rPr>
        <w:t>2</w:t>
      </w:r>
      <w:r>
        <w:rPr>
          <w:rFonts w:hint="eastAsia" w:ascii="宋体" w:hAnsi="宋体"/>
          <w:color w:val="auto"/>
          <w:szCs w:val="21"/>
          <w:highlight w:val="none"/>
        </w:rPr>
        <w:t>、落实政府采购政策需满足的资格</w:t>
      </w:r>
      <w:r>
        <w:rPr>
          <w:rFonts w:hint="eastAsia" w:ascii="宋体" w:hAnsi="宋体"/>
          <w:color w:val="auto"/>
          <w:szCs w:val="21"/>
          <w:highlight w:val="none"/>
          <w:u w:val="none"/>
        </w:rPr>
        <w:t>要求：无</w:t>
      </w:r>
      <w:r>
        <w:rPr>
          <w:rFonts w:hint="eastAsia" w:ascii="宋体" w:hAnsi="宋体"/>
          <w:color w:val="auto"/>
          <w:szCs w:val="21"/>
          <w:highlight w:val="none"/>
          <w:u w:val="none"/>
          <w:lang w:eastAsia="zh-CN"/>
        </w:rPr>
        <w:t>，非专门面向中小企业采购的项目；</w:t>
      </w:r>
    </w:p>
    <w:p w14:paraId="3C7A93AA">
      <w:pPr>
        <w:spacing w:line="440" w:lineRule="exact"/>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rPr>
        <w:t>3、本项目的特定资格要求：</w:t>
      </w:r>
      <w:r>
        <w:rPr>
          <w:rFonts w:hint="eastAsia" w:ascii="宋体" w:hAnsi="宋体"/>
          <w:color w:val="auto"/>
          <w:szCs w:val="21"/>
          <w:highlight w:val="none"/>
          <w:u w:val="none"/>
          <w:lang w:val="en-US" w:eastAsia="zh-CN"/>
        </w:rPr>
        <w:t>无</w:t>
      </w:r>
      <w:r>
        <w:rPr>
          <w:rFonts w:hint="eastAsia" w:ascii="宋体" w:hAnsi="宋体"/>
          <w:color w:val="auto"/>
          <w:szCs w:val="21"/>
          <w:highlight w:val="none"/>
          <w:u w:val="none"/>
        </w:rPr>
        <w:t>。</w:t>
      </w:r>
    </w:p>
    <w:p w14:paraId="056C7C0A">
      <w:pPr>
        <w:spacing w:line="440" w:lineRule="exact"/>
        <w:rPr>
          <w:rFonts w:ascii="黑体" w:hAnsi="黑体" w:eastAsia="黑体"/>
          <w:b/>
          <w:bCs/>
          <w:color w:val="auto"/>
          <w:sz w:val="24"/>
          <w:highlight w:val="none"/>
        </w:rPr>
      </w:pPr>
      <w:r>
        <w:rPr>
          <w:rFonts w:hint="eastAsia" w:ascii="黑体" w:hAnsi="黑体" w:eastAsia="黑体"/>
          <w:b/>
          <w:bCs/>
          <w:color w:val="auto"/>
          <w:sz w:val="24"/>
          <w:highlight w:val="none"/>
        </w:rPr>
        <w:t>三、获取招标文件</w:t>
      </w:r>
      <w:bookmarkEnd w:id="15"/>
      <w:bookmarkEnd w:id="16"/>
      <w:bookmarkEnd w:id="17"/>
      <w:bookmarkEnd w:id="18"/>
    </w:p>
    <w:p w14:paraId="6BF49626">
      <w:pPr>
        <w:spacing w:line="44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时间：</w:t>
      </w:r>
      <w:r>
        <w:rPr>
          <w:rFonts w:hint="eastAsia" w:ascii="宋体" w:hAnsi="宋体" w:cs="Arial"/>
          <w:color w:val="auto"/>
          <w:szCs w:val="21"/>
          <w:highlight w:val="none"/>
          <w:lang w:eastAsia="zh-CN"/>
        </w:rPr>
        <w:t>2026年6月  日</w:t>
      </w:r>
      <w:r>
        <w:rPr>
          <w:rFonts w:hint="eastAsia" w:ascii="宋体" w:hAnsi="宋体" w:cs="Arial"/>
          <w:color w:val="auto"/>
          <w:szCs w:val="21"/>
          <w:highlight w:val="none"/>
        </w:rPr>
        <w:t>至</w:t>
      </w:r>
      <w:r>
        <w:rPr>
          <w:rFonts w:hint="eastAsia" w:ascii="宋体" w:hAnsi="宋体" w:cs="Arial"/>
          <w:color w:val="auto"/>
          <w:szCs w:val="21"/>
          <w:highlight w:val="none"/>
          <w:lang w:eastAsia="zh-CN"/>
        </w:rPr>
        <w:t>2026年6月  日</w:t>
      </w:r>
      <w:r>
        <w:rPr>
          <w:rFonts w:hint="eastAsia" w:ascii="宋体" w:hAnsi="宋体" w:cs="Arial"/>
          <w:color w:val="auto"/>
          <w:szCs w:val="21"/>
          <w:highlight w:val="none"/>
        </w:rPr>
        <w:t>，每天上午00:00-12:00；下午12:00-23:59（北京时间，</w:t>
      </w:r>
      <w:r>
        <w:rPr>
          <w:rFonts w:ascii="宋体" w:hAnsi="宋体" w:cs="Arial"/>
          <w:color w:val="auto"/>
          <w:szCs w:val="21"/>
          <w:highlight w:val="none"/>
        </w:rPr>
        <w:t>法定节假日</w:t>
      </w:r>
      <w:r>
        <w:rPr>
          <w:rFonts w:hint="eastAsia" w:ascii="宋体" w:hAnsi="宋体" w:cs="Arial"/>
          <w:color w:val="auto"/>
          <w:szCs w:val="21"/>
          <w:highlight w:val="none"/>
        </w:rPr>
        <w:t>除外）。</w:t>
      </w:r>
    </w:p>
    <w:p w14:paraId="0F402B20">
      <w:pPr>
        <w:spacing w:line="44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地点：广西政府采购云平台（https://www.gcy.zfcg.gxzf.gov.cn）</w:t>
      </w:r>
    </w:p>
    <w:p w14:paraId="05BD7289">
      <w:pPr>
        <w:spacing w:line="44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方式：网上下载。本项目不发放纸质文件，投标人应自行在</w:t>
      </w:r>
      <w:r>
        <w:rPr>
          <w:rFonts w:hint="eastAsia" w:ascii="宋体" w:hAnsi="宋体" w:cs="Arial"/>
          <w:color w:val="auto"/>
          <w:szCs w:val="21"/>
          <w:highlight w:val="none"/>
        </w:rPr>
        <w:fldChar w:fldCharType="begin"/>
      </w:r>
      <w:r>
        <w:rPr>
          <w:rFonts w:hint="eastAsia" w:ascii="宋体" w:hAnsi="宋体" w:cs="Arial"/>
          <w:color w:val="auto"/>
          <w:szCs w:val="21"/>
          <w:highlight w:val="none"/>
        </w:rPr>
        <w:instrText xml:space="preserve"> HYPERLINK "" </w:instrText>
      </w:r>
      <w:r>
        <w:rPr>
          <w:rFonts w:hint="eastAsia" w:ascii="宋体" w:hAnsi="宋体" w:cs="Arial"/>
          <w:color w:val="auto"/>
          <w:szCs w:val="21"/>
          <w:highlight w:val="none"/>
        </w:rPr>
        <w:fldChar w:fldCharType="separate"/>
      </w:r>
      <w:r>
        <w:rPr>
          <w:rFonts w:hint="eastAsia" w:ascii="宋体" w:hAnsi="宋体" w:cs="Arial"/>
          <w:color w:val="auto"/>
          <w:szCs w:val="21"/>
          <w:highlight w:val="none"/>
        </w:rPr>
        <w:fldChar w:fldCharType="end"/>
      </w:r>
      <w:r>
        <w:rPr>
          <w:rFonts w:hint="eastAsia" w:ascii="宋体" w:hAnsi="宋体" w:cs="Arial"/>
          <w:color w:val="auto"/>
          <w:szCs w:val="21"/>
          <w:highlight w:val="none"/>
        </w:rPr>
        <w:t>广西政府采购云平台（https://www.gcy.zfcg.gxzf.gov.cn）下载招标文件（操作路径：登录广西政府采购云平台-项目采购-获取采购文件-找到本项目-点击“申请获取采购文件”），电子投标文件制作需要基于广西政府采购云平台获取的招标文件编制。</w:t>
      </w:r>
    </w:p>
    <w:p w14:paraId="716CC7E2">
      <w:pPr>
        <w:spacing w:line="440" w:lineRule="exact"/>
        <w:ind w:firstLine="420" w:firstLineChars="200"/>
        <w:rPr>
          <w:rFonts w:ascii="宋体" w:hAnsi="宋体" w:cs="宋体"/>
          <w:color w:val="auto"/>
          <w:szCs w:val="21"/>
          <w:highlight w:val="none"/>
        </w:rPr>
      </w:pPr>
      <w:r>
        <w:rPr>
          <w:rFonts w:hint="eastAsia" w:ascii="宋体" w:hAnsi="宋体" w:cs="Arial"/>
          <w:color w:val="auto"/>
          <w:szCs w:val="21"/>
          <w:highlight w:val="none"/>
        </w:rPr>
        <w:t>售价：0元。</w:t>
      </w:r>
    </w:p>
    <w:p w14:paraId="7954A33C">
      <w:pPr>
        <w:spacing w:line="440" w:lineRule="exact"/>
        <w:rPr>
          <w:rFonts w:ascii="黑体" w:hAnsi="黑体" w:eastAsia="黑体"/>
          <w:b/>
          <w:bCs/>
          <w:color w:val="auto"/>
          <w:sz w:val="24"/>
          <w:highlight w:val="none"/>
        </w:rPr>
      </w:pPr>
      <w:bookmarkStart w:id="19" w:name="_Toc28359082"/>
      <w:bookmarkStart w:id="20" w:name="_Toc28359005"/>
      <w:bookmarkStart w:id="21" w:name="_Toc35393624"/>
      <w:bookmarkStart w:id="22" w:name="_Toc35393793"/>
      <w:r>
        <w:rPr>
          <w:rFonts w:hint="eastAsia" w:ascii="黑体" w:hAnsi="黑体" w:eastAsia="黑体"/>
          <w:b/>
          <w:bCs/>
          <w:color w:val="auto"/>
          <w:sz w:val="24"/>
          <w:highlight w:val="none"/>
        </w:rPr>
        <w:t>四、提交投标文件</w:t>
      </w:r>
      <w:bookmarkEnd w:id="19"/>
      <w:bookmarkEnd w:id="20"/>
      <w:r>
        <w:rPr>
          <w:rFonts w:hint="eastAsia" w:ascii="黑体" w:hAnsi="黑体" w:eastAsia="黑体"/>
          <w:b/>
          <w:bCs/>
          <w:color w:val="auto"/>
          <w:sz w:val="24"/>
          <w:highlight w:val="none"/>
        </w:rPr>
        <w:t>截止时间、开标时间和地点</w:t>
      </w:r>
      <w:bookmarkEnd w:id="21"/>
      <w:bookmarkEnd w:id="22"/>
    </w:p>
    <w:p w14:paraId="4ED07C48">
      <w:pPr>
        <w:spacing w:line="440" w:lineRule="exact"/>
        <w:ind w:firstLine="420" w:firstLineChars="200"/>
        <w:rPr>
          <w:rFonts w:ascii="宋体" w:hAnsi="宋体" w:cs="Arial"/>
          <w:color w:val="auto"/>
          <w:szCs w:val="21"/>
          <w:highlight w:val="none"/>
        </w:rPr>
      </w:pPr>
      <w:bookmarkStart w:id="23" w:name="_Toc28359084"/>
      <w:bookmarkStart w:id="24" w:name="_Toc35393794"/>
      <w:bookmarkStart w:id="25" w:name="_Toc35393625"/>
      <w:bookmarkStart w:id="26" w:name="_Toc28359007"/>
      <w:r>
        <w:rPr>
          <w:rFonts w:hint="eastAsia" w:ascii="宋体" w:hAnsi="宋体"/>
          <w:color w:val="auto"/>
          <w:szCs w:val="21"/>
          <w:highlight w:val="none"/>
        </w:rPr>
        <w:t>1、</w:t>
      </w:r>
      <w:r>
        <w:rPr>
          <w:rFonts w:hint="eastAsia" w:ascii="宋体" w:hAnsi="宋体" w:cs="宋体"/>
          <w:color w:val="auto"/>
          <w:szCs w:val="21"/>
          <w:highlight w:val="none"/>
          <w:lang w:bidi="ar"/>
        </w:rPr>
        <w:t>截止时间</w:t>
      </w:r>
      <w:r>
        <w:rPr>
          <w:rFonts w:hint="eastAsia" w:ascii="宋体" w:hAnsi="宋体"/>
          <w:color w:val="auto"/>
          <w:szCs w:val="21"/>
          <w:highlight w:val="none"/>
        </w:rPr>
        <w:t>：</w:t>
      </w:r>
      <w:r>
        <w:rPr>
          <w:rFonts w:hint="eastAsia" w:ascii="宋体" w:hAnsi="宋体" w:cs="Arial"/>
          <w:color w:val="auto"/>
          <w:szCs w:val="21"/>
          <w:highlight w:val="none"/>
          <w:lang w:eastAsia="zh-CN"/>
        </w:rPr>
        <w:t>2026年  月  日9时30分</w:t>
      </w:r>
      <w:r>
        <w:rPr>
          <w:rFonts w:hint="eastAsia" w:ascii="宋体" w:hAnsi="宋体" w:cs="Arial"/>
          <w:color w:val="auto"/>
          <w:szCs w:val="21"/>
          <w:highlight w:val="none"/>
        </w:rPr>
        <w:t>（北京时间）</w:t>
      </w:r>
    </w:p>
    <w:p w14:paraId="70AC25F0">
      <w:pPr>
        <w:spacing w:line="44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2、地点：本项目将在广西政府采购云平台电子开标大厅解密、开标。</w:t>
      </w:r>
    </w:p>
    <w:p w14:paraId="49B71D18">
      <w:pPr>
        <w:spacing w:line="440" w:lineRule="exact"/>
        <w:rPr>
          <w:rFonts w:ascii="黑体" w:hAnsi="黑体" w:eastAsia="黑体"/>
          <w:b/>
          <w:bCs/>
          <w:color w:val="auto"/>
          <w:sz w:val="24"/>
          <w:highlight w:val="none"/>
        </w:rPr>
      </w:pPr>
      <w:r>
        <w:rPr>
          <w:rFonts w:hint="eastAsia" w:ascii="黑体" w:hAnsi="黑体" w:eastAsia="黑体"/>
          <w:b/>
          <w:bCs/>
          <w:color w:val="auto"/>
          <w:sz w:val="24"/>
          <w:highlight w:val="none"/>
        </w:rPr>
        <w:t>五、公告期限</w:t>
      </w:r>
      <w:bookmarkEnd w:id="23"/>
      <w:bookmarkEnd w:id="24"/>
      <w:bookmarkEnd w:id="25"/>
      <w:bookmarkEnd w:id="26"/>
    </w:p>
    <w:p w14:paraId="236581B9">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14352739">
      <w:pPr>
        <w:spacing w:line="440" w:lineRule="exact"/>
        <w:rPr>
          <w:rFonts w:ascii="黑体" w:hAnsi="黑体" w:eastAsia="黑体"/>
          <w:b/>
          <w:bCs/>
          <w:color w:val="auto"/>
          <w:sz w:val="24"/>
          <w:highlight w:val="none"/>
        </w:rPr>
      </w:pPr>
      <w:bookmarkStart w:id="27" w:name="_Toc35393626"/>
      <w:bookmarkStart w:id="28" w:name="_Toc35393795"/>
      <w:r>
        <w:rPr>
          <w:rFonts w:hint="eastAsia" w:ascii="黑体" w:hAnsi="黑体" w:eastAsia="黑体"/>
          <w:b/>
          <w:bCs/>
          <w:color w:val="auto"/>
          <w:sz w:val="24"/>
          <w:highlight w:val="none"/>
        </w:rPr>
        <w:t>六、其他补充事宜</w:t>
      </w:r>
      <w:bookmarkEnd w:id="27"/>
      <w:bookmarkEnd w:id="28"/>
    </w:p>
    <w:p w14:paraId="127AA120">
      <w:pPr>
        <w:spacing w:line="440" w:lineRule="exact"/>
        <w:ind w:firstLine="420" w:firstLineChars="200"/>
        <w:rPr>
          <w:rFonts w:hint="eastAsia" w:ascii="宋体" w:hAnsi="宋体" w:cs="宋体"/>
          <w:color w:val="auto"/>
          <w:kern w:val="0"/>
          <w:szCs w:val="21"/>
          <w:highlight w:val="none"/>
        </w:rPr>
      </w:pPr>
      <w:bookmarkStart w:id="29" w:name="_Hlk37429674"/>
      <w:r>
        <w:rPr>
          <w:rFonts w:hint="eastAsia" w:ascii="宋体" w:hAnsi="宋体" w:cs="宋体"/>
          <w:color w:val="auto"/>
          <w:kern w:val="0"/>
          <w:szCs w:val="21"/>
          <w:highlight w:val="none"/>
        </w:rPr>
        <w:t>1、投标保证金（人民币）：</w:t>
      </w:r>
      <w:r>
        <w:rPr>
          <w:rFonts w:hint="eastAsia" w:ascii="宋体" w:hAnsi="宋体" w:cs="宋体"/>
          <w:color w:val="auto"/>
          <w:kern w:val="0"/>
          <w:szCs w:val="21"/>
          <w:highlight w:val="none"/>
          <w:lang w:val="en-US" w:eastAsia="zh-CN"/>
        </w:rPr>
        <w:t>58000元</w:t>
      </w:r>
      <w:r>
        <w:rPr>
          <w:rFonts w:hint="eastAsia" w:ascii="宋体" w:hAnsi="宋体" w:cs="宋体"/>
          <w:color w:val="auto"/>
          <w:kern w:val="0"/>
          <w:szCs w:val="21"/>
          <w:highlight w:val="none"/>
        </w:rPr>
        <w:t>。</w:t>
      </w:r>
    </w:p>
    <w:p w14:paraId="336288CA">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单位负责人为同一人或者存在直接控股、管理关系的不同投标人，不得参加同一合同项下的政府采购活动。为本项目提供过整体设计、规范编制或者项目管理、监理、检测等服务的投标人，不得再参加本项目上述服务以外的其他采购活动。</w:t>
      </w:r>
    </w:p>
    <w:p w14:paraId="795E4575">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投标人，不得参与政府采购活动。</w:t>
      </w:r>
    </w:p>
    <w:p w14:paraId="72DD54D2">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4、网上查询地址：中国政府采购网（www.ccgp.gov.cn）、广西政府采购网（zfcg.gxzf.gov.cn）、广西壮族自治区公共资源交易中心（http://ggzy.jgswj.gxzf.gov.cn/）。</w:t>
      </w:r>
    </w:p>
    <w:p w14:paraId="5EA97D8F">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5、本项目需要落实的政府采购政策：</w:t>
      </w:r>
    </w:p>
    <w:p w14:paraId="36E4B831">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3507011A">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001AC8E1">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337E6F51">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61105B64">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102AA950">
      <w:pPr>
        <w:widowControl/>
        <w:spacing w:line="440" w:lineRule="exact"/>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6、投标注意事项：</w:t>
      </w:r>
    </w:p>
    <w:p w14:paraId="65E4E784">
      <w:pPr>
        <w:widowControl/>
        <w:spacing w:line="440" w:lineRule="exact"/>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lang w:bidi="ar"/>
        </w:rPr>
        <w:t>（1）投标文件提交方式：本项目为全流程电子化政府采购项目，通过广西政府采购云平台（https://www.gcy.zfcg.gxzf.gov.cn）实行在线电子投标，投标人应先安装“政采云电子交易客户端”（请自行前往广西政府采购云平台进行下载），并按照本项目招标文件和广西政府采购云平台的要求编制、加密后在投标截止时间前通过网络上传至广西政府采购云平台，</w:t>
      </w:r>
      <w:r>
        <w:rPr>
          <w:rFonts w:hint="eastAsia" w:ascii="宋体" w:hAnsi="宋体" w:cs="宋体"/>
          <w:b/>
          <w:color w:val="auto"/>
          <w:szCs w:val="21"/>
          <w:highlight w:val="none"/>
          <w:lang w:bidi="ar"/>
        </w:rPr>
        <w:t>投标人在广西政府采购云平台提交电子版投标文件时，请填写参加远程开标活动经办人联系方式。</w:t>
      </w:r>
    </w:p>
    <w:p w14:paraId="335E4CBD">
      <w:pPr>
        <w:widowControl/>
        <w:spacing w:line="440" w:lineRule="exact"/>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（2）投标人</w:t>
      </w:r>
      <w:r>
        <w:rPr>
          <w:rFonts w:ascii="宋体" w:hAnsi="宋体" w:cs="宋体"/>
          <w:color w:val="auto"/>
          <w:szCs w:val="21"/>
          <w:highlight w:val="none"/>
          <w:lang w:bidi="ar"/>
        </w:rPr>
        <w:t>应及时熟悉掌握电子标系统操作指南（见政采云电子卖场首页右上角—服务中心—帮助文档—项目采购）：</w:t>
      </w:r>
      <w:r>
        <w:rPr>
          <w:rFonts w:ascii="宋体" w:hAnsi="宋体" w:cs="宋体"/>
          <w:color w:val="auto"/>
          <w:szCs w:val="21"/>
          <w:highlight w:val="none"/>
          <w:lang w:bidi="ar"/>
        </w:rPr>
        <w:fldChar w:fldCharType="begin"/>
      </w:r>
      <w:r>
        <w:rPr>
          <w:rFonts w:ascii="宋体" w:hAnsi="宋体" w:cs="宋体"/>
          <w:color w:val="auto"/>
          <w:szCs w:val="21"/>
          <w:highlight w:val="none"/>
          <w:lang w:bidi="ar"/>
        </w:rPr>
        <w:instrText xml:space="preserve"> HYPERLINK "https://service.zcygov.cn/#/knowledges/tree?tag=AG1DtGwBFdiHxlNdhY0r" </w:instrText>
      </w:r>
      <w:r>
        <w:rPr>
          <w:rFonts w:ascii="宋体" w:hAnsi="宋体" w:cs="宋体"/>
          <w:color w:val="auto"/>
          <w:szCs w:val="21"/>
          <w:highlight w:val="none"/>
          <w:lang w:bidi="ar"/>
        </w:rPr>
        <w:fldChar w:fldCharType="separate"/>
      </w:r>
      <w:r>
        <w:rPr>
          <w:rFonts w:ascii="宋体" w:hAnsi="宋体" w:cs="宋体"/>
          <w:color w:val="auto"/>
          <w:szCs w:val="21"/>
          <w:highlight w:val="none"/>
          <w:lang w:bidi="ar"/>
        </w:rPr>
        <w:t>https://service.zcygov.cn/#/knowledges/tree?tag=AG1DtGwBFdiHxlNdhY0r</w:t>
      </w:r>
      <w:r>
        <w:rPr>
          <w:rFonts w:ascii="宋体" w:hAnsi="宋体" w:cs="宋体"/>
          <w:color w:val="auto"/>
          <w:szCs w:val="21"/>
          <w:highlight w:val="none"/>
          <w:lang w:bidi="ar"/>
        </w:rPr>
        <w:fldChar w:fldCharType="end"/>
      </w:r>
      <w:r>
        <w:rPr>
          <w:rFonts w:hint="eastAsia" w:ascii="宋体" w:hAnsi="宋体" w:cs="宋体"/>
          <w:color w:val="auto"/>
          <w:szCs w:val="21"/>
          <w:highlight w:val="none"/>
          <w:lang w:bidi="ar"/>
        </w:rPr>
        <w:t>；</w:t>
      </w:r>
      <w:r>
        <w:rPr>
          <w:rFonts w:ascii="宋体" w:hAnsi="宋体" w:cs="宋体"/>
          <w:color w:val="auto"/>
          <w:szCs w:val="21"/>
          <w:highlight w:val="none"/>
          <w:lang w:bidi="ar"/>
        </w:rPr>
        <w:t>及时完成CA申领和绑定（见广西壮族自治区政府采购网—办事服务—下载专区-政采云CA证书办理操作指南）。</w:t>
      </w:r>
    </w:p>
    <w:p w14:paraId="0018CBB1">
      <w:pPr>
        <w:widowControl/>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3）未进行网上注册并办理数字证书（CA认证）的投标人将无法参与本项目政府采购活动，潜在投标人应当在投标截止时间前，完成电子交易平台上的CA数字证书办理及投标文件的提交。完成CA数字证书办理预计7日左右，投标人只需办理其中一家CA数字证书及签章，建议各投标人抓紧时间办理。</w:t>
      </w:r>
    </w:p>
    <w:p w14:paraId="0EEDC67F">
      <w:pPr>
        <w:widowControl/>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（4）为确保网上操作合法、有效和安全，请投标人确保在电子投标过程中能够对相关数据电文进行加密和使用电子签章，妥善保管CA数字证书并使用有效的CA数字证书参与整个采购活动。</w:t>
      </w:r>
    </w:p>
    <w:p w14:paraId="594F3B10">
      <w:pPr>
        <w:spacing w:line="44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bidi="ar"/>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651B61FD">
      <w:pPr>
        <w:snapToGrid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7、CA证书在线解密：投标人投标时，需携带制作投标文件时用来加密的有效数字证书（CA认证）登录广西政府采购云平台电子开标大厅现场按规定时间对加密的投标文件进行解密，否则后果自负。</w:t>
      </w:r>
    </w:p>
    <w:p w14:paraId="63D17534">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8、若对项目采购电子交易系统操作有疑问，可登录广西政府采购云平台（https://www.gcy.zfcg.gxzf.gov.cn），点击右侧咨询小采，获取采小蜜智能服务管家帮助，或拨打政采云服务热线95763获取热线服务帮助。</w:t>
      </w:r>
    </w:p>
    <w:bookmarkEnd w:id="29"/>
    <w:p w14:paraId="37369450">
      <w:pPr>
        <w:spacing w:line="440" w:lineRule="exact"/>
        <w:rPr>
          <w:rFonts w:ascii="黑体" w:hAnsi="黑体" w:eastAsia="黑体"/>
          <w:b/>
          <w:bCs/>
          <w:color w:val="auto"/>
          <w:sz w:val="24"/>
          <w:highlight w:val="none"/>
        </w:rPr>
      </w:pPr>
      <w:bookmarkStart w:id="30" w:name="_Toc28359008"/>
      <w:bookmarkStart w:id="31" w:name="_Toc35393627"/>
      <w:bookmarkStart w:id="32" w:name="_Toc28359085"/>
      <w:bookmarkStart w:id="33" w:name="_Toc35393796"/>
      <w:r>
        <w:rPr>
          <w:rFonts w:hint="eastAsia" w:ascii="黑体" w:hAnsi="黑体" w:eastAsia="黑体"/>
          <w:b/>
          <w:bCs/>
          <w:color w:val="auto"/>
          <w:sz w:val="24"/>
          <w:highlight w:val="none"/>
        </w:rPr>
        <w:t>七、对本次招标提出询问，请按</w:t>
      </w:r>
      <w:r>
        <w:rPr>
          <w:rFonts w:ascii="黑体" w:hAnsi="黑体" w:eastAsia="黑体"/>
          <w:b/>
          <w:bCs/>
          <w:color w:val="auto"/>
          <w:sz w:val="24"/>
          <w:highlight w:val="none"/>
        </w:rPr>
        <w:t>以下方式</w:t>
      </w:r>
      <w:r>
        <w:rPr>
          <w:rFonts w:hint="eastAsia" w:ascii="黑体" w:hAnsi="黑体" w:eastAsia="黑体"/>
          <w:b/>
          <w:bCs/>
          <w:color w:val="auto"/>
          <w:sz w:val="24"/>
          <w:highlight w:val="none"/>
        </w:rPr>
        <w:t>联系。</w:t>
      </w:r>
      <w:bookmarkEnd w:id="30"/>
      <w:bookmarkEnd w:id="31"/>
      <w:bookmarkEnd w:id="32"/>
      <w:bookmarkEnd w:id="33"/>
    </w:p>
    <w:p w14:paraId="724E3E2F">
      <w:pPr>
        <w:spacing w:line="440" w:lineRule="exact"/>
        <w:ind w:firstLine="567" w:firstLineChars="270"/>
        <w:jc w:val="left"/>
        <w:rPr>
          <w:rFonts w:hint="eastAsia" w:ascii="宋体" w:hAnsi="宋体" w:cs="宋体"/>
          <w:color w:val="auto"/>
          <w:szCs w:val="21"/>
          <w:highlight w:val="none"/>
        </w:rPr>
      </w:pPr>
      <w:r>
        <w:rPr>
          <w:rFonts w:hint="eastAsia" w:ascii="宋体" w:hAnsi="宋体" w:cs="宋体"/>
          <w:color w:val="auto"/>
          <w:szCs w:val="21"/>
          <w:highlight w:val="none"/>
        </w:rPr>
        <w:t>1.采购人信息</w:t>
      </w:r>
    </w:p>
    <w:p w14:paraId="0DA2A3D3">
      <w:pPr>
        <w:spacing w:line="440" w:lineRule="exact"/>
        <w:ind w:firstLine="567" w:firstLineChars="270"/>
        <w:jc w:val="left"/>
        <w:rPr>
          <w:rFonts w:hint="eastAsia" w:ascii="宋体" w:hAnsi="宋体" w:eastAsia="宋体"/>
          <w:color w:val="auto"/>
          <w:szCs w:val="21"/>
          <w:highlight w:val="none"/>
          <w:lang w:eastAsia="zh-CN"/>
        </w:rPr>
      </w:pPr>
      <w:r>
        <w:rPr>
          <w:rFonts w:hint="eastAsia" w:ascii="宋体" w:hAnsi="宋体"/>
          <w:color w:val="auto"/>
          <w:szCs w:val="21"/>
          <w:highlight w:val="none"/>
        </w:rPr>
        <w:t>名 称：</w:t>
      </w:r>
      <w:r>
        <w:rPr>
          <w:rFonts w:hint="eastAsia" w:ascii="宋体" w:hAnsi="宋体" w:cs="Arial"/>
          <w:color w:val="auto"/>
          <w:highlight w:val="none"/>
          <w:lang w:eastAsia="zh-CN"/>
        </w:rPr>
        <w:t>广西医科大学第一附属医院</w:t>
      </w:r>
    </w:p>
    <w:p w14:paraId="68A7BAC9">
      <w:pPr>
        <w:spacing w:line="440" w:lineRule="exact"/>
        <w:ind w:firstLine="567" w:firstLineChars="270"/>
        <w:jc w:val="left"/>
        <w:rPr>
          <w:rFonts w:hint="eastAsia" w:ascii="宋体" w:hAnsi="宋体" w:eastAsia="宋体"/>
          <w:color w:val="auto"/>
          <w:szCs w:val="21"/>
          <w:highlight w:val="none"/>
          <w:lang w:eastAsia="zh-CN"/>
        </w:rPr>
      </w:pPr>
      <w:r>
        <w:rPr>
          <w:rFonts w:hint="eastAsia" w:ascii="宋体" w:hAnsi="宋体"/>
          <w:color w:val="auto"/>
          <w:szCs w:val="21"/>
          <w:highlight w:val="none"/>
        </w:rPr>
        <w:t>地址：</w:t>
      </w:r>
      <w:r>
        <w:rPr>
          <w:rFonts w:hint="eastAsia" w:ascii="宋体" w:hAnsi="宋体" w:cs="Arial"/>
          <w:color w:val="auto"/>
          <w:szCs w:val="21"/>
          <w:highlight w:val="none"/>
          <w:lang w:eastAsia="zh-CN"/>
        </w:rPr>
        <w:t>广西南宁市双拥路6号</w:t>
      </w:r>
    </w:p>
    <w:p w14:paraId="57ED8EBF">
      <w:pPr>
        <w:spacing w:line="440" w:lineRule="exact"/>
        <w:ind w:firstLine="567" w:firstLineChars="270"/>
        <w:jc w:val="left"/>
        <w:rPr>
          <w:rFonts w:hint="eastAsia" w:ascii="宋体" w:hAnsi="宋体" w:eastAsia="宋体"/>
          <w:color w:val="auto"/>
          <w:szCs w:val="21"/>
          <w:highlight w:val="none"/>
          <w:u w:val="single"/>
          <w:lang w:eastAsia="zh-CN"/>
        </w:rPr>
      </w:pPr>
      <w:r>
        <w:rPr>
          <w:rFonts w:hint="eastAsia" w:ascii="宋体" w:hAnsi="宋体"/>
          <w:color w:val="auto"/>
          <w:szCs w:val="21"/>
          <w:highlight w:val="none"/>
        </w:rPr>
        <w:t>联系方式：</w:t>
      </w:r>
      <w:bookmarkStart w:id="34" w:name="_Toc28359009"/>
      <w:bookmarkStart w:id="35" w:name="_Toc28359086"/>
      <w:r>
        <w:rPr>
          <w:rFonts w:hint="eastAsia" w:ascii="宋体" w:hAnsi="宋体" w:cs="Arial"/>
          <w:color w:val="auto"/>
          <w:szCs w:val="21"/>
          <w:highlight w:val="none"/>
          <w:lang w:eastAsia="zh-CN"/>
        </w:rPr>
        <w:t>徐尉格</w:t>
      </w:r>
      <w:r>
        <w:rPr>
          <w:rFonts w:hint="eastAsia" w:ascii="宋体" w:hAnsi="宋体" w:cs="Arial"/>
          <w:color w:val="auto"/>
          <w:szCs w:val="21"/>
          <w:highlight w:val="none"/>
        </w:rPr>
        <w:t xml:space="preserve"> </w:t>
      </w:r>
      <w:r>
        <w:rPr>
          <w:rFonts w:ascii="宋体" w:hAnsi="宋体" w:cs="Arial"/>
          <w:color w:val="auto"/>
          <w:szCs w:val="21"/>
          <w:highlight w:val="none"/>
        </w:rPr>
        <w:t xml:space="preserve"> </w:t>
      </w:r>
      <w:r>
        <w:rPr>
          <w:rFonts w:hint="eastAsia" w:ascii="宋体" w:hAnsi="宋体" w:cs="Arial"/>
          <w:color w:val="auto"/>
          <w:szCs w:val="21"/>
          <w:highlight w:val="none"/>
          <w:lang w:eastAsia="zh-CN"/>
        </w:rPr>
        <w:t>0771-5634385</w:t>
      </w:r>
    </w:p>
    <w:p w14:paraId="68D45469">
      <w:pPr>
        <w:spacing w:line="440" w:lineRule="exact"/>
        <w:ind w:firstLine="567" w:firstLineChars="270"/>
        <w:jc w:val="left"/>
        <w:rPr>
          <w:rFonts w:ascii="宋体" w:hAnsi="宋体"/>
          <w:color w:val="auto"/>
          <w:szCs w:val="21"/>
          <w:highlight w:val="none"/>
        </w:rPr>
      </w:pPr>
      <w:r>
        <w:rPr>
          <w:rFonts w:hint="eastAsia" w:ascii="宋体" w:hAnsi="宋体" w:cs="宋体"/>
          <w:color w:val="auto"/>
          <w:szCs w:val="21"/>
          <w:highlight w:val="none"/>
        </w:rPr>
        <w:t>2.采购代理机构信息</w:t>
      </w:r>
      <w:bookmarkEnd w:id="34"/>
      <w:bookmarkEnd w:id="35"/>
    </w:p>
    <w:p w14:paraId="7E1B933D">
      <w:pPr>
        <w:spacing w:line="440" w:lineRule="exact"/>
        <w:ind w:firstLine="567" w:firstLineChars="270"/>
        <w:rPr>
          <w:rFonts w:ascii="宋体" w:hAnsi="宋体"/>
          <w:color w:val="auto"/>
          <w:szCs w:val="21"/>
          <w:highlight w:val="none"/>
        </w:rPr>
      </w:pPr>
      <w:r>
        <w:rPr>
          <w:rFonts w:hint="eastAsia" w:ascii="宋体" w:hAnsi="宋体"/>
          <w:color w:val="auto"/>
          <w:szCs w:val="21"/>
          <w:highlight w:val="none"/>
        </w:rPr>
        <w:t>名 称：</w:t>
      </w:r>
      <w:r>
        <w:rPr>
          <w:rFonts w:hint="eastAsia" w:ascii="宋体" w:hAnsi="宋体" w:cs="Arial"/>
          <w:color w:val="auto"/>
          <w:szCs w:val="21"/>
          <w:highlight w:val="none"/>
        </w:rPr>
        <w:t>广西科文招标有限公司</w:t>
      </w:r>
    </w:p>
    <w:p w14:paraId="4D09FCAB">
      <w:pPr>
        <w:spacing w:line="440" w:lineRule="exact"/>
        <w:ind w:firstLine="567" w:firstLineChars="270"/>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s="Arial"/>
          <w:color w:val="auto"/>
          <w:szCs w:val="21"/>
          <w:highlight w:val="none"/>
        </w:rPr>
        <w:t>广西南宁市民族大道141号中鼎万象东方大厦D区</w:t>
      </w:r>
      <w:r>
        <w:rPr>
          <w:rFonts w:hint="eastAsia" w:ascii="宋体" w:hAnsi="宋体" w:cs="Arial"/>
          <w:color w:val="auto"/>
          <w:highlight w:val="none"/>
        </w:rPr>
        <w:t>五层</w:t>
      </w:r>
    </w:p>
    <w:p w14:paraId="71DC920F">
      <w:pPr>
        <w:spacing w:line="440" w:lineRule="exact"/>
        <w:ind w:firstLine="567" w:firstLineChars="270"/>
        <w:rPr>
          <w:rFonts w:hint="eastAsia" w:ascii="宋体" w:hAnsi="宋体"/>
          <w:color w:val="auto"/>
          <w:szCs w:val="21"/>
          <w:highlight w:val="none"/>
        </w:rPr>
      </w:pPr>
      <w:r>
        <w:rPr>
          <w:rFonts w:hint="eastAsia" w:ascii="宋体" w:hAnsi="宋体"/>
          <w:color w:val="auto"/>
          <w:szCs w:val="21"/>
          <w:highlight w:val="none"/>
        </w:rPr>
        <w:t>联系方式：</w:t>
      </w:r>
      <w:bookmarkStart w:id="36" w:name="_Toc28359087"/>
      <w:bookmarkStart w:id="37" w:name="_Toc28359010"/>
      <w:r>
        <w:rPr>
          <w:rFonts w:hint="eastAsia" w:ascii="宋体" w:hAnsi="宋体"/>
          <w:color w:val="auto"/>
          <w:szCs w:val="21"/>
          <w:highlight w:val="none"/>
        </w:rPr>
        <w:t>蒙颖、郑辉海</w:t>
      </w:r>
      <w:r>
        <w:rPr>
          <w:rFonts w:hint="eastAsia" w:ascii="宋体" w:hAnsi="宋体" w:cs="Arial"/>
          <w:color w:val="auto"/>
          <w:szCs w:val="21"/>
          <w:highlight w:val="none"/>
        </w:rPr>
        <w:t xml:space="preserve"> </w:t>
      </w:r>
      <w:r>
        <w:rPr>
          <w:rFonts w:ascii="宋体" w:hAnsi="宋体" w:cs="Arial"/>
          <w:color w:val="auto"/>
          <w:szCs w:val="21"/>
          <w:highlight w:val="none"/>
        </w:rPr>
        <w:t xml:space="preserve">  </w:t>
      </w:r>
      <w:r>
        <w:rPr>
          <w:rFonts w:hint="eastAsia" w:ascii="宋体" w:hAnsi="宋体" w:cs="Arial"/>
          <w:color w:val="auto"/>
          <w:szCs w:val="21"/>
          <w:highlight w:val="none"/>
        </w:rPr>
        <w:t>0771-2023875</w:t>
      </w:r>
    </w:p>
    <w:p w14:paraId="4EE39606">
      <w:pPr>
        <w:spacing w:line="440" w:lineRule="exact"/>
        <w:ind w:firstLine="567" w:firstLineChars="270"/>
        <w:rPr>
          <w:rFonts w:ascii="宋体" w:hAnsi="宋体" w:cs="Arial"/>
          <w:color w:val="auto"/>
          <w:szCs w:val="21"/>
          <w:highlight w:val="none"/>
        </w:rPr>
      </w:pPr>
      <w:r>
        <w:rPr>
          <w:rFonts w:hint="eastAsia" w:ascii="宋体" w:hAnsi="宋体" w:cs="Arial"/>
          <w:color w:val="auto"/>
          <w:szCs w:val="21"/>
          <w:highlight w:val="none"/>
        </w:rPr>
        <w:t>3.项目</w:t>
      </w:r>
      <w:r>
        <w:rPr>
          <w:rFonts w:ascii="宋体" w:hAnsi="宋体" w:cs="Arial"/>
          <w:color w:val="auto"/>
          <w:szCs w:val="21"/>
          <w:highlight w:val="none"/>
        </w:rPr>
        <w:t>联系方式</w:t>
      </w:r>
      <w:bookmarkEnd w:id="36"/>
      <w:bookmarkEnd w:id="37"/>
    </w:p>
    <w:p w14:paraId="336D4C84">
      <w:pPr>
        <w:pStyle w:val="27"/>
        <w:spacing w:line="440" w:lineRule="exact"/>
        <w:ind w:firstLine="567" w:firstLineChars="270"/>
        <w:rPr>
          <w:rFonts w:hAnsi="宋体" w:cs="Arial"/>
          <w:color w:val="auto"/>
          <w:kern w:val="2"/>
          <w:sz w:val="21"/>
          <w:highlight w:val="none"/>
        </w:rPr>
      </w:pPr>
      <w:r>
        <w:rPr>
          <w:rFonts w:hint="eastAsia" w:hAnsi="宋体" w:cs="Arial"/>
          <w:color w:val="auto"/>
          <w:kern w:val="2"/>
          <w:sz w:val="21"/>
          <w:highlight w:val="none"/>
        </w:rPr>
        <w:t>项目联系人：蒙颖、郑辉海</w:t>
      </w:r>
      <w:r>
        <w:rPr>
          <w:rFonts w:hAnsi="宋体" w:cs="Arial"/>
          <w:color w:val="auto"/>
          <w:kern w:val="2"/>
          <w:sz w:val="21"/>
          <w:highlight w:val="none"/>
        </w:rPr>
        <w:t xml:space="preserve"> </w:t>
      </w:r>
    </w:p>
    <w:p w14:paraId="7E50ED4A">
      <w:pPr>
        <w:spacing w:line="440" w:lineRule="exact"/>
        <w:ind w:firstLine="567" w:firstLineChars="270"/>
        <w:rPr>
          <w:rFonts w:hint="eastAsia" w:ascii="宋体" w:hAnsi="宋体"/>
          <w:color w:val="auto"/>
          <w:szCs w:val="21"/>
          <w:highlight w:val="none"/>
          <w:u w:val="single"/>
        </w:rPr>
      </w:pPr>
      <w:r>
        <w:rPr>
          <w:rFonts w:hint="eastAsia" w:ascii="宋体" w:hAnsi="宋体" w:cs="Arial"/>
          <w:color w:val="auto"/>
          <w:szCs w:val="21"/>
          <w:highlight w:val="none"/>
        </w:rPr>
        <w:t>电　话：0771-2023875</w:t>
      </w:r>
    </w:p>
    <w:p w14:paraId="411CE828">
      <w:pPr>
        <w:spacing w:line="440" w:lineRule="exact"/>
        <w:ind w:firstLine="6405" w:firstLineChars="3050"/>
        <w:rPr>
          <w:rFonts w:hint="eastAsia" w:ascii="宋体" w:hAnsi="宋体"/>
          <w:color w:val="auto"/>
          <w:szCs w:val="21"/>
          <w:highlight w:val="none"/>
        </w:rPr>
      </w:pPr>
      <w:r>
        <w:rPr>
          <w:rFonts w:hint="eastAsia" w:ascii="宋体" w:hAnsi="宋体" w:cs="Arial"/>
          <w:color w:val="auto"/>
          <w:szCs w:val="21"/>
          <w:highlight w:val="none"/>
        </w:rPr>
        <w:t>广西科文招标有限公司</w:t>
      </w:r>
    </w:p>
    <w:p w14:paraId="3DA3FDD6">
      <w:pPr>
        <w:snapToGrid w:val="0"/>
        <w:spacing w:line="440" w:lineRule="exact"/>
        <w:ind w:left="238"/>
        <w:rPr>
          <w:rFonts w:hint="eastAsia" w:ascii="宋体" w:hAnsi="宋体" w:eastAsia="宋体" w:cs="Arial"/>
          <w:color w:val="auto"/>
          <w:highlight w:val="none"/>
          <w:lang w:eastAsia="zh-CN"/>
        </w:rPr>
      </w:pPr>
      <w:r>
        <w:rPr>
          <w:rFonts w:hint="eastAsia"/>
          <w:color w:val="auto"/>
          <w:highlight w:val="none"/>
        </w:rPr>
        <w:t xml:space="preserve">                                                           </w:t>
      </w:r>
      <w:r>
        <w:rPr>
          <w:rFonts w:hint="eastAsia" w:ascii="宋体" w:hAnsi="宋体" w:cs="Arial"/>
          <w:color w:val="auto"/>
          <w:szCs w:val="21"/>
          <w:highlight w:val="none"/>
        </w:rPr>
        <w:t xml:space="preserve">   </w:t>
      </w:r>
      <w:r>
        <w:rPr>
          <w:rFonts w:hint="eastAsia" w:ascii="宋体" w:hAnsi="宋体" w:cs="Arial"/>
          <w:color w:val="auto"/>
          <w:szCs w:val="21"/>
          <w:highlight w:val="none"/>
          <w:lang w:eastAsia="zh-CN"/>
        </w:rPr>
        <w:t>2026年6月</w:t>
      </w:r>
      <w:bookmarkStart w:id="154" w:name="_GoBack"/>
      <w:bookmarkEnd w:id="154"/>
      <w:r>
        <w:rPr>
          <w:rFonts w:hint="eastAsia" w:ascii="宋体" w:hAnsi="宋体" w:cs="Arial"/>
          <w:color w:val="auto"/>
          <w:szCs w:val="21"/>
          <w:highlight w:val="none"/>
          <w:lang w:eastAsia="zh-CN"/>
        </w:rPr>
        <w:t xml:space="preserve">  日</w:t>
      </w:r>
    </w:p>
    <w:p w14:paraId="668D3921">
      <w:pPr>
        <w:pStyle w:val="2"/>
        <w:spacing w:line="600" w:lineRule="exact"/>
        <w:jc w:val="center"/>
        <w:rPr>
          <w:rFonts w:hint="eastAsia"/>
          <w:color w:val="auto"/>
          <w:highlight w:val="none"/>
        </w:rPr>
      </w:pPr>
      <w:r>
        <w:rPr>
          <w:rFonts w:hint="eastAsia"/>
          <w:color w:val="auto"/>
          <w:highlight w:val="none"/>
        </w:rPr>
        <w:br w:type="page"/>
      </w:r>
      <w:bookmarkStart w:id="38" w:name="_Toc22512"/>
      <w:r>
        <w:rPr>
          <w:rFonts w:hint="eastAsia"/>
          <w:color w:val="auto"/>
          <w:highlight w:val="none"/>
        </w:rPr>
        <w:t>第二章  采购需求</w:t>
      </w:r>
      <w:bookmarkEnd w:id="38"/>
    </w:p>
    <w:p w14:paraId="793ABFA7">
      <w:pPr>
        <w:spacing w:line="360" w:lineRule="auto"/>
        <w:jc w:val="left"/>
        <w:rPr>
          <w:rFonts w:ascii="宋体" w:hAnsi="宋体" w:cs="宋体"/>
          <w:b/>
          <w:color w:val="auto"/>
          <w:szCs w:val="21"/>
          <w:highlight w:val="none"/>
        </w:rPr>
      </w:pPr>
      <w:bookmarkStart w:id="39" w:name="_Toc254970490"/>
      <w:bookmarkStart w:id="40" w:name="_Toc254970631"/>
      <w:r>
        <w:rPr>
          <w:rFonts w:hint="eastAsia" w:ascii="宋体" w:hAnsi="宋体" w:cs="宋体"/>
          <w:b/>
          <w:color w:val="auto"/>
          <w:szCs w:val="21"/>
          <w:highlight w:val="none"/>
        </w:rPr>
        <w:t>说明：</w:t>
      </w:r>
    </w:p>
    <w:p w14:paraId="2EC07ACB">
      <w:pPr>
        <w:spacing w:line="360" w:lineRule="exact"/>
        <w:ind w:left="-10" w:leftChars="-5" w:right="2" w:rightChars="1" w:firstLine="420" w:firstLineChars="200"/>
        <w:rPr>
          <w:rFonts w:hint="eastAsia" w:hAnsi="宋体"/>
          <w:color w:val="auto"/>
          <w:highlight w:val="none"/>
        </w:rPr>
      </w:pPr>
      <w:r>
        <w:rPr>
          <w:rFonts w:hint="eastAsia" w:hAnsi="宋体"/>
          <w:color w:val="auto"/>
          <w:highlight w:val="none"/>
        </w:rPr>
        <w:t>1、采购需求中如出现品牌、型号或者生产厂家等均仅起参考作用，不属于指定品牌、型号或者生产厂家的情形，投标人可参照或者选用其他相当的品牌、型号或者生产投标人替代。但投标人的产品实质上应相当于或优于本需求</w:t>
      </w:r>
      <w:r>
        <w:rPr>
          <w:rFonts w:hAnsi="宋体"/>
          <w:color w:val="auto"/>
          <w:highlight w:val="none"/>
        </w:rPr>
        <w:t>中</w:t>
      </w:r>
      <w:r>
        <w:rPr>
          <w:rFonts w:hint="eastAsia" w:hAnsi="宋体"/>
          <w:color w:val="auto"/>
          <w:highlight w:val="none"/>
        </w:rPr>
        <w:t>的技术要求。</w:t>
      </w:r>
    </w:p>
    <w:p w14:paraId="07C75FF3">
      <w:pPr>
        <w:spacing w:line="360" w:lineRule="exact"/>
        <w:ind w:left="-10" w:leftChars="-5" w:right="2" w:rightChars="1" w:firstLine="420" w:firstLineChars="200"/>
        <w:rPr>
          <w:rFonts w:hint="eastAsia" w:hAnsi="宋体"/>
          <w:color w:val="auto"/>
          <w:highlight w:val="none"/>
        </w:rPr>
      </w:pPr>
      <w:r>
        <w:rPr>
          <w:rFonts w:hint="eastAsia" w:hAnsi="宋体"/>
          <w:color w:val="auto"/>
          <w:highlight w:val="none"/>
        </w:rPr>
        <w:t>2、</w:t>
      </w:r>
      <w:r>
        <w:rPr>
          <w:rFonts w:hAnsi="宋体"/>
          <w:color w:val="auto"/>
          <w:highlight w:val="none"/>
        </w:rPr>
        <w:t>根据《财政部 发展改革委 生态环境部 市场监管总局关于调整优化节能产品、环境标志产品政府采购执行机制的通知》（财库〔2019〕9 号）和《关于印发节能产品政府采购品目清单的通知》（财库〔2019〕19 号）的规定，采购需求</w:t>
      </w:r>
      <w:r>
        <w:rPr>
          <w:rFonts w:hint="eastAsia" w:hAnsi="宋体"/>
          <w:color w:val="auto"/>
          <w:highlight w:val="none"/>
        </w:rPr>
        <w:t>中如有货物产品，且货物</w:t>
      </w:r>
      <w:r>
        <w:rPr>
          <w:rFonts w:hAnsi="宋体"/>
          <w:color w:val="auto"/>
          <w:highlight w:val="none"/>
        </w:rPr>
        <w:t>产品属于节能产品政府采购品目清单内标注“★”的（详见本章后附的节能产品政府采购品目清单），投标人的投标货物必须使用政府强制采购的节能产品，否则投标文件作无效处理。</w:t>
      </w:r>
    </w:p>
    <w:p w14:paraId="686FD98B">
      <w:pPr>
        <w:spacing w:line="360" w:lineRule="exact"/>
        <w:ind w:left="-10" w:leftChars="-5" w:right="2" w:rightChars="1" w:firstLine="420" w:firstLineChars="200"/>
        <w:rPr>
          <w:rFonts w:hint="eastAsia" w:hAnsi="宋体"/>
          <w:color w:val="auto"/>
          <w:highlight w:val="none"/>
        </w:rPr>
      </w:pPr>
      <w:r>
        <w:rPr>
          <w:rFonts w:hint="eastAsia" w:hAnsi="宋体"/>
          <w:color w:val="auto"/>
          <w:highlight w:val="none"/>
        </w:rPr>
        <w:t>3、如投标人投标产品存在侵犯他人的知识产权或者专利成果行为的，由投标人自行承担相应法律责任。</w:t>
      </w:r>
    </w:p>
    <w:p w14:paraId="3F852CDA">
      <w:pPr>
        <w:spacing w:line="360" w:lineRule="exact"/>
        <w:ind w:left="-10" w:leftChars="-5" w:right="2" w:rightChars="1" w:firstLine="422" w:firstLineChars="200"/>
        <w:rPr>
          <w:rFonts w:hint="eastAsia" w:hAnsi="宋体"/>
          <w:b/>
          <w:bCs/>
          <w:color w:val="auto"/>
          <w:highlight w:val="none"/>
        </w:rPr>
      </w:pPr>
      <w:r>
        <w:rPr>
          <w:rFonts w:hint="eastAsia" w:hAnsi="宋体"/>
          <w:b/>
          <w:bCs/>
          <w:color w:val="auto"/>
          <w:highlight w:val="none"/>
        </w:rPr>
        <w:t>4、“实质性要求”是指招标文件中标注“</w:t>
      </w:r>
      <w:r>
        <w:rPr>
          <w:rFonts w:hint="eastAsia" w:ascii="宋体" w:hAnsi="宋体" w:cs="宋体"/>
          <w:b/>
          <w:bCs/>
          <w:color w:val="auto"/>
          <w:szCs w:val="21"/>
          <w:highlight w:val="none"/>
        </w:rPr>
        <w:t>▲</w:t>
      </w:r>
      <w:r>
        <w:rPr>
          <w:rFonts w:hint="eastAsia" w:hAnsi="宋体"/>
          <w:b/>
          <w:bCs/>
          <w:color w:val="auto"/>
          <w:highlight w:val="none"/>
        </w:rPr>
        <w:t>”号或已经指明不满足则投标无效的条款，或者不能负偏离的条款。</w:t>
      </w:r>
    </w:p>
    <w:tbl>
      <w:tblPr>
        <w:tblStyle w:val="49"/>
        <w:tblW w:w="104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7"/>
        <w:gridCol w:w="1137"/>
        <w:gridCol w:w="851"/>
        <w:gridCol w:w="691"/>
        <w:gridCol w:w="7060"/>
      </w:tblGrid>
      <w:tr w14:paraId="66AC1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667" w:type="dxa"/>
            <w:noWrap w:val="0"/>
            <w:vAlign w:val="center"/>
          </w:tcPr>
          <w:p w14:paraId="09B7B7CC">
            <w:pPr>
              <w:tabs>
                <w:tab w:val="left" w:pos="180"/>
                <w:tab w:val="left" w:pos="1620"/>
              </w:tabs>
              <w:spacing w:line="320" w:lineRule="exact"/>
              <w:jc w:val="center"/>
              <w:rPr>
                <w:rFonts w:hint="eastAsia" w:ascii="宋体" w:hAnsi="宋体" w:eastAsia="宋体" w:cs="宋体"/>
                <w:szCs w:val="21"/>
              </w:rPr>
            </w:pPr>
            <w:r>
              <w:rPr>
                <w:rFonts w:hint="eastAsia" w:ascii="宋体" w:hAnsi="宋体" w:eastAsia="宋体" w:cs="宋体"/>
                <w:szCs w:val="21"/>
              </w:rPr>
              <w:t>序号</w:t>
            </w:r>
          </w:p>
        </w:tc>
        <w:tc>
          <w:tcPr>
            <w:tcW w:w="1137" w:type="dxa"/>
            <w:noWrap w:val="0"/>
            <w:vAlign w:val="center"/>
          </w:tcPr>
          <w:p w14:paraId="001847E0">
            <w:pPr>
              <w:tabs>
                <w:tab w:val="left" w:pos="180"/>
                <w:tab w:val="left" w:pos="1620"/>
              </w:tabs>
              <w:spacing w:line="320" w:lineRule="exact"/>
              <w:jc w:val="center"/>
              <w:rPr>
                <w:rFonts w:hint="eastAsia" w:ascii="宋体" w:hAnsi="宋体" w:eastAsia="宋体" w:cs="宋体"/>
                <w:szCs w:val="21"/>
              </w:rPr>
            </w:pPr>
            <w:r>
              <w:rPr>
                <w:rFonts w:hint="eastAsia" w:ascii="宋体" w:hAnsi="宋体" w:eastAsia="宋体" w:cs="宋体"/>
                <w:szCs w:val="21"/>
              </w:rPr>
              <w:t>标的名称</w:t>
            </w:r>
          </w:p>
        </w:tc>
        <w:tc>
          <w:tcPr>
            <w:tcW w:w="851" w:type="dxa"/>
            <w:noWrap w:val="0"/>
            <w:vAlign w:val="top"/>
          </w:tcPr>
          <w:p w14:paraId="285E8D94">
            <w:pPr>
              <w:tabs>
                <w:tab w:val="left" w:pos="180"/>
                <w:tab w:val="left" w:pos="1620"/>
              </w:tabs>
              <w:spacing w:line="320" w:lineRule="exact"/>
              <w:jc w:val="center"/>
              <w:rPr>
                <w:rFonts w:ascii="宋体" w:hAnsi="宋体" w:eastAsia="宋体" w:cs="宋体"/>
                <w:szCs w:val="21"/>
              </w:rPr>
            </w:pPr>
            <w:r>
              <w:rPr>
                <w:rFonts w:hint="eastAsia" w:ascii="宋体" w:hAnsi="宋体" w:eastAsia="宋体" w:cs="宋体"/>
                <w:szCs w:val="21"/>
              </w:rPr>
              <w:t>数量及</w:t>
            </w:r>
          </w:p>
          <w:p w14:paraId="7B421382">
            <w:pPr>
              <w:tabs>
                <w:tab w:val="left" w:pos="180"/>
                <w:tab w:val="left" w:pos="1620"/>
              </w:tabs>
              <w:spacing w:line="320" w:lineRule="exact"/>
              <w:jc w:val="center"/>
              <w:rPr>
                <w:rFonts w:hint="eastAsia" w:ascii="宋体" w:hAnsi="宋体" w:eastAsia="宋体" w:cs="宋体"/>
                <w:szCs w:val="21"/>
              </w:rPr>
            </w:pPr>
            <w:r>
              <w:rPr>
                <w:rFonts w:hint="eastAsia" w:ascii="宋体" w:hAnsi="宋体" w:eastAsia="宋体" w:cs="宋体"/>
                <w:szCs w:val="21"/>
              </w:rPr>
              <w:t>单位</w:t>
            </w:r>
          </w:p>
        </w:tc>
        <w:tc>
          <w:tcPr>
            <w:tcW w:w="691" w:type="dxa"/>
            <w:noWrap w:val="0"/>
            <w:vAlign w:val="top"/>
          </w:tcPr>
          <w:p w14:paraId="32488926">
            <w:pPr>
              <w:tabs>
                <w:tab w:val="left" w:pos="180"/>
                <w:tab w:val="left" w:pos="1620"/>
              </w:tabs>
              <w:spacing w:line="320" w:lineRule="exact"/>
              <w:jc w:val="center"/>
              <w:rPr>
                <w:rFonts w:hint="eastAsia" w:ascii="宋体" w:hAnsi="宋体" w:eastAsia="宋体" w:cs="宋体"/>
                <w:szCs w:val="21"/>
              </w:rPr>
            </w:pPr>
            <w:r>
              <w:rPr>
                <w:rFonts w:hint="eastAsia" w:ascii="宋体" w:hAnsi="宋体" w:eastAsia="宋体" w:cs="宋体"/>
                <w:szCs w:val="21"/>
              </w:rPr>
              <w:t>所属行业</w:t>
            </w:r>
          </w:p>
        </w:tc>
        <w:tc>
          <w:tcPr>
            <w:tcW w:w="7060" w:type="dxa"/>
            <w:noWrap w:val="0"/>
            <w:vAlign w:val="center"/>
          </w:tcPr>
          <w:p w14:paraId="03B99604">
            <w:pPr>
              <w:tabs>
                <w:tab w:val="left" w:pos="180"/>
                <w:tab w:val="left" w:pos="1620"/>
              </w:tabs>
              <w:spacing w:line="320" w:lineRule="exact"/>
              <w:jc w:val="center"/>
              <w:rPr>
                <w:rFonts w:hint="eastAsia" w:ascii="宋体" w:hAnsi="宋体" w:eastAsia="宋体" w:cs="宋体"/>
                <w:szCs w:val="21"/>
              </w:rPr>
            </w:pPr>
            <w:r>
              <w:rPr>
                <w:rFonts w:hint="eastAsia" w:ascii="宋体" w:hAnsi="宋体" w:cs="宋体"/>
                <w:b/>
                <w:bCs/>
                <w:color w:val="auto"/>
                <w:szCs w:val="21"/>
                <w:highlight w:val="none"/>
              </w:rPr>
              <w:t>▲</w:t>
            </w:r>
            <w:r>
              <w:rPr>
                <w:rFonts w:hint="eastAsia" w:ascii="宋体" w:hAnsi="宋体" w:eastAsia="宋体" w:cs="Times New Roman"/>
                <w:szCs w:val="21"/>
              </w:rPr>
              <w:t>技术及服务要求</w:t>
            </w:r>
          </w:p>
        </w:tc>
      </w:tr>
      <w:tr w14:paraId="3E323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667" w:type="dxa"/>
            <w:noWrap w:val="0"/>
            <w:vAlign w:val="top"/>
          </w:tcPr>
          <w:p w14:paraId="7843B87B">
            <w:pPr>
              <w:tabs>
                <w:tab w:val="left" w:pos="180"/>
                <w:tab w:val="left" w:pos="1620"/>
              </w:tabs>
              <w:spacing w:line="360" w:lineRule="auto"/>
              <w:jc w:val="center"/>
              <w:rPr>
                <w:rFonts w:hint="eastAsia" w:ascii="宋体" w:hAnsi="宋体" w:eastAsia="宋体" w:cs="宋体"/>
                <w:szCs w:val="21"/>
              </w:rPr>
            </w:pPr>
          </w:p>
          <w:p w14:paraId="5A13E987">
            <w:pPr>
              <w:tabs>
                <w:tab w:val="left" w:pos="180"/>
                <w:tab w:val="left" w:pos="1620"/>
              </w:tabs>
              <w:spacing w:line="360" w:lineRule="auto"/>
              <w:jc w:val="center"/>
              <w:rPr>
                <w:rFonts w:hint="eastAsia" w:ascii="宋体" w:hAnsi="宋体" w:eastAsia="宋体" w:cs="宋体"/>
                <w:szCs w:val="21"/>
              </w:rPr>
            </w:pPr>
          </w:p>
          <w:p w14:paraId="3714A3E5">
            <w:pPr>
              <w:tabs>
                <w:tab w:val="left" w:pos="180"/>
                <w:tab w:val="left" w:pos="1620"/>
              </w:tabs>
              <w:spacing w:line="360" w:lineRule="auto"/>
              <w:jc w:val="center"/>
              <w:rPr>
                <w:rFonts w:hint="eastAsia" w:ascii="宋体" w:hAnsi="宋体" w:eastAsia="宋体" w:cs="宋体"/>
                <w:szCs w:val="21"/>
              </w:rPr>
            </w:pPr>
          </w:p>
          <w:p w14:paraId="7B610046">
            <w:pPr>
              <w:tabs>
                <w:tab w:val="left" w:pos="180"/>
                <w:tab w:val="left" w:pos="1620"/>
              </w:tabs>
              <w:spacing w:line="360" w:lineRule="auto"/>
              <w:jc w:val="center"/>
              <w:rPr>
                <w:rFonts w:hint="eastAsia" w:ascii="宋体" w:hAnsi="宋体" w:eastAsia="宋体" w:cs="宋体"/>
                <w:szCs w:val="21"/>
              </w:rPr>
            </w:pPr>
          </w:p>
          <w:p w14:paraId="2DE1D5B8">
            <w:pPr>
              <w:tabs>
                <w:tab w:val="left" w:pos="180"/>
                <w:tab w:val="left" w:pos="1620"/>
              </w:tabs>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1137" w:type="dxa"/>
            <w:noWrap w:val="0"/>
            <w:vAlign w:val="top"/>
          </w:tcPr>
          <w:p w14:paraId="3EBFEBE9">
            <w:pPr>
              <w:tabs>
                <w:tab w:val="left" w:pos="180"/>
                <w:tab w:val="left" w:pos="1620"/>
              </w:tabs>
              <w:spacing w:line="360" w:lineRule="auto"/>
              <w:jc w:val="center"/>
              <w:rPr>
                <w:rFonts w:hint="eastAsia" w:ascii="宋体" w:hAnsi="宋体" w:eastAsia="宋体" w:cs="宋体"/>
                <w:szCs w:val="21"/>
              </w:rPr>
            </w:pPr>
          </w:p>
          <w:p w14:paraId="169E133A">
            <w:pPr>
              <w:tabs>
                <w:tab w:val="left" w:pos="180"/>
                <w:tab w:val="left" w:pos="1620"/>
              </w:tabs>
              <w:spacing w:line="360" w:lineRule="auto"/>
              <w:jc w:val="center"/>
              <w:rPr>
                <w:rFonts w:hint="eastAsia" w:ascii="宋体" w:hAnsi="宋体" w:eastAsia="宋体" w:cs="宋体"/>
                <w:szCs w:val="21"/>
              </w:rPr>
            </w:pPr>
          </w:p>
          <w:p w14:paraId="45958EC6">
            <w:pPr>
              <w:tabs>
                <w:tab w:val="left" w:pos="180"/>
                <w:tab w:val="left" w:pos="1620"/>
              </w:tabs>
              <w:spacing w:line="360" w:lineRule="auto"/>
              <w:jc w:val="center"/>
              <w:rPr>
                <w:rFonts w:hint="eastAsia" w:ascii="宋体" w:hAnsi="宋体" w:eastAsia="宋体" w:cs="宋体"/>
                <w:szCs w:val="21"/>
              </w:rPr>
            </w:pPr>
          </w:p>
          <w:p w14:paraId="55C73617">
            <w:pPr>
              <w:tabs>
                <w:tab w:val="left" w:pos="180"/>
                <w:tab w:val="left" w:pos="1620"/>
              </w:tabs>
              <w:spacing w:line="360" w:lineRule="auto"/>
              <w:jc w:val="center"/>
              <w:rPr>
                <w:rFonts w:hint="eastAsia" w:ascii="宋体" w:hAnsi="宋体" w:eastAsia="宋体" w:cs="宋体"/>
                <w:szCs w:val="21"/>
              </w:rPr>
            </w:pPr>
          </w:p>
          <w:p w14:paraId="4186EA6F">
            <w:pPr>
              <w:tabs>
                <w:tab w:val="left" w:pos="180"/>
                <w:tab w:val="left" w:pos="1620"/>
              </w:tabs>
              <w:spacing w:line="360" w:lineRule="auto"/>
              <w:jc w:val="center"/>
              <w:rPr>
                <w:rFonts w:hint="eastAsia" w:ascii="宋体" w:hAnsi="宋体" w:eastAsia="宋体" w:cs="宋体"/>
                <w:szCs w:val="21"/>
              </w:rPr>
            </w:pPr>
            <w:r>
              <w:rPr>
                <w:rFonts w:hint="eastAsia" w:ascii="宋体" w:hAnsi="宋体" w:eastAsia="宋体" w:cs="宋体"/>
                <w:szCs w:val="21"/>
              </w:rPr>
              <w:t>达芬奇IS4000手术机器人三年维保服务</w:t>
            </w:r>
          </w:p>
        </w:tc>
        <w:tc>
          <w:tcPr>
            <w:tcW w:w="851" w:type="dxa"/>
            <w:noWrap w:val="0"/>
            <w:vAlign w:val="top"/>
          </w:tcPr>
          <w:p w14:paraId="31C7E9A7">
            <w:pPr>
              <w:spacing w:line="360" w:lineRule="auto"/>
              <w:ind w:left="34"/>
              <w:jc w:val="center"/>
              <w:rPr>
                <w:rFonts w:hint="eastAsia" w:ascii="宋体" w:hAnsi="宋体" w:eastAsia="宋体" w:cs="Arial"/>
                <w:szCs w:val="21"/>
              </w:rPr>
            </w:pPr>
          </w:p>
          <w:p w14:paraId="134D126B">
            <w:pPr>
              <w:spacing w:line="360" w:lineRule="auto"/>
              <w:ind w:left="34"/>
              <w:jc w:val="center"/>
              <w:rPr>
                <w:rFonts w:hint="eastAsia" w:ascii="宋体" w:hAnsi="宋体" w:eastAsia="宋体" w:cs="Arial"/>
                <w:szCs w:val="21"/>
              </w:rPr>
            </w:pPr>
          </w:p>
          <w:p w14:paraId="0AEFA436">
            <w:pPr>
              <w:spacing w:line="360" w:lineRule="auto"/>
              <w:ind w:left="34"/>
              <w:jc w:val="center"/>
              <w:rPr>
                <w:rFonts w:hint="eastAsia" w:ascii="宋体" w:hAnsi="宋体" w:eastAsia="宋体" w:cs="Arial"/>
                <w:szCs w:val="21"/>
              </w:rPr>
            </w:pPr>
          </w:p>
          <w:p w14:paraId="6635362B">
            <w:pPr>
              <w:spacing w:line="360" w:lineRule="auto"/>
              <w:ind w:left="34"/>
              <w:jc w:val="center"/>
              <w:rPr>
                <w:rFonts w:hint="eastAsia" w:ascii="宋体" w:hAnsi="宋体" w:eastAsia="宋体" w:cs="Arial"/>
                <w:szCs w:val="21"/>
              </w:rPr>
            </w:pPr>
          </w:p>
          <w:p w14:paraId="5AF69C81">
            <w:pPr>
              <w:spacing w:line="360" w:lineRule="auto"/>
              <w:jc w:val="center"/>
              <w:rPr>
                <w:rFonts w:hint="eastAsia" w:ascii="宋体" w:hAnsi="宋体" w:eastAsia="宋体" w:cs="Arial"/>
                <w:szCs w:val="21"/>
              </w:rPr>
            </w:pPr>
            <w:r>
              <w:rPr>
                <w:rFonts w:hint="eastAsia" w:ascii="宋体" w:hAnsi="宋体" w:eastAsia="宋体" w:cs="Arial"/>
                <w:szCs w:val="21"/>
              </w:rPr>
              <w:t>1项</w:t>
            </w:r>
          </w:p>
        </w:tc>
        <w:tc>
          <w:tcPr>
            <w:tcW w:w="691" w:type="dxa"/>
            <w:noWrap w:val="0"/>
            <w:vAlign w:val="top"/>
          </w:tcPr>
          <w:p w14:paraId="64A1A4F0">
            <w:pPr>
              <w:spacing w:line="360" w:lineRule="auto"/>
              <w:ind w:left="34"/>
              <w:jc w:val="center"/>
              <w:rPr>
                <w:rFonts w:hint="eastAsia" w:ascii="宋体" w:hAnsi="宋体" w:eastAsia="宋体" w:cs="Arial"/>
                <w:szCs w:val="21"/>
              </w:rPr>
            </w:pPr>
          </w:p>
          <w:p w14:paraId="74A65E53">
            <w:pPr>
              <w:spacing w:line="360" w:lineRule="auto"/>
              <w:ind w:left="34"/>
              <w:jc w:val="center"/>
              <w:rPr>
                <w:rFonts w:hint="eastAsia" w:ascii="宋体" w:hAnsi="宋体" w:eastAsia="宋体" w:cs="Arial"/>
                <w:szCs w:val="21"/>
              </w:rPr>
            </w:pPr>
          </w:p>
          <w:p w14:paraId="7034AAD2">
            <w:pPr>
              <w:spacing w:line="360" w:lineRule="auto"/>
              <w:ind w:left="34"/>
              <w:jc w:val="center"/>
              <w:rPr>
                <w:rFonts w:hint="eastAsia" w:ascii="宋体" w:hAnsi="宋体" w:eastAsia="宋体" w:cs="Arial"/>
                <w:szCs w:val="21"/>
              </w:rPr>
            </w:pPr>
          </w:p>
          <w:p w14:paraId="2A3B4BDC">
            <w:pPr>
              <w:spacing w:line="360" w:lineRule="auto"/>
              <w:ind w:left="34"/>
              <w:jc w:val="center"/>
              <w:rPr>
                <w:rFonts w:hint="eastAsia" w:ascii="宋体" w:hAnsi="宋体" w:eastAsia="宋体" w:cs="Arial"/>
                <w:szCs w:val="21"/>
              </w:rPr>
            </w:pPr>
          </w:p>
          <w:p w14:paraId="40D53964">
            <w:pPr>
              <w:spacing w:line="360" w:lineRule="auto"/>
              <w:jc w:val="center"/>
              <w:rPr>
                <w:rFonts w:ascii="宋体" w:hAnsi="宋体" w:eastAsia="宋体" w:cs="Arial"/>
                <w:szCs w:val="21"/>
              </w:rPr>
            </w:pPr>
            <w:r>
              <w:rPr>
                <w:rFonts w:hint="eastAsia" w:ascii="宋体" w:hAnsi="宋体" w:eastAsia="宋体" w:cs="Arial"/>
                <w:szCs w:val="21"/>
              </w:rPr>
              <w:t>其他未列明行业</w:t>
            </w:r>
          </w:p>
        </w:tc>
        <w:tc>
          <w:tcPr>
            <w:tcW w:w="7060" w:type="dxa"/>
            <w:noWrap w:val="0"/>
            <w:vAlign w:val="center"/>
          </w:tcPr>
          <w:p w14:paraId="3B964B62">
            <w:pPr>
              <w:spacing w:line="400" w:lineRule="exact"/>
              <w:jc w:val="left"/>
              <w:rPr>
                <w:rFonts w:hint="eastAsia" w:ascii="宋体" w:hAnsi="宋体" w:eastAsia="宋体" w:cs="宋体"/>
                <w:b/>
                <w:bCs/>
                <w:szCs w:val="21"/>
              </w:rPr>
            </w:pPr>
            <w:r>
              <w:rPr>
                <w:rFonts w:hint="eastAsia" w:ascii="宋体" w:hAnsi="宋体" w:eastAsia="宋体" w:cs="宋体"/>
                <w:b/>
                <w:bCs/>
                <w:szCs w:val="21"/>
              </w:rPr>
              <w:t>一、基本服务要求</w:t>
            </w:r>
          </w:p>
          <w:p w14:paraId="33ABEB76">
            <w:pPr>
              <w:spacing w:line="400" w:lineRule="exact"/>
              <w:jc w:val="left"/>
              <w:rPr>
                <w:rFonts w:hint="eastAsia" w:ascii="宋体" w:hAnsi="宋体" w:eastAsia="宋体" w:cs="宋体"/>
                <w:szCs w:val="21"/>
              </w:rPr>
            </w:pPr>
            <w:r>
              <w:rPr>
                <w:rFonts w:hint="eastAsia" w:ascii="宋体" w:hAnsi="宋体" w:eastAsia="宋体" w:cs="宋体"/>
                <w:szCs w:val="21"/>
              </w:rPr>
              <w:t>1.维保类型：全保服务。</w:t>
            </w:r>
          </w:p>
          <w:p w14:paraId="7585046B">
            <w:pPr>
              <w:spacing w:line="400" w:lineRule="exact"/>
              <w:jc w:val="left"/>
              <w:rPr>
                <w:rFonts w:hint="eastAsia" w:ascii="宋体" w:hAnsi="宋体" w:eastAsia="宋体" w:cs="宋体"/>
                <w:szCs w:val="21"/>
              </w:rPr>
            </w:pPr>
            <w:r>
              <w:rPr>
                <w:rFonts w:hint="eastAsia" w:ascii="宋体" w:hAnsi="宋体" w:eastAsia="宋体" w:cs="宋体"/>
                <w:szCs w:val="21"/>
              </w:rPr>
              <w:t>2.维保期内，设备进行维修，保养和更换配件，承担配件、劳务和差旅等费用，不再收取除合同款外的其他费用。</w:t>
            </w:r>
          </w:p>
          <w:p w14:paraId="46C76A79">
            <w:pPr>
              <w:spacing w:line="400" w:lineRule="exact"/>
              <w:jc w:val="left"/>
              <w:rPr>
                <w:rFonts w:hint="eastAsia" w:ascii="宋体" w:hAnsi="宋体" w:eastAsia="宋体" w:cs="宋体"/>
                <w:szCs w:val="21"/>
              </w:rPr>
            </w:pPr>
            <w:r>
              <w:rPr>
                <w:rFonts w:hint="eastAsia" w:ascii="宋体" w:hAnsi="宋体" w:eastAsia="宋体" w:cs="宋体"/>
                <w:szCs w:val="21"/>
              </w:rPr>
              <w:t>3.每年4次预防性维护，包括设备的安全检查、除尘保养及运行状态检查、定期更换设备易损部件等。</w:t>
            </w:r>
          </w:p>
          <w:p w14:paraId="6560F85A">
            <w:pPr>
              <w:spacing w:line="400" w:lineRule="exact"/>
              <w:jc w:val="left"/>
              <w:rPr>
                <w:rFonts w:hint="eastAsia" w:ascii="宋体" w:hAnsi="宋体" w:eastAsia="宋体" w:cs="宋体"/>
                <w:szCs w:val="21"/>
                <w:lang w:eastAsia="zh-CN"/>
              </w:rPr>
            </w:pPr>
            <w:r>
              <w:rPr>
                <w:rFonts w:hint="eastAsia" w:ascii="宋体" w:hAnsi="宋体" w:eastAsia="宋体" w:cs="宋体"/>
                <w:szCs w:val="21"/>
              </w:rPr>
              <w:t>4.提供原厂系统免费软件版本升级。升级版本应保持为合同期内最高级别、最新、功能最全的版本</w:t>
            </w:r>
            <w:r>
              <w:rPr>
                <w:rFonts w:hint="eastAsia" w:ascii="宋体" w:hAnsi="宋体" w:cs="宋体"/>
                <w:szCs w:val="21"/>
                <w:lang w:eastAsia="zh-CN"/>
              </w:rPr>
              <w:t>。</w:t>
            </w:r>
          </w:p>
          <w:p w14:paraId="7D6139AF">
            <w:pPr>
              <w:spacing w:line="400" w:lineRule="exact"/>
              <w:jc w:val="left"/>
              <w:rPr>
                <w:rFonts w:hint="eastAsia" w:ascii="宋体" w:hAnsi="宋体" w:eastAsia="宋体" w:cs="宋体"/>
                <w:szCs w:val="21"/>
              </w:rPr>
            </w:pPr>
            <w:r>
              <w:rPr>
                <w:rFonts w:hint="eastAsia" w:ascii="宋体" w:hAnsi="宋体" w:eastAsia="宋体" w:cs="宋体"/>
                <w:szCs w:val="21"/>
              </w:rPr>
              <w:t>5.服务期内，根据用户需求提供设备使用咨询及必要的现场技术交流服务。</w:t>
            </w:r>
          </w:p>
          <w:p w14:paraId="56539A6E">
            <w:pPr>
              <w:spacing w:line="400" w:lineRule="exact"/>
              <w:jc w:val="left"/>
              <w:rPr>
                <w:rFonts w:hint="eastAsia" w:ascii="宋体" w:hAnsi="宋体" w:eastAsia="宋体" w:cs="宋体"/>
                <w:b/>
                <w:bCs/>
                <w:szCs w:val="21"/>
              </w:rPr>
            </w:pPr>
            <w:r>
              <w:rPr>
                <w:rFonts w:hint="eastAsia" w:ascii="宋体" w:hAnsi="宋体" w:eastAsia="宋体" w:cs="宋体"/>
                <w:b/>
                <w:bCs/>
                <w:szCs w:val="21"/>
              </w:rPr>
              <w:t>二、具体参数要求</w:t>
            </w:r>
          </w:p>
          <w:p w14:paraId="7D993C0E">
            <w:pPr>
              <w:spacing w:line="400" w:lineRule="exact"/>
              <w:jc w:val="left"/>
              <w:rPr>
                <w:rFonts w:hint="eastAsia" w:ascii="宋体" w:hAnsi="宋体" w:eastAsia="宋体" w:cs="宋体"/>
                <w:szCs w:val="21"/>
                <w:lang w:eastAsia="zh-CN"/>
              </w:rPr>
            </w:pPr>
            <w:r>
              <w:rPr>
                <w:rFonts w:hint="eastAsia" w:ascii="宋体" w:hAnsi="宋体" w:eastAsia="宋体" w:cs="宋体"/>
                <w:szCs w:val="21"/>
              </w:rPr>
              <w:t>1.服务提供方具备800或400客户服务专线电话</w:t>
            </w:r>
            <w:r>
              <w:rPr>
                <w:rFonts w:hint="eastAsia" w:ascii="宋体" w:hAnsi="宋体" w:cs="宋体"/>
                <w:szCs w:val="21"/>
                <w:lang w:eastAsia="zh-CN"/>
              </w:rPr>
              <w:t>。</w:t>
            </w:r>
          </w:p>
          <w:p w14:paraId="1D9504D6">
            <w:pPr>
              <w:spacing w:line="400" w:lineRule="exact"/>
              <w:jc w:val="left"/>
              <w:rPr>
                <w:rFonts w:hint="eastAsia" w:ascii="宋体" w:hAnsi="宋体" w:eastAsia="宋体" w:cs="宋体"/>
                <w:szCs w:val="21"/>
                <w:lang w:eastAsia="zh-CN"/>
              </w:rPr>
            </w:pPr>
            <w:r>
              <w:rPr>
                <w:rFonts w:hint="eastAsia" w:ascii="宋体" w:hAnsi="宋体" w:eastAsia="宋体" w:cs="宋体"/>
                <w:szCs w:val="21"/>
              </w:rPr>
              <w:t>2.提供即时远程系统运行状态监测，提供实时远程诊断和维修</w:t>
            </w:r>
            <w:r>
              <w:rPr>
                <w:rFonts w:hint="eastAsia" w:ascii="宋体" w:hAnsi="宋体" w:cs="宋体"/>
                <w:szCs w:val="21"/>
                <w:lang w:eastAsia="zh-CN"/>
              </w:rPr>
              <w:t>。</w:t>
            </w:r>
          </w:p>
          <w:p w14:paraId="7A32777B">
            <w:pPr>
              <w:spacing w:line="400" w:lineRule="exact"/>
              <w:jc w:val="left"/>
              <w:rPr>
                <w:rFonts w:hint="eastAsia" w:ascii="宋体" w:hAnsi="宋体" w:eastAsia="宋体" w:cs="宋体"/>
                <w:szCs w:val="21"/>
              </w:rPr>
            </w:pPr>
            <w:r>
              <w:rPr>
                <w:rFonts w:hint="eastAsia" w:ascii="宋体" w:hAnsi="宋体" w:eastAsia="宋体" w:cs="宋体"/>
                <w:szCs w:val="21"/>
              </w:rPr>
              <w:t>3.无限次紧急维修服务，院方享有在第一时间获得服务和维修备件使用优先权。</w:t>
            </w:r>
          </w:p>
          <w:p w14:paraId="638390BC">
            <w:pPr>
              <w:spacing w:line="400" w:lineRule="exact"/>
              <w:jc w:val="left"/>
              <w:rPr>
                <w:rFonts w:hint="eastAsia" w:ascii="宋体" w:hAnsi="宋体" w:eastAsia="宋体" w:cs="宋体"/>
                <w:szCs w:val="21"/>
              </w:rPr>
            </w:pPr>
            <w:r>
              <w:rPr>
                <w:rFonts w:hint="eastAsia" w:ascii="宋体" w:hAnsi="宋体" w:eastAsia="宋体" w:cs="宋体"/>
                <w:szCs w:val="21"/>
              </w:rPr>
              <w:t>4.保修合同期间，移机免人工差旅费（不包含运输及运输保险费用），免费进行新场地勘察。</w:t>
            </w:r>
          </w:p>
          <w:p w14:paraId="6C0098E1">
            <w:pPr>
              <w:spacing w:line="400" w:lineRule="exact"/>
              <w:jc w:val="left"/>
              <w:rPr>
                <w:rFonts w:hint="eastAsia" w:ascii="宋体" w:hAnsi="宋体" w:eastAsia="宋体" w:cs="宋体"/>
                <w:szCs w:val="21"/>
              </w:rPr>
            </w:pPr>
            <w:r>
              <w:rPr>
                <w:rFonts w:hint="eastAsia" w:ascii="宋体" w:hAnsi="宋体" w:eastAsia="宋体" w:cs="宋体"/>
                <w:szCs w:val="21"/>
              </w:rPr>
              <w:t>5.有远程支持专职工程师≥2人，需提供原厂培训证书。</w:t>
            </w:r>
          </w:p>
          <w:p w14:paraId="0EAC1DA6">
            <w:pPr>
              <w:spacing w:line="400" w:lineRule="exact"/>
              <w:jc w:val="left"/>
              <w:rPr>
                <w:rFonts w:hint="eastAsia" w:ascii="宋体" w:hAnsi="宋体" w:eastAsia="宋体" w:cs="宋体"/>
                <w:szCs w:val="21"/>
              </w:rPr>
            </w:pPr>
            <w:r>
              <w:rPr>
                <w:rFonts w:hint="eastAsia" w:ascii="宋体" w:hAnsi="宋体" w:eastAsia="宋体" w:cs="宋体"/>
                <w:szCs w:val="21"/>
              </w:rPr>
              <w:t>6.有现场服务工程师≥3人，需提供原厂培训证书。</w:t>
            </w:r>
          </w:p>
          <w:p w14:paraId="4FB4B2DD">
            <w:pPr>
              <w:spacing w:line="400" w:lineRule="exact"/>
              <w:jc w:val="left"/>
              <w:rPr>
                <w:rFonts w:hint="eastAsia" w:ascii="宋体" w:hAnsi="宋体" w:eastAsia="宋体" w:cs="宋体"/>
                <w:szCs w:val="21"/>
              </w:rPr>
            </w:pPr>
            <w:r>
              <w:rPr>
                <w:rFonts w:hint="eastAsia" w:ascii="宋体" w:hAnsi="宋体" w:eastAsia="宋体" w:cs="宋体"/>
                <w:szCs w:val="21"/>
              </w:rPr>
              <w:t>7.能够随时按需要取得设备制造商和工厂的技术、物力支持。</w:t>
            </w:r>
          </w:p>
          <w:p w14:paraId="752B975B">
            <w:pPr>
              <w:spacing w:line="400" w:lineRule="exact"/>
              <w:jc w:val="left"/>
              <w:rPr>
                <w:rFonts w:hint="eastAsia" w:ascii="宋体" w:hAnsi="宋体" w:eastAsia="宋体" w:cs="宋体"/>
                <w:szCs w:val="21"/>
              </w:rPr>
            </w:pPr>
            <w:r>
              <w:rPr>
                <w:rFonts w:hint="eastAsia" w:ascii="宋体" w:hAnsi="宋体" w:eastAsia="宋体" w:cs="宋体"/>
                <w:szCs w:val="21"/>
              </w:rPr>
              <w:t>8.服务提供方具备da Vinci设备维修保养需使用的特殊精密专业工具，并可提供年度国家级校正认证机构或其授权单位出具的有效检测报告。</w:t>
            </w:r>
          </w:p>
          <w:p w14:paraId="6E64473A">
            <w:pPr>
              <w:spacing w:line="400" w:lineRule="exact"/>
              <w:jc w:val="left"/>
              <w:rPr>
                <w:rFonts w:hint="eastAsia" w:ascii="宋体" w:hAnsi="宋体" w:eastAsia="宋体" w:cs="宋体"/>
                <w:szCs w:val="21"/>
              </w:rPr>
            </w:pPr>
            <w:r>
              <w:rPr>
                <w:rFonts w:hint="eastAsia" w:ascii="宋体" w:hAnsi="宋体" w:eastAsia="宋体" w:cs="宋体"/>
                <w:szCs w:val="21"/>
              </w:rPr>
              <w:t>9.服务提供方每位工程师具有静电防护工具，保证服务过程的安全性。</w:t>
            </w:r>
          </w:p>
          <w:p w14:paraId="2B4B45E8">
            <w:pPr>
              <w:spacing w:line="400" w:lineRule="exact"/>
              <w:jc w:val="left"/>
              <w:rPr>
                <w:rFonts w:hint="eastAsia" w:ascii="宋体" w:hAnsi="宋体" w:eastAsia="宋体" w:cs="宋体"/>
                <w:szCs w:val="21"/>
              </w:rPr>
            </w:pPr>
            <w:r>
              <w:rPr>
                <w:rFonts w:hint="eastAsia" w:ascii="宋体" w:hAnsi="宋体" w:eastAsia="宋体" w:cs="宋体"/>
                <w:szCs w:val="21"/>
              </w:rPr>
              <w:t>10.零备件供应：维修服务中更换的任何设备零配件，均来自原厂，且符合原厂技术标准并获得原厂合格认证，通过合法途径报关进口后未在其他设备上使用过的零配件，并保证设备经维修后的技术参数与原机数据相同。</w:t>
            </w:r>
          </w:p>
          <w:p w14:paraId="143994BE">
            <w:pPr>
              <w:spacing w:line="400" w:lineRule="exact"/>
              <w:jc w:val="left"/>
              <w:rPr>
                <w:rFonts w:hint="eastAsia" w:ascii="宋体" w:hAnsi="宋体" w:eastAsia="宋体" w:cs="宋体"/>
                <w:szCs w:val="21"/>
                <w:lang w:eastAsia="zh-CN"/>
              </w:rPr>
            </w:pPr>
            <w:r>
              <w:rPr>
                <w:rFonts w:hint="eastAsia" w:ascii="宋体" w:hAnsi="宋体" w:eastAsia="宋体" w:cs="宋体"/>
                <w:szCs w:val="21"/>
              </w:rPr>
              <w:t>11.响应时间要求：服务提供方在接获报修电话后，提供突发性问题的解决措施及特殊紧急的合理化处理措施</w:t>
            </w:r>
            <w:r>
              <w:rPr>
                <w:rFonts w:hint="eastAsia" w:ascii="宋体" w:hAnsi="宋体" w:cs="宋体"/>
                <w:szCs w:val="21"/>
                <w:lang w:eastAsia="zh-CN"/>
              </w:rPr>
              <w:t>。</w:t>
            </w:r>
          </w:p>
          <w:p w14:paraId="3DD6C226">
            <w:pPr>
              <w:spacing w:line="400" w:lineRule="exact"/>
              <w:jc w:val="left"/>
              <w:rPr>
                <w:rFonts w:hint="eastAsia" w:ascii="宋体" w:hAnsi="宋体" w:eastAsia="宋体" w:cs="宋体"/>
                <w:szCs w:val="21"/>
                <w:lang w:eastAsia="zh-CN"/>
              </w:rPr>
            </w:pPr>
            <w:r>
              <w:rPr>
                <w:rFonts w:hint="eastAsia" w:ascii="宋体" w:hAnsi="宋体" w:eastAsia="宋体" w:cs="宋体"/>
                <w:szCs w:val="21"/>
              </w:rPr>
              <w:t>12.每年响应时间为全年（含节假日）</w:t>
            </w:r>
            <w:r>
              <w:rPr>
                <w:rFonts w:hint="eastAsia" w:ascii="宋体" w:hAnsi="宋体" w:cs="宋体"/>
                <w:szCs w:val="21"/>
                <w:lang w:eastAsia="zh-CN"/>
              </w:rPr>
              <w:t>。</w:t>
            </w:r>
          </w:p>
          <w:p w14:paraId="556E53F8">
            <w:pPr>
              <w:spacing w:line="400" w:lineRule="exact"/>
              <w:jc w:val="left"/>
              <w:rPr>
                <w:rFonts w:hint="eastAsia" w:ascii="宋体" w:hAnsi="宋体" w:eastAsia="宋体" w:cs="宋体"/>
                <w:szCs w:val="21"/>
                <w:lang w:eastAsia="zh-CN"/>
              </w:rPr>
            </w:pPr>
            <w:r>
              <w:rPr>
                <w:rFonts w:hint="eastAsia" w:ascii="宋体" w:hAnsi="宋体" w:eastAsia="宋体" w:cs="宋体"/>
                <w:szCs w:val="21"/>
              </w:rPr>
              <w:t>13.响应时间&lt;1小时</w:t>
            </w:r>
            <w:r>
              <w:rPr>
                <w:rFonts w:hint="eastAsia" w:ascii="宋体" w:hAnsi="宋体" w:cs="宋体"/>
                <w:szCs w:val="21"/>
                <w:lang w:eastAsia="zh-CN"/>
              </w:rPr>
              <w:t>。</w:t>
            </w:r>
          </w:p>
          <w:p w14:paraId="1DEE30D9">
            <w:pPr>
              <w:spacing w:line="400" w:lineRule="exact"/>
              <w:jc w:val="left"/>
              <w:rPr>
                <w:rFonts w:hint="eastAsia" w:ascii="宋体" w:hAnsi="宋体" w:eastAsia="宋体" w:cs="宋体"/>
                <w:szCs w:val="21"/>
                <w:lang w:eastAsia="zh-CN"/>
              </w:rPr>
            </w:pPr>
            <w:r>
              <w:rPr>
                <w:rFonts w:hint="eastAsia" w:ascii="宋体" w:hAnsi="宋体" w:eastAsia="宋体" w:cs="宋体"/>
                <w:szCs w:val="21"/>
              </w:rPr>
              <w:t>14.在交通条件允许的情况下，到达现场时间&lt;24小时</w:t>
            </w:r>
            <w:r>
              <w:rPr>
                <w:rFonts w:hint="eastAsia" w:ascii="宋体" w:hAnsi="宋体" w:cs="宋体"/>
                <w:szCs w:val="21"/>
                <w:lang w:eastAsia="zh-CN"/>
              </w:rPr>
              <w:t>。</w:t>
            </w:r>
          </w:p>
          <w:p w14:paraId="7E7F4AC0">
            <w:pPr>
              <w:snapToGrid w:val="0"/>
              <w:spacing w:line="440" w:lineRule="exact"/>
              <w:jc w:val="left"/>
              <w:rPr>
                <w:rFonts w:hint="default" w:ascii="宋体" w:hAnsi="宋体" w:eastAsia="宋体" w:cs="宋体"/>
                <w:color w:val="auto"/>
                <w:kern w:val="0"/>
                <w:szCs w:val="21"/>
                <w:highlight w:val="none"/>
                <w:lang w:val="en-US" w:eastAsia="zh-CN" w:bidi="ar"/>
              </w:rPr>
            </w:pPr>
            <w:r>
              <w:rPr>
                <w:rFonts w:hint="eastAsia" w:ascii="宋体" w:hAnsi="宋体" w:eastAsia="宋体" w:cs="宋体"/>
                <w:szCs w:val="21"/>
              </w:rPr>
              <w:t>15.服务提供方提供原厂系统免费软件版本升级。</w:t>
            </w:r>
            <w:r>
              <w:rPr>
                <w:rFonts w:hint="eastAsia" w:ascii="宋体" w:hAnsi="宋体" w:cs="宋体"/>
                <w:color w:val="auto"/>
                <w:kern w:val="0"/>
                <w:szCs w:val="21"/>
                <w:highlight w:val="none"/>
                <w:lang w:bidi="ar"/>
              </w:rPr>
              <w:t>升级版本</w:t>
            </w:r>
            <w:r>
              <w:rPr>
                <w:rFonts w:hint="eastAsia" w:ascii="宋体" w:hAnsi="宋体" w:cs="宋体"/>
                <w:color w:val="auto"/>
                <w:kern w:val="0"/>
                <w:szCs w:val="21"/>
                <w:highlight w:val="none"/>
                <w:lang w:val="en-US" w:eastAsia="zh-CN" w:bidi="ar"/>
              </w:rPr>
              <w:t>应保持为合同期内最高级别、最新、功能最全的版本。</w:t>
            </w:r>
          </w:p>
          <w:p w14:paraId="6903C7F6">
            <w:pPr>
              <w:spacing w:line="400" w:lineRule="exact"/>
              <w:jc w:val="left"/>
              <w:rPr>
                <w:rFonts w:hint="eastAsia" w:ascii="宋体" w:hAnsi="宋体" w:eastAsia="宋体" w:cs="宋体"/>
                <w:szCs w:val="21"/>
              </w:rPr>
            </w:pPr>
            <w:r>
              <w:rPr>
                <w:rFonts w:hint="eastAsia" w:ascii="宋体" w:hAnsi="宋体" w:eastAsia="宋体" w:cs="宋体"/>
                <w:szCs w:val="21"/>
              </w:rPr>
              <w:t>16.每年提供设备保养4次，并能提供保养服务报告。包含但不限于如下项目：设备清洁、性能测试及校准、必要的电气环境检测等。</w:t>
            </w:r>
          </w:p>
          <w:p w14:paraId="4B7622FF">
            <w:pPr>
              <w:spacing w:line="400" w:lineRule="exact"/>
              <w:jc w:val="left"/>
              <w:rPr>
                <w:rFonts w:hint="eastAsia" w:ascii="宋体" w:hAnsi="宋体" w:eastAsia="宋体" w:cs="宋体"/>
                <w:szCs w:val="21"/>
              </w:rPr>
            </w:pPr>
            <w:r>
              <w:rPr>
                <w:rFonts w:hint="eastAsia" w:ascii="宋体" w:hAnsi="宋体" w:eastAsia="宋体" w:cs="宋体"/>
                <w:szCs w:val="21"/>
              </w:rPr>
              <w:t>17.开机率：保修合同期间，服务提供方保证设备开机率达到95%以上（按一年365日计算，每超过一天，顺延保修两天）。</w:t>
            </w:r>
          </w:p>
          <w:p w14:paraId="4159D3E7">
            <w:pPr>
              <w:pStyle w:val="18"/>
            </w:pPr>
            <w:r>
              <w:rPr>
                <w:rFonts w:hint="eastAsia" w:ascii="宋体" w:hAnsi="宋体" w:eastAsia="宋体" w:cs="宋体"/>
                <w:szCs w:val="21"/>
              </w:rPr>
              <w:t>18.</w:t>
            </w:r>
            <w:r>
              <w:rPr>
                <w:rFonts w:hint="eastAsia"/>
              </w:rPr>
              <w:t>中标人须每年按照采购人要求，提供不少于 1 次的 da Vinci 设备、器械和附件消毒专项培训；培训形式可采用采购人院内现场培训或异地培训，若开展异地培训，培训所需师资、差旅、交通、场地、耗材等全部相关费用均由中标人全额承担。</w:t>
            </w:r>
          </w:p>
          <w:p w14:paraId="6624403A">
            <w:pPr>
              <w:spacing w:line="400" w:lineRule="exact"/>
              <w:jc w:val="left"/>
              <w:rPr>
                <w:rFonts w:hint="eastAsia" w:ascii="宋体" w:hAnsi="宋体" w:eastAsia="宋体" w:cs="宋体"/>
                <w:szCs w:val="21"/>
              </w:rPr>
            </w:pPr>
            <w:r>
              <w:rPr>
                <w:rFonts w:hint="eastAsia" w:ascii="宋体" w:hAnsi="宋体" w:eastAsia="宋体" w:cs="宋体"/>
                <w:szCs w:val="21"/>
              </w:rPr>
              <w:t xml:space="preserve">19.保修合同期间，负责免费提供修复设备所需的维修备件及免费更换非人为损坏的内窥镜（非人为损坏的内窥镜是指在保修合同期间内发生非人为损坏的，在合同生效前已经故障的不在免费更换范围内，可免费更换的内窥镜型号限定在合同登记列明的系列号范围内）。《达芬奇Xi手术系统专用器械、附件和内窥镜》中列出的器械、附件和内窥镜均不属于维修备件，除内窥镜以外医院另行通过销售渠道购买。 </w:t>
            </w:r>
          </w:p>
          <w:p w14:paraId="5174911D">
            <w:pPr>
              <w:spacing w:line="400" w:lineRule="exact"/>
              <w:jc w:val="left"/>
              <w:rPr>
                <w:rFonts w:hint="eastAsia" w:ascii="宋体" w:hAnsi="宋体" w:eastAsia="宋体" w:cs="宋体"/>
                <w:b/>
                <w:bCs/>
                <w:szCs w:val="21"/>
              </w:rPr>
            </w:pPr>
            <w:r>
              <w:rPr>
                <w:rFonts w:hint="eastAsia" w:ascii="宋体" w:hAnsi="宋体" w:eastAsia="宋体" w:cs="宋体"/>
                <w:b/>
                <w:bCs/>
                <w:szCs w:val="21"/>
              </w:rPr>
              <w:t>三、维保设备清单</w:t>
            </w:r>
          </w:p>
          <w:p w14:paraId="26699709">
            <w:pPr>
              <w:spacing w:line="400" w:lineRule="exact"/>
              <w:jc w:val="left"/>
              <w:rPr>
                <w:rFonts w:hint="eastAsia" w:ascii="宋体" w:hAnsi="宋体" w:eastAsia="宋体" w:cs="宋体"/>
                <w:szCs w:val="21"/>
              </w:rPr>
            </w:pPr>
            <w:r>
              <w:rPr>
                <w:rFonts w:hint="eastAsia" w:ascii="宋体" w:hAnsi="宋体" w:eastAsia="宋体" w:cs="宋体"/>
                <w:szCs w:val="21"/>
              </w:rPr>
              <w:t>1</w:t>
            </w:r>
            <w:r>
              <w:rPr>
                <w:rFonts w:hint="eastAsia" w:ascii="宋体" w:hAnsi="宋体" w:cs="宋体"/>
                <w:szCs w:val="21"/>
                <w:lang w:val="en-US" w:eastAsia="zh-CN"/>
              </w:rPr>
              <w:t>.</w:t>
            </w:r>
            <w:r>
              <w:rPr>
                <w:rFonts w:hint="eastAsia" w:ascii="宋体" w:hAnsi="宋体" w:eastAsia="宋体" w:cs="宋体"/>
                <w:szCs w:val="21"/>
              </w:rPr>
              <w:t>设备名称：达芬奇手术机器人</w:t>
            </w:r>
          </w:p>
          <w:p w14:paraId="05CE02F2">
            <w:pPr>
              <w:spacing w:line="400" w:lineRule="exact"/>
              <w:jc w:val="left"/>
              <w:rPr>
                <w:rFonts w:hint="eastAsia" w:ascii="宋体" w:hAnsi="宋体" w:eastAsia="宋体" w:cs="宋体"/>
                <w:szCs w:val="21"/>
              </w:rPr>
            </w:pPr>
            <w:r>
              <w:rPr>
                <w:rFonts w:hint="eastAsia" w:ascii="宋体" w:hAnsi="宋体" w:eastAsia="宋体" w:cs="宋体"/>
                <w:szCs w:val="21"/>
              </w:rPr>
              <w:t>2</w:t>
            </w:r>
            <w:r>
              <w:rPr>
                <w:rFonts w:hint="eastAsia" w:ascii="宋体" w:hAnsi="宋体" w:cs="宋体"/>
                <w:szCs w:val="21"/>
                <w:lang w:val="en-US" w:eastAsia="zh-CN"/>
              </w:rPr>
              <w:t>.</w:t>
            </w:r>
            <w:r>
              <w:rPr>
                <w:rFonts w:hint="eastAsia" w:ascii="宋体" w:hAnsi="宋体" w:eastAsia="宋体" w:cs="宋体"/>
                <w:szCs w:val="21"/>
              </w:rPr>
              <w:t>设备型号：IS4000</w:t>
            </w:r>
          </w:p>
          <w:p w14:paraId="4552F988">
            <w:pPr>
              <w:spacing w:line="400" w:lineRule="exact"/>
              <w:jc w:val="left"/>
              <w:rPr>
                <w:rFonts w:hint="eastAsia" w:ascii="宋体" w:hAnsi="宋体" w:eastAsia="宋体" w:cs="宋体"/>
                <w:szCs w:val="21"/>
              </w:rPr>
            </w:pPr>
            <w:r>
              <w:rPr>
                <w:rFonts w:hint="eastAsia" w:ascii="宋体" w:hAnsi="宋体" w:eastAsia="宋体" w:cs="宋体"/>
                <w:szCs w:val="21"/>
              </w:rPr>
              <w:t>3</w:t>
            </w:r>
            <w:r>
              <w:rPr>
                <w:rFonts w:hint="eastAsia" w:ascii="宋体" w:hAnsi="宋体" w:cs="宋体"/>
                <w:szCs w:val="21"/>
                <w:lang w:val="en-US" w:eastAsia="zh-CN"/>
              </w:rPr>
              <w:t>.</w:t>
            </w:r>
            <w:r>
              <w:rPr>
                <w:rFonts w:hint="eastAsia" w:ascii="宋体" w:hAnsi="宋体" w:eastAsia="宋体" w:cs="宋体"/>
                <w:szCs w:val="21"/>
              </w:rPr>
              <w:t>设备系列号：SK2922</w:t>
            </w:r>
          </w:p>
        </w:tc>
      </w:tr>
      <w:tr w14:paraId="299514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0406" w:type="dxa"/>
            <w:gridSpan w:val="5"/>
            <w:tcBorders>
              <w:top w:val="single" w:color="auto" w:sz="4" w:space="0"/>
              <w:left w:val="single" w:color="auto" w:sz="4" w:space="0"/>
              <w:bottom w:val="single" w:color="auto" w:sz="4" w:space="0"/>
              <w:right w:val="single" w:color="auto" w:sz="4" w:space="0"/>
            </w:tcBorders>
            <w:noWrap w:val="0"/>
            <w:vAlign w:val="top"/>
          </w:tcPr>
          <w:p w14:paraId="0C9012BE">
            <w:pPr>
              <w:spacing w:line="400" w:lineRule="exact"/>
              <w:rPr>
                <w:rFonts w:ascii="宋体" w:hAnsi="宋体" w:eastAsia="宋体" w:cs="Times New Roman"/>
                <w:b/>
                <w:bCs/>
                <w:szCs w:val="21"/>
              </w:rPr>
            </w:pPr>
            <w:r>
              <w:rPr>
                <w:rFonts w:hint="eastAsia" w:ascii="宋体" w:hAnsi="宋体" w:eastAsia="宋体" w:cs="宋体"/>
                <w:szCs w:val="21"/>
              </w:rPr>
              <w:t>▲二、</w:t>
            </w:r>
            <w:r>
              <w:rPr>
                <w:rFonts w:hint="eastAsia" w:ascii="宋体" w:hAnsi="宋体" w:eastAsia="宋体" w:cs="Times New Roman"/>
                <w:b/>
                <w:szCs w:val="21"/>
              </w:rPr>
              <w:t>商务要求</w:t>
            </w:r>
          </w:p>
        </w:tc>
      </w:tr>
      <w:tr w14:paraId="2DBDA5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1804" w:type="dxa"/>
            <w:gridSpan w:val="2"/>
            <w:tcBorders>
              <w:top w:val="single" w:color="auto" w:sz="4" w:space="0"/>
              <w:left w:val="single" w:color="auto" w:sz="4" w:space="0"/>
              <w:bottom w:val="single" w:color="auto" w:sz="4" w:space="0"/>
              <w:right w:val="single" w:color="auto" w:sz="4" w:space="0"/>
            </w:tcBorders>
            <w:noWrap w:val="0"/>
            <w:vAlign w:val="center"/>
          </w:tcPr>
          <w:p w14:paraId="43DD460D">
            <w:pPr>
              <w:spacing w:line="360" w:lineRule="atLeast"/>
              <w:jc w:val="center"/>
              <w:rPr>
                <w:rFonts w:hint="eastAsia" w:ascii="宋体" w:hAnsi="宋体" w:eastAsia="宋体" w:cs="宋体"/>
                <w:b/>
                <w:bCs/>
                <w:szCs w:val="21"/>
              </w:rPr>
            </w:pPr>
            <w:r>
              <w:rPr>
                <w:rFonts w:hint="eastAsia" w:ascii="宋体" w:hAnsi="宋体" w:eastAsia="宋体" w:cs="宋体"/>
                <w:szCs w:val="21"/>
              </w:rPr>
              <w:t>服务期及地点</w:t>
            </w:r>
          </w:p>
        </w:tc>
        <w:tc>
          <w:tcPr>
            <w:tcW w:w="8602" w:type="dxa"/>
            <w:gridSpan w:val="3"/>
            <w:tcBorders>
              <w:top w:val="single" w:color="auto" w:sz="4" w:space="0"/>
              <w:left w:val="single" w:color="auto" w:sz="4" w:space="0"/>
              <w:bottom w:val="single" w:color="auto" w:sz="4" w:space="0"/>
              <w:right w:val="single" w:color="auto" w:sz="4" w:space="0"/>
            </w:tcBorders>
            <w:noWrap w:val="0"/>
            <w:vAlign w:val="center"/>
          </w:tcPr>
          <w:p w14:paraId="52DD5582">
            <w:pPr>
              <w:spacing w:line="360" w:lineRule="atLeast"/>
              <w:rPr>
                <w:rFonts w:hint="eastAsia" w:ascii="宋体" w:hAnsi="宋体" w:eastAsia="宋体" w:cs="宋体"/>
                <w:szCs w:val="21"/>
              </w:rPr>
            </w:pPr>
            <w:r>
              <w:rPr>
                <w:rFonts w:hint="eastAsia" w:ascii="宋体" w:hAnsi="宋体" w:eastAsia="宋体" w:cs="宋体"/>
                <w:szCs w:val="21"/>
              </w:rPr>
              <w:t>1.服务期：自合同签订之日起3年。</w:t>
            </w:r>
          </w:p>
          <w:p w14:paraId="6A11EB01">
            <w:pPr>
              <w:spacing w:line="360" w:lineRule="atLeast"/>
              <w:rPr>
                <w:rFonts w:hint="eastAsia" w:ascii="宋体" w:hAnsi="宋体" w:eastAsia="宋体" w:cs="宋体"/>
                <w:b/>
                <w:szCs w:val="21"/>
                <w:lang w:eastAsia="zh-CN"/>
              </w:rPr>
            </w:pPr>
            <w:r>
              <w:rPr>
                <w:rFonts w:hint="eastAsia" w:ascii="宋体" w:hAnsi="宋体" w:eastAsia="宋体" w:cs="宋体"/>
                <w:szCs w:val="21"/>
              </w:rPr>
              <w:t>2.服务地点：广西医科大学第一附属医院（南宁市）</w:t>
            </w:r>
            <w:r>
              <w:rPr>
                <w:rFonts w:hint="eastAsia" w:ascii="宋体" w:hAnsi="宋体" w:eastAsia="宋体" w:cs="宋体"/>
                <w:szCs w:val="21"/>
                <w:lang w:eastAsia="zh-CN"/>
              </w:rPr>
              <w:t>。</w:t>
            </w:r>
          </w:p>
        </w:tc>
      </w:tr>
      <w:tr w14:paraId="6CB3C7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8" w:hRule="atLeast"/>
          <w:jc w:val="center"/>
        </w:trPr>
        <w:tc>
          <w:tcPr>
            <w:tcW w:w="1804" w:type="dxa"/>
            <w:gridSpan w:val="2"/>
            <w:tcBorders>
              <w:top w:val="single" w:color="auto" w:sz="4" w:space="0"/>
              <w:left w:val="single" w:color="auto" w:sz="4" w:space="0"/>
              <w:bottom w:val="single" w:color="auto" w:sz="4" w:space="0"/>
              <w:right w:val="single" w:color="auto" w:sz="4" w:space="0"/>
            </w:tcBorders>
            <w:noWrap w:val="0"/>
            <w:vAlign w:val="center"/>
          </w:tcPr>
          <w:p w14:paraId="7180A72E">
            <w:pPr>
              <w:spacing w:before="34" w:line="229" w:lineRule="auto"/>
              <w:ind w:left="117"/>
              <w:jc w:val="center"/>
              <w:rPr>
                <w:rFonts w:hint="eastAsia" w:ascii="宋体" w:hAnsi="宋体" w:eastAsia="宋体" w:cs="宋体"/>
                <w:sz w:val="22"/>
                <w:szCs w:val="21"/>
                <w:lang w:eastAsia="en-US"/>
              </w:rPr>
            </w:pPr>
            <w:r>
              <w:rPr>
                <w:rFonts w:ascii="宋体" w:hAnsi="宋体" w:eastAsia="宋体" w:cs="宋体"/>
                <w:spacing w:val="7"/>
                <w:szCs w:val="21"/>
                <w:lang w:eastAsia="en-US"/>
              </w:rPr>
              <w:t>合同签订期</w:t>
            </w:r>
          </w:p>
        </w:tc>
        <w:tc>
          <w:tcPr>
            <w:tcW w:w="8602" w:type="dxa"/>
            <w:gridSpan w:val="3"/>
            <w:tcBorders>
              <w:top w:val="single" w:color="auto" w:sz="4" w:space="0"/>
              <w:left w:val="single" w:color="auto" w:sz="4" w:space="0"/>
              <w:bottom w:val="single" w:color="auto" w:sz="4" w:space="0"/>
              <w:right w:val="single" w:color="auto" w:sz="4" w:space="0"/>
            </w:tcBorders>
            <w:noWrap w:val="0"/>
            <w:vAlign w:val="center"/>
          </w:tcPr>
          <w:p w14:paraId="2F58C002">
            <w:pPr>
              <w:spacing w:before="34" w:line="233" w:lineRule="auto"/>
              <w:ind w:right="156"/>
              <w:jc w:val="left"/>
              <w:rPr>
                <w:rFonts w:hint="eastAsia" w:ascii="宋体" w:hAnsi="宋体" w:eastAsia="宋体" w:cs="宋体"/>
                <w:sz w:val="22"/>
                <w:szCs w:val="21"/>
              </w:rPr>
            </w:pPr>
            <w:r>
              <w:rPr>
                <w:rFonts w:ascii="宋体" w:hAnsi="宋体" w:eastAsia="宋体" w:cs="宋体"/>
                <w:spacing w:val="6"/>
                <w:szCs w:val="21"/>
              </w:rPr>
              <w:t>自</w:t>
            </w:r>
            <w:r>
              <w:rPr>
                <w:rFonts w:hint="eastAsia" w:ascii="宋体" w:hAnsi="宋体" w:eastAsia="宋体" w:cs="宋体"/>
                <w:spacing w:val="6"/>
                <w:szCs w:val="21"/>
              </w:rPr>
              <w:t>成交</w:t>
            </w:r>
            <w:r>
              <w:rPr>
                <w:rFonts w:ascii="宋体" w:hAnsi="宋体" w:eastAsia="宋体" w:cs="宋体"/>
                <w:spacing w:val="6"/>
                <w:szCs w:val="21"/>
              </w:rPr>
              <w:t>通知书发出之日起25</w:t>
            </w:r>
            <w:r>
              <w:rPr>
                <w:rFonts w:hint="eastAsia" w:ascii="宋体" w:hAnsi="宋体" w:eastAsia="宋体" w:cs="宋体"/>
                <w:spacing w:val="6"/>
                <w:szCs w:val="21"/>
              </w:rPr>
              <w:t>个</w:t>
            </w:r>
            <w:r>
              <w:rPr>
                <w:rFonts w:ascii="宋体" w:hAnsi="宋体" w:eastAsia="宋体" w:cs="宋体"/>
                <w:spacing w:val="6"/>
                <w:szCs w:val="21"/>
              </w:rPr>
              <w:t>日历日内</w:t>
            </w:r>
            <w:r>
              <w:rPr>
                <w:rFonts w:hint="eastAsia" w:ascii="宋体" w:hAnsi="宋体" w:eastAsia="宋体" w:cs="宋体"/>
                <w:spacing w:val="6"/>
                <w:szCs w:val="21"/>
              </w:rPr>
              <w:t>。</w:t>
            </w:r>
          </w:p>
        </w:tc>
      </w:tr>
      <w:tr w14:paraId="401144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1804" w:type="dxa"/>
            <w:gridSpan w:val="2"/>
            <w:tcBorders>
              <w:top w:val="single" w:color="auto" w:sz="4" w:space="0"/>
              <w:left w:val="single" w:color="auto" w:sz="4" w:space="0"/>
              <w:bottom w:val="single" w:color="auto" w:sz="4" w:space="0"/>
              <w:right w:val="single" w:color="auto" w:sz="4" w:space="0"/>
            </w:tcBorders>
            <w:noWrap w:val="0"/>
            <w:vAlign w:val="center"/>
          </w:tcPr>
          <w:p w14:paraId="6A8139CF">
            <w:pPr>
              <w:spacing w:line="400" w:lineRule="exact"/>
              <w:jc w:val="center"/>
              <w:rPr>
                <w:rFonts w:hint="eastAsia" w:ascii="宋体" w:hAnsi="宋体" w:eastAsia="宋体" w:cs="Times New Roman"/>
                <w:b/>
                <w:bCs/>
                <w:szCs w:val="21"/>
              </w:rPr>
            </w:pPr>
            <w:r>
              <w:rPr>
                <w:rFonts w:hint="eastAsia" w:ascii="宋体" w:hAnsi="宋体" w:eastAsia="宋体" w:cs="Times New Roman"/>
                <w:szCs w:val="21"/>
              </w:rPr>
              <w:t>付款方式及条件</w:t>
            </w:r>
          </w:p>
        </w:tc>
        <w:tc>
          <w:tcPr>
            <w:tcW w:w="8602" w:type="dxa"/>
            <w:gridSpan w:val="3"/>
            <w:tcBorders>
              <w:top w:val="single" w:color="auto" w:sz="4" w:space="0"/>
              <w:left w:val="single" w:color="auto" w:sz="4" w:space="0"/>
              <w:bottom w:val="single" w:color="auto" w:sz="4" w:space="0"/>
              <w:right w:val="single" w:color="auto" w:sz="4" w:space="0"/>
            </w:tcBorders>
            <w:noWrap w:val="0"/>
            <w:vAlign w:val="center"/>
          </w:tcPr>
          <w:p w14:paraId="72298BED">
            <w:pPr>
              <w:spacing w:line="400" w:lineRule="exact"/>
              <w:rPr>
                <w:rFonts w:hint="eastAsia" w:ascii="宋体" w:hAnsi="宋体" w:eastAsia="宋体" w:cs="Times New Roman"/>
                <w:szCs w:val="21"/>
              </w:rPr>
            </w:pPr>
            <w:r>
              <w:rPr>
                <w:rFonts w:hint="eastAsia" w:ascii="宋体" w:hAnsi="宋体" w:eastAsia="宋体" w:cs="Times New Roman"/>
                <w:szCs w:val="21"/>
              </w:rPr>
              <w:t>(1)本合同全款额分为三次支付：</w:t>
            </w:r>
          </w:p>
          <w:p w14:paraId="7E6AB75F">
            <w:pPr>
              <w:spacing w:line="400" w:lineRule="exact"/>
              <w:rPr>
                <w:rFonts w:hint="eastAsia" w:ascii="宋体" w:hAnsi="宋体" w:eastAsia="宋体" w:cs="Times New Roman"/>
                <w:szCs w:val="21"/>
              </w:rPr>
            </w:pPr>
            <w:r>
              <w:rPr>
                <w:rFonts w:hint="eastAsia" w:ascii="宋体" w:hAnsi="宋体" w:eastAsia="宋体" w:cs="Times New Roman"/>
                <w:szCs w:val="21"/>
              </w:rPr>
              <w:t>第一期：合同款的33%；第一年服务期满，</w:t>
            </w:r>
            <w:r>
              <w:rPr>
                <w:rFonts w:hint="eastAsia" w:ascii="宋体" w:hAnsi="宋体" w:cs="宋体"/>
                <w:szCs w:val="21"/>
              </w:rPr>
              <w:t>中标人向采购人开具发票，采购人自材料审核完成之日起10个工作日内支付</w:t>
            </w:r>
            <w:r>
              <w:rPr>
                <w:rFonts w:hint="eastAsia" w:ascii="宋体" w:hAnsi="宋体" w:eastAsia="宋体" w:cs="Times New Roman"/>
                <w:szCs w:val="21"/>
              </w:rPr>
              <w:t>；</w:t>
            </w:r>
          </w:p>
          <w:p w14:paraId="4D8058F5">
            <w:pPr>
              <w:spacing w:line="400" w:lineRule="exact"/>
              <w:rPr>
                <w:rFonts w:hint="eastAsia" w:ascii="宋体" w:hAnsi="宋体" w:eastAsia="宋体" w:cs="Times New Roman"/>
                <w:szCs w:val="21"/>
              </w:rPr>
            </w:pPr>
            <w:r>
              <w:rPr>
                <w:rFonts w:hint="eastAsia" w:ascii="宋体" w:hAnsi="宋体" w:eastAsia="宋体" w:cs="Times New Roman"/>
                <w:szCs w:val="21"/>
              </w:rPr>
              <w:t>第二期：合同款的33%；第二年服务期满，</w:t>
            </w:r>
            <w:r>
              <w:rPr>
                <w:rFonts w:hint="eastAsia" w:ascii="宋体" w:hAnsi="宋体" w:cs="宋体"/>
                <w:szCs w:val="21"/>
              </w:rPr>
              <w:t>中标人向采购人开具发票，采购人自材料审核完成之日起10个工作日内支付</w:t>
            </w:r>
            <w:r>
              <w:rPr>
                <w:rFonts w:hint="eastAsia" w:ascii="宋体" w:hAnsi="宋体" w:eastAsia="宋体" w:cs="Times New Roman"/>
                <w:szCs w:val="21"/>
              </w:rPr>
              <w:t>。</w:t>
            </w:r>
          </w:p>
          <w:p w14:paraId="6CD373C8">
            <w:pPr>
              <w:widowControl/>
              <w:spacing w:line="360" w:lineRule="auto"/>
              <w:jc w:val="left"/>
              <w:textAlignment w:val="center"/>
              <w:rPr>
                <w:rFonts w:hint="eastAsia" w:ascii="宋体" w:hAnsi="宋体" w:eastAsia="宋体" w:cs="Times New Roman"/>
                <w:szCs w:val="21"/>
              </w:rPr>
            </w:pPr>
            <w:r>
              <w:rPr>
                <w:rFonts w:hint="eastAsia" w:ascii="宋体" w:hAnsi="宋体" w:eastAsia="宋体" w:cs="Times New Roman"/>
                <w:szCs w:val="21"/>
              </w:rPr>
              <w:t>第三期：合同款的34%；第三年服务期满，</w:t>
            </w:r>
            <w:r>
              <w:rPr>
                <w:rFonts w:hint="eastAsia" w:ascii="宋体" w:hAnsi="宋体" w:cs="宋体"/>
                <w:szCs w:val="21"/>
              </w:rPr>
              <w:t>中标人向采购人开具发票，采购人自材料审核完成之日起10个工作日内支付</w:t>
            </w:r>
            <w:r>
              <w:rPr>
                <w:rFonts w:hint="eastAsia" w:ascii="宋体" w:hAnsi="宋体" w:eastAsia="宋体" w:cs="Times New Roman"/>
                <w:szCs w:val="21"/>
              </w:rPr>
              <w:t>。</w:t>
            </w:r>
          </w:p>
          <w:p w14:paraId="7797F9FC">
            <w:pPr>
              <w:widowControl/>
              <w:spacing w:line="360" w:lineRule="auto"/>
              <w:jc w:val="left"/>
              <w:textAlignment w:val="center"/>
              <w:rPr>
                <w:rFonts w:hint="eastAsia" w:ascii="宋体" w:hAnsi="宋体" w:eastAsia="宋体" w:cs="Times New Roman"/>
                <w:szCs w:val="21"/>
              </w:rPr>
            </w:pPr>
            <w:r>
              <w:rPr>
                <w:rFonts w:hint="eastAsia" w:ascii="宋体" w:hAnsi="宋体" w:cs="宋体"/>
                <w:szCs w:val="21"/>
              </w:rPr>
              <w:t>中标人出现扣款或承担违约责任情形的，采购人可直接从当期合同款中扣款。</w:t>
            </w:r>
          </w:p>
          <w:p w14:paraId="354AFBF2">
            <w:pPr>
              <w:widowControl/>
              <w:spacing w:line="360" w:lineRule="auto"/>
              <w:jc w:val="left"/>
              <w:textAlignment w:val="center"/>
              <w:rPr>
                <w:rFonts w:hint="eastAsia" w:ascii="宋体" w:hAnsi="宋体" w:eastAsia="宋体" w:cs="Times New Roman"/>
                <w:szCs w:val="21"/>
              </w:rPr>
            </w:pPr>
            <w:r>
              <w:rPr>
                <w:rFonts w:hint="eastAsia" w:ascii="宋体" w:hAnsi="宋体" w:cs="宋体"/>
                <w:szCs w:val="21"/>
              </w:rPr>
              <w:t>(2)付款前中标人必须提供真实、有效、合法的正式发票，如提供假发票的，中标人除须向采购人重开合法发票外，还须按发票票面金额一倍的赔偿违约金给采购人，与此相关的行政处罚、刑事责任亦由中标人承担，且采购人有权终止合同，中标人不得提出异议，因终止合同而产生的一切损失均由中标人承担。</w:t>
            </w:r>
          </w:p>
        </w:tc>
      </w:tr>
      <w:tr w14:paraId="1CB6E0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1804" w:type="dxa"/>
            <w:gridSpan w:val="2"/>
            <w:tcBorders>
              <w:top w:val="single" w:color="auto" w:sz="4" w:space="0"/>
              <w:left w:val="single" w:color="auto" w:sz="4" w:space="0"/>
              <w:bottom w:val="single" w:color="auto" w:sz="4" w:space="0"/>
              <w:right w:val="single" w:color="auto" w:sz="4" w:space="0"/>
            </w:tcBorders>
            <w:noWrap w:val="0"/>
            <w:vAlign w:val="center"/>
          </w:tcPr>
          <w:p w14:paraId="1FA11A16">
            <w:pPr>
              <w:spacing w:line="400" w:lineRule="exact"/>
              <w:jc w:val="center"/>
              <w:rPr>
                <w:rFonts w:hint="eastAsia" w:ascii="宋体" w:hAnsi="宋体" w:eastAsia="宋体" w:cs="Times New Roman"/>
                <w:b/>
                <w:bCs/>
                <w:szCs w:val="21"/>
              </w:rPr>
            </w:pPr>
            <w:r>
              <w:rPr>
                <w:rFonts w:hint="eastAsia" w:ascii="宋体" w:hAnsi="宋体" w:eastAsia="宋体" w:cs="Times New Roman"/>
                <w:szCs w:val="21"/>
              </w:rPr>
              <w:t>履约保证金</w:t>
            </w:r>
          </w:p>
        </w:tc>
        <w:tc>
          <w:tcPr>
            <w:tcW w:w="8602" w:type="dxa"/>
            <w:gridSpan w:val="3"/>
            <w:tcBorders>
              <w:top w:val="single" w:color="auto" w:sz="4" w:space="0"/>
              <w:left w:val="single" w:color="auto" w:sz="4" w:space="0"/>
              <w:bottom w:val="single" w:color="auto" w:sz="4" w:space="0"/>
              <w:right w:val="single" w:color="auto" w:sz="4" w:space="0"/>
            </w:tcBorders>
            <w:noWrap w:val="0"/>
            <w:vAlign w:val="center"/>
          </w:tcPr>
          <w:p w14:paraId="19CB16FD">
            <w:pPr>
              <w:spacing w:line="40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无。</w:t>
            </w:r>
          </w:p>
        </w:tc>
      </w:tr>
      <w:tr w14:paraId="45FEAC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804" w:type="dxa"/>
            <w:gridSpan w:val="2"/>
            <w:tcBorders>
              <w:top w:val="single" w:color="auto" w:sz="4" w:space="0"/>
              <w:left w:val="single" w:color="auto" w:sz="4" w:space="0"/>
              <w:bottom w:val="single" w:color="auto" w:sz="4" w:space="0"/>
              <w:right w:val="single" w:color="auto" w:sz="4" w:space="0"/>
            </w:tcBorders>
            <w:noWrap w:val="0"/>
            <w:vAlign w:val="center"/>
          </w:tcPr>
          <w:p w14:paraId="00AF09F9">
            <w:pPr>
              <w:spacing w:line="360" w:lineRule="atLeast"/>
              <w:jc w:val="center"/>
              <w:rPr>
                <w:rFonts w:hint="eastAsia" w:ascii="宋体" w:hAnsi="宋体" w:eastAsia="宋体" w:cs="宋体"/>
                <w:szCs w:val="21"/>
              </w:rPr>
            </w:pPr>
            <w:r>
              <w:rPr>
                <w:rFonts w:hint="eastAsia" w:ascii="宋体" w:hAnsi="宋体" w:eastAsia="宋体" w:cs="宋体"/>
                <w:szCs w:val="21"/>
              </w:rPr>
              <w:t>报价要求</w:t>
            </w:r>
          </w:p>
        </w:tc>
        <w:tc>
          <w:tcPr>
            <w:tcW w:w="8602" w:type="dxa"/>
            <w:gridSpan w:val="3"/>
            <w:tcBorders>
              <w:top w:val="single" w:color="auto" w:sz="4" w:space="0"/>
              <w:left w:val="single" w:color="auto" w:sz="4" w:space="0"/>
              <w:bottom w:val="single" w:color="auto" w:sz="4" w:space="0"/>
              <w:right w:val="single" w:color="auto" w:sz="4" w:space="0"/>
            </w:tcBorders>
            <w:noWrap w:val="0"/>
            <w:vAlign w:val="center"/>
          </w:tcPr>
          <w:p w14:paraId="68F0A1F6">
            <w:pPr>
              <w:spacing w:line="360" w:lineRule="atLeast"/>
              <w:jc w:val="left"/>
              <w:rPr>
                <w:rFonts w:hint="eastAsia" w:ascii="宋体" w:hAnsi="宋体" w:eastAsia="宋体" w:cs="宋体"/>
                <w:szCs w:val="21"/>
              </w:rPr>
            </w:pPr>
            <w:r>
              <w:rPr>
                <w:rFonts w:hint="eastAsia" w:ascii="宋体" w:hAnsi="宋体" w:eastAsia="宋体" w:cs="宋体"/>
                <w:szCs w:val="21"/>
              </w:rPr>
              <w:t>本项目报价包含完成本服务项目所需的相关费用，包括但不限于服务内容、所涉及的备品备件、工具、人工费、差旅费、材料、实施、调试、验收、技术培训及技术资料、软件升级</w:t>
            </w:r>
            <w:r>
              <w:rPr>
                <w:rFonts w:hint="eastAsia" w:ascii="宋体" w:hAnsi="宋体" w:cs="宋体"/>
                <w:szCs w:val="21"/>
                <w:lang w:eastAsia="zh-CN"/>
              </w:rPr>
              <w:t>、</w:t>
            </w:r>
            <w:r>
              <w:rPr>
                <w:rFonts w:hint="eastAsia" w:ascii="宋体" w:hAnsi="宋体" w:cs="宋体"/>
                <w:szCs w:val="21"/>
                <w:lang w:val="en-US" w:eastAsia="zh-CN"/>
              </w:rPr>
              <w:t>与</w:t>
            </w:r>
            <w:r>
              <w:rPr>
                <w:rFonts w:hint="eastAsia" w:ascii="宋体" w:hAnsi="宋体" w:eastAsia="宋体" w:cs="宋体"/>
                <w:szCs w:val="21"/>
              </w:rPr>
              <w:t>软件升级</w:t>
            </w:r>
            <w:r>
              <w:rPr>
                <w:rFonts w:hint="eastAsia" w:ascii="宋体" w:hAnsi="宋体" w:cs="宋体"/>
                <w:szCs w:val="21"/>
                <w:lang w:val="en-US" w:eastAsia="zh-CN"/>
              </w:rPr>
              <w:t>功能对应的适配设备更换</w:t>
            </w:r>
            <w:r>
              <w:rPr>
                <w:rFonts w:hint="eastAsia" w:ascii="宋体" w:hAnsi="宋体" w:eastAsia="宋体" w:cs="宋体"/>
                <w:szCs w:val="21"/>
              </w:rPr>
              <w:t>等各种费用和售后服务、税金、招标代理服务费及其它所有成本费用的总和。</w:t>
            </w:r>
          </w:p>
        </w:tc>
      </w:tr>
      <w:tr w14:paraId="16CDC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2" w:hRule="atLeast"/>
          <w:jc w:val="center"/>
        </w:trPr>
        <w:tc>
          <w:tcPr>
            <w:tcW w:w="1804" w:type="dxa"/>
            <w:gridSpan w:val="2"/>
            <w:tcBorders>
              <w:top w:val="single" w:color="auto" w:sz="4" w:space="0"/>
              <w:left w:val="single" w:color="auto" w:sz="4" w:space="0"/>
              <w:bottom w:val="single" w:color="auto" w:sz="4" w:space="0"/>
              <w:right w:val="single" w:color="auto" w:sz="4" w:space="0"/>
            </w:tcBorders>
            <w:noWrap w:val="0"/>
            <w:vAlign w:val="center"/>
          </w:tcPr>
          <w:p w14:paraId="5890E95B">
            <w:pPr>
              <w:spacing w:line="400" w:lineRule="exact"/>
              <w:jc w:val="center"/>
              <w:rPr>
                <w:rFonts w:hint="eastAsia" w:ascii="宋体" w:hAnsi="宋体" w:eastAsia="宋体" w:cs="Times New Roman"/>
                <w:szCs w:val="21"/>
              </w:rPr>
            </w:pPr>
            <w:r>
              <w:rPr>
                <w:rFonts w:hint="eastAsia" w:ascii="宋体" w:hAnsi="宋体" w:eastAsia="宋体" w:cs="Times New Roman"/>
                <w:szCs w:val="21"/>
              </w:rPr>
              <w:t>售后服务要求</w:t>
            </w:r>
          </w:p>
        </w:tc>
        <w:tc>
          <w:tcPr>
            <w:tcW w:w="8602" w:type="dxa"/>
            <w:gridSpan w:val="3"/>
            <w:tcBorders>
              <w:top w:val="single" w:color="auto" w:sz="4" w:space="0"/>
              <w:left w:val="single" w:color="auto" w:sz="4" w:space="0"/>
              <w:bottom w:val="single" w:color="auto" w:sz="4" w:space="0"/>
              <w:right w:val="single" w:color="auto" w:sz="4" w:space="0"/>
            </w:tcBorders>
            <w:noWrap w:val="0"/>
            <w:vAlign w:val="center"/>
          </w:tcPr>
          <w:p w14:paraId="51AA39F1">
            <w:pPr>
              <w:spacing w:line="400" w:lineRule="exact"/>
              <w:jc w:val="left"/>
              <w:rPr>
                <w:rFonts w:hint="eastAsia" w:ascii="宋体" w:hAnsi="宋体" w:eastAsia="宋体" w:cs="宋体"/>
                <w:szCs w:val="21"/>
              </w:rPr>
            </w:pPr>
            <w:r>
              <w:rPr>
                <w:rFonts w:hint="eastAsia" w:ascii="宋体" w:hAnsi="宋体" w:eastAsia="宋体" w:cs="宋体"/>
                <w:szCs w:val="21"/>
              </w:rPr>
              <w:t>1.供应商需要向医院方操作人员和医生免费提供应用和保养方面的新知识和新经验交流，针对医院方使用人员的需求共同协商举办技术研讨，视采购单位时间安排确定。</w:t>
            </w:r>
          </w:p>
          <w:p w14:paraId="2F5E5D80">
            <w:pPr>
              <w:spacing w:line="400" w:lineRule="exact"/>
              <w:jc w:val="left"/>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val="en-US" w:eastAsia="zh-CN"/>
              </w:rPr>
              <w:t>.</w:t>
            </w:r>
            <w:r>
              <w:rPr>
                <w:rFonts w:hint="eastAsia" w:ascii="宋体" w:hAnsi="宋体" w:eastAsia="宋体" w:cs="宋体"/>
                <w:szCs w:val="21"/>
              </w:rPr>
              <w:t>提供7×24小时售后服务（含节假日），接到采购单位通知后1小时内作出实质响应（远程解决或做出预备维护动作），并在交通条件允许的情况下，到达现场时间＜24小时。</w:t>
            </w:r>
          </w:p>
          <w:p w14:paraId="7A9A8C4A">
            <w:pPr>
              <w:spacing w:line="400" w:lineRule="exact"/>
              <w:jc w:val="left"/>
              <w:rPr>
                <w:rFonts w:hint="eastAsia" w:ascii="宋体" w:hAnsi="宋体" w:eastAsia="宋体" w:cs="宋体"/>
                <w:szCs w:val="21"/>
              </w:rPr>
            </w:pPr>
            <w:r>
              <w:rPr>
                <w:rFonts w:hint="eastAsia" w:ascii="宋体" w:hAnsi="宋体" w:eastAsia="宋体" w:cs="宋体"/>
                <w:szCs w:val="21"/>
              </w:rPr>
              <w:t>3.根据《财政部等三部门联合印发商品包装和快递包装政府采购需求标准（试行）》财办库【2020】123号文规定，若响应产品使用塑料、纸质、木质等包装材料时应满足《商品包装政府采购需求标准（试行）》要求，若响应产品需要快递包装，快递封装材料应满足《快递包装政府采购需求标准（试行）》要求。</w:t>
            </w:r>
          </w:p>
          <w:p w14:paraId="6D4B5935">
            <w:pPr>
              <w:spacing w:line="400" w:lineRule="exact"/>
              <w:textAlignment w:val="baseline"/>
              <w:rPr>
                <w:rFonts w:hint="eastAsia" w:ascii="宋体" w:hAnsi="宋体" w:eastAsia="宋体" w:cs="宋体"/>
                <w:bCs/>
                <w:szCs w:val="21"/>
              </w:rPr>
            </w:pPr>
            <w:r>
              <w:rPr>
                <w:rFonts w:hint="eastAsia" w:ascii="宋体" w:hAnsi="宋体" w:eastAsia="宋体" w:cs="宋体"/>
                <w:szCs w:val="21"/>
              </w:rPr>
              <w:t>4.设备保修期内因售后服务（其中硬件的售后服务包括：硬件维护维修、配件更换、硬件升级；软件版本的售后服务包括但不限于免费的软件版本维护升级）所产生的费用，均包含在响应报价中，采购人不再承担任何费用。</w:t>
            </w:r>
          </w:p>
        </w:tc>
      </w:tr>
      <w:tr w14:paraId="764A1D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8" w:hRule="atLeast"/>
          <w:jc w:val="center"/>
        </w:trPr>
        <w:tc>
          <w:tcPr>
            <w:tcW w:w="1804" w:type="dxa"/>
            <w:gridSpan w:val="2"/>
            <w:tcBorders>
              <w:top w:val="single" w:color="auto" w:sz="4" w:space="0"/>
              <w:left w:val="single" w:color="auto" w:sz="4" w:space="0"/>
              <w:bottom w:val="single" w:color="auto" w:sz="4" w:space="0"/>
              <w:right w:val="single" w:color="auto" w:sz="4" w:space="0"/>
            </w:tcBorders>
            <w:noWrap w:val="0"/>
            <w:vAlign w:val="center"/>
          </w:tcPr>
          <w:p w14:paraId="7EA03179">
            <w:pPr>
              <w:spacing w:line="360" w:lineRule="atLeast"/>
              <w:jc w:val="center"/>
              <w:rPr>
                <w:rFonts w:hint="eastAsia" w:ascii="宋体" w:hAnsi="宋体" w:eastAsia="宋体" w:cs="宋体"/>
                <w:szCs w:val="21"/>
              </w:rPr>
            </w:pPr>
            <w:r>
              <w:rPr>
                <w:rFonts w:hint="eastAsia" w:ascii="宋体" w:hAnsi="宋体" w:eastAsia="宋体" w:cs="宋体"/>
                <w:szCs w:val="21"/>
              </w:rPr>
              <w:t>其他要求</w:t>
            </w:r>
          </w:p>
        </w:tc>
        <w:tc>
          <w:tcPr>
            <w:tcW w:w="8602" w:type="dxa"/>
            <w:gridSpan w:val="3"/>
            <w:tcBorders>
              <w:top w:val="single" w:color="auto" w:sz="4" w:space="0"/>
              <w:left w:val="single" w:color="auto" w:sz="4" w:space="0"/>
              <w:bottom w:val="single" w:color="auto" w:sz="4" w:space="0"/>
              <w:right w:val="single" w:color="auto" w:sz="4" w:space="0"/>
            </w:tcBorders>
            <w:noWrap w:val="0"/>
            <w:vAlign w:val="center"/>
          </w:tcPr>
          <w:p w14:paraId="4491081A">
            <w:pPr>
              <w:spacing w:line="360" w:lineRule="atLeast"/>
              <w:ind w:right="-57" w:rightChars="-27"/>
              <w:jc w:val="left"/>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项目必须供应商自行完成，不得进行转包、分包。</w:t>
            </w:r>
          </w:p>
          <w:p w14:paraId="27037669">
            <w:pPr>
              <w:spacing w:line="360" w:lineRule="atLeast"/>
              <w:ind w:right="-57" w:rightChars="-27"/>
              <w:jc w:val="left"/>
              <w:rPr>
                <w:rFonts w:hint="default" w:ascii="宋体" w:hAnsi="宋体" w:eastAsia="宋体" w:cs="宋体"/>
                <w:szCs w:val="21"/>
                <w:lang w:val="en-US" w:eastAsia="zh-CN"/>
              </w:rPr>
            </w:pPr>
            <w:r>
              <w:rPr>
                <w:rFonts w:hint="eastAsia" w:ascii="宋体" w:hAnsi="宋体" w:eastAsia="宋体" w:cs="宋体"/>
                <w:szCs w:val="21"/>
                <w:lang w:val="en-US" w:eastAsia="zh-CN"/>
              </w:rPr>
              <w:t>2.供应商提供的维保服务方案中的所有内容，不得包含任何侵犯第三者知识产权的材料。如发生侵权行为，供应商必须自行为其提供产品或服务侵犯其他专利人的专利成果承担相应法律责任，如因侵犯他人专利权造成采购人损失的，还应赔偿采购人损失。</w:t>
            </w:r>
          </w:p>
        </w:tc>
      </w:tr>
    </w:tbl>
    <w:p w14:paraId="19A89CB4">
      <w:pPr>
        <w:rPr>
          <w:rFonts w:hint="eastAsia" w:ascii="宋体" w:hAnsi="宋体" w:cs="Arial"/>
          <w:bCs/>
          <w:color w:val="auto"/>
          <w:szCs w:val="21"/>
          <w:highlight w:val="none"/>
          <w:u w:val="single"/>
        </w:rPr>
      </w:pPr>
      <w:r>
        <w:rPr>
          <w:rFonts w:hint="eastAsia" w:ascii="宋体" w:hAnsi="宋体" w:cs="Arial"/>
          <w:bCs/>
          <w:color w:val="auto"/>
          <w:szCs w:val="21"/>
          <w:highlight w:val="none"/>
          <w:u w:val="single"/>
        </w:rPr>
        <w:br w:type="page"/>
      </w:r>
    </w:p>
    <w:p w14:paraId="7B9D8AC7">
      <w:pPr>
        <w:spacing w:line="240" w:lineRule="auto"/>
        <w:ind w:firstLine="0" w:firstLineChars="0"/>
        <w:jc w:val="left"/>
        <w:rPr>
          <w:rFonts w:hint="eastAsia" w:ascii="宋体" w:hAnsi="宋体" w:cs="Arial"/>
          <w:b/>
          <w:bCs w:val="0"/>
          <w:color w:val="auto"/>
          <w:sz w:val="30"/>
          <w:szCs w:val="30"/>
          <w:highlight w:val="none"/>
          <w:u w:val="none"/>
          <w:lang w:val="en-US" w:eastAsia="zh-CN"/>
        </w:rPr>
      </w:pPr>
      <w:r>
        <w:rPr>
          <w:rFonts w:hint="eastAsia" w:ascii="宋体" w:hAnsi="宋体" w:cs="Arial"/>
          <w:b/>
          <w:bCs w:val="0"/>
          <w:color w:val="auto"/>
          <w:sz w:val="30"/>
          <w:szCs w:val="30"/>
          <w:highlight w:val="none"/>
          <w:u w:val="none"/>
          <w:lang w:val="en-US" w:eastAsia="zh-CN"/>
        </w:rPr>
        <w:t>附件：《达芬奇Xi手术系统专用器械、附件和内窥镜》</w:t>
      </w:r>
    </w:p>
    <w:tbl>
      <w:tblPr>
        <w:tblStyle w:val="49"/>
        <w:tblW w:w="9140" w:type="dxa"/>
        <w:tblInd w:w="0" w:type="dxa"/>
        <w:tblLayout w:type="autofit"/>
        <w:tblCellMar>
          <w:top w:w="0" w:type="dxa"/>
          <w:left w:w="108" w:type="dxa"/>
          <w:bottom w:w="0" w:type="dxa"/>
          <w:right w:w="108" w:type="dxa"/>
        </w:tblCellMar>
      </w:tblPr>
      <w:tblGrid>
        <w:gridCol w:w="1200"/>
        <w:gridCol w:w="4680"/>
        <w:gridCol w:w="1500"/>
        <w:gridCol w:w="1760"/>
      </w:tblGrid>
      <w:tr w14:paraId="43CA797E">
        <w:tblPrEx>
          <w:tblCellMar>
            <w:top w:w="0" w:type="dxa"/>
            <w:left w:w="108" w:type="dxa"/>
            <w:bottom w:w="0" w:type="dxa"/>
            <w:right w:w="108" w:type="dxa"/>
          </w:tblCellMar>
        </w:tblPrEx>
        <w:trPr>
          <w:trHeight w:val="23" w:hRule="atLeast"/>
        </w:trPr>
        <w:tc>
          <w:tcPr>
            <w:tcW w:w="5880" w:type="dxa"/>
            <w:gridSpan w:val="2"/>
            <w:tcBorders>
              <w:top w:val="nil"/>
              <w:left w:val="nil"/>
              <w:bottom w:val="nil"/>
              <w:right w:val="nil"/>
            </w:tcBorders>
            <w:shd w:val="clear" w:color="auto" w:fill="auto"/>
            <w:noWrap/>
            <w:vAlign w:val="center"/>
          </w:tcPr>
          <w:p w14:paraId="3C91F38C">
            <w:pPr>
              <w:widowControl/>
              <w:jc w:val="left"/>
              <w:rPr>
                <w:rFonts w:hint="eastAsia" w:ascii="宋体" w:hAnsi="宋体" w:eastAsia="宋体" w:cs="宋体"/>
                <w:b/>
                <w:bCs/>
                <w:kern w:val="0"/>
                <w:sz w:val="21"/>
                <w:szCs w:val="21"/>
              </w:rPr>
            </w:pPr>
          </w:p>
          <w:p w14:paraId="2D05331B">
            <w:pPr>
              <w:widowControl/>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da Vinci Xi 8 mm 可转腕手术器械</w:t>
            </w:r>
          </w:p>
        </w:tc>
        <w:tc>
          <w:tcPr>
            <w:tcW w:w="1500" w:type="dxa"/>
            <w:tcBorders>
              <w:top w:val="nil"/>
              <w:left w:val="nil"/>
              <w:bottom w:val="nil"/>
              <w:right w:val="nil"/>
            </w:tcBorders>
            <w:shd w:val="clear" w:color="auto" w:fill="auto"/>
            <w:noWrap/>
            <w:vAlign w:val="bottom"/>
          </w:tcPr>
          <w:p w14:paraId="3B866F32">
            <w:pPr>
              <w:widowControl/>
              <w:jc w:val="left"/>
              <w:rPr>
                <w:rFonts w:hint="eastAsia" w:ascii="宋体" w:hAnsi="宋体" w:eastAsia="宋体" w:cs="宋体"/>
                <w:b/>
                <w:bCs/>
                <w:kern w:val="0"/>
                <w:sz w:val="21"/>
                <w:szCs w:val="21"/>
              </w:rPr>
            </w:pPr>
          </w:p>
        </w:tc>
        <w:tc>
          <w:tcPr>
            <w:tcW w:w="1760" w:type="dxa"/>
            <w:tcBorders>
              <w:top w:val="nil"/>
              <w:left w:val="nil"/>
              <w:bottom w:val="nil"/>
              <w:right w:val="nil"/>
            </w:tcBorders>
            <w:shd w:val="clear" w:color="auto" w:fill="auto"/>
            <w:noWrap/>
            <w:vAlign w:val="bottom"/>
          </w:tcPr>
          <w:p w14:paraId="2F64A995">
            <w:pPr>
              <w:widowControl/>
              <w:jc w:val="left"/>
              <w:rPr>
                <w:rFonts w:hint="eastAsia" w:ascii="宋体" w:hAnsi="宋体" w:eastAsia="宋体" w:cs="宋体"/>
                <w:kern w:val="0"/>
                <w:sz w:val="21"/>
                <w:szCs w:val="21"/>
              </w:rPr>
            </w:pPr>
          </w:p>
        </w:tc>
      </w:tr>
      <w:tr w14:paraId="18934869">
        <w:tblPrEx>
          <w:tblCellMar>
            <w:top w:w="0" w:type="dxa"/>
            <w:left w:w="108" w:type="dxa"/>
            <w:bottom w:w="0" w:type="dxa"/>
            <w:right w:w="108" w:type="dxa"/>
          </w:tblCellMar>
        </w:tblPrEx>
        <w:trPr>
          <w:trHeight w:val="23" w:hRule="atLeast"/>
        </w:trPr>
        <w:tc>
          <w:tcPr>
            <w:tcW w:w="1200" w:type="dxa"/>
            <w:tcBorders>
              <w:top w:val="single" w:color="auto" w:sz="8" w:space="0"/>
              <w:left w:val="single" w:color="auto" w:sz="8" w:space="0"/>
              <w:bottom w:val="single" w:color="auto" w:sz="4" w:space="0"/>
              <w:right w:val="single" w:color="auto" w:sz="4" w:space="0"/>
            </w:tcBorders>
            <w:shd w:val="clear" w:color="auto" w:fill="auto"/>
            <w:vAlign w:val="center"/>
          </w:tcPr>
          <w:p w14:paraId="49A3B1B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产品号</w:t>
            </w:r>
          </w:p>
        </w:tc>
        <w:tc>
          <w:tcPr>
            <w:tcW w:w="4680" w:type="dxa"/>
            <w:tcBorders>
              <w:top w:val="single" w:color="auto" w:sz="8" w:space="0"/>
              <w:left w:val="nil"/>
              <w:bottom w:val="single" w:color="auto" w:sz="4" w:space="0"/>
              <w:right w:val="single" w:color="auto" w:sz="4" w:space="0"/>
            </w:tcBorders>
            <w:shd w:val="clear" w:color="auto" w:fill="auto"/>
            <w:vAlign w:val="center"/>
          </w:tcPr>
          <w:p w14:paraId="27E666C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品名</w:t>
            </w:r>
          </w:p>
        </w:tc>
        <w:tc>
          <w:tcPr>
            <w:tcW w:w="1500" w:type="dxa"/>
            <w:tcBorders>
              <w:top w:val="single" w:color="auto" w:sz="8" w:space="0"/>
              <w:left w:val="nil"/>
              <w:bottom w:val="single" w:color="auto" w:sz="4" w:space="0"/>
              <w:right w:val="single" w:color="auto" w:sz="4" w:space="0"/>
            </w:tcBorders>
            <w:shd w:val="clear" w:color="auto" w:fill="auto"/>
            <w:vAlign w:val="center"/>
          </w:tcPr>
          <w:p w14:paraId="4D01558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单把使用次数</w:t>
            </w:r>
          </w:p>
        </w:tc>
        <w:tc>
          <w:tcPr>
            <w:tcW w:w="1760" w:type="dxa"/>
            <w:tcBorders>
              <w:top w:val="single" w:color="auto" w:sz="8" w:space="0"/>
              <w:left w:val="nil"/>
              <w:bottom w:val="single" w:color="auto" w:sz="4" w:space="0"/>
              <w:right w:val="single" w:color="auto" w:sz="8" w:space="0"/>
            </w:tcBorders>
            <w:shd w:val="clear" w:color="auto" w:fill="auto"/>
            <w:vAlign w:val="center"/>
          </w:tcPr>
          <w:p w14:paraId="473A09B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单位</w:t>
            </w:r>
          </w:p>
        </w:tc>
      </w:tr>
      <w:tr w14:paraId="6F4BA456">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654DADF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470001</w:t>
            </w:r>
          </w:p>
        </w:tc>
        <w:tc>
          <w:tcPr>
            <w:tcW w:w="4680" w:type="dxa"/>
            <w:tcBorders>
              <w:top w:val="nil"/>
              <w:left w:val="nil"/>
              <w:bottom w:val="single" w:color="auto" w:sz="4" w:space="0"/>
              <w:right w:val="single" w:color="auto" w:sz="4" w:space="0"/>
            </w:tcBorders>
            <w:shd w:val="clear" w:color="auto" w:fill="auto"/>
            <w:vAlign w:val="center"/>
          </w:tcPr>
          <w:p w14:paraId="701719E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POTTS手术剪</w:t>
            </w:r>
          </w:p>
        </w:tc>
        <w:tc>
          <w:tcPr>
            <w:tcW w:w="1500" w:type="dxa"/>
            <w:tcBorders>
              <w:top w:val="nil"/>
              <w:left w:val="nil"/>
              <w:bottom w:val="single" w:color="auto" w:sz="4" w:space="0"/>
              <w:right w:val="single" w:color="auto" w:sz="4" w:space="0"/>
            </w:tcBorders>
            <w:shd w:val="clear" w:color="auto" w:fill="auto"/>
            <w:noWrap/>
            <w:vAlign w:val="center"/>
          </w:tcPr>
          <w:p w14:paraId="41493F2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760" w:type="dxa"/>
            <w:tcBorders>
              <w:top w:val="nil"/>
              <w:left w:val="nil"/>
              <w:bottom w:val="single" w:color="auto" w:sz="4" w:space="0"/>
              <w:right w:val="single" w:color="auto" w:sz="8" w:space="0"/>
            </w:tcBorders>
            <w:shd w:val="clear" w:color="auto" w:fill="auto"/>
            <w:vAlign w:val="center"/>
          </w:tcPr>
          <w:p w14:paraId="3207C63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1559DB58">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43EC633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470006*</w:t>
            </w:r>
          </w:p>
        </w:tc>
        <w:tc>
          <w:tcPr>
            <w:tcW w:w="4680" w:type="dxa"/>
            <w:tcBorders>
              <w:top w:val="nil"/>
              <w:left w:val="nil"/>
              <w:bottom w:val="single" w:color="auto" w:sz="4" w:space="0"/>
              <w:right w:val="single" w:color="auto" w:sz="4" w:space="0"/>
            </w:tcBorders>
            <w:shd w:val="clear" w:color="auto" w:fill="auto"/>
            <w:vAlign w:val="center"/>
          </w:tcPr>
          <w:p w14:paraId="5EA7051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大号持针钳</w:t>
            </w:r>
          </w:p>
        </w:tc>
        <w:tc>
          <w:tcPr>
            <w:tcW w:w="1500" w:type="dxa"/>
            <w:tcBorders>
              <w:top w:val="nil"/>
              <w:left w:val="nil"/>
              <w:bottom w:val="single" w:color="auto" w:sz="4" w:space="0"/>
              <w:right w:val="single" w:color="auto" w:sz="4" w:space="0"/>
            </w:tcBorders>
            <w:shd w:val="clear" w:color="auto" w:fill="auto"/>
            <w:noWrap/>
            <w:vAlign w:val="center"/>
          </w:tcPr>
          <w:p w14:paraId="487AB0C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760" w:type="dxa"/>
            <w:tcBorders>
              <w:top w:val="nil"/>
              <w:left w:val="nil"/>
              <w:bottom w:val="single" w:color="auto" w:sz="4" w:space="0"/>
              <w:right w:val="single" w:color="auto" w:sz="8" w:space="0"/>
            </w:tcBorders>
            <w:shd w:val="clear" w:color="auto" w:fill="auto"/>
            <w:vAlign w:val="center"/>
          </w:tcPr>
          <w:p w14:paraId="25DC73F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1F7194C7">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3340882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470007</w:t>
            </w:r>
          </w:p>
        </w:tc>
        <w:tc>
          <w:tcPr>
            <w:tcW w:w="4680" w:type="dxa"/>
            <w:tcBorders>
              <w:top w:val="nil"/>
              <w:left w:val="nil"/>
              <w:bottom w:val="single" w:color="auto" w:sz="4" w:space="0"/>
              <w:right w:val="single" w:color="auto" w:sz="4" w:space="0"/>
            </w:tcBorders>
            <w:shd w:val="clear" w:color="auto" w:fill="auto"/>
            <w:vAlign w:val="center"/>
          </w:tcPr>
          <w:p w14:paraId="4DB4EB9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圆端手术剪</w:t>
            </w:r>
          </w:p>
        </w:tc>
        <w:tc>
          <w:tcPr>
            <w:tcW w:w="1500" w:type="dxa"/>
            <w:tcBorders>
              <w:top w:val="nil"/>
              <w:left w:val="nil"/>
              <w:bottom w:val="single" w:color="auto" w:sz="4" w:space="0"/>
              <w:right w:val="single" w:color="auto" w:sz="4" w:space="0"/>
            </w:tcBorders>
            <w:shd w:val="clear" w:color="auto" w:fill="auto"/>
            <w:noWrap/>
            <w:vAlign w:val="center"/>
          </w:tcPr>
          <w:p w14:paraId="30BE86A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760" w:type="dxa"/>
            <w:tcBorders>
              <w:top w:val="nil"/>
              <w:left w:val="nil"/>
              <w:bottom w:val="single" w:color="auto" w:sz="4" w:space="0"/>
              <w:right w:val="single" w:color="auto" w:sz="8" w:space="0"/>
            </w:tcBorders>
            <w:shd w:val="clear" w:color="auto" w:fill="auto"/>
            <w:vAlign w:val="center"/>
          </w:tcPr>
          <w:p w14:paraId="184162A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39ED8849">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63656B6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470033</w:t>
            </w:r>
          </w:p>
        </w:tc>
        <w:tc>
          <w:tcPr>
            <w:tcW w:w="4680" w:type="dxa"/>
            <w:tcBorders>
              <w:top w:val="nil"/>
              <w:left w:val="nil"/>
              <w:bottom w:val="single" w:color="auto" w:sz="4" w:space="0"/>
              <w:right w:val="single" w:color="auto" w:sz="4" w:space="0"/>
            </w:tcBorders>
            <w:shd w:val="clear" w:color="auto" w:fill="auto"/>
            <w:vAlign w:val="center"/>
          </w:tcPr>
          <w:p w14:paraId="44D6822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黑钻微型钳</w:t>
            </w:r>
          </w:p>
        </w:tc>
        <w:tc>
          <w:tcPr>
            <w:tcW w:w="1500" w:type="dxa"/>
            <w:tcBorders>
              <w:top w:val="nil"/>
              <w:left w:val="nil"/>
              <w:bottom w:val="single" w:color="auto" w:sz="4" w:space="0"/>
              <w:right w:val="single" w:color="auto" w:sz="4" w:space="0"/>
            </w:tcBorders>
            <w:shd w:val="clear" w:color="auto" w:fill="auto"/>
            <w:noWrap/>
            <w:vAlign w:val="center"/>
          </w:tcPr>
          <w:p w14:paraId="744CA27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15</w:t>
            </w:r>
          </w:p>
        </w:tc>
        <w:tc>
          <w:tcPr>
            <w:tcW w:w="1760" w:type="dxa"/>
            <w:tcBorders>
              <w:top w:val="nil"/>
              <w:left w:val="nil"/>
              <w:bottom w:val="single" w:color="auto" w:sz="4" w:space="0"/>
              <w:right w:val="single" w:color="auto" w:sz="8" w:space="0"/>
            </w:tcBorders>
            <w:shd w:val="clear" w:color="auto" w:fill="auto"/>
            <w:vAlign w:val="center"/>
          </w:tcPr>
          <w:p w14:paraId="3B013F7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637F363B">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6892253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470036</w:t>
            </w:r>
          </w:p>
        </w:tc>
        <w:tc>
          <w:tcPr>
            <w:tcW w:w="4680" w:type="dxa"/>
            <w:tcBorders>
              <w:top w:val="nil"/>
              <w:left w:val="nil"/>
              <w:bottom w:val="single" w:color="auto" w:sz="4" w:space="0"/>
              <w:right w:val="single" w:color="auto" w:sz="4" w:space="0"/>
            </w:tcBorders>
            <w:shd w:val="clear" w:color="auto" w:fill="auto"/>
            <w:vAlign w:val="center"/>
          </w:tcPr>
          <w:p w14:paraId="49ABBBB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DEBAKEY 镊</w:t>
            </w:r>
          </w:p>
        </w:tc>
        <w:tc>
          <w:tcPr>
            <w:tcW w:w="1500" w:type="dxa"/>
            <w:tcBorders>
              <w:top w:val="nil"/>
              <w:left w:val="nil"/>
              <w:bottom w:val="single" w:color="auto" w:sz="4" w:space="0"/>
              <w:right w:val="single" w:color="auto" w:sz="4" w:space="0"/>
            </w:tcBorders>
            <w:shd w:val="clear" w:color="auto" w:fill="auto"/>
            <w:noWrap/>
            <w:vAlign w:val="center"/>
          </w:tcPr>
          <w:p w14:paraId="5C4DA03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760" w:type="dxa"/>
            <w:tcBorders>
              <w:top w:val="nil"/>
              <w:left w:val="nil"/>
              <w:bottom w:val="single" w:color="auto" w:sz="4" w:space="0"/>
              <w:right w:val="single" w:color="auto" w:sz="8" w:space="0"/>
            </w:tcBorders>
            <w:shd w:val="clear" w:color="auto" w:fill="auto"/>
            <w:vAlign w:val="center"/>
          </w:tcPr>
          <w:p w14:paraId="290943E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731ACFE6">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2250678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470048</w:t>
            </w:r>
          </w:p>
        </w:tc>
        <w:tc>
          <w:tcPr>
            <w:tcW w:w="4680" w:type="dxa"/>
            <w:tcBorders>
              <w:top w:val="nil"/>
              <w:left w:val="nil"/>
              <w:bottom w:val="single" w:color="auto" w:sz="4" w:space="0"/>
              <w:right w:val="single" w:color="auto" w:sz="4" w:space="0"/>
            </w:tcBorders>
            <w:shd w:val="clear" w:color="auto" w:fill="auto"/>
            <w:vAlign w:val="center"/>
          </w:tcPr>
          <w:p w14:paraId="01A1583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长端头镊子</w:t>
            </w:r>
          </w:p>
        </w:tc>
        <w:tc>
          <w:tcPr>
            <w:tcW w:w="1500" w:type="dxa"/>
            <w:tcBorders>
              <w:top w:val="nil"/>
              <w:left w:val="nil"/>
              <w:bottom w:val="single" w:color="auto" w:sz="4" w:space="0"/>
              <w:right w:val="single" w:color="auto" w:sz="4" w:space="0"/>
            </w:tcBorders>
            <w:shd w:val="clear" w:color="auto" w:fill="auto"/>
            <w:noWrap/>
            <w:vAlign w:val="center"/>
          </w:tcPr>
          <w:p w14:paraId="25C17D6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760" w:type="dxa"/>
            <w:tcBorders>
              <w:top w:val="nil"/>
              <w:left w:val="nil"/>
              <w:bottom w:val="single" w:color="auto" w:sz="4" w:space="0"/>
              <w:right w:val="single" w:color="auto" w:sz="8" w:space="0"/>
            </w:tcBorders>
            <w:shd w:val="clear" w:color="auto" w:fill="auto"/>
            <w:vAlign w:val="center"/>
          </w:tcPr>
          <w:p w14:paraId="0AF4F9A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1E0EAA22">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66A6AAA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470049*</w:t>
            </w:r>
          </w:p>
        </w:tc>
        <w:tc>
          <w:tcPr>
            <w:tcW w:w="4680" w:type="dxa"/>
            <w:tcBorders>
              <w:top w:val="nil"/>
              <w:left w:val="nil"/>
              <w:bottom w:val="single" w:color="auto" w:sz="4" w:space="0"/>
              <w:right w:val="single" w:color="auto" w:sz="4" w:space="0"/>
            </w:tcBorders>
            <w:shd w:val="clear" w:color="auto" w:fill="auto"/>
            <w:vAlign w:val="center"/>
          </w:tcPr>
          <w:p w14:paraId="22ED566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CADIERE镊</w:t>
            </w:r>
          </w:p>
        </w:tc>
        <w:tc>
          <w:tcPr>
            <w:tcW w:w="1500" w:type="dxa"/>
            <w:tcBorders>
              <w:top w:val="nil"/>
              <w:left w:val="nil"/>
              <w:bottom w:val="single" w:color="auto" w:sz="4" w:space="0"/>
              <w:right w:val="single" w:color="auto" w:sz="4" w:space="0"/>
            </w:tcBorders>
            <w:shd w:val="clear" w:color="auto" w:fill="auto"/>
            <w:noWrap/>
            <w:vAlign w:val="center"/>
          </w:tcPr>
          <w:p w14:paraId="0617AA4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760" w:type="dxa"/>
            <w:tcBorders>
              <w:top w:val="nil"/>
              <w:left w:val="nil"/>
              <w:bottom w:val="single" w:color="auto" w:sz="4" w:space="0"/>
              <w:right w:val="single" w:color="auto" w:sz="8" w:space="0"/>
            </w:tcBorders>
            <w:shd w:val="clear" w:color="auto" w:fill="auto"/>
            <w:vAlign w:val="center"/>
          </w:tcPr>
          <w:p w14:paraId="54ECDE0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731DA596">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33A189E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470093*</w:t>
            </w:r>
          </w:p>
        </w:tc>
        <w:tc>
          <w:tcPr>
            <w:tcW w:w="4680" w:type="dxa"/>
            <w:tcBorders>
              <w:top w:val="nil"/>
              <w:left w:val="nil"/>
              <w:bottom w:val="single" w:color="auto" w:sz="4" w:space="0"/>
              <w:right w:val="single" w:color="auto" w:sz="4" w:space="0"/>
            </w:tcBorders>
            <w:shd w:val="clear" w:color="auto" w:fill="auto"/>
            <w:vAlign w:val="center"/>
          </w:tcPr>
          <w:p w14:paraId="5735566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PROGRASP</w:t>
            </w:r>
            <w:r>
              <w:rPr>
                <w:rFonts w:hint="eastAsia" w:ascii="宋体" w:hAnsi="宋体" w:eastAsia="宋体" w:cs="宋体"/>
                <w:kern w:val="0"/>
                <w:sz w:val="21"/>
                <w:szCs w:val="21"/>
                <w:vertAlign w:val="superscript"/>
              </w:rPr>
              <w:t>TM</w:t>
            </w:r>
            <w:r>
              <w:rPr>
                <w:rFonts w:hint="eastAsia" w:ascii="宋体" w:hAnsi="宋体" w:eastAsia="宋体" w:cs="宋体"/>
                <w:kern w:val="0"/>
                <w:sz w:val="21"/>
                <w:szCs w:val="21"/>
              </w:rPr>
              <w:t>镊</w:t>
            </w:r>
          </w:p>
        </w:tc>
        <w:tc>
          <w:tcPr>
            <w:tcW w:w="1500" w:type="dxa"/>
            <w:tcBorders>
              <w:top w:val="nil"/>
              <w:left w:val="nil"/>
              <w:bottom w:val="single" w:color="auto" w:sz="4" w:space="0"/>
              <w:right w:val="single" w:color="auto" w:sz="4" w:space="0"/>
            </w:tcBorders>
            <w:shd w:val="clear" w:color="auto" w:fill="auto"/>
            <w:noWrap/>
            <w:vAlign w:val="center"/>
          </w:tcPr>
          <w:p w14:paraId="3440EA0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760" w:type="dxa"/>
            <w:tcBorders>
              <w:top w:val="nil"/>
              <w:left w:val="nil"/>
              <w:bottom w:val="single" w:color="auto" w:sz="4" w:space="0"/>
              <w:right w:val="single" w:color="auto" w:sz="8" w:space="0"/>
            </w:tcBorders>
            <w:shd w:val="clear" w:color="auto" w:fill="auto"/>
            <w:vAlign w:val="center"/>
          </w:tcPr>
          <w:p w14:paraId="395E563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39458CE0">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53665B2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470171*</w:t>
            </w:r>
          </w:p>
        </w:tc>
        <w:tc>
          <w:tcPr>
            <w:tcW w:w="4680" w:type="dxa"/>
            <w:tcBorders>
              <w:top w:val="nil"/>
              <w:left w:val="nil"/>
              <w:bottom w:val="single" w:color="auto" w:sz="4" w:space="0"/>
              <w:right w:val="single" w:color="auto" w:sz="4" w:space="0"/>
            </w:tcBorders>
            <w:shd w:val="clear" w:color="auto" w:fill="auto"/>
            <w:vAlign w:val="center"/>
          </w:tcPr>
          <w:p w14:paraId="18C31A1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微型双极镊</w:t>
            </w:r>
          </w:p>
        </w:tc>
        <w:tc>
          <w:tcPr>
            <w:tcW w:w="1500" w:type="dxa"/>
            <w:tcBorders>
              <w:top w:val="nil"/>
              <w:left w:val="nil"/>
              <w:bottom w:val="single" w:color="auto" w:sz="4" w:space="0"/>
              <w:right w:val="single" w:color="auto" w:sz="4" w:space="0"/>
            </w:tcBorders>
            <w:shd w:val="clear" w:color="auto" w:fill="auto"/>
            <w:noWrap/>
            <w:vAlign w:val="center"/>
          </w:tcPr>
          <w:p w14:paraId="0FCBDB8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760" w:type="dxa"/>
            <w:tcBorders>
              <w:top w:val="nil"/>
              <w:left w:val="nil"/>
              <w:bottom w:val="single" w:color="auto" w:sz="4" w:space="0"/>
              <w:right w:val="single" w:color="auto" w:sz="8" w:space="0"/>
            </w:tcBorders>
            <w:shd w:val="clear" w:color="auto" w:fill="auto"/>
            <w:vAlign w:val="center"/>
          </w:tcPr>
          <w:p w14:paraId="1AB1FD0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7B32E11E">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3C3A4D3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470172*</w:t>
            </w:r>
          </w:p>
        </w:tc>
        <w:tc>
          <w:tcPr>
            <w:tcW w:w="4680" w:type="dxa"/>
            <w:tcBorders>
              <w:top w:val="nil"/>
              <w:left w:val="nil"/>
              <w:bottom w:val="single" w:color="auto" w:sz="4" w:space="0"/>
              <w:right w:val="single" w:color="auto" w:sz="4" w:space="0"/>
            </w:tcBorders>
            <w:shd w:val="clear" w:color="auto" w:fill="auto"/>
            <w:vAlign w:val="center"/>
          </w:tcPr>
          <w:p w14:paraId="23B0D04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MARYLAND 双极镊</w:t>
            </w:r>
          </w:p>
        </w:tc>
        <w:tc>
          <w:tcPr>
            <w:tcW w:w="1500" w:type="dxa"/>
            <w:tcBorders>
              <w:top w:val="nil"/>
              <w:left w:val="nil"/>
              <w:bottom w:val="single" w:color="auto" w:sz="4" w:space="0"/>
              <w:right w:val="single" w:color="auto" w:sz="4" w:space="0"/>
            </w:tcBorders>
            <w:shd w:val="clear" w:color="auto" w:fill="auto"/>
            <w:noWrap/>
            <w:vAlign w:val="center"/>
          </w:tcPr>
          <w:p w14:paraId="5134294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760" w:type="dxa"/>
            <w:tcBorders>
              <w:top w:val="nil"/>
              <w:left w:val="nil"/>
              <w:bottom w:val="single" w:color="auto" w:sz="4" w:space="0"/>
              <w:right w:val="single" w:color="auto" w:sz="8" w:space="0"/>
            </w:tcBorders>
            <w:shd w:val="clear" w:color="auto" w:fill="auto"/>
            <w:vAlign w:val="center"/>
          </w:tcPr>
          <w:p w14:paraId="5921A7E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23C148F9">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69F32F7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470179</w:t>
            </w:r>
          </w:p>
        </w:tc>
        <w:tc>
          <w:tcPr>
            <w:tcW w:w="4680" w:type="dxa"/>
            <w:tcBorders>
              <w:top w:val="nil"/>
              <w:left w:val="nil"/>
              <w:bottom w:val="single" w:color="auto" w:sz="4" w:space="0"/>
              <w:right w:val="single" w:color="auto" w:sz="4" w:space="0"/>
            </w:tcBorders>
            <w:shd w:val="clear" w:color="auto" w:fill="auto"/>
            <w:vAlign w:val="center"/>
          </w:tcPr>
          <w:p w14:paraId="316FB92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单极手术弯剪</w:t>
            </w:r>
          </w:p>
        </w:tc>
        <w:tc>
          <w:tcPr>
            <w:tcW w:w="1500" w:type="dxa"/>
            <w:tcBorders>
              <w:top w:val="nil"/>
              <w:left w:val="nil"/>
              <w:bottom w:val="single" w:color="auto" w:sz="4" w:space="0"/>
              <w:right w:val="single" w:color="auto" w:sz="4" w:space="0"/>
            </w:tcBorders>
            <w:shd w:val="clear" w:color="auto" w:fill="auto"/>
            <w:noWrap/>
            <w:vAlign w:val="center"/>
          </w:tcPr>
          <w:p w14:paraId="261DC78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760" w:type="dxa"/>
            <w:tcBorders>
              <w:top w:val="nil"/>
              <w:left w:val="nil"/>
              <w:bottom w:val="single" w:color="auto" w:sz="4" w:space="0"/>
              <w:right w:val="single" w:color="auto" w:sz="8" w:space="0"/>
            </w:tcBorders>
            <w:shd w:val="clear" w:color="auto" w:fill="auto"/>
            <w:vAlign w:val="center"/>
          </w:tcPr>
          <w:p w14:paraId="5F7B999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4CCFEC9F">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491934A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470181</w:t>
            </w:r>
          </w:p>
        </w:tc>
        <w:tc>
          <w:tcPr>
            <w:tcW w:w="4680" w:type="dxa"/>
            <w:tcBorders>
              <w:top w:val="nil"/>
              <w:left w:val="nil"/>
              <w:bottom w:val="single" w:color="auto" w:sz="4" w:space="0"/>
              <w:right w:val="single" w:color="auto" w:sz="4" w:space="0"/>
            </w:tcBorders>
            <w:shd w:val="clear" w:color="auto" w:fill="auto"/>
            <w:vAlign w:val="center"/>
          </w:tcPr>
          <w:p w14:paraId="6704B27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RESANO 镊</w:t>
            </w:r>
          </w:p>
        </w:tc>
        <w:tc>
          <w:tcPr>
            <w:tcW w:w="1500" w:type="dxa"/>
            <w:tcBorders>
              <w:top w:val="nil"/>
              <w:left w:val="nil"/>
              <w:bottom w:val="single" w:color="auto" w:sz="4" w:space="0"/>
              <w:right w:val="single" w:color="auto" w:sz="4" w:space="0"/>
            </w:tcBorders>
            <w:shd w:val="clear" w:color="auto" w:fill="auto"/>
            <w:noWrap/>
            <w:vAlign w:val="center"/>
          </w:tcPr>
          <w:p w14:paraId="3A4079D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760" w:type="dxa"/>
            <w:tcBorders>
              <w:top w:val="nil"/>
              <w:left w:val="nil"/>
              <w:bottom w:val="single" w:color="auto" w:sz="4" w:space="0"/>
              <w:right w:val="single" w:color="auto" w:sz="8" w:space="0"/>
            </w:tcBorders>
            <w:shd w:val="clear" w:color="auto" w:fill="auto"/>
            <w:vAlign w:val="center"/>
          </w:tcPr>
          <w:p w14:paraId="568F26C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1E9C5786">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5FB5766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470183</w:t>
            </w:r>
          </w:p>
        </w:tc>
        <w:tc>
          <w:tcPr>
            <w:tcW w:w="4680" w:type="dxa"/>
            <w:tcBorders>
              <w:top w:val="nil"/>
              <w:left w:val="nil"/>
              <w:bottom w:val="single" w:color="auto" w:sz="4" w:space="0"/>
              <w:right w:val="single" w:color="auto" w:sz="4" w:space="0"/>
            </w:tcBorders>
            <w:shd w:val="clear" w:color="auto" w:fill="auto"/>
            <w:vAlign w:val="center"/>
          </w:tcPr>
          <w:p w14:paraId="4F8C948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永久电钩</w:t>
            </w:r>
          </w:p>
        </w:tc>
        <w:tc>
          <w:tcPr>
            <w:tcW w:w="1500" w:type="dxa"/>
            <w:tcBorders>
              <w:top w:val="nil"/>
              <w:left w:val="nil"/>
              <w:bottom w:val="single" w:color="auto" w:sz="4" w:space="0"/>
              <w:right w:val="single" w:color="auto" w:sz="4" w:space="0"/>
            </w:tcBorders>
            <w:shd w:val="clear" w:color="auto" w:fill="auto"/>
            <w:noWrap/>
            <w:vAlign w:val="center"/>
          </w:tcPr>
          <w:p w14:paraId="5F29E41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760" w:type="dxa"/>
            <w:tcBorders>
              <w:top w:val="nil"/>
              <w:left w:val="nil"/>
              <w:bottom w:val="single" w:color="auto" w:sz="4" w:space="0"/>
              <w:right w:val="single" w:color="auto" w:sz="8" w:space="0"/>
            </w:tcBorders>
            <w:shd w:val="clear" w:color="auto" w:fill="auto"/>
            <w:vAlign w:val="center"/>
          </w:tcPr>
          <w:p w14:paraId="65202E4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1B55EA2B">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6ED6819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470184</w:t>
            </w:r>
          </w:p>
        </w:tc>
        <w:tc>
          <w:tcPr>
            <w:tcW w:w="4680" w:type="dxa"/>
            <w:tcBorders>
              <w:top w:val="nil"/>
              <w:left w:val="nil"/>
              <w:bottom w:val="single" w:color="auto" w:sz="4" w:space="0"/>
              <w:right w:val="single" w:color="auto" w:sz="4" w:space="0"/>
            </w:tcBorders>
            <w:shd w:val="clear" w:color="auto" w:fill="auto"/>
            <w:vAlign w:val="center"/>
          </w:tcPr>
          <w:p w14:paraId="3635D2B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永久电铲</w:t>
            </w:r>
          </w:p>
        </w:tc>
        <w:tc>
          <w:tcPr>
            <w:tcW w:w="1500" w:type="dxa"/>
            <w:tcBorders>
              <w:top w:val="nil"/>
              <w:left w:val="nil"/>
              <w:bottom w:val="single" w:color="auto" w:sz="4" w:space="0"/>
              <w:right w:val="single" w:color="auto" w:sz="4" w:space="0"/>
            </w:tcBorders>
            <w:shd w:val="clear" w:color="auto" w:fill="auto"/>
            <w:noWrap/>
            <w:vAlign w:val="center"/>
          </w:tcPr>
          <w:p w14:paraId="49E0DEE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760" w:type="dxa"/>
            <w:tcBorders>
              <w:top w:val="nil"/>
              <w:left w:val="nil"/>
              <w:bottom w:val="single" w:color="auto" w:sz="4" w:space="0"/>
              <w:right w:val="single" w:color="auto" w:sz="8" w:space="0"/>
            </w:tcBorders>
            <w:shd w:val="clear" w:color="auto" w:fill="auto"/>
            <w:vAlign w:val="center"/>
          </w:tcPr>
          <w:p w14:paraId="52D39DB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7EFAC838">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4A053D0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470190</w:t>
            </w:r>
          </w:p>
        </w:tc>
        <w:tc>
          <w:tcPr>
            <w:tcW w:w="4680" w:type="dxa"/>
            <w:tcBorders>
              <w:top w:val="nil"/>
              <w:left w:val="nil"/>
              <w:bottom w:val="single" w:color="auto" w:sz="4" w:space="0"/>
              <w:right w:val="single" w:color="auto" w:sz="4" w:space="0"/>
            </w:tcBorders>
            <w:shd w:val="clear" w:color="auto" w:fill="auto"/>
            <w:vAlign w:val="center"/>
          </w:tcPr>
          <w:p w14:paraId="4603F5D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COBRA 抓持器</w:t>
            </w:r>
          </w:p>
        </w:tc>
        <w:tc>
          <w:tcPr>
            <w:tcW w:w="1500" w:type="dxa"/>
            <w:tcBorders>
              <w:top w:val="nil"/>
              <w:left w:val="nil"/>
              <w:bottom w:val="single" w:color="auto" w:sz="4" w:space="0"/>
              <w:right w:val="single" w:color="auto" w:sz="4" w:space="0"/>
            </w:tcBorders>
            <w:shd w:val="clear" w:color="auto" w:fill="auto"/>
            <w:noWrap/>
            <w:vAlign w:val="center"/>
          </w:tcPr>
          <w:p w14:paraId="20FBE67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760" w:type="dxa"/>
            <w:tcBorders>
              <w:top w:val="nil"/>
              <w:left w:val="nil"/>
              <w:bottom w:val="single" w:color="auto" w:sz="4" w:space="0"/>
              <w:right w:val="single" w:color="auto" w:sz="8" w:space="0"/>
            </w:tcBorders>
            <w:shd w:val="clear" w:color="auto" w:fill="auto"/>
            <w:vAlign w:val="center"/>
          </w:tcPr>
          <w:p w14:paraId="7AC5527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6FD0056B">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75E016B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470194</w:t>
            </w:r>
          </w:p>
        </w:tc>
        <w:tc>
          <w:tcPr>
            <w:tcW w:w="4680" w:type="dxa"/>
            <w:tcBorders>
              <w:top w:val="nil"/>
              <w:left w:val="nil"/>
              <w:bottom w:val="single" w:color="auto" w:sz="4" w:space="0"/>
              <w:right w:val="single" w:color="auto" w:sz="4" w:space="0"/>
            </w:tcBorders>
            <w:shd w:val="clear" w:color="auto" w:fill="auto"/>
            <w:vAlign w:val="center"/>
          </w:tcPr>
          <w:p w14:paraId="30D5170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MEGATM持针钳</w:t>
            </w:r>
          </w:p>
        </w:tc>
        <w:tc>
          <w:tcPr>
            <w:tcW w:w="1500" w:type="dxa"/>
            <w:tcBorders>
              <w:top w:val="nil"/>
              <w:left w:val="nil"/>
              <w:bottom w:val="single" w:color="auto" w:sz="4" w:space="0"/>
              <w:right w:val="single" w:color="auto" w:sz="4" w:space="0"/>
            </w:tcBorders>
            <w:shd w:val="clear" w:color="auto" w:fill="auto"/>
            <w:noWrap/>
            <w:vAlign w:val="center"/>
          </w:tcPr>
          <w:p w14:paraId="79E0E3D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760" w:type="dxa"/>
            <w:tcBorders>
              <w:top w:val="nil"/>
              <w:left w:val="nil"/>
              <w:bottom w:val="single" w:color="auto" w:sz="4" w:space="0"/>
              <w:right w:val="single" w:color="auto" w:sz="8" w:space="0"/>
            </w:tcBorders>
            <w:shd w:val="clear" w:color="auto" w:fill="auto"/>
            <w:vAlign w:val="center"/>
          </w:tcPr>
          <w:p w14:paraId="4392BFA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6A91EEA1">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1A6CD53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470205*</w:t>
            </w:r>
          </w:p>
        </w:tc>
        <w:tc>
          <w:tcPr>
            <w:tcW w:w="4680" w:type="dxa"/>
            <w:tcBorders>
              <w:top w:val="nil"/>
              <w:left w:val="nil"/>
              <w:bottom w:val="single" w:color="auto" w:sz="4" w:space="0"/>
              <w:right w:val="single" w:color="auto" w:sz="4" w:space="0"/>
            </w:tcBorders>
            <w:shd w:val="clear" w:color="auto" w:fill="auto"/>
            <w:vAlign w:val="center"/>
          </w:tcPr>
          <w:p w14:paraId="5C3C052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有孔双极镊</w:t>
            </w:r>
          </w:p>
        </w:tc>
        <w:tc>
          <w:tcPr>
            <w:tcW w:w="1500" w:type="dxa"/>
            <w:tcBorders>
              <w:top w:val="nil"/>
              <w:left w:val="nil"/>
              <w:bottom w:val="single" w:color="auto" w:sz="4" w:space="0"/>
              <w:right w:val="single" w:color="auto" w:sz="4" w:space="0"/>
            </w:tcBorders>
            <w:shd w:val="clear" w:color="auto" w:fill="auto"/>
            <w:noWrap/>
            <w:vAlign w:val="center"/>
          </w:tcPr>
          <w:p w14:paraId="059DA9A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760" w:type="dxa"/>
            <w:tcBorders>
              <w:top w:val="nil"/>
              <w:left w:val="nil"/>
              <w:bottom w:val="single" w:color="auto" w:sz="4" w:space="0"/>
              <w:right w:val="single" w:color="auto" w:sz="8" w:space="0"/>
            </w:tcBorders>
            <w:shd w:val="clear" w:color="auto" w:fill="auto"/>
            <w:vAlign w:val="center"/>
          </w:tcPr>
          <w:p w14:paraId="0C81CC9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514BAC4C">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7B7C7E6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470207</w:t>
            </w:r>
          </w:p>
        </w:tc>
        <w:tc>
          <w:tcPr>
            <w:tcW w:w="4680" w:type="dxa"/>
            <w:tcBorders>
              <w:top w:val="nil"/>
              <w:left w:val="nil"/>
              <w:bottom w:val="single" w:color="auto" w:sz="4" w:space="0"/>
              <w:right w:val="single" w:color="auto" w:sz="4" w:space="0"/>
            </w:tcBorders>
            <w:shd w:val="clear" w:color="auto" w:fill="auto"/>
            <w:vAlign w:val="center"/>
          </w:tcPr>
          <w:p w14:paraId="720A7FD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持钩镊</w:t>
            </w:r>
          </w:p>
        </w:tc>
        <w:tc>
          <w:tcPr>
            <w:tcW w:w="1500" w:type="dxa"/>
            <w:tcBorders>
              <w:top w:val="nil"/>
              <w:left w:val="nil"/>
              <w:bottom w:val="single" w:color="auto" w:sz="4" w:space="0"/>
              <w:right w:val="single" w:color="auto" w:sz="4" w:space="0"/>
            </w:tcBorders>
            <w:shd w:val="clear" w:color="auto" w:fill="auto"/>
            <w:noWrap/>
            <w:vAlign w:val="center"/>
          </w:tcPr>
          <w:p w14:paraId="17D8866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760" w:type="dxa"/>
            <w:tcBorders>
              <w:top w:val="nil"/>
              <w:left w:val="nil"/>
              <w:bottom w:val="single" w:color="auto" w:sz="4" w:space="0"/>
              <w:right w:val="single" w:color="auto" w:sz="8" w:space="0"/>
            </w:tcBorders>
            <w:shd w:val="clear" w:color="auto" w:fill="auto"/>
            <w:vAlign w:val="center"/>
          </w:tcPr>
          <w:p w14:paraId="68A9B32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09CD5113">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5F1DCF7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470215</w:t>
            </w:r>
          </w:p>
        </w:tc>
        <w:tc>
          <w:tcPr>
            <w:tcW w:w="4680" w:type="dxa"/>
            <w:tcBorders>
              <w:top w:val="nil"/>
              <w:left w:val="nil"/>
              <w:bottom w:val="single" w:color="auto" w:sz="4" w:space="0"/>
              <w:right w:val="single" w:color="auto" w:sz="4" w:space="0"/>
            </w:tcBorders>
            <w:shd w:val="clear" w:color="auto" w:fill="auto"/>
            <w:vAlign w:val="center"/>
          </w:tcPr>
          <w:p w14:paraId="15AD5C6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心脏探头抓持器</w:t>
            </w:r>
          </w:p>
        </w:tc>
        <w:tc>
          <w:tcPr>
            <w:tcW w:w="1500" w:type="dxa"/>
            <w:tcBorders>
              <w:top w:val="nil"/>
              <w:left w:val="nil"/>
              <w:bottom w:val="single" w:color="auto" w:sz="4" w:space="0"/>
              <w:right w:val="single" w:color="auto" w:sz="4" w:space="0"/>
            </w:tcBorders>
            <w:shd w:val="clear" w:color="auto" w:fill="auto"/>
            <w:noWrap/>
            <w:vAlign w:val="center"/>
          </w:tcPr>
          <w:p w14:paraId="36BFAB0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760" w:type="dxa"/>
            <w:tcBorders>
              <w:top w:val="nil"/>
              <w:left w:val="nil"/>
              <w:bottom w:val="single" w:color="auto" w:sz="4" w:space="0"/>
              <w:right w:val="single" w:color="auto" w:sz="8" w:space="0"/>
            </w:tcBorders>
            <w:shd w:val="clear" w:color="auto" w:fill="auto"/>
            <w:vAlign w:val="center"/>
          </w:tcPr>
          <w:p w14:paraId="7210CE7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23FFB4D7">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24ABEF0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470230</w:t>
            </w:r>
          </w:p>
        </w:tc>
        <w:tc>
          <w:tcPr>
            <w:tcW w:w="4680" w:type="dxa"/>
            <w:tcBorders>
              <w:top w:val="nil"/>
              <w:left w:val="nil"/>
              <w:bottom w:val="single" w:color="auto" w:sz="4" w:space="0"/>
              <w:right w:val="single" w:color="auto" w:sz="4" w:space="0"/>
            </w:tcBorders>
            <w:shd w:val="clear" w:color="auto" w:fill="auto"/>
            <w:vAlign w:val="center"/>
          </w:tcPr>
          <w:p w14:paraId="72FE21C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大号施夹钳</w:t>
            </w:r>
          </w:p>
        </w:tc>
        <w:tc>
          <w:tcPr>
            <w:tcW w:w="1500" w:type="dxa"/>
            <w:tcBorders>
              <w:top w:val="nil"/>
              <w:left w:val="nil"/>
              <w:bottom w:val="single" w:color="auto" w:sz="4" w:space="0"/>
              <w:right w:val="single" w:color="auto" w:sz="4" w:space="0"/>
            </w:tcBorders>
            <w:shd w:val="clear" w:color="auto" w:fill="auto"/>
            <w:vAlign w:val="center"/>
          </w:tcPr>
          <w:p w14:paraId="1A61E22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100</w:t>
            </w:r>
          </w:p>
        </w:tc>
        <w:tc>
          <w:tcPr>
            <w:tcW w:w="1760" w:type="dxa"/>
            <w:tcBorders>
              <w:top w:val="nil"/>
              <w:left w:val="nil"/>
              <w:bottom w:val="single" w:color="auto" w:sz="4" w:space="0"/>
              <w:right w:val="single" w:color="auto" w:sz="8" w:space="0"/>
            </w:tcBorders>
            <w:shd w:val="clear" w:color="auto" w:fill="auto"/>
            <w:vAlign w:val="center"/>
          </w:tcPr>
          <w:p w14:paraId="382CA69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31AC430D">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23C9689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470246</w:t>
            </w:r>
          </w:p>
        </w:tc>
        <w:tc>
          <w:tcPr>
            <w:tcW w:w="4680" w:type="dxa"/>
            <w:tcBorders>
              <w:top w:val="nil"/>
              <w:left w:val="nil"/>
              <w:bottom w:val="single" w:color="auto" w:sz="4" w:space="0"/>
              <w:right w:val="single" w:color="auto" w:sz="4" w:space="0"/>
            </w:tcBorders>
            <w:shd w:val="clear" w:color="auto" w:fill="auto"/>
            <w:vAlign w:val="center"/>
          </w:tcPr>
          <w:p w14:paraId="00BEED9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心房牵开器右侧短</w:t>
            </w:r>
          </w:p>
        </w:tc>
        <w:tc>
          <w:tcPr>
            <w:tcW w:w="1500" w:type="dxa"/>
            <w:tcBorders>
              <w:top w:val="nil"/>
              <w:left w:val="nil"/>
              <w:bottom w:val="single" w:color="auto" w:sz="4" w:space="0"/>
              <w:right w:val="single" w:color="auto" w:sz="4" w:space="0"/>
            </w:tcBorders>
            <w:shd w:val="clear" w:color="auto" w:fill="auto"/>
            <w:noWrap/>
            <w:vAlign w:val="center"/>
          </w:tcPr>
          <w:p w14:paraId="37AE315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760" w:type="dxa"/>
            <w:tcBorders>
              <w:top w:val="nil"/>
              <w:left w:val="nil"/>
              <w:bottom w:val="single" w:color="auto" w:sz="4" w:space="0"/>
              <w:right w:val="single" w:color="auto" w:sz="8" w:space="0"/>
            </w:tcBorders>
            <w:shd w:val="clear" w:color="auto" w:fill="auto"/>
            <w:vAlign w:val="center"/>
          </w:tcPr>
          <w:p w14:paraId="30A7D53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04B46C0E">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389524E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470249</w:t>
            </w:r>
          </w:p>
        </w:tc>
        <w:tc>
          <w:tcPr>
            <w:tcW w:w="4680" w:type="dxa"/>
            <w:tcBorders>
              <w:top w:val="nil"/>
              <w:left w:val="nil"/>
              <w:bottom w:val="single" w:color="auto" w:sz="4" w:space="0"/>
              <w:right w:val="single" w:color="auto" w:sz="4" w:space="0"/>
            </w:tcBorders>
            <w:shd w:val="clear" w:color="auto" w:fill="auto"/>
            <w:vAlign w:val="center"/>
          </w:tcPr>
          <w:p w14:paraId="4CB5DAA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双刃牵开器</w:t>
            </w:r>
          </w:p>
        </w:tc>
        <w:tc>
          <w:tcPr>
            <w:tcW w:w="1500" w:type="dxa"/>
            <w:tcBorders>
              <w:top w:val="nil"/>
              <w:left w:val="nil"/>
              <w:bottom w:val="single" w:color="auto" w:sz="4" w:space="0"/>
              <w:right w:val="single" w:color="auto" w:sz="4" w:space="0"/>
            </w:tcBorders>
            <w:shd w:val="clear" w:color="auto" w:fill="auto"/>
            <w:noWrap/>
            <w:vAlign w:val="center"/>
          </w:tcPr>
          <w:p w14:paraId="77923AF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760" w:type="dxa"/>
            <w:tcBorders>
              <w:top w:val="nil"/>
              <w:left w:val="nil"/>
              <w:bottom w:val="single" w:color="auto" w:sz="4" w:space="0"/>
              <w:right w:val="single" w:color="auto" w:sz="8" w:space="0"/>
            </w:tcBorders>
            <w:shd w:val="clear" w:color="auto" w:fill="auto"/>
            <w:vAlign w:val="center"/>
          </w:tcPr>
          <w:p w14:paraId="3FED111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357F185C">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18A2156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470296*</w:t>
            </w:r>
          </w:p>
        </w:tc>
        <w:tc>
          <w:tcPr>
            <w:tcW w:w="4680" w:type="dxa"/>
            <w:tcBorders>
              <w:top w:val="nil"/>
              <w:left w:val="nil"/>
              <w:bottom w:val="single" w:color="auto" w:sz="4" w:space="0"/>
              <w:right w:val="single" w:color="auto" w:sz="4" w:space="0"/>
            </w:tcBorders>
            <w:shd w:val="clear" w:color="auto" w:fill="auto"/>
            <w:vAlign w:val="center"/>
          </w:tcPr>
          <w:p w14:paraId="1D1AD7D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SUTURECUT</w:t>
            </w:r>
            <w:r>
              <w:rPr>
                <w:rFonts w:hint="eastAsia" w:ascii="宋体" w:hAnsi="宋体" w:eastAsia="宋体" w:cs="宋体"/>
                <w:kern w:val="0"/>
                <w:sz w:val="21"/>
                <w:szCs w:val="21"/>
                <w:vertAlign w:val="superscript"/>
              </w:rPr>
              <w:t>TM</w:t>
            </w:r>
            <w:r>
              <w:rPr>
                <w:rFonts w:hint="eastAsia" w:ascii="宋体" w:hAnsi="宋体" w:eastAsia="宋体" w:cs="宋体"/>
                <w:kern w:val="0"/>
                <w:sz w:val="21"/>
                <w:szCs w:val="21"/>
              </w:rPr>
              <w:t>大号持针钳</w:t>
            </w:r>
          </w:p>
        </w:tc>
        <w:tc>
          <w:tcPr>
            <w:tcW w:w="1500" w:type="dxa"/>
            <w:tcBorders>
              <w:top w:val="nil"/>
              <w:left w:val="nil"/>
              <w:bottom w:val="single" w:color="auto" w:sz="4" w:space="0"/>
              <w:right w:val="single" w:color="auto" w:sz="4" w:space="0"/>
            </w:tcBorders>
            <w:shd w:val="clear" w:color="auto" w:fill="auto"/>
            <w:noWrap/>
            <w:vAlign w:val="center"/>
          </w:tcPr>
          <w:p w14:paraId="29D8513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760" w:type="dxa"/>
            <w:tcBorders>
              <w:top w:val="nil"/>
              <w:left w:val="nil"/>
              <w:bottom w:val="single" w:color="auto" w:sz="4" w:space="0"/>
              <w:right w:val="single" w:color="auto" w:sz="8" w:space="0"/>
            </w:tcBorders>
            <w:shd w:val="clear" w:color="auto" w:fill="auto"/>
            <w:vAlign w:val="center"/>
          </w:tcPr>
          <w:p w14:paraId="6AB1791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38539849">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67D6535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470309*</w:t>
            </w:r>
          </w:p>
        </w:tc>
        <w:tc>
          <w:tcPr>
            <w:tcW w:w="4680" w:type="dxa"/>
            <w:tcBorders>
              <w:top w:val="nil"/>
              <w:left w:val="nil"/>
              <w:bottom w:val="single" w:color="auto" w:sz="4" w:space="0"/>
              <w:right w:val="single" w:color="auto" w:sz="4" w:space="0"/>
            </w:tcBorders>
            <w:shd w:val="clear" w:color="auto" w:fill="auto"/>
            <w:vAlign w:val="center"/>
          </w:tcPr>
          <w:p w14:paraId="244738B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MEGA SUTURECUT</w:t>
            </w:r>
            <w:r>
              <w:rPr>
                <w:rFonts w:hint="eastAsia" w:ascii="宋体" w:hAnsi="宋体" w:eastAsia="宋体" w:cs="宋体"/>
                <w:kern w:val="0"/>
                <w:sz w:val="21"/>
                <w:szCs w:val="21"/>
                <w:vertAlign w:val="superscript"/>
              </w:rPr>
              <w:t>TM</w:t>
            </w:r>
            <w:r>
              <w:rPr>
                <w:rFonts w:hint="eastAsia" w:ascii="宋体" w:hAnsi="宋体" w:eastAsia="宋体" w:cs="宋体"/>
                <w:kern w:val="0"/>
                <w:sz w:val="21"/>
                <w:szCs w:val="21"/>
              </w:rPr>
              <w:t>持针钳</w:t>
            </w:r>
          </w:p>
        </w:tc>
        <w:tc>
          <w:tcPr>
            <w:tcW w:w="1500" w:type="dxa"/>
            <w:tcBorders>
              <w:top w:val="nil"/>
              <w:left w:val="nil"/>
              <w:bottom w:val="single" w:color="auto" w:sz="4" w:space="0"/>
              <w:right w:val="single" w:color="auto" w:sz="4" w:space="0"/>
            </w:tcBorders>
            <w:shd w:val="clear" w:color="auto" w:fill="auto"/>
            <w:noWrap/>
            <w:vAlign w:val="center"/>
          </w:tcPr>
          <w:p w14:paraId="5B57D31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760" w:type="dxa"/>
            <w:tcBorders>
              <w:top w:val="nil"/>
              <w:left w:val="nil"/>
              <w:bottom w:val="single" w:color="auto" w:sz="4" w:space="0"/>
              <w:right w:val="single" w:color="auto" w:sz="8" w:space="0"/>
            </w:tcBorders>
            <w:shd w:val="clear" w:color="auto" w:fill="auto"/>
            <w:vAlign w:val="center"/>
          </w:tcPr>
          <w:p w14:paraId="5349266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065D6BE4">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7A05F1F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470318</w:t>
            </w:r>
          </w:p>
        </w:tc>
        <w:tc>
          <w:tcPr>
            <w:tcW w:w="4680" w:type="dxa"/>
            <w:tcBorders>
              <w:top w:val="nil"/>
              <w:left w:val="nil"/>
              <w:bottom w:val="single" w:color="auto" w:sz="4" w:space="0"/>
              <w:right w:val="single" w:color="auto" w:sz="4" w:space="0"/>
            </w:tcBorders>
            <w:shd w:val="clear" w:color="auto" w:fill="auto"/>
            <w:vAlign w:val="center"/>
          </w:tcPr>
          <w:p w14:paraId="511FD16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小号夹持牵开器</w:t>
            </w:r>
          </w:p>
        </w:tc>
        <w:tc>
          <w:tcPr>
            <w:tcW w:w="1500" w:type="dxa"/>
            <w:tcBorders>
              <w:top w:val="nil"/>
              <w:left w:val="nil"/>
              <w:bottom w:val="single" w:color="auto" w:sz="4" w:space="0"/>
              <w:right w:val="single" w:color="auto" w:sz="4" w:space="0"/>
            </w:tcBorders>
            <w:shd w:val="clear" w:color="auto" w:fill="auto"/>
            <w:noWrap/>
            <w:vAlign w:val="center"/>
          </w:tcPr>
          <w:p w14:paraId="4CB1BD2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760" w:type="dxa"/>
            <w:tcBorders>
              <w:top w:val="nil"/>
              <w:left w:val="nil"/>
              <w:bottom w:val="single" w:color="auto" w:sz="4" w:space="0"/>
              <w:right w:val="single" w:color="auto" w:sz="8" w:space="0"/>
            </w:tcBorders>
            <w:shd w:val="clear" w:color="auto" w:fill="auto"/>
            <w:vAlign w:val="center"/>
          </w:tcPr>
          <w:p w14:paraId="59B16AD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4D6FDC68">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4900C7D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470327</w:t>
            </w:r>
          </w:p>
        </w:tc>
        <w:tc>
          <w:tcPr>
            <w:tcW w:w="4680" w:type="dxa"/>
            <w:tcBorders>
              <w:top w:val="nil"/>
              <w:left w:val="nil"/>
              <w:bottom w:val="single" w:color="auto" w:sz="4" w:space="0"/>
              <w:right w:val="single" w:color="auto" w:sz="4" w:space="0"/>
            </w:tcBorders>
            <w:shd w:val="clear" w:color="auto" w:fill="auto"/>
            <w:vAlign w:val="center"/>
          </w:tcPr>
          <w:p w14:paraId="3E0078C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中大号施夹钳</w:t>
            </w:r>
          </w:p>
        </w:tc>
        <w:tc>
          <w:tcPr>
            <w:tcW w:w="1500" w:type="dxa"/>
            <w:tcBorders>
              <w:top w:val="nil"/>
              <w:left w:val="nil"/>
              <w:bottom w:val="single" w:color="auto" w:sz="4" w:space="0"/>
              <w:right w:val="single" w:color="auto" w:sz="4" w:space="0"/>
            </w:tcBorders>
            <w:shd w:val="clear" w:color="auto" w:fill="auto"/>
            <w:vAlign w:val="center"/>
          </w:tcPr>
          <w:p w14:paraId="332617B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100</w:t>
            </w:r>
          </w:p>
        </w:tc>
        <w:tc>
          <w:tcPr>
            <w:tcW w:w="1760" w:type="dxa"/>
            <w:tcBorders>
              <w:top w:val="nil"/>
              <w:left w:val="nil"/>
              <w:bottom w:val="single" w:color="auto" w:sz="4" w:space="0"/>
              <w:right w:val="single" w:color="auto" w:sz="8" w:space="0"/>
            </w:tcBorders>
            <w:shd w:val="clear" w:color="auto" w:fill="auto"/>
            <w:vAlign w:val="center"/>
          </w:tcPr>
          <w:p w14:paraId="57680AB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7ECAB2CB">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5767580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470344*</w:t>
            </w:r>
          </w:p>
        </w:tc>
        <w:tc>
          <w:tcPr>
            <w:tcW w:w="4680" w:type="dxa"/>
            <w:tcBorders>
              <w:top w:val="nil"/>
              <w:left w:val="nil"/>
              <w:bottom w:val="single" w:color="auto" w:sz="4" w:space="0"/>
              <w:right w:val="single" w:color="auto" w:sz="4" w:space="0"/>
            </w:tcBorders>
            <w:shd w:val="clear" w:color="auto" w:fill="auto"/>
            <w:vAlign w:val="center"/>
          </w:tcPr>
          <w:p w14:paraId="32A8BAA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双极弯解剖器</w:t>
            </w:r>
          </w:p>
        </w:tc>
        <w:tc>
          <w:tcPr>
            <w:tcW w:w="1500" w:type="dxa"/>
            <w:tcBorders>
              <w:top w:val="nil"/>
              <w:left w:val="nil"/>
              <w:bottom w:val="single" w:color="auto" w:sz="4" w:space="0"/>
              <w:right w:val="single" w:color="auto" w:sz="4" w:space="0"/>
            </w:tcBorders>
            <w:shd w:val="clear" w:color="auto" w:fill="auto"/>
            <w:noWrap/>
            <w:vAlign w:val="center"/>
          </w:tcPr>
          <w:p w14:paraId="0E0D04F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760" w:type="dxa"/>
            <w:tcBorders>
              <w:top w:val="nil"/>
              <w:left w:val="nil"/>
              <w:bottom w:val="single" w:color="auto" w:sz="4" w:space="0"/>
              <w:right w:val="single" w:color="auto" w:sz="8" w:space="0"/>
            </w:tcBorders>
            <w:shd w:val="clear" w:color="auto" w:fill="auto"/>
            <w:vAlign w:val="center"/>
          </w:tcPr>
          <w:p w14:paraId="248433F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1573C2E7">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4139FFB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470347</w:t>
            </w:r>
          </w:p>
        </w:tc>
        <w:tc>
          <w:tcPr>
            <w:tcW w:w="4680" w:type="dxa"/>
            <w:tcBorders>
              <w:top w:val="nil"/>
              <w:left w:val="nil"/>
              <w:bottom w:val="single" w:color="auto" w:sz="4" w:space="0"/>
              <w:right w:val="single" w:color="auto" w:sz="4" w:space="0"/>
            </w:tcBorders>
            <w:shd w:val="clear" w:color="auto" w:fill="auto"/>
            <w:vAlign w:val="center"/>
          </w:tcPr>
          <w:p w14:paraId="6913238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端头向上有孔抓持器</w:t>
            </w:r>
          </w:p>
        </w:tc>
        <w:tc>
          <w:tcPr>
            <w:tcW w:w="1500" w:type="dxa"/>
            <w:tcBorders>
              <w:top w:val="nil"/>
              <w:left w:val="nil"/>
              <w:bottom w:val="single" w:color="auto" w:sz="4" w:space="0"/>
              <w:right w:val="single" w:color="auto" w:sz="4" w:space="0"/>
            </w:tcBorders>
            <w:shd w:val="clear" w:color="auto" w:fill="auto"/>
            <w:noWrap/>
            <w:vAlign w:val="center"/>
          </w:tcPr>
          <w:p w14:paraId="1E4615E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760" w:type="dxa"/>
            <w:tcBorders>
              <w:top w:val="nil"/>
              <w:left w:val="nil"/>
              <w:bottom w:val="single" w:color="auto" w:sz="4" w:space="0"/>
              <w:right w:val="single" w:color="auto" w:sz="8" w:space="0"/>
            </w:tcBorders>
            <w:shd w:val="clear" w:color="auto" w:fill="auto"/>
            <w:vAlign w:val="center"/>
          </w:tcPr>
          <w:p w14:paraId="01C248E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127214FB">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1508CA8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470400*</w:t>
            </w:r>
          </w:p>
        </w:tc>
        <w:tc>
          <w:tcPr>
            <w:tcW w:w="4680" w:type="dxa"/>
            <w:tcBorders>
              <w:top w:val="nil"/>
              <w:left w:val="nil"/>
              <w:bottom w:val="single" w:color="auto" w:sz="4" w:space="0"/>
              <w:right w:val="single" w:color="auto" w:sz="4" w:space="0"/>
            </w:tcBorders>
            <w:shd w:val="clear" w:color="auto" w:fill="auto"/>
            <w:vAlign w:val="center"/>
          </w:tcPr>
          <w:p w14:paraId="0D4D4BE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长柄双极镊</w:t>
            </w:r>
          </w:p>
        </w:tc>
        <w:tc>
          <w:tcPr>
            <w:tcW w:w="1500" w:type="dxa"/>
            <w:tcBorders>
              <w:top w:val="nil"/>
              <w:left w:val="nil"/>
              <w:bottom w:val="single" w:color="auto" w:sz="4" w:space="0"/>
              <w:right w:val="single" w:color="auto" w:sz="4" w:space="0"/>
            </w:tcBorders>
            <w:shd w:val="clear" w:color="auto" w:fill="auto"/>
            <w:noWrap/>
            <w:vAlign w:val="center"/>
          </w:tcPr>
          <w:p w14:paraId="696651C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760" w:type="dxa"/>
            <w:tcBorders>
              <w:top w:val="nil"/>
              <w:left w:val="nil"/>
              <w:bottom w:val="single" w:color="auto" w:sz="4" w:space="0"/>
              <w:right w:val="single" w:color="auto" w:sz="8" w:space="0"/>
            </w:tcBorders>
            <w:shd w:val="clear" w:color="auto" w:fill="auto"/>
            <w:vAlign w:val="center"/>
          </w:tcPr>
          <w:p w14:paraId="155C569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7B5E9B38">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8" w:space="0"/>
              <w:right w:val="single" w:color="auto" w:sz="4" w:space="0"/>
            </w:tcBorders>
            <w:shd w:val="clear" w:color="auto" w:fill="auto"/>
            <w:noWrap/>
            <w:vAlign w:val="center"/>
          </w:tcPr>
          <w:p w14:paraId="3D9B90E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470401</w:t>
            </w:r>
          </w:p>
        </w:tc>
        <w:tc>
          <w:tcPr>
            <w:tcW w:w="4680" w:type="dxa"/>
            <w:tcBorders>
              <w:top w:val="nil"/>
              <w:left w:val="nil"/>
              <w:bottom w:val="single" w:color="auto" w:sz="8" w:space="0"/>
              <w:right w:val="single" w:color="auto" w:sz="4" w:space="0"/>
            </w:tcBorders>
            <w:shd w:val="clear" w:color="auto" w:fill="auto"/>
            <w:vAlign w:val="center"/>
          </w:tcPr>
          <w:p w14:paraId="14132F8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小施夹钳</w:t>
            </w:r>
          </w:p>
        </w:tc>
        <w:tc>
          <w:tcPr>
            <w:tcW w:w="1500" w:type="dxa"/>
            <w:tcBorders>
              <w:top w:val="nil"/>
              <w:left w:val="nil"/>
              <w:bottom w:val="single" w:color="auto" w:sz="8" w:space="0"/>
              <w:right w:val="single" w:color="auto" w:sz="4" w:space="0"/>
            </w:tcBorders>
            <w:shd w:val="clear" w:color="auto" w:fill="auto"/>
            <w:vAlign w:val="center"/>
          </w:tcPr>
          <w:p w14:paraId="3F135C0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100</w:t>
            </w:r>
          </w:p>
        </w:tc>
        <w:tc>
          <w:tcPr>
            <w:tcW w:w="1760" w:type="dxa"/>
            <w:tcBorders>
              <w:top w:val="nil"/>
              <w:left w:val="nil"/>
              <w:bottom w:val="single" w:color="auto" w:sz="8" w:space="0"/>
              <w:right w:val="single" w:color="auto" w:sz="8" w:space="0"/>
            </w:tcBorders>
            <w:shd w:val="clear" w:color="auto" w:fill="auto"/>
            <w:vAlign w:val="center"/>
          </w:tcPr>
          <w:p w14:paraId="64BE80C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28947C6F">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08F10C1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471006</w:t>
            </w:r>
          </w:p>
        </w:tc>
        <w:tc>
          <w:tcPr>
            <w:tcW w:w="4680" w:type="dxa"/>
            <w:tcBorders>
              <w:top w:val="nil"/>
              <w:left w:val="nil"/>
              <w:bottom w:val="single" w:color="auto" w:sz="4" w:space="0"/>
              <w:right w:val="single" w:color="auto" w:sz="4" w:space="0"/>
            </w:tcBorders>
            <w:shd w:val="clear" w:color="auto" w:fill="auto"/>
            <w:vAlign w:val="center"/>
          </w:tcPr>
          <w:p w14:paraId="2269DA6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大号持针钳</w:t>
            </w:r>
          </w:p>
        </w:tc>
        <w:tc>
          <w:tcPr>
            <w:tcW w:w="1500" w:type="dxa"/>
            <w:tcBorders>
              <w:top w:val="nil"/>
              <w:left w:val="nil"/>
              <w:bottom w:val="single" w:color="auto" w:sz="4" w:space="0"/>
              <w:right w:val="single" w:color="auto" w:sz="4" w:space="0"/>
            </w:tcBorders>
            <w:shd w:val="clear" w:color="auto" w:fill="auto"/>
            <w:noWrap/>
            <w:vAlign w:val="center"/>
          </w:tcPr>
          <w:p w14:paraId="51EC413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15</w:t>
            </w:r>
          </w:p>
        </w:tc>
        <w:tc>
          <w:tcPr>
            <w:tcW w:w="1760" w:type="dxa"/>
            <w:tcBorders>
              <w:top w:val="nil"/>
              <w:left w:val="nil"/>
              <w:bottom w:val="single" w:color="auto" w:sz="4" w:space="0"/>
              <w:right w:val="single" w:color="auto" w:sz="8" w:space="0"/>
            </w:tcBorders>
            <w:shd w:val="clear" w:color="auto" w:fill="auto"/>
            <w:vAlign w:val="center"/>
          </w:tcPr>
          <w:p w14:paraId="6F8DA8E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102CD728">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637666E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471049</w:t>
            </w:r>
          </w:p>
        </w:tc>
        <w:tc>
          <w:tcPr>
            <w:tcW w:w="4680" w:type="dxa"/>
            <w:tcBorders>
              <w:top w:val="nil"/>
              <w:left w:val="nil"/>
              <w:bottom w:val="single" w:color="auto" w:sz="4" w:space="0"/>
              <w:right w:val="single" w:color="auto" w:sz="4" w:space="0"/>
            </w:tcBorders>
            <w:shd w:val="clear" w:color="auto" w:fill="auto"/>
            <w:vAlign w:val="center"/>
          </w:tcPr>
          <w:p w14:paraId="50563E5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CADIERE镊</w:t>
            </w:r>
          </w:p>
        </w:tc>
        <w:tc>
          <w:tcPr>
            <w:tcW w:w="1500" w:type="dxa"/>
            <w:tcBorders>
              <w:top w:val="nil"/>
              <w:left w:val="nil"/>
              <w:bottom w:val="single" w:color="auto" w:sz="4" w:space="0"/>
              <w:right w:val="single" w:color="auto" w:sz="4" w:space="0"/>
            </w:tcBorders>
            <w:shd w:val="clear" w:color="auto" w:fill="auto"/>
            <w:noWrap/>
            <w:vAlign w:val="center"/>
          </w:tcPr>
          <w:p w14:paraId="17A2D06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18</w:t>
            </w:r>
          </w:p>
        </w:tc>
        <w:tc>
          <w:tcPr>
            <w:tcW w:w="1760" w:type="dxa"/>
            <w:tcBorders>
              <w:top w:val="nil"/>
              <w:left w:val="nil"/>
              <w:bottom w:val="single" w:color="auto" w:sz="4" w:space="0"/>
              <w:right w:val="single" w:color="auto" w:sz="8" w:space="0"/>
            </w:tcBorders>
            <w:shd w:val="clear" w:color="auto" w:fill="auto"/>
            <w:vAlign w:val="center"/>
          </w:tcPr>
          <w:p w14:paraId="5C219A6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41EF1E1A">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2346D16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471093</w:t>
            </w:r>
          </w:p>
        </w:tc>
        <w:tc>
          <w:tcPr>
            <w:tcW w:w="4680" w:type="dxa"/>
            <w:tcBorders>
              <w:top w:val="nil"/>
              <w:left w:val="nil"/>
              <w:bottom w:val="single" w:color="auto" w:sz="4" w:space="0"/>
              <w:right w:val="single" w:color="auto" w:sz="4" w:space="0"/>
            </w:tcBorders>
            <w:shd w:val="clear" w:color="auto" w:fill="auto"/>
            <w:vAlign w:val="center"/>
          </w:tcPr>
          <w:p w14:paraId="6EDD2FC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PROGRASP™镊</w:t>
            </w:r>
          </w:p>
        </w:tc>
        <w:tc>
          <w:tcPr>
            <w:tcW w:w="1500" w:type="dxa"/>
            <w:tcBorders>
              <w:top w:val="nil"/>
              <w:left w:val="nil"/>
              <w:bottom w:val="single" w:color="auto" w:sz="4" w:space="0"/>
              <w:right w:val="single" w:color="auto" w:sz="4" w:space="0"/>
            </w:tcBorders>
            <w:shd w:val="clear" w:color="auto" w:fill="auto"/>
            <w:noWrap/>
            <w:vAlign w:val="center"/>
          </w:tcPr>
          <w:p w14:paraId="367E64F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18</w:t>
            </w:r>
          </w:p>
        </w:tc>
        <w:tc>
          <w:tcPr>
            <w:tcW w:w="1760" w:type="dxa"/>
            <w:tcBorders>
              <w:top w:val="nil"/>
              <w:left w:val="nil"/>
              <w:bottom w:val="single" w:color="auto" w:sz="4" w:space="0"/>
              <w:right w:val="single" w:color="auto" w:sz="8" w:space="0"/>
            </w:tcBorders>
            <w:shd w:val="clear" w:color="auto" w:fill="auto"/>
            <w:vAlign w:val="center"/>
          </w:tcPr>
          <w:p w14:paraId="29F5489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37A7BEB4">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0D62A35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471171</w:t>
            </w:r>
          </w:p>
        </w:tc>
        <w:tc>
          <w:tcPr>
            <w:tcW w:w="4680" w:type="dxa"/>
            <w:tcBorders>
              <w:top w:val="nil"/>
              <w:left w:val="nil"/>
              <w:bottom w:val="single" w:color="auto" w:sz="4" w:space="0"/>
              <w:right w:val="single" w:color="auto" w:sz="4" w:space="0"/>
            </w:tcBorders>
            <w:shd w:val="clear" w:color="auto" w:fill="auto"/>
            <w:vAlign w:val="center"/>
          </w:tcPr>
          <w:p w14:paraId="1C20F68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微型双极镊</w:t>
            </w:r>
          </w:p>
        </w:tc>
        <w:tc>
          <w:tcPr>
            <w:tcW w:w="1500" w:type="dxa"/>
            <w:tcBorders>
              <w:top w:val="nil"/>
              <w:left w:val="nil"/>
              <w:bottom w:val="single" w:color="auto" w:sz="4" w:space="0"/>
              <w:right w:val="single" w:color="auto" w:sz="4" w:space="0"/>
            </w:tcBorders>
            <w:shd w:val="clear" w:color="auto" w:fill="auto"/>
            <w:noWrap/>
            <w:vAlign w:val="center"/>
          </w:tcPr>
          <w:p w14:paraId="379F770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14</w:t>
            </w:r>
          </w:p>
        </w:tc>
        <w:tc>
          <w:tcPr>
            <w:tcW w:w="1760" w:type="dxa"/>
            <w:tcBorders>
              <w:top w:val="nil"/>
              <w:left w:val="nil"/>
              <w:bottom w:val="single" w:color="auto" w:sz="4" w:space="0"/>
              <w:right w:val="single" w:color="auto" w:sz="8" w:space="0"/>
            </w:tcBorders>
            <w:shd w:val="clear" w:color="auto" w:fill="auto"/>
            <w:vAlign w:val="center"/>
          </w:tcPr>
          <w:p w14:paraId="7BA658C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7D9D7453">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394BCA1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471172</w:t>
            </w:r>
          </w:p>
        </w:tc>
        <w:tc>
          <w:tcPr>
            <w:tcW w:w="4680" w:type="dxa"/>
            <w:tcBorders>
              <w:top w:val="nil"/>
              <w:left w:val="nil"/>
              <w:bottom w:val="single" w:color="auto" w:sz="4" w:space="0"/>
              <w:right w:val="single" w:color="auto" w:sz="4" w:space="0"/>
            </w:tcBorders>
            <w:shd w:val="clear" w:color="auto" w:fill="auto"/>
            <w:vAlign w:val="center"/>
          </w:tcPr>
          <w:p w14:paraId="2B94D83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MARYLAND 双极镊</w:t>
            </w:r>
          </w:p>
        </w:tc>
        <w:tc>
          <w:tcPr>
            <w:tcW w:w="1500" w:type="dxa"/>
            <w:tcBorders>
              <w:top w:val="nil"/>
              <w:left w:val="nil"/>
              <w:bottom w:val="single" w:color="auto" w:sz="4" w:space="0"/>
              <w:right w:val="single" w:color="auto" w:sz="4" w:space="0"/>
            </w:tcBorders>
            <w:shd w:val="clear" w:color="auto" w:fill="auto"/>
            <w:noWrap/>
            <w:vAlign w:val="center"/>
          </w:tcPr>
          <w:p w14:paraId="08381D4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14</w:t>
            </w:r>
          </w:p>
        </w:tc>
        <w:tc>
          <w:tcPr>
            <w:tcW w:w="1760" w:type="dxa"/>
            <w:tcBorders>
              <w:top w:val="nil"/>
              <w:left w:val="nil"/>
              <w:bottom w:val="single" w:color="auto" w:sz="4" w:space="0"/>
              <w:right w:val="single" w:color="auto" w:sz="8" w:space="0"/>
            </w:tcBorders>
            <w:shd w:val="clear" w:color="auto" w:fill="auto"/>
            <w:vAlign w:val="center"/>
          </w:tcPr>
          <w:p w14:paraId="6BC848C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54693E06">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1C84999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471205</w:t>
            </w:r>
          </w:p>
        </w:tc>
        <w:tc>
          <w:tcPr>
            <w:tcW w:w="4680" w:type="dxa"/>
            <w:tcBorders>
              <w:top w:val="nil"/>
              <w:left w:val="nil"/>
              <w:bottom w:val="single" w:color="auto" w:sz="4" w:space="0"/>
              <w:right w:val="single" w:color="auto" w:sz="4" w:space="0"/>
            </w:tcBorders>
            <w:shd w:val="clear" w:color="auto" w:fill="auto"/>
            <w:vAlign w:val="center"/>
          </w:tcPr>
          <w:p w14:paraId="26056FC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有孔双极镊</w:t>
            </w:r>
          </w:p>
        </w:tc>
        <w:tc>
          <w:tcPr>
            <w:tcW w:w="1500" w:type="dxa"/>
            <w:tcBorders>
              <w:top w:val="nil"/>
              <w:left w:val="nil"/>
              <w:bottom w:val="single" w:color="auto" w:sz="4" w:space="0"/>
              <w:right w:val="single" w:color="auto" w:sz="4" w:space="0"/>
            </w:tcBorders>
            <w:shd w:val="clear" w:color="auto" w:fill="auto"/>
            <w:noWrap/>
            <w:vAlign w:val="center"/>
          </w:tcPr>
          <w:p w14:paraId="399D0B8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14</w:t>
            </w:r>
          </w:p>
        </w:tc>
        <w:tc>
          <w:tcPr>
            <w:tcW w:w="1760" w:type="dxa"/>
            <w:tcBorders>
              <w:top w:val="nil"/>
              <w:left w:val="nil"/>
              <w:bottom w:val="single" w:color="auto" w:sz="4" w:space="0"/>
              <w:right w:val="single" w:color="auto" w:sz="8" w:space="0"/>
            </w:tcBorders>
            <w:shd w:val="clear" w:color="auto" w:fill="auto"/>
            <w:vAlign w:val="center"/>
          </w:tcPr>
          <w:p w14:paraId="58D0917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20909C30">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647D441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471296</w:t>
            </w:r>
          </w:p>
        </w:tc>
        <w:tc>
          <w:tcPr>
            <w:tcW w:w="4680" w:type="dxa"/>
            <w:tcBorders>
              <w:top w:val="nil"/>
              <w:left w:val="nil"/>
              <w:bottom w:val="single" w:color="auto" w:sz="4" w:space="0"/>
              <w:right w:val="single" w:color="auto" w:sz="4" w:space="0"/>
            </w:tcBorders>
            <w:shd w:val="clear" w:color="auto" w:fill="auto"/>
            <w:vAlign w:val="center"/>
          </w:tcPr>
          <w:p w14:paraId="34A942D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SUTURECUT™大号持针钳</w:t>
            </w:r>
          </w:p>
        </w:tc>
        <w:tc>
          <w:tcPr>
            <w:tcW w:w="1500" w:type="dxa"/>
            <w:tcBorders>
              <w:top w:val="nil"/>
              <w:left w:val="nil"/>
              <w:bottom w:val="single" w:color="auto" w:sz="4" w:space="0"/>
              <w:right w:val="single" w:color="auto" w:sz="4" w:space="0"/>
            </w:tcBorders>
            <w:shd w:val="clear" w:color="auto" w:fill="auto"/>
            <w:noWrap/>
            <w:vAlign w:val="center"/>
          </w:tcPr>
          <w:p w14:paraId="5C7676A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15</w:t>
            </w:r>
          </w:p>
        </w:tc>
        <w:tc>
          <w:tcPr>
            <w:tcW w:w="1760" w:type="dxa"/>
            <w:tcBorders>
              <w:top w:val="nil"/>
              <w:left w:val="nil"/>
              <w:bottom w:val="single" w:color="auto" w:sz="4" w:space="0"/>
              <w:right w:val="single" w:color="auto" w:sz="8" w:space="0"/>
            </w:tcBorders>
            <w:shd w:val="clear" w:color="auto" w:fill="auto"/>
            <w:vAlign w:val="center"/>
          </w:tcPr>
          <w:p w14:paraId="47B25C6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1F80B8D5">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66C4A81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471309</w:t>
            </w:r>
          </w:p>
        </w:tc>
        <w:tc>
          <w:tcPr>
            <w:tcW w:w="4680" w:type="dxa"/>
            <w:tcBorders>
              <w:top w:val="nil"/>
              <w:left w:val="nil"/>
              <w:bottom w:val="single" w:color="auto" w:sz="4" w:space="0"/>
              <w:right w:val="single" w:color="auto" w:sz="4" w:space="0"/>
            </w:tcBorders>
            <w:shd w:val="clear" w:color="auto" w:fill="auto"/>
            <w:vAlign w:val="center"/>
          </w:tcPr>
          <w:p w14:paraId="21706AB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MEGA SUTURECUT™持针钳</w:t>
            </w:r>
          </w:p>
        </w:tc>
        <w:tc>
          <w:tcPr>
            <w:tcW w:w="1500" w:type="dxa"/>
            <w:tcBorders>
              <w:top w:val="nil"/>
              <w:left w:val="nil"/>
              <w:bottom w:val="single" w:color="auto" w:sz="4" w:space="0"/>
              <w:right w:val="single" w:color="auto" w:sz="4" w:space="0"/>
            </w:tcBorders>
            <w:shd w:val="clear" w:color="auto" w:fill="auto"/>
            <w:noWrap/>
            <w:vAlign w:val="center"/>
          </w:tcPr>
          <w:p w14:paraId="70BAE6D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15</w:t>
            </w:r>
          </w:p>
        </w:tc>
        <w:tc>
          <w:tcPr>
            <w:tcW w:w="1760" w:type="dxa"/>
            <w:tcBorders>
              <w:top w:val="nil"/>
              <w:left w:val="nil"/>
              <w:bottom w:val="single" w:color="auto" w:sz="4" w:space="0"/>
              <w:right w:val="single" w:color="auto" w:sz="8" w:space="0"/>
            </w:tcBorders>
            <w:shd w:val="clear" w:color="auto" w:fill="auto"/>
            <w:vAlign w:val="center"/>
          </w:tcPr>
          <w:p w14:paraId="4D35AED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266618D2">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283F979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471344</w:t>
            </w:r>
          </w:p>
        </w:tc>
        <w:tc>
          <w:tcPr>
            <w:tcW w:w="4680" w:type="dxa"/>
            <w:tcBorders>
              <w:top w:val="nil"/>
              <w:left w:val="nil"/>
              <w:bottom w:val="single" w:color="auto" w:sz="4" w:space="0"/>
              <w:right w:val="single" w:color="auto" w:sz="4" w:space="0"/>
            </w:tcBorders>
            <w:shd w:val="clear" w:color="auto" w:fill="auto"/>
            <w:vAlign w:val="center"/>
          </w:tcPr>
          <w:p w14:paraId="2AA7A8B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双极弯解剖器</w:t>
            </w:r>
          </w:p>
        </w:tc>
        <w:tc>
          <w:tcPr>
            <w:tcW w:w="1500" w:type="dxa"/>
            <w:tcBorders>
              <w:top w:val="nil"/>
              <w:left w:val="nil"/>
              <w:bottom w:val="single" w:color="auto" w:sz="4" w:space="0"/>
              <w:right w:val="single" w:color="auto" w:sz="4" w:space="0"/>
            </w:tcBorders>
            <w:shd w:val="clear" w:color="auto" w:fill="auto"/>
            <w:noWrap/>
            <w:vAlign w:val="center"/>
          </w:tcPr>
          <w:p w14:paraId="7D00500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14</w:t>
            </w:r>
          </w:p>
        </w:tc>
        <w:tc>
          <w:tcPr>
            <w:tcW w:w="1760" w:type="dxa"/>
            <w:tcBorders>
              <w:top w:val="nil"/>
              <w:left w:val="nil"/>
              <w:bottom w:val="single" w:color="auto" w:sz="4" w:space="0"/>
              <w:right w:val="single" w:color="auto" w:sz="8" w:space="0"/>
            </w:tcBorders>
            <w:shd w:val="clear" w:color="auto" w:fill="auto"/>
            <w:vAlign w:val="center"/>
          </w:tcPr>
          <w:p w14:paraId="100B8E7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04F67404">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35D2E7B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471400</w:t>
            </w:r>
          </w:p>
        </w:tc>
        <w:tc>
          <w:tcPr>
            <w:tcW w:w="4680" w:type="dxa"/>
            <w:tcBorders>
              <w:top w:val="nil"/>
              <w:left w:val="nil"/>
              <w:bottom w:val="single" w:color="auto" w:sz="4" w:space="0"/>
              <w:right w:val="single" w:color="auto" w:sz="4" w:space="0"/>
            </w:tcBorders>
            <w:shd w:val="clear" w:color="auto" w:fill="auto"/>
            <w:vAlign w:val="center"/>
          </w:tcPr>
          <w:p w14:paraId="7711010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长柄双极镊</w:t>
            </w:r>
          </w:p>
        </w:tc>
        <w:tc>
          <w:tcPr>
            <w:tcW w:w="1500" w:type="dxa"/>
            <w:tcBorders>
              <w:top w:val="nil"/>
              <w:left w:val="nil"/>
              <w:bottom w:val="single" w:color="auto" w:sz="4" w:space="0"/>
              <w:right w:val="single" w:color="auto" w:sz="4" w:space="0"/>
            </w:tcBorders>
            <w:shd w:val="clear" w:color="auto" w:fill="auto"/>
            <w:noWrap/>
            <w:vAlign w:val="center"/>
          </w:tcPr>
          <w:p w14:paraId="626101F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14</w:t>
            </w:r>
          </w:p>
        </w:tc>
        <w:tc>
          <w:tcPr>
            <w:tcW w:w="1760" w:type="dxa"/>
            <w:tcBorders>
              <w:top w:val="nil"/>
              <w:left w:val="nil"/>
              <w:bottom w:val="single" w:color="auto" w:sz="4" w:space="0"/>
              <w:right w:val="single" w:color="auto" w:sz="8" w:space="0"/>
            </w:tcBorders>
            <w:shd w:val="clear" w:color="auto" w:fill="auto"/>
            <w:vAlign w:val="center"/>
          </w:tcPr>
          <w:p w14:paraId="3E95695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506AC0E2">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8" w:space="0"/>
              <w:right w:val="single" w:color="auto" w:sz="4" w:space="0"/>
            </w:tcBorders>
            <w:shd w:val="clear" w:color="auto" w:fill="auto"/>
            <w:noWrap/>
            <w:vAlign w:val="center"/>
          </w:tcPr>
          <w:p w14:paraId="7DCD6F4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471405</w:t>
            </w:r>
          </w:p>
        </w:tc>
        <w:tc>
          <w:tcPr>
            <w:tcW w:w="4680" w:type="dxa"/>
            <w:tcBorders>
              <w:top w:val="nil"/>
              <w:left w:val="nil"/>
              <w:bottom w:val="single" w:color="auto" w:sz="8" w:space="0"/>
              <w:right w:val="single" w:color="auto" w:sz="4" w:space="0"/>
            </w:tcBorders>
            <w:shd w:val="clear" w:color="auto" w:fill="auto"/>
            <w:vAlign w:val="center"/>
          </w:tcPr>
          <w:p w14:paraId="4D32EEF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双重抓力双极抓钳</w:t>
            </w:r>
          </w:p>
        </w:tc>
        <w:tc>
          <w:tcPr>
            <w:tcW w:w="1500" w:type="dxa"/>
            <w:tcBorders>
              <w:top w:val="nil"/>
              <w:left w:val="nil"/>
              <w:bottom w:val="single" w:color="auto" w:sz="8" w:space="0"/>
              <w:right w:val="single" w:color="auto" w:sz="4" w:space="0"/>
            </w:tcBorders>
            <w:shd w:val="clear" w:color="auto" w:fill="auto"/>
            <w:vAlign w:val="center"/>
          </w:tcPr>
          <w:p w14:paraId="3606D42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12</w:t>
            </w:r>
          </w:p>
        </w:tc>
        <w:tc>
          <w:tcPr>
            <w:tcW w:w="1760" w:type="dxa"/>
            <w:tcBorders>
              <w:top w:val="nil"/>
              <w:left w:val="nil"/>
              <w:bottom w:val="single" w:color="auto" w:sz="8" w:space="0"/>
              <w:right w:val="single" w:color="auto" w:sz="8" w:space="0"/>
            </w:tcBorders>
            <w:shd w:val="clear" w:color="auto" w:fill="auto"/>
            <w:vAlign w:val="center"/>
          </w:tcPr>
          <w:p w14:paraId="3F057BC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0C52366E">
        <w:tblPrEx>
          <w:tblCellMar>
            <w:top w:w="0" w:type="dxa"/>
            <w:left w:w="108" w:type="dxa"/>
            <w:bottom w:w="0" w:type="dxa"/>
            <w:right w:w="108" w:type="dxa"/>
          </w:tblCellMar>
        </w:tblPrEx>
        <w:trPr>
          <w:trHeight w:val="23" w:hRule="atLeast"/>
        </w:trPr>
        <w:tc>
          <w:tcPr>
            <w:tcW w:w="1200" w:type="dxa"/>
            <w:tcBorders>
              <w:top w:val="nil"/>
              <w:left w:val="nil"/>
              <w:bottom w:val="nil"/>
              <w:right w:val="nil"/>
            </w:tcBorders>
            <w:shd w:val="clear" w:color="auto" w:fill="auto"/>
            <w:noWrap/>
            <w:vAlign w:val="bottom"/>
          </w:tcPr>
          <w:p w14:paraId="2A768967">
            <w:pPr>
              <w:widowControl/>
              <w:jc w:val="center"/>
              <w:rPr>
                <w:rFonts w:hint="eastAsia" w:ascii="宋体" w:hAnsi="宋体" w:eastAsia="宋体" w:cs="宋体"/>
                <w:kern w:val="0"/>
                <w:sz w:val="21"/>
                <w:szCs w:val="21"/>
              </w:rPr>
            </w:pPr>
          </w:p>
        </w:tc>
        <w:tc>
          <w:tcPr>
            <w:tcW w:w="4680" w:type="dxa"/>
            <w:tcBorders>
              <w:top w:val="nil"/>
              <w:left w:val="nil"/>
              <w:bottom w:val="nil"/>
              <w:right w:val="nil"/>
            </w:tcBorders>
            <w:shd w:val="clear" w:color="auto" w:fill="auto"/>
            <w:noWrap/>
            <w:vAlign w:val="bottom"/>
          </w:tcPr>
          <w:p w14:paraId="2081EC18">
            <w:pPr>
              <w:widowControl/>
              <w:jc w:val="left"/>
              <w:rPr>
                <w:rFonts w:hint="eastAsia" w:ascii="宋体" w:hAnsi="宋体" w:eastAsia="宋体" w:cs="宋体"/>
                <w:kern w:val="0"/>
                <w:sz w:val="21"/>
                <w:szCs w:val="21"/>
              </w:rPr>
            </w:pPr>
          </w:p>
        </w:tc>
        <w:tc>
          <w:tcPr>
            <w:tcW w:w="1500" w:type="dxa"/>
            <w:tcBorders>
              <w:top w:val="nil"/>
              <w:left w:val="nil"/>
              <w:bottom w:val="nil"/>
              <w:right w:val="nil"/>
            </w:tcBorders>
            <w:shd w:val="clear" w:color="auto" w:fill="auto"/>
            <w:noWrap/>
            <w:vAlign w:val="bottom"/>
          </w:tcPr>
          <w:p w14:paraId="334B069F">
            <w:pPr>
              <w:widowControl/>
              <w:jc w:val="left"/>
              <w:rPr>
                <w:rFonts w:hint="eastAsia" w:ascii="宋体" w:hAnsi="宋体" w:eastAsia="宋体" w:cs="宋体"/>
                <w:kern w:val="0"/>
                <w:sz w:val="21"/>
                <w:szCs w:val="21"/>
              </w:rPr>
            </w:pPr>
          </w:p>
        </w:tc>
        <w:tc>
          <w:tcPr>
            <w:tcW w:w="1760" w:type="dxa"/>
            <w:tcBorders>
              <w:top w:val="nil"/>
              <w:left w:val="nil"/>
              <w:bottom w:val="nil"/>
              <w:right w:val="nil"/>
            </w:tcBorders>
            <w:shd w:val="clear" w:color="auto" w:fill="auto"/>
            <w:noWrap/>
            <w:vAlign w:val="bottom"/>
          </w:tcPr>
          <w:p w14:paraId="6049DA8D">
            <w:pPr>
              <w:widowControl/>
              <w:jc w:val="left"/>
              <w:rPr>
                <w:rFonts w:hint="eastAsia" w:ascii="宋体" w:hAnsi="宋体" w:eastAsia="宋体" w:cs="宋体"/>
                <w:kern w:val="0"/>
                <w:sz w:val="21"/>
                <w:szCs w:val="21"/>
              </w:rPr>
            </w:pPr>
          </w:p>
        </w:tc>
      </w:tr>
      <w:tr w14:paraId="2615B1F6">
        <w:tblPrEx>
          <w:tblCellMar>
            <w:top w:w="0" w:type="dxa"/>
            <w:left w:w="108" w:type="dxa"/>
            <w:bottom w:w="0" w:type="dxa"/>
            <w:right w:w="108" w:type="dxa"/>
          </w:tblCellMar>
        </w:tblPrEx>
        <w:trPr>
          <w:trHeight w:val="23" w:hRule="atLeast"/>
        </w:trPr>
        <w:tc>
          <w:tcPr>
            <w:tcW w:w="5880" w:type="dxa"/>
            <w:gridSpan w:val="2"/>
            <w:tcBorders>
              <w:top w:val="nil"/>
              <w:left w:val="nil"/>
              <w:bottom w:val="nil"/>
              <w:right w:val="nil"/>
            </w:tcBorders>
            <w:shd w:val="clear" w:color="auto" w:fill="auto"/>
            <w:noWrap/>
            <w:vAlign w:val="center"/>
          </w:tcPr>
          <w:p w14:paraId="48FEE052">
            <w:pPr>
              <w:widowControl/>
              <w:jc w:val="left"/>
              <w:rPr>
                <w:rFonts w:hint="eastAsia" w:ascii="宋体" w:hAnsi="宋体" w:eastAsia="宋体" w:cs="宋体"/>
                <w:kern w:val="0"/>
                <w:sz w:val="21"/>
                <w:szCs w:val="21"/>
              </w:rPr>
            </w:pPr>
          </w:p>
        </w:tc>
        <w:tc>
          <w:tcPr>
            <w:tcW w:w="1500" w:type="dxa"/>
            <w:tcBorders>
              <w:top w:val="nil"/>
              <w:left w:val="nil"/>
              <w:bottom w:val="nil"/>
              <w:right w:val="nil"/>
            </w:tcBorders>
            <w:shd w:val="clear" w:color="auto" w:fill="auto"/>
            <w:vAlign w:val="center"/>
          </w:tcPr>
          <w:p w14:paraId="74F072C4">
            <w:pPr>
              <w:widowControl/>
              <w:jc w:val="left"/>
              <w:rPr>
                <w:rFonts w:hint="eastAsia" w:ascii="宋体" w:hAnsi="宋体" w:eastAsia="宋体" w:cs="宋体"/>
                <w:kern w:val="0"/>
                <w:sz w:val="21"/>
                <w:szCs w:val="21"/>
              </w:rPr>
            </w:pPr>
          </w:p>
        </w:tc>
        <w:tc>
          <w:tcPr>
            <w:tcW w:w="1760" w:type="dxa"/>
            <w:tcBorders>
              <w:top w:val="nil"/>
              <w:left w:val="nil"/>
              <w:bottom w:val="nil"/>
              <w:right w:val="nil"/>
            </w:tcBorders>
            <w:shd w:val="clear" w:color="auto" w:fill="auto"/>
            <w:vAlign w:val="center"/>
          </w:tcPr>
          <w:p w14:paraId="476FC642">
            <w:pPr>
              <w:widowControl/>
              <w:jc w:val="left"/>
              <w:rPr>
                <w:rFonts w:hint="eastAsia" w:ascii="宋体" w:hAnsi="宋体" w:eastAsia="宋体" w:cs="宋体"/>
                <w:kern w:val="0"/>
                <w:sz w:val="21"/>
                <w:szCs w:val="21"/>
              </w:rPr>
            </w:pPr>
          </w:p>
        </w:tc>
      </w:tr>
      <w:tr w14:paraId="1368EFE6">
        <w:tblPrEx>
          <w:tblCellMar>
            <w:top w:w="0" w:type="dxa"/>
            <w:left w:w="108" w:type="dxa"/>
            <w:bottom w:w="0" w:type="dxa"/>
            <w:right w:w="108" w:type="dxa"/>
          </w:tblCellMar>
        </w:tblPrEx>
        <w:trPr>
          <w:trHeight w:val="23" w:hRule="atLeast"/>
        </w:trPr>
        <w:tc>
          <w:tcPr>
            <w:tcW w:w="1200" w:type="dxa"/>
            <w:tcBorders>
              <w:top w:val="nil"/>
              <w:left w:val="nil"/>
              <w:bottom w:val="nil"/>
              <w:right w:val="nil"/>
            </w:tcBorders>
            <w:shd w:val="clear" w:color="auto" w:fill="auto"/>
            <w:noWrap/>
            <w:vAlign w:val="bottom"/>
          </w:tcPr>
          <w:p w14:paraId="2958F7FF">
            <w:pPr>
              <w:widowControl/>
              <w:jc w:val="left"/>
              <w:rPr>
                <w:rFonts w:hint="eastAsia" w:ascii="宋体" w:hAnsi="宋体" w:eastAsia="宋体" w:cs="宋体"/>
                <w:kern w:val="0"/>
                <w:sz w:val="21"/>
                <w:szCs w:val="21"/>
              </w:rPr>
            </w:pPr>
          </w:p>
        </w:tc>
        <w:tc>
          <w:tcPr>
            <w:tcW w:w="4680" w:type="dxa"/>
            <w:tcBorders>
              <w:top w:val="nil"/>
              <w:left w:val="nil"/>
              <w:bottom w:val="nil"/>
              <w:right w:val="nil"/>
            </w:tcBorders>
            <w:shd w:val="clear" w:color="auto" w:fill="auto"/>
            <w:noWrap/>
            <w:vAlign w:val="bottom"/>
          </w:tcPr>
          <w:p w14:paraId="552EAC01">
            <w:pPr>
              <w:widowControl/>
              <w:jc w:val="left"/>
              <w:rPr>
                <w:rFonts w:hint="eastAsia" w:ascii="宋体" w:hAnsi="宋体" w:eastAsia="宋体" w:cs="宋体"/>
                <w:kern w:val="0"/>
                <w:sz w:val="21"/>
                <w:szCs w:val="21"/>
              </w:rPr>
            </w:pPr>
          </w:p>
        </w:tc>
        <w:tc>
          <w:tcPr>
            <w:tcW w:w="1500" w:type="dxa"/>
            <w:tcBorders>
              <w:top w:val="nil"/>
              <w:left w:val="nil"/>
              <w:bottom w:val="nil"/>
              <w:right w:val="nil"/>
            </w:tcBorders>
            <w:shd w:val="clear" w:color="auto" w:fill="auto"/>
            <w:noWrap/>
            <w:vAlign w:val="bottom"/>
          </w:tcPr>
          <w:p w14:paraId="7A898F4E">
            <w:pPr>
              <w:widowControl/>
              <w:jc w:val="left"/>
              <w:rPr>
                <w:rFonts w:hint="eastAsia" w:ascii="宋体" w:hAnsi="宋体" w:eastAsia="宋体" w:cs="宋体"/>
                <w:kern w:val="0"/>
                <w:sz w:val="21"/>
                <w:szCs w:val="21"/>
              </w:rPr>
            </w:pPr>
          </w:p>
        </w:tc>
        <w:tc>
          <w:tcPr>
            <w:tcW w:w="1760" w:type="dxa"/>
            <w:tcBorders>
              <w:top w:val="nil"/>
              <w:left w:val="nil"/>
              <w:bottom w:val="nil"/>
              <w:right w:val="nil"/>
            </w:tcBorders>
            <w:shd w:val="clear" w:color="auto" w:fill="auto"/>
            <w:noWrap/>
            <w:vAlign w:val="bottom"/>
          </w:tcPr>
          <w:p w14:paraId="0A4BA797">
            <w:pPr>
              <w:widowControl/>
              <w:jc w:val="left"/>
              <w:rPr>
                <w:rFonts w:hint="eastAsia" w:ascii="宋体" w:hAnsi="宋体" w:eastAsia="宋体" w:cs="宋体"/>
                <w:kern w:val="0"/>
                <w:sz w:val="21"/>
                <w:szCs w:val="21"/>
              </w:rPr>
            </w:pPr>
          </w:p>
        </w:tc>
      </w:tr>
      <w:tr w14:paraId="27E5AA67">
        <w:tblPrEx>
          <w:tblCellMar>
            <w:top w:w="0" w:type="dxa"/>
            <w:left w:w="108" w:type="dxa"/>
            <w:bottom w:w="0" w:type="dxa"/>
            <w:right w:w="108" w:type="dxa"/>
          </w:tblCellMar>
        </w:tblPrEx>
        <w:trPr>
          <w:trHeight w:val="23" w:hRule="atLeast"/>
        </w:trPr>
        <w:tc>
          <w:tcPr>
            <w:tcW w:w="1200" w:type="dxa"/>
            <w:tcBorders>
              <w:top w:val="nil"/>
              <w:left w:val="nil"/>
              <w:bottom w:val="nil"/>
              <w:right w:val="nil"/>
            </w:tcBorders>
            <w:shd w:val="clear" w:color="auto" w:fill="auto"/>
            <w:noWrap/>
            <w:vAlign w:val="bottom"/>
          </w:tcPr>
          <w:p w14:paraId="515C17E7">
            <w:pPr>
              <w:widowControl/>
              <w:jc w:val="left"/>
              <w:rPr>
                <w:rFonts w:hint="eastAsia" w:ascii="宋体" w:hAnsi="宋体" w:eastAsia="宋体" w:cs="宋体"/>
                <w:kern w:val="0"/>
                <w:sz w:val="21"/>
                <w:szCs w:val="21"/>
              </w:rPr>
            </w:pPr>
          </w:p>
          <w:p w14:paraId="02611862">
            <w:pPr>
              <w:widowControl/>
              <w:jc w:val="left"/>
              <w:rPr>
                <w:rFonts w:hint="eastAsia" w:ascii="宋体" w:hAnsi="宋体" w:eastAsia="宋体" w:cs="宋体"/>
                <w:kern w:val="0"/>
                <w:sz w:val="21"/>
                <w:szCs w:val="21"/>
              </w:rPr>
            </w:pPr>
          </w:p>
        </w:tc>
        <w:tc>
          <w:tcPr>
            <w:tcW w:w="4680" w:type="dxa"/>
            <w:tcBorders>
              <w:top w:val="nil"/>
              <w:left w:val="nil"/>
              <w:bottom w:val="nil"/>
              <w:right w:val="nil"/>
            </w:tcBorders>
            <w:shd w:val="clear" w:color="auto" w:fill="auto"/>
            <w:noWrap/>
            <w:vAlign w:val="bottom"/>
          </w:tcPr>
          <w:p w14:paraId="59F86B58">
            <w:pPr>
              <w:widowControl/>
              <w:jc w:val="left"/>
              <w:rPr>
                <w:rFonts w:hint="eastAsia" w:ascii="宋体" w:hAnsi="宋体" w:eastAsia="宋体" w:cs="宋体"/>
                <w:kern w:val="0"/>
                <w:sz w:val="21"/>
                <w:szCs w:val="21"/>
              </w:rPr>
            </w:pPr>
          </w:p>
        </w:tc>
        <w:tc>
          <w:tcPr>
            <w:tcW w:w="1500" w:type="dxa"/>
            <w:tcBorders>
              <w:top w:val="nil"/>
              <w:left w:val="nil"/>
              <w:bottom w:val="nil"/>
              <w:right w:val="nil"/>
            </w:tcBorders>
            <w:shd w:val="clear" w:color="auto" w:fill="auto"/>
            <w:noWrap/>
            <w:vAlign w:val="bottom"/>
          </w:tcPr>
          <w:p w14:paraId="084ABEB9">
            <w:pPr>
              <w:widowControl/>
              <w:jc w:val="left"/>
              <w:rPr>
                <w:rFonts w:hint="eastAsia" w:ascii="宋体" w:hAnsi="宋体" w:eastAsia="宋体" w:cs="宋体"/>
                <w:kern w:val="0"/>
                <w:sz w:val="21"/>
                <w:szCs w:val="21"/>
              </w:rPr>
            </w:pPr>
          </w:p>
        </w:tc>
        <w:tc>
          <w:tcPr>
            <w:tcW w:w="1760" w:type="dxa"/>
            <w:tcBorders>
              <w:top w:val="nil"/>
              <w:left w:val="nil"/>
              <w:bottom w:val="nil"/>
              <w:right w:val="nil"/>
            </w:tcBorders>
            <w:shd w:val="clear" w:color="auto" w:fill="auto"/>
            <w:noWrap/>
            <w:vAlign w:val="bottom"/>
          </w:tcPr>
          <w:p w14:paraId="013C01AC">
            <w:pPr>
              <w:widowControl/>
              <w:jc w:val="left"/>
              <w:rPr>
                <w:rFonts w:hint="eastAsia" w:ascii="宋体" w:hAnsi="宋体" w:eastAsia="宋体" w:cs="宋体"/>
                <w:kern w:val="0"/>
                <w:sz w:val="21"/>
                <w:szCs w:val="21"/>
              </w:rPr>
            </w:pPr>
          </w:p>
        </w:tc>
      </w:tr>
      <w:tr w14:paraId="6F7AA814">
        <w:tblPrEx>
          <w:tblCellMar>
            <w:top w:w="0" w:type="dxa"/>
            <w:left w:w="108" w:type="dxa"/>
            <w:bottom w:w="0" w:type="dxa"/>
            <w:right w:w="108" w:type="dxa"/>
          </w:tblCellMar>
        </w:tblPrEx>
        <w:trPr>
          <w:trHeight w:val="23" w:hRule="atLeast"/>
        </w:trPr>
        <w:tc>
          <w:tcPr>
            <w:tcW w:w="5880" w:type="dxa"/>
            <w:gridSpan w:val="2"/>
            <w:tcBorders>
              <w:top w:val="nil"/>
              <w:left w:val="nil"/>
              <w:bottom w:val="nil"/>
              <w:right w:val="nil"/>
            </w:tcBorders>
            <w:shd w:val="clear" w:color="auto" w:fill="auto"/>
            <w:noWrap/>
            <w:vAlign w:val="center"/>
          </w:tcPr>
          <w:p w14:paraId="3940D0BD">
            <w:pPr>
              <w:widowControl/>
              <w:jc w:val="left"/>
              <w:rPr>
                <w:rFonts w:hint="eastAsia" w:ascii="宋体" w:hAnsi="宋体" w:eastAsia="宋体" w:cs="宋体"/>
                <w:b/>
                <w:bCs/>
                <w:kern w:val="0"/>
                <w:sz w:val="21"/>
                <w:szCs w:val="21"/>
              </w:rPr>
            </w:pPr>
          </w:p>
          <w:p w14:paraId="3BC80C31">
            <w:pPr>
              <w:widowControl/>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da Vinci Xi 可重复用附件</w:t>
            </w:r>
          </w:p>
        </w:tc>
        <w:tc>
          <w:tcPr>
            <w:tcW w:w="1500" w:type="dxa"/>
            <w:tcBorders>
              <w:top w:val="nil"/>
              <w:left w:val="nil"/>
              <w:bottom w:val="nil"/>
              <w:right w:val="nil"/>
            </w:tcBorders>
            <w:shd w:val="clear" w:color="auto" w:fill="auto"/>
            <w:noWrap/>
            <w:vAlign w:val="center"/>
          </w:tcPr>
          <w:p w14:paraId="04889224">
            <w:pPr>
              <w:widowControl/>
              <w:jc w:val="left"/>
              <w:rPr>
                <w:rFonts w:hint="eastAsia" w:ascii="宋体" w:hAnsi="宋体" w:eastAsia="宋体" w:cs="宋体"/>
                <w:b/>
                <w:bCs/>
                <w:kern w:val="0"/>
                <w:sz w:val="21"/>
                <w:szCs w:val="21"/>
              </w:rPr>
            </w:pPr>
          </w:p>
        </w:tc>
        <w:tc>
          <w:tcPr>
            <w:tcW w:w="1760" w:type="dxa"/>
            <w:tcBorders>
              <w:top w:val="nil"/>
              <w:left w:val="nil"/>
              <w:bottom w:val="nil"/>
              <w:right w:val="nil"/>
            </w:tcBorders>
            <w:shd w:val="clear" w:color="auto" w:fill="auto"/>
            <w:noWrap/>
            <w:vAlign w:val="center"/>
          </w:tcPr>
          <w:p w14:paraId="065B167F">
            <w:pPr>
              <w:widowControl/>
              <w:jc w:val="left"/>
              <w:rPr>
                <w:rFonts w:hint="eastAsia" w:ascii="宋体" w:hAnsi="宋体" w:eastAsia="宋体" w:cs="宋体"/>
                <w:kern w:val="0"/>
                <w:sz w:val="21"/>
                <w:szCs w:val="21"/>
              </w:rPr>
            </w:pPr>
          </w:p>
        </w:tc>
      </w:tr>
      <w:tr w14:paraId="0A85EF40">
        <w:tblPrEx>
          <w:tblCellMar>
            <w:top w:w="0" w:type="dxa"/>
            <w:left w:w="108" w:type="dxa"/>
            <w:bottom w:w="0" w:type="dxa"/>
            <w:right w:w="108" w:type="dxa"/>
          </w:tblCellMar>
        </w:tblPrEx>
        <w:trPr>
          <w:trHeight w:val="23" w:hRule="atLeast"/>
        </w:trPr>
        <w:tc>
          <w:tcPr>
            <w:tcW w:w="1200" w:type="dxa"/>
            <w:tcBorders>
              <w:top w:val="single" w:color="auto" w:sz="8" w:space="0"/>
              <w:left w:val="single" w:color="auto" w:sz="8" w:space="0"/>
              <w:bottom w:val="single" w:color="auto" w:sz="4" w:space="0"/>
              <w:right w:val="single" w:color="auto" w:sz="4" w:space="0"/>
            </w:tcBorders>
            <w:shd w:val="clear" w:color="auto" w:fill="auto"/>
            <w:vAlign w:val="center"/>
          </w:tcPr>
          <w:p w14:paraId="4F8EEBF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产品号</w:t>
            </w:r>
          </w:p>
        </w:tc>
        <w:tc>
          <w:tcPr>
            <w:tcW w:w="4680" w:type="dxa"/>
            <w:tcBorders>
              <w:top w:val="single" w:color="auto" w:sz="8" w:space="0"/>
              <w:left w:val="nil"/>
              <w:bottom w:val="single" w:color="auto" w:sz="4" w:space="0"/>
              <w:right w:val="single" w:color="auto" w:sz="4" w:space="0"/>
            </w:tcBorders>
            <w:shd w:val="clear" w:color="auto" w:fill="auto"/>
            <w:vAlign w:val="center"/>
          </w:tcPr>
          <w:p w14:paraId="38FF67B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品名</w:t>
            </w:r>
          </w:p>
        </w:tc>
        <w:tc>
          <w:tcPr>
            <w:tcW w:w="1500" w:type="dxa"/>
            <w:tcBorders>
              <w:top w:val="single" w:color="auto" w:sz="8" w:space="0"/>
              <w:left w:val="nil"/>
              <w:bottom w:val="single" w:color="auto" w:sz="4" w:space="0"/>
              <w:right w:val="single" w:color="auto" w:sz="8" w:space="0"/>
            </w:tcBorders>
            <w:shd w:val="clear" w:color="auto" w:fill="auto"/>
            <w:vAlign w:val="center"/>
          </w:tcPr>
          <w:p w14:paraId="393B343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单位</w:t>
            </w:r>
          </w:p>
        </w:tc>
        <w:tc>
          <w:tcPr>
            <w:tcW w:w="1760" w:type="dxa"/>
            <w:tcBorders>
              <w:top w:val="nil"/>
              <w:left w:val="nil"/>
              <w:bottom w:val="nil"/>
              <w:right w:val="nil"/>
            </w:tcBorders>
            <w:shd w:val="clear" w:color="auto" w:fill="auto"/>
            <w:noWrap/>
            <w:vAlign w:val="bottom"/>
          </w:tcPr>
          <w:p w14:paraId="2F4F2688">
            <w:pPr>
              <w:widowControl/>
              <w:jc w:val="center"/>
              <w:rPr>
                <w:rFonts w:hint="eastAsia" w:ascii="宋体" w:hAnsi="宋体" w:eastAsia="宋体" w:cs="宋体"/>
                <w:kern w:val="0"/>
                <w:sz w:val="21"/>
                <w:szCs w:val="21"/>
              </w:rPr>
            </w:pPr>
          </w:p>
        </w:tc>
      </w:tr>
      <w:tr w14:paraId="2F7217CC">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4F38146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342562</w:t>
            </w:r>
          </w:p>
        </w:tc>
        <w:tc>
          <w:tcPr>
            <w:tcW w:w="4680" w:type="dxa"/>
            <w:tcBorders>
              <w:top w:val="nil"/>
              <w:left w:val="nil"/>
              <w:bottom w:val="single" w:color="auto" w:sz="4" w:space="0"/>
              <w:right w:val="single" w:color="auto" w:sz="4" w:space="0"/>
            </w:tcBorders>
            <w:shd w:val="clear" w:color="auto" w:fill="auto"/>
            <w:vAlign w:val="center"/>
          </w:tcPr>
          <w:p w14:paraId="3574CA4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8mm 器械导引器</w:t>
            </w:r>
          </w:p>
        </w:tc>
        <w:tc>
          <w:tcPr>
            <w:tcW w:w="1500" w:type="dxa"/>
            <w:tcBorders>
              <w:top w:val="nil"/>
              <w:left w:val="nil"/>
              <w:bottom w:val="single" w:color="auto" w:sz="4" w:space="0"/>
              <w:right w:val="single" w:color="auto" w:sz="8" w:space="0"/>
            </w:tcBorders>
            <w:shd w:val="clear" w:color="auto" w:fill="auto"/>
            <w:vAlign w:val="center"/>
          </w:tcPr>
          <w:p w14:paraId="5C80EB7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c>
          <w:tcPr>
            <w:tcW w:w="1760" w:type="dxa"/>
            <w:tcBorders>
              <w:top w:val="nil"/>
              <w:left w:val="nil"/>
              <w:bottom w:val="nil"/>
              <w:right w:val="nil"/>
            </w:tcBorders>
            <w:shd w:val="clear" w:color="auto" w:fill="auto"/>
            <w:noWrap/>
            <w:vAlign w:val="bottom"/>
          </w:tcPr>
          <w:p w14:paraId="58D64717">
            <w:pPr>
              <w:widowControl/>
              <w:jc w:val="center"/>
              <w:rPr>
                <w:rFonts w:hint="eastAsia" w:ascii="宋体" w:hAnsi="宋体" w:eastAsia="宋体" w:cs="宋体"/>
                <w:kern w:val="0"/>
                <w:sz w:val="21"/>
                <w:szCs w:val="21"/>
              </w:rPr>
            </w:pPr>
          </w:p>
        </w:tc>
      </w:tr>
      <w:tr w14:paraId="4C323D9F">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4707A9C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470002</w:t>
            </w:r>
          </w:p>
        </w:tc>
        <w:tc>
          <w:tcPr>
            <w:tcW w:w="4680" w:type="dxa"/>
            <w:tcBorders>
              <w:top w:val="nil"/>
              <w:left w:val="nil"/>
              <w:bottom w:val="single" w:color="auto" w:sz="4" w:space="0"/>
              <w:right w:val="single" w:color="auto" w:sz="4" w:space="0"/>
            </w:tcBorders>
            <w:shd w:val="clear" w:color="auto" w:fill="auto"/>
            <w:vAlign w:val="center"/>
          </w:tcPr>
          <w:p w14:paraId="0C09FC4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8mm 器械套管</w:t>
            </w:r>
          </w:p>
        </w:tc>
        <w:tc>
          <w:tcPr>
            <w:tcW w:w="1500" w:type="dxa"/>
            <w:tcBorders>
              <w:top w:val="nil"/>
              <w:left w:val="nil"/>
              <w:bottom w:val="single" w:color="auto" w:sz="4" w:space="0"/>
              <w:right w:val="single" w:color="auto" w:sz="8" w:space="0"/>
            </w:tcBorders>
            <w:shd w:val="clear" w:color="auto" w:fill="auto"/>
            <w:vAlign w:val="center"/>
          </w:tcPr>
          <w:p w14:paraId="761F413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c>
          <w:tcPr>
            <w:tcW w:w="1760" w:type="dxa"/>
            <w:tcBorders>
              <w:top w:val="nil"/>
              <w:left w:val="nil"/>
              <w:bottom w:val="nil"/>
              <w:right w:val="nil"/>
            </w:tcBorders>
            <w:shd w:val="clear" w:color="auto" w:fill="auto"/>
            <w:noWrap/>
            <w:vAlign w:val="bottom"/>
          </w:tcPr>
          <w:p w14:paraId="28151779">
            <w:pPr>
              <w:widowControl/>
              <w:jc w:val="center"/>
              <w:rPr>
                <w:rFonts w:hint="eastAsia" w:ascii="宋体" w:hAnsi="宋体" w:eastAsia="宋体" w:cs="宋体"/>
                <w:kern w:val="0"/>
                <w:sz w:val="21"/>
                <w:szCs w:val="21"/>
              </w:rPr>
            </w:pPr>
          </w:p>
        </w:tc>
      </w:tr>
      <w:tr w14:paraId="24244F60">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3E72CD3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470004</w:t>
            </w:r>
          </w:p>
        </w:tc>
        <w:tc>
          <w:tcPr>
            <w:tcW w:w="4680" w:type="dxa"/>
            <w:tcBorders>
              <w:top w:val="nil"/>
              <w:left w:val="nil"/>
              <w:bottom w:val="single" w:color="auto" w:sz="4" w:space="0"/>
              <w:right w:val="single" w:color="auto" w:sz="4" w:space="0"/>
            </w:tcBorders>
            <w:shd w:val="clear" w:color="auto" w:fill="auto"/>
            <w:vAlign w:val="center"/>
          </w:tcPr>
          <w:p w14:paraId="553853C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8mm 器械套管（长）</w:t>
            </w:r>
          </w:p>
        </w:tc>
        <w:tc>
          <w:tcPr>
            <w:tcW w:w="1500" w:type="dxa"/>
            <w:tcBorders>
              <w:top w:val="nil"/>
              <w:left w:val="nil"/>
              <w:bottom w:val="single" w:color="auto" w:sz="4" w:space="0"/>
              <w:right w:val="single" w:color="auto" w:sz="8" w:space="0"/>
            </w:tcBorders>
            <w:shd w:val="clear" w:color="auto" w:fill="auto"/>
            <w:vAlign w:val="center"/>
          </w:tcPr>
          <w:p w14:paraId="6CF3097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c>
          <w:tcPr>
            <w:tcW w:w="1760" w:type="dxa"/>
            <w:tcBorders>
              <w:top w:val="nil"/>
              <w:left w:val="nil"/>
              <w:bottom w:val="nil"/>
              <w:right w:val="nil"/>
            </w:tcBorders>
            <w:shd w:val="clear" w:color="auto" w:fill="auto"/>
            <w:noWrap/>
            <w:vAlign w:val="bottom"/>
          </w:tcPr>
          <w:p w14:paraId="42BE9343">
            <w:pPr>
              <w:widowControl/>
              <w:jc w:val="center"/>
              <w:rPr>
                <w:rFonts w:hint="eastAsia" w:ascii="宋体" w:hAnsi="宋体" w:eastAsia="宋体" w:cs="宋体"/>
                <w:kern w:val="0"/>
                <w:sz w:val="21"/>
                <w:szCs w:val="21"/>
              </w:rPr>
            </w:pPr>
          </w:p>
        </w:tc>
      </w:tr>
      <w:tr w14:paraId="17CDF95B">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2005EE2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470008</w:t>
            </w:r>
          </w:p>
        </w:tc>
        <w:tc>
          <w:tcPr>
            <w:tcW w:w="4680" w:type="dxa"/>
            <w:tcBorders>
              <w:top w:val="nil"/>
              <w:left w:val="nil"/>
              <w:bottom w:val="single" w:color="auto" w:sz="4" w:space="0"/>
              <w:right w:val="single" w:color="auto" w:sz="4" w:space="0"/>
            </w:tcBorders>
            <w:shd w:val="clear" w:color="auto" w:fill="auto"/>
            <w:vAlign w:val="center"/>
          </w:tcPr>
          <w:p w14:paraId="1E8DB3D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8mm 钝型闭孔器</w:t>
            </w:r>
          </w:p>
        </w:tc>
        <w:tc>
          <w:tcPr>
            <w:tcW w:w="1500" w:type="dxa"/>
            <w:tcBorders>
              <w:top w:val="nil"/>
              <w:left w:val="nil"/>
              <w:bottom w:val="single" w:color="auto" w:sz="4" w:space="0"/>
              <w:right w:val="single" w:color="auto" w:sz="8" w:space="0"/>
            </w:tcBorders>
            <w:shd w:val="clear" w:color="auto" w:fill="auto"/>
            <w:vAlign w:val="center"/>
          </w:tcPr>
          <w:p w14:paraId="3D3A2ED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c>
          <w:tcPr>
            <w:tcW w:w="1760" w:type="dxa"/>
            <w:tcBorders>
              <w:top w:val="nil"/>
              <w:left w:val="nil"/>
              <w:bottom w:val="nil"/>
              <w:right w:val="nil"/>
            </w:tcBorders>
            <w:shd w:val="clear" w:color="auto" w:fill="auto"/>
            <w:noWrap/>
            <w:vAlign w:val="bottom"/>
          </w:tcPr>
          <w:p w14:paraId="7C244DEA">
            <w:pPr>
              <w:widowControl/>
              <w:jc w:val="center"/>
              <w:rPr>
                <w:rFonts w:hint="eastAsia" w:ascii="宋体" w:hAnsi="宋体" w:eastAsia="宋体" w:cs="宋体"/>
                <w:kern w:val="0"/>
                <w:sz w:val="21"/>
                <w:szCs w:val="21"/>
              </w:rPr>
            </w:pPr>
          </w:p>
        </w:tc>
      </w:tr>
      <w:tr w14:paraId="48AFF1C9">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53E3C88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470009</w:t>
            </w:r>
          </w:p>
        </w:tc>
        <w:tc>
          <w:tcPr>
            <w:tcW w:w="4680" w:type="dxa"/>
            <w:tcBorders>
              <w:top w:val="nil"/>
              <w:left w:val="nil"/>
              <w:bottom w:val="single" w:color="auto" w:sz="4" w:space="0"/>
              <w:right w:val="single" w:color="auto" w:sz="4" w:space="0"/>
            </w:tcBorders>
            <w:shd w:val="clear" w:color="auto" w:fill="auto"/>
            <w:vAlign w:val="center"/>
          </w:tcPr>
          <w:p w14:paraId="64911D9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8mm 钝型闭孔器（长）</w:t>
            </w:r>
          </w:p>
        </w:tc>
        <w:tc>
          <w:tcPr>
            <w:tcW w:w="1500" w:type="dxa"/>
            <w:tcBorders>
              <w:top w:val="nil"/>
              <w:left w:val="nil"/>
              <w:bottom w:val="single" w:color="auto" w:sz="4" w:space="0"/>
              <w:right w:val="single" w:color="auto" w:sz="8" w:space="0"/>
            </w:tcBorders>
            <w:shd w:val="clear" w:color="auto" w:fill="auto"/>
            <w:vAlign w:val="center"/>
          </w:tcPr>
          <w:p w14:paraId="2E29F4D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c>
          <w:tcPr>
            <w:tcW w:w="1760" w:type="dxa"/>
            <w:tcBorders>
              <w:top w:val="nil"/>
              <w:left w:val="nil"/>
              <w:bottom w:val="nil"/>
              <w:right w:val="nil"/>
            </w:tcBorders>
            <w:shd w:val="clear" w:color="auto" w:fill="auto"/>
            <w:noWrap/>
            <w:vAlign w:val="bottom"/>
          </w:tcPr>
          <w:p w14:paraId="1AA1B52B">
            <w:pPr>
              <w:widowControl/>
              <w:jc w:val="center"/>
              <w:rPr>
                <w:rFonts w:hint="eastAsia" w:ascii="宋体" w:hAnsi="宋体" w:eastAsia="宋体" w:cs="宋体"/>
                <w:kern w:val="0"/>
                <w:sz w:val="21"/>
                <w:szCs w:val="21"/>
              </w:rPr>
            </w:pPr>
          </w:p>
        </w:tc>
      </w:tr>
      <w:tr w14:paraId="317D1B8F">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20DB8A9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470375</w:t>
            </w:r>
          </w:p>
        </w:tc>
        <w:tc>
          <w:tcPr>
            <w:tcW w:w="4680" w:type="dxa"/>
            <w:tcBorders>
              <w:top w:val="nil"/>
              <w:left w:val="nil"/>
              <w:bottom w:val="single" w:color="auto" w:sz="4" w:space="0"/>
              <w:right w:val="single" w:color="auto" w:sz="4" w:space="0"/>
            </w:tcBorders>
            <w:shd w:val="clear" w:color="auto" w:fill="auto"/>
            <w:vAlign w:val="center"/>
          </w:tcPr>
          <w:p w14:paraId="2160327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12mm吻合器套管</w:t>
            </w:r>
          </w:p>
        </w:tc>
        <w:tc>
          <w:tcPr>
            <w:tcW w:w="1500" w:type="dxa"/>
            <w:tcBorders>
              <w:top w:val="nil"/>
              <w:left w:val="nil"/>
              <w:bottom w:val="single" w:color="auto" w:sz="4" w:space="0"/>
              <w:right w:val="single" w:color="auto" w:sz="8" w:space="0"/>
            </w:tcBorders>
            <w:shd w:val="clear" w:color="auto" w:fill="auto"/>
            <w:vAlign w:val="center"/>
          </w:tcPr>
          <w:p w14:paraId="027C21B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c>
          <w:tcPr>
            <w:tcW w:w="1760" w:type="dxa"/>
            <w:tcBorders>
              <w:top w:val="nil"/>
              <w:left w:val="nil"/>
              <w:bottom w:val="nil"/>
              <w:right w:val="nil"/>
            </w:tcBorders>
            <w:shd w:val="clear" w:color="auto" w:fill="auto"/>
            <w:noWrap/>
            <w:vAlign w:val="bottom"/>
          </w:tcPr>
          <w:p w14:paraId="6F2675AB">
            <w:pPr>
              <w:widowControl/>
              <w:jc w:val="center"/>
              <w:rPr>
                <w:rFonts w:hint="eastAsia" w:ascii="宋体" w:hAnsi="宋体" w:eastAsia="宋体" w:cs="宋体"/>
                <w:kern w:val="0"/>
                <w:sz w:val="21"/>
                <w:szCs w:val="21"/>
              </w:rPr>
            </w:pPr>
          </w:p>
        </w:tc>
      </w:tr>
      <w:tr w14:paraId="7ED7C0B2">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2796FFD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470376</w:t>
            </w:r>
          </w:p>
        </w:tc>
        <w:tc>
          <w:tcPr>
            <w:tcW w:w="4680" w:type="dxa"/>
            <w:tcBorders>
              <w:top w:val="nil"/>
              <w:left w:val="nil"/>
              <w:bottom w:val="single" w:color="auto" w:sz="4" w:space="0"/>
              <w:right w:val="single" w:color="auto" w:sz="4" w:space="0"/>
            </w:tcBorders>
            <w:shd w:val="clear" w:color="auto" w:fill="auto"/>
            <w:vAlign w:val="center"/>
          </w:tcPr>
          <w:p w14:paraId="66E27CA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12mm 吻合器钝型闭孔器</w:t>
            </w:r>
          </w:p>
        </w:tc>
        <w:tc>
          <w:tcPr>
            <w:tcW w:w="1500" w:type="dxa"/>
            <w:tcBorders>
              <w:top w:val="nil"/>
              <w:left w:val="nil"/>
              <w:bottom w:val="single" w:color="auto" w:sz="4" w:space="0"/>
              <w:right w:val="single" w:color="auto" w:sz="8" w:space="0"/>
            </w:tcBorders>
            <w:shd w:val="clear" w:color="auto" w:fill="auto"/>
            <w:vAlign w:val="center"/>
          </w:tcPr>
          <w:p w14:paraId="19D400E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c>
          <w:tcPr>
            <w:tcW w:w="1760" w:type="dxa"/>
            <w:tcBorders>
              <w:top w:val="nil"/>
              <w:left w:val="nil"/>
              <w:bottom w:val="nil"/>
              <w:right w:val="nil"/>
            </w:tcBorders>
            <w:shd w:val="clear" w:color="auto" w:fill="auto"/>
            <w:noWrap/>
            <w:vAlign w:val="bottom"/>
          </w:tcPr>
          <w:p w14:paraId="75349F7F">
            <w:pPr>
              <w:widowControl/>
              <w:jc w:val="center"/>
              <w:rPr>
                <w:rFonts w:hint="eastAsia" w:ascii="宋体" w:hAnsi="宋体" w:eastAsia="宋体" w:cs="宋体"/>
                <w:kern w:val="0"/>
                <w:sz w:val="21"/>
                <w:szCs w:val="21"/>
              </w:rPr>
            </w:pPr>
          </w:p>
        </w:tc>
      </w:tr>
      <w:tr w14:paraId="71CD2367">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36086CB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470389</w:t>
            </w:r>
          </w:p>
        </w:tc>
        <w:tc>
          <w:tcPr>
            <w:tcW w:w="4680" w:type="dxa"/>
            <w:tcBorders>
              <w:top w:val="nil"/>
              <w:left w:val="nil"/>
              <w:bottom w:val="single" w:color="auto" w:sz="4" w:space="0"/>
              <w:right w:val="single" w:color="auto" w:sz="4" w:space="0"/>
            </w:tcBorders>
            <w:shd w:val="clear" w:color="auto" w:fill="auto"/>
            <w:vAlign w:val="center"/>
          </w:tcPr>
          <w:p w14:paraId="7C3F92A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12mm吻合器套管（长）</w:t>
            </w:r>
          </w:p>
        </w:tc>
        <w:tc>
          <w:tcPr>
            <w:tcW w:w="1500" w:type="dxa"/>
            <w:tcBorders>
              <w:top w:val="nil"/>
              <w:left w:val="nil"/>
              <w:bottom w:val="single" w:color="auto" w:sz="4" w:space="0"/>
              <w:right w:val="single" w:color="auto" w:sz="8" w:space="0"/>
            </w:tcBorders>
            <w:shd w:val="clear" w:color="auto" w:fill="auto"/>
            <w:vAlign w:val="center"/>
          </w:tcPr>
          <w:p w14:paraId="2DE9F94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c>
          <w:tcPr>
            <w:tcW w:w="1760" w:type="dxa"/>
            <w:tcBorders>
              <w:top w:val="nil"/>
              <w:left w:val="nil"/>
              <w:bottom w:val="nil"/>
              <w:right w:val="nil"/>
            </w:tcBorders>
            <w:shd w:val="clear" w:color="auto" w:fill="auto"/>
            <w:noWrap/>
            <w:vAlign w:val="bottom"/>
          </w:tcPr>
          <w:p w14:paraId="040C956D">
            <w:pPr>
              <w:widowControl/>
              <w:jc w:val="center"/>
              <w:rPr>
                <w:rFonts w:hint="eastAsia" w:ascii="宋体" w:hAnsi="宋体" w:eastAsia="宋体" w:cs="宋体"/>
                <w:kern w:val="0"/>
                <w:sz w:val="21"/>
                <w:szCs w:val="21"/>
              </w:rPr>
            </w:pPr>
          </w:p>
        </w:tc>
      </w:tr>
      <w:tr w14:paraId="26DAEA20">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65D4181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470390</w:t>
            </w:r>
          </w:p>
        </w:tc>
        <w:tc>
          <w:tcPr>
            <w:tcW w:w="4680" w:type="dxa"/>
            <w:tcBorders>
              <w:top w:val="nil"/>
              <w:left w:val="nil"/>
              <w:bottom w:val="single" w:color="auto" w:sz="4" w:space="0"/>
              <w:right w:val="single" w:color="auto" w:sz="4" w:space="0"/>
            </w:tcBorders>
            <w:shd w:val="clear" w:color="auto" w:fill="auto"/>
            <w:vAlign w:val="center"/>
          </w:tcPr>
          <w:p w14:paraId="14ACCC9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12mm吻合器钝型闭孔器（长）</w:t>
            </w:r>
          </w:p>
        </w:tc>
        <w:tc>
          <w:tcPr>
            <w:tcW w:w="1500" w:type="dxa"/>
            <w:tcBorders>
              <w:top w:val="nil"/>
              <w:left w:val="nil"/>
              <w:bottom w:val="single" w:color="auto" w:sz="4" w:space="0"/>
              <w:right w:val="single" w:color="auto" w:sz="8" w:space="0"/>
            </w:tcBorders>
            <w:shd w:val="clear" w:color="auto" w:fill="auto"/>
            <w:vAlign w:val="center"/>
          </w:tcPr>
          <w:p w14:paraId="4431E3C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c>
          <w:tcPr>
            <w:tcW w:w="1760" w:type="dxa"/>
            <w:tcBorders>
              <w:top w:val="nil"/>
              <w:left w:val="nil"/>
              <w:bottom w:val="nil"/>
              <w:right w:val="nil"/>
            </w:tcBorders>
            <w:shd w:val="clear" w:color="auto" w:fill="auto"/>
            <w:noWrap/>
            <w:vAlign w:val="bottom"/>
          </w:tcPr>
          <w:p w14:paraId="48FCD742">
            <w:pPr>
              <w:widowControl/>
              <w:jc w:val="center"/>
              <w:rPr>
                <w:rFonts w:hint="eastAsia" w:ascii="宋体" w:hAnsi="宋体" w:eastAsia="宋体" w:cs="宋体"/>
                <w:kern w:val="0"/>
                <w:sz w:val="21"/>
                <w:szCs w:val="21"/>
              </w:rPr>
            </w:pPr>
          </w:p>
        </w:tc>
      </w:tr>
      <w:tr w14:paraId="508489E1">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37549DB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470395</w:t>
            </w:r>
          </w:p>
        </w:tc>
        <w:tc>
          <w:tcPr>
            <w:tcW w:w="4680" w:type="dxa"/>
            <w:tcBorders>
              <w:top w:val="nil"/>
              <w:left w:val="nil"/>
              <w:bottom w:val="single" w:color="auto" w:sz="4" w:space="0"/>
              <w:right w:val="single" w:color="auto" w:sz="4" w:space="0"/>
            </w:tcBorders>
            <w:shd w:val="clear" w:color="auto" w:fill="auto"/>
            <w:vAlign w:val="center"/>
          </w:tcPr>
          <w:p w14:paraId="4433A2B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12mm 无刃闭孔器</w:t>
            </w:r>
          </w:p>
        </w:tc>
        <w:tc>
          <w:tcPr>
            <w:tcW w:w="1500" w:type="dxa"/>
            <w:tcBorders>
              <w:top w:val="nil"/>
              <w:left w:val="nil"/>
              <w:bottom w:val="single" w:color="auto" w:sz="4" w:space="0"/>
              <w:right w:val="single" w:color="auto" w:sz="8" w:space="0"/>
            </w:tcBorders>
            <w:shd w:val="clear" w:color="auto" w:fill="auto"/>
            <w:vAlign w:val="center"/>
          </w:tcPr>
          <w:p w14:paraId="0BF61E8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c>
          <w:tcPr>
            <w:tcW w:w="1760" w:type="dxa"/>
            <w:tcBorders>
              <w:top w:val="nil"/>
              <w:left w:val="nil"/>
              <w:bottom w:val="nil"/>
              <w:right w:val="nil"/>
            </w:tcBorders>
            <w:shd w:val="clear" w:color="auto" w:fill="auto"/>
            <w:noWrap/>
            <w:vAlign w:val="bottom"/>
          </w:tcPr>
          <w:p w14:paraId="7BFDBE90">
            <w:pPr>
              <w:widowControl/>
              <w:jc w:val="center"/>
              <w:rPr>
                <w:rFonts w:hint="eastAsia" w:ascii="宋体" w:hAnsi="宋体" w:eastAsia="宋体" w:cs="宋体"/>
                <w:kern w:val="0"/>
                <w:sz w:val="21"/>
                <w:szCs w:val="21"/>
              </w:rPr>
            </w:pPr>
          </w:p>
        </w:tc>
      </w:tr>
      <w:tr w14:paraId="1142C35A">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07AA686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470396</w:t>
            </w:r>
          </w:p>
        </w:tc>
        <w:tc>
          <w:tcPr>
            <w:tcW w:w="4680" w:type="dxa"/>
            <w:tcBorders>
              <w:top w:val="nil"/>
              <w:left w:val="nil"/>
              <w:bottom w:val="single" w:color="auto" w:sz="4" w:space="0"/>
              <w:right w:val="single" w:color="auto" w:sz="4" w:space="0"/>
            </w:tcBorders>
            <w:shd w:val="clear" w:color="auto" w:fill="auto"/>
            <w:vAlign w:val="center"/>
          </w:tcPr>
          <w:p w14:paraId="2F745EA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12mm 无刃闭孔器（长）</w:t>
            </w:r>
          </w:p>
        </w:tc>
        <w:tc>
          <w:tcPr>
            <w:tcW w:w="1500" w:type="dxa"/>
            <w:tcBorders>
              <w:top w:val="nil"/>
              <w:left w:val="nil"/>
              <w:bottom w:val="single" w:color="auto" w:sz="4" w:space="0"/>
              <w:right w:val="single" w:color="auto" w:sz="8" w:space="0"/>
            </w:tcBorders>
            <w:shd w:val="clear" w:color="auto" w:fill="auto"/>
            <w:vAlign w:val="center"/>
          </w:tcPr>
          <w:p w14:paraId="1E603D0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c>
          <w:tcPr>
            <w:tcW w:w="1760" w:type="dxa"/>
            <w:tcBorders>
              <w:top w:val="nil"/>
              <w:left w:val="nil"/>
              <w:bottom w:val="nil"/>
              <w:right w:val="nil"/>
            </w:tcBorders>
            <w:shd w:val="clear" w:color="auto" w:fill="auto"/>
            <w:noWrap/>
            <w:vAlign w:val="bottom"/>
          </w:tcPr>
          <w:p w14:paraId="6D131CBF">
            <w:pPr>
              <w:widowControl/>
              <w:jc w:val="center"/>
              <w:rPr>
                <w:rFonts w:hint="eastAsia" w:ascii="宋体" w:hAnsi="宋体" w:eastAsia="宋体" w:cs="宋体"/>
                <w:kern w:val="0"/>
                <w:sz w:val="21"/>
                <w:szCs w:val="21"/>
              </w:rPr>
            </w:pPr>
          </w:p>
        </w:tc>
      </w:tr>
      <w:tr w14:paraId="08076B76">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494CFFD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470398</w:t>
            </w:r>
          </w:p>
        </w:tc>
        <w:tc>
          <w:tcPr>
            <w:tcW w:w="4680" w:type="dxa"/>
            <w:tcBorders>
              <w:top w:val="nil"/>
              <w:left w:val="nil"/>
              <w:bottom w:val="single" w:color="auto" w:sz="4" w:space="0"/>
              <w:right w:val="single" w:color="auto" w:sz="4" w:space="0"/>
            </w:tcBorders>
            <w:shd w:val="clear" w:color="auto" w:fill="auto"/>
            <w:vAlign w:val="center"/>
          </w:tcPr>
          <w:p w14:paraId="29FF415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8mm Hasson 锥体</w:t>
            </w:r>
          </w:p>
        </w:tc>
        <w:tc>
          <w:tcPr>
            <w:tcW w:w="1500" w:type="dxa"/>
            <w:tcBorders>
              <w:top w:val="nil"/>
              <w:left w:val="nil"/>
              <w:bottom w:val="single" w:color="auto" w:sz="4" w:space="0"/>
              <w:right w:val="single" w:color="auto" w:sz="8" w:space="0"/>
            </w:tcBorders>
            <w:shd w:val="clear" w:color="auto" w:fill="auto"/>
            <w:vAlign w:val="center"/>
          </w:tcPr>
          <w:p w14:paraId="407A212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c>
          <w:tcPr>
            <w:tcW w:w="1760" w:type="dxa"/>
            <w:tcBorders>
              <w:top w:val="nil"/>
              <w:left w:val="nil"/>
              <w:bottom w:val="nil"/>
              <w:right w:val="nil"/>
            </w:tcBorders>
            <w:shd w:val="clear" w:color="auto" w:fill="auto"/>
            <w:noWrap/>
            <w:vAlign w:val="bottom"/>
          </w:tcPr>
          <w:p w14:paraId="28560B97">
            <w:pPr>
              <w:widowControl/>
              <w:jc w:val="center"/>
              <w:rPr>
                <w:rFonts w:hint="eastAsia" w:ascii="宋体" w:hAnsi="宋体" w:eastAsia="宋体" w:cs="宋体"/>
                <w:kern w:val="0"/>
                <w:sz w:val="21"/>
                <w:szCs w:val="21"/>
              </w:rPr>
            </w:pPr>
          </w:p>
        </w:tc>
      </w:tr>
      <w:tr w14:paraId="76BCAE91">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1FB24BE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470399</w:t>
            </w:r>
          </w:p>
        </w:tc>
        <w:tc>
          <w:tcPr>
            <w:tcW w:w="4680" w:type="dxa"/>
            <w:tcBorders>
              <w:top w:val="nil"/>
              <w:left w:val="nil"/>
              <w:bottom w:val="single" w:color="auto" w:sz="4" w:space="0"/>
              <w:right w:val="single" w:color="auto" w:sz="4" w:space="0"/>
            </w:tcBorders>
            <w:shd w:val="clear" w:color="auto" w:fill="auto"/>
            <w:vAlign w:val="center"/>
          </w:tcPr>
          <w:p w14:paraId="1616EC6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12mm 吻合器 Hasson 锥体</w:t>
            </w:r>
          </w:p>
        </w:tc>
        <w:tc>
          <w:tcPr>
            <w:tcW w:w="1500" w:type="dxa"/>
            <w:tcBorders>
              <w:top w:val="nil"/>
              <w:left w:val="nil"/>
              <w:bottom w:val="single" w:color="auto" w:sz="4" w:space="0"/>
              <w:right w:val="single" w:color="auto" w:sz="8" w:space="0"/>
            </w:tcBorders>
            <w:shd w:val="clear" w:color="auto" w:fill="auto"/>
            <w:vAlign w:val="center"/>
          </w:tcPr>
          <w:p w14:paraId="0878258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c>
          <w:tcPr>
            <w:tcW w:w="1760" w:type="dxa"/>
            <w:tcBorders>
              <w:top w:val="nil"/>
              <w:left w:val="nil"/>
              <w:bottom w:val="nil"/>
              <w:right w:val="nil"/>
            </w:tcBorders>
            <w:shd w:val="clear" w:color="auto" w:fill="auto"/>
            <w:noWrap/>
            <w:vAlign w:val="bottom"/>
          </w:tcPr>
          <w:p w14:paraId="04456EEA">
            <w:pPr>
              <w:widowControl/>
              <w:jc w:val="center"/>
              <w:rPr>
                <w:rFonts w:hint="eastAsia" w:ascii="宋体" w:hAnsi="宋体" w:eastAsia="宋体" w:cs="宋体"/>
                <w:kern w:val="0"/>
                <w:sz w:val="21"/>
                <w:szCs w:val="21"/>
              </w:rPr>
            </w:pPr>
          </w:p>
        </w:tc>
      </w:tr>
      <w:tr w14:paraId="2B1E2BA0">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3F81ED4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400498</w:t>
            </w:r>
          </w:p>
        </w:tc>
        <w:tc>
          <w:tcPr>
            <w:tcW w:w="4680" w:type="dxa"/>
            <w:tcBorders>
              <w:top w:val="nil"/>
              <w:left w:val="nil"/>
              <w:bottom w:val="single" w:color="auto" w:sz="4" w:space="0"/>
              <w:right w:val="single" w:color="auto" w:sz="4" w:space="0"/>
            </w:tcBorders>
            <w:shd w:val="clear" w:color="auto" w:fill="auto"/>
            <w:vAlign w:val="center"/>
          </w:tcPr>
          <w:p w14:paraId="7678BFB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达芬奇Xi内窥镜专用不锈钢消毒托盘</w:t>
            </w:r>
          </w:p>
        </w:tc>
        <w:tc>
          <w:tcPr>
            <w:tcW w:w="1500" w:type="dxa"/>
            <w:tcBorders>
              <w:top w:val="nil"/>
              <w:left w:val="nil"/>
              <w:bottom w:val="single" w:color="auto" w:sz="4" w:space="0"/>
              <w:right w:val="single" w:color="auto" w:sz="8" w:space="0"/>
            </w:tcBorders>
            <w:shd w:val="clear" w:color="auto" w:fill="auto"/>
            <w:vAlign w:val="center"/>
          </w:tcPr>
          <w:p w14:paraId="115ECFA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c>
          <w:tcPr>
            <w:tcW w:w="1760" w:type="dxa"/>
            <w:tcBorders>
              <w:top w:val="nil"/>
              <w:left w:val="nil"/>
              <w:bottom w:val="nil"/>
              <w:right w:val="nil"/>
            </w:tcBorders>
            <w:shd w:val="clear" w:color="auto" w:fill="auto"/>
            <w:noWrap/>
            <w:vAlign w:val="bottom"/>
          </w:tcPr>
          <w:p w14:paraId="7D51184D">
            <w:pPr>
              <w:widowControl/>
              <w:jc w:val="center"/>
              <w:rPr>
                <w:rFonts w:hint="eastAsia" w:ascii="宋体" w:hAnsi="宋体" w:eastAsia="宋体" w:cs="宋体"/>
                <w:kern w:val="0"/>
                <w:sz w:val="21"/>
                <w:szCs w:val="21"/>
              </w:rPr>
            </w:pPr>
          </w:p>
        </w:tc>
      </w:tr>
      <w:tr w14:paraId="55934890">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3F7C511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400482</w:t>
            </w:r>
          </w:p>
        </w:tc>
        <w:tc>
          <w:tcPr>
            <w:tcW w:w="4680" w:type="dxa"/>
            <w:tcBorders>
              <w:top w:val="nil"/>
              <w:left w:val="nil"/>
              <w:bottom w:val="single" w:color="auto" w:sz="4" w:space="0"/>
              <w:right w:val="single" w:color="auto" w:sz="4" w:space="0"/>
            </w:tcBorders>
            <w:shd w:val="clear" w:color="auto" w:fill="auto"/>
            <w:vAlign w:val="center"/>
          </w:tcPr>
          <w:p w14:paraId="1F3FF9D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8mm内窥镜自动清洗/消毒设备连接套件</w:t>
            </w:r>
          </w:p>
        </w:tc>
        <w:tc>
          <w:tcPr>
            <w:tcW w:w="1500" w:type="dxa"/>
            <w:tcBorders>
              <w:top w:val="nil"/>
              <w:left w:val="nil"/>
              <w:bottom w:val="single" w:color="auto" w:sz="4" w:space="0"/>
              <w:right w:val="single" w:color="auto" w:sz="8" w:space="0"/>
            </w:tcBorders>
            <w:shd w:val="clear" w:color="auto" w:fill="auto"/>
            <w:vAlign w:val="center"/>
          </w:tcPr>
          <w:p w14:paraId="7461353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c>
          <w:tcPr>
            <w:tcW w:w="1760" w:type="dxa"/>
            <w:tcBorders>
              <w:top w:val="nil"/>
              <w:left w:val="nil"/>
              <w:bottom w:val="nil"/>
              <w:right w:val="nil"/>
            </w:tcBorders>
            <w:shd w:val="clear" w:color="auto" w:fill="auto"/>
            <w:noWrap/>
            <w:vAlign w:val="bottom"/>
          </w:tcPr>
          <w:p w14:paraId="5043D6C6">
            <w:pPr>
              <w:widowControl/>
              <w:jc w:val="center"/>
              <w:rPr>
                <w:rFonts w:hint="eastAsia" w:ascii="宋体" w:hAnsi="宋体" w:eastAsia="宋体" w:cs="宋体"/>
                <w:kern w:val="0"/>
                <w:sz w:val="21"/>
                <w:szCs w:val="21"/>
              </w:rPr>
            </w:pPr>
          </w:p>
        </w:tc>
      </w:tr>
      <w:tr w14:paraId="6AED1878">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0E53A5F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470383</w:t>
            </w:r>
          </w:p>
        </w:tc>
        <w:tc>
          <w:tcPr>
            <w:tcW w:w="4680" w:type="dxa"/>
            <w:tcBorders>
              <w:top w:val="nil"/>
              <w:left w:val="nil"/>
              <w:bottom w:val="single" w:color="auto" w:sz="4" w:space="0"/>
              <w:right w:val="single" w:color="auto" w:sz="4" w:space="0"/>
            </w:tcBorders>
            <w:shd w:val="clear" w:color="auto" w:fill="auto"/>
            <w:vAlign w:val="center"/>
          </w:tcPr>
          <w:p w14:paraId="3A12AC8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高频电缆（又名：单极高频电缆）</w:t>
            </w:r>
          </w:p>
        </w:tc>
        <w:tc>
          <w:tcPr>
            <w:tcW w:w="1500" w:type="dxa"/>
            <w:tcBorders>
              <w:top w:val="nil"/>
              <w:left w:val="nil"/>
              <w:bottom w:val="single" w:color="auto" w:sz="4" w:space="0"/>
              <w:right w:val="single" w:color="auto" w:sz="8" w:space="0"/>
            </w:tcBorders>
            <w:shd w:val="clear" w:color="auto" w:fill="auto"/>
            <w:vAlign w:val="center"/>
          </w:tcPr>
          <w:p w14:paraId="7972836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c>
          <w:tcPr>
            <w:tcW w:w="1760" w:type="dxa"/>
            <w:tcBorders>
              <w:top w:val="nil"/>
              <w:left w:val="nil"/>
              <w:bottom w:val="nil"/>
              <w:right w:val="nil"/>
            </w:tcBorders>
            <w:shd w:val="clear" w:color="auto" w:fill="auto"/>
            <w:noWrap/>
            <w:vAlign w:val="bottom"/>
          </w:tcPr>
          <w:p w14:paraId="3928BD25">
            <w:pPr>
              <w:widowControl/>
              <w:jc w:val="center"/>
              <w:rPr>
                <w:rFonts w:hint="eastAsia" w:ascii="宋体" w:hAnsi="宋体" w:eastAsia="宋体" w:cs="宋体"/>
                <w:kern w:val="0"/>
                <w:sz w:val="21"/>
                <w:szCs w:val="21"/>
              </w:rPr>
            </w:pPr>
          </w:p>
        </w:tc>
      </w:tr>
      <w:tr w14:paraId="6B30F915">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24D0A03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470384</w:t>
            </w:r>
          </w:p>
        </w:tc>
        <w:tc>
          <w:tcPr>
            <w:tcW w:w="4680" w:type="dxa"/>
            <w:tcBorders>
              <w:top w:val="nil"/>
              <w:left w:val="nil"/>
              <w:bottom w:val="single" w:color="auto" w:sz="4" w:space="0"/>
              <w:right w:val="single" w:color="auto" w:sz="4" w:space="0"/>
            </w:tcBorders>
            <w:shd w:val="clear" w:color="auto" w:fill="auto"/>
            <w:vAlign w:val="center"/>
          </w:tcPr>
          <w:p w14:paraId="72A02CA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高频电缆（又名：双极高频电缆）</w:t>
            </w:r>
          </w:p>
        </w:tc>
        <w:tc>
          <w:tcPr>
            <w:tcW w:w="1500" w:type="dxa"/>
            <w:tcBorders>
              <w:top w:val="nil"/>
              <w:left w:val="nil"/>
              <w:bottom w:val="single" w:color="auto" w:sz="4" w:space="0"/>
              <w:right w:val="single" w:color="auto" w:sz="8" w:space="0"/>
            </w:tcBorders>
            <w:shd w:val="clear" w:color="auto" w:fill="auto"/>
            <w:vAlign w:val="center"/>
          </w:tcPr>
          <w:p w14:paraId="05DF1E5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c>
          <w:tcPr>
            <w:tcW w:w="1760" w:type="dxa"/>
            <w:tcBorders>
              <w:top w:val="nil"/>
              <w:left w:val="nil"/>
              <w:bottom w:val="nil"/>
              <w:right w:val="nil"/>
            </w:tcBorders>
            <w:shd w:val="clear" w:color="auto" w:fill="auto"/>
            <w:noWrap/>
            <w:vAlign w:val="bottom"/>
          </w:tcPr>
          <w:p w14:paraId="5B9B2D98">
            <w:pPr>
              <w:widowControl/>
              <w:jc w:val="center"/>
              <w:rPr>
                <w:rFonts w:hint="eastAsia" w:ascii="宋体" w:hAnsi="宋体" w:eastAsia="宋体" w:cs="宋体"/>
                <w:kern w:val="0"/>
                <w:sz w:val="21"/>
                <w:szCs w:val="21"/>
              </w:rPr>
            </w:pPr>
          </w:p>
        </w:tc>
      </w:tr>
      <w:tr w14:paraId="2CA36350">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50D084C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371716</w:t>
            </w:r>
          </w:p>
        </w:tc>
        <w:tc>
          <w:tcPr>
            <w:tcW w:w="4680" w:type="dxa"/>
            <w:tcBorders>
              <w:top w:val="nil"/>
              <w:left w:val="nil"/>
              <w:bottom w:val="single" w:color="auto" w:sz="4" w:space="0"/>
              <w:right w:val="single" w:color="auto" w:sz="4" w:space="0"/>
            </w:tcBorders>
            <w:shd w:val="clear" w:color="auto" w:fill="auto"/>
            <w:vAlign w:val="center"/>
          </w:tcPr>
          <w:p w14:paraId="6A83952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能量平台激活电缆（美敦力科惠Force Triad)</w:t>
            </w:r>
          </w:p>
        </w:tc>
        <w:tc>
          <w:tcPr>
            <w:tcW w:w="1500" w:type="dxa"/>
            <w:tcBorders>
              <w:top w:val="nil"/>
              <w:left w:val="nil"/>
              <w:bottom w:val="single" w:color="auto" w:sz="4" w:space="0"/>
              <w:right w:val="single" w:color="auto" w:sz="8" w:space="0"/>
            </w:tcBorders>
            <w:shd w:val="clear" w:color="auto" w:fill="auto"/>
            <w:vAlign w:val="center"/>
          </w:tcPr>
          <w:p w14:paraId="54FDA32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c>
          <w:tcPr>
            <w:tcW w:w="1760" w:type="dxa"/>
            <w:tcBorders>
              <w:top w:val="nil"/>
              <w:left w:val="nil"/>
              <w:bottom w:val="nil"/>
              <w:right w:val="nil"/>
            </w:tcBorders>
            <w:shd w:val="clear" w:color="auto" w:fill="auto"/>
            <w:noWrap/>
            <w:vAlign w:val="bottom"/>
          </w:tcPr>
          <w:p w14:paraId="2167F80A">
            <w:pPr>
              <w:widowControl/>
              <w:jc w:val="center"/>
              <w:rPr>
                <w:rFonts w:hint="eastAsia" w:ascii="宋体" w:hAnsi="宋体" w:eastAsia="宋体" w:cs="宋体"/>
                <w:kern w:val="0"/>
                <w:sz w:val="21"/>
                <w:szCs w:val="21"/>
              </w:rPr>
            </w:pPr>
          </w:p>
        </w:tc>
      </w:tr>
      <w:tr w14:paraId="1DBF78B6">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8" w:space="0"/>
              <w:right w:val="single" w:color="auto" w:sz="4" w:space="0"/>
            </w:tcBorders>
            <w:shd w:val="clear" w:color="auto" w:fill="auto"/>
            <w:noWrap/>
            <w:vAlign w:val="center"/>
          </w:tcPr>
          <w:p w14:paraId="1325B91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371870</w:t>
            </w:r>
          </w:p>
        </w:tc>
        <w:tc>
          <w:tcPr>
            <w:tcW w:w="4680" w:type="dxa"/>
            <w:tcBorders>
              <w:top w:val="nil"/>
              <w:left w:val="nil"/>
              <w:bottom w:val="single" w:color="auto" w:sz="8" w:space="0"/>
              <w:right w:val="single" w:color="auto" w:sz="4" w:space="0"/>
            </w:tcBorders>
            <w:shd w:val="clear" w:color="auto" w:fill="auto"/>
            <w:vAlign w:val="center"/>
          </w:tcPr>
          <w:p w14:paraId="2939CC8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能量平台激活电缆（强生Gen11主机适用）</w:t>
            </w:r>
          </w:p>
        </w:tc>
        <w:tc>
          <w:tcPr>
            <w:tcW w:w="1500" w:type="dxa"/>
            <w:tcBorders>
              <w:top w:val="nil"/>
              <w:left w:val="nil"/>
              <w:bottom w:val="single" w:color="auto" w:sz="8" w:space="0"/>
              <w:right w:val="single" w:color="auto" w:sz="8" w:space="0"/>
            </w:tcBorders>
            <w:shd w:val="clear" w:color="auto" w:fill="auto"/>
            <w:vAlign w:val="center"/>
          </w:tcPr>
          <w:p w14:paraId="2968C4A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c>
          <w:tcPr>
            <w:tcW w:w="1760" w:type="dxa"/>
            <w:tcBorders>
              <w:top w:val="nil"/>
              <w:left w:val="nil"/>
              <w:bottom w:val="nil"/>
              <w:right w:val="nil"/>
            </w:tcBorders>
            <w:shd w:val="clear" w:color="auto" w:fill="auto"/>
            <w:noWrap/>
            <w:vAlign w:val="bottom"/>
          </w:tcPr>
          <w:p w14:paraId="334CA0BE">
            <w:pPr>
              <w:widowControl/>
              <w:jc w:val="center"/>
              <w:rPr>
                <w:rFonts w:hint="eastAsia" w:ascii="宋体" w:hAnsi="宋体" w:eastAsia="宋体" w:cs="宋体"/>
                <w:kern w:val="0"/>
                <w:sz w:val="21"/>
                <w:szCs w:val="21"/>
              </w:rPr>
            </w:pPr>
          </w:p>
        </w:tc>
      </w:tr>
      <w:tr w14:paraId="3E51FA4E">
        <w:tblPrEx>
          <w:tblCellMar>
            <w:top w:w="0" w:type="dxa"/>
            <w:left w:w="108" w:type="dxa"/>
            <w:bottom w:w="0" w:type="dxa"/>
            <w:right w:w="108" w:type="dxa"/>
          </w:tblCellMar>
        </w:tblPrEx>
        <w:trPr>
          <w:trHeight w:val="23" w:hRule="atLeast"/>
        </w:trPr>
        <w:tc>
          <w:tcPr>
            <w:tcW w:w="1200" w:type="dxa"/>
            <w:tcBorders>
              <w:top w:val="nil"/>
              <w:left w:val="nil"/>
              <w:bottom w:val="nil"/>
              <w:right w:val="nil"/>
            </w:tcBorders>
            <w:shd w:val="clear" w:color="auto" w:fill="auto"/>
            <w:noWrap/>
            <w:vAlign w:val="center"/>
          </w:tcPr>
          <w:p w14:paraId="55868FDE">
            <w:pPr>
              <w:widowControl/>
              <w:jc w:val="left"/>
              <w:rPr>
                <w:rFonts w:hint="eastAsia" w:ascii="宋体" w:hAnsi="宋体" w:eastAsia="宋体" w:cs="宋体"/>
                <w:kern w:val="0"/>
                <w:sz w:val="21"/>
                <w:szCs w:val="21"/>
              </w:rPr>
            </w:pPr>
          </w:p>
        </w:tc>
        <w:tc>
          <w:tcPr>
            <w:tcW w:w="4680" w:type="dxa"/>
            <w:tcBorders>
              <w:top w:val="nil"/>
              <w:left w:val="nil"/>
              <w:bottom w:val="nil"/>
              <w:right w:val="nil"/>
            </w:tcBorders>
            <w:shd w:val="clear" w:color="auto" w:fill="auto"/>
            <w:noWrap/>
            <w:vAlign w:val="bottom"/>
          </w:tcPr>
          <w:p w14:paraId="264A28DE">
            <w:pPr>
              <w:widowControl/>
              <w:jc w:val="left"/>
              <w:rPr>
                <w:rFonts w:hint="eastAsia" w:ascii="宋体" w:hAnsi="宋体" w:eastAsia="宋体" w:cs="宋体"/>
                <w:kern w:val="0"/>
                <w:sz w:val="21"/>
                <w:szCs w:val="21"/>
              </w:rPr>
            </w:pPr>
          </w:p>
        </w:tc>
        <w:tc>
          <w:tcPr>
            <w:tcW w:w="1500" w:type="dxa"/>
            <w:tcBorders>
              <w:top w:val="nil"/>
              <w:left w:val="nil"/>
              <w:bottom w:val="nil"/>
              <w:right w:val="nil"/>
            </w:tcBorders>
            <w:shd w:val="clear" w:color="auto" w:fill="auto"/>
            <w:noWrap/>
            <w:vAlign w:val="bottom"/>
          </w:tcPr>
          <w:p w14:paraId="060E91BC">
            <w:pPr>
              <w:widowControl/>
              <w:jc w:val="left"/>
              <w:rPr>
                <w:rFonts w:hint="eastAsia" w:ascii="宋体" w:hAnsi="宋体" w:eastAsia="宋体" w:cs="宋体"/>
                <w:kern w:val="0"/>
                <w:sz w:val="21"/>
                <w:szCs w:val="21"/>
              </w:rPr>
            </w:pPr>
          </w:p>
        </w:tc>
        <w:tc>
          <w:tcPr>
            <w:tcW w:w="1760" w:type="dxa"/>
            <w:tcBorders>
              <w:top w:val="nil"/>
              <w:left w:val="nil"/>
              <w:bottom w:val="nil"/>
              <w:right w:val="nil"/>
            </w:tcBorders>
            <w:shd w:val="clear" w:color="auto" w:fill="auto"/>
            <w:noWrap/>
            <w:vAlign w:val="bottom"/>
          </w:tcPr>
          <w:p w14:paraId="77F99EE7">
            <w:pPr>
              <w:widowControl/>
              <w:jc w:val="left"/>
              <w:rPr>
                <w:rFonts w:hint="eastAsia" w:ascii="宋体" w:hAnsi="宋体" w:eastAsia="宋体" w:cs="宋体"/>
                <w:kern w:val="0"/>
                <w:sz w:val="21"/>
                <w:szCs w:val="21"/>
              </w:rPr>
            </w:pPr>
          </w:p>
        </w:tc>
      </w:tr>
      <w:tr w14:paraId="0A035EFB">
        <w:tblPrEx>
          <w:tblCellMar>
            <w:top w:w="0" w:type="dxa"/>
            <w:left w:w="108" w:type="dxa"/>
            <w:bottom w:w="0" w:type="dxa"/>
            <w:right w:w="108" w:type="dxa"/>
          </w:tblCellMar>
        </w:tblPrEx>
        <w:trPr>
          <w:trHeight w:val="23" w:hRule="atLeast"/>
        </w:trPr>
        <w:tc>
          <w:tcPr>
            <w:tcW w:w="9140" w:type="dxa"/>
            <w:gridSpan w:val="4"/>
            <w:tcBorders>
              <w:top w:val="nil"/>
              <w:left w:val="nil"/>
              <w:bottom w:val="nil"/>
              <w:right w:val="nil"/>
            </w:tcBorders>
            <w:shd w:val="clear" w:color="auto" w:fill="auto"/>
            <w:noWrap/>
            <w:vAlign w:val="center"/>
          </w:tcPr>
          <w:p w14:paraId="466BE935">
            <w:pPr>
              <w:widowControl/>
              <w:jc w:val="left"/>
              <w:rPr>
                <w:rFonts w:hint="eastAsia" w:ascii="宋体" w:hAnsi="宋体" w:eastAsia="宋体" w:cs="宋体"/>
                <w:b/>
                <w:bCs/>
                <w:kern w:val="0"/>
                <w:sz w:val="21"/>
                <w:szCs w:val="21"/>
              </w:rPr>
            </w:pPr>
          </w:p>
          <w:p w14:paraId="2B76DCDA">
            <w:pPr>
              <w:widowControl/>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一次性耗材</w:t>
            </w:r>
          </w:p>
        </w:tc>
      </w:tr>
      <w:tr w14:paraId="1E6A19C2">
        <w:tblPrEx>
          <w:tblCellMar>
            <w:top w:w="0" w:type="dxa"/>
            <w:left w:w="108" w:type="dxa"/>
            <w:bottom w:w="0" w:type="dxa"/>
            <w:right w:w="108" w:type="dxa"/>
          </w:tblCellMar>
        </w:tblPrEx>
        <w:trPr>
          <w:trHeight w:val="23" w:hRule="atLeast"/>
        </w:trPr>
        <w:tc>
          <w:tcPr>
            <w:tcW w:w="1200" w:type="dxa"/>
            <w:tcBorders>
              <w:top w:val="single" w:color="auto" w:sz="8" w:space="0"/>
              <w:left w:val="single" w:color="auto" w:sz="8" w:space="0"/>
              <w:bottom w:val="single" w:color="auto" w:sz="4" w:space="0"/>
              <w:right w:val="single" w:color="auto" w:sz="4" w:space="0"/>
            </w:tcBorders>
            <w:shd w:val="clear" w:color="auto" w:fill="auto"/>
            <w:vAlign w:val="center"/>
          </w:tcPr>
          <w:p w14:paraId="3E5F771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产品号</w:t>
            </w:r>
          </w:p>
        </w:tc>
        <w:tc>
          <w:tcPr>
            <w:tcW w:w="4680" w:type="dxa"/>
            <w:tcBorders>
              <w:top w:val="single" w:color="auto" w:sz="8" w:space="0"/>
              <w:left w:val="nil"/>
              <w:bottom w:val="single" w:color="auto" w:sz="4" w:space="0"/>
              <w:right w:val="single" w:color="auto" w:sz="4" w:space="0"/>
            </w:tcBorders>
            <w:shd w:val="clear" w:color="auto" w:fill="auto"/>
            <w:vAlign w:val="center"/>
          </w:tcPr>
          <w:p w14:paraId="6F69424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品名</w:t>
            </w:r>
          </w:p>
        </w:tc>
        <w:tc>
          <w:tcPr>
            <w:tcW w:w="1500" w:type="dxa"/>
            <w:tcBorders>
              <w:top w:val="single" w:color="auto" w:sz="8" w:space="0"/>
              <w:left w:val="nil"/>
              <w:bottom w:val="single" w:color="auto" w:sz="4" w:space="0"/>
              <w:right w:val="single" w:color="auto" w:sz="4" w:space="0"/>
            </w:tcBorders>
            <w:shd w:val="clear" w:color="auto" w:fill="auto"/>
            <w:vAlign w:val="center"/>
          </w:tcPr>
          <w:p w14:paraId="3420F7E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个/箱</w:t>
            </w:r>
          </w:p>
        </w:tc>
        <w:tc>
          <w:tcPr>
            <w:tcW w:w="1760" w:type="dxa"/>
            <w:tcBorders>
              <w:top w:val="single" w:color="auto" w:sz="8" w:space="0"/>
              <w:left w:val="nil"/>
              <w:bottom w:val="single" w:color="auto" w:sz="4" w:space="0"/>
              <w:right w:val="single" w:color="auto" w:sz="8" w:space="0"/>
            </w:tcBorders>
            <w:shd w:val="clear" w:color="auto" w:fill="auto"/>
            <w:vAlign w:val="center"/>
          </w:tcPr>
          <w:p w14:paraId="6FD3763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单位</w:t>
            </w:r>
          </w:p>
        </w:tc>
      </w:tr>
      <w:tr w14:paraId="69AFD6F0">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676AE6F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400180</w:t>
            </w:r>
          </w:p>
        </w:tc>
        <w:tc>
          <w:tcPr>
            <w:tcW w:w="4680" w:type="dxa"/>
            <w:tcBorders>
              <w:top w:val="nil"/>
              <w:left w:val="nil"/>
              <w:bottom w:val="single" w:color="auto" w:sz="4" w:space="0"/>
              <w:right w:val="single" w:color="auto" w:sz="4" w:space="0"/>
            </w:tcBorders>
            <w:shd w:val="clear" w:color="auto" w:fill="auto"/>
            <w:vAlign w:val="center"/>
          </w:tcPr>
          <w:p w14:paraId="0B2A7FA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尖端盖附件（单极弯剪）</w:t>
            </w:r>
          </w:p>
        </w:tc>
        <w:tc>
          <w:tcPr>
            <w:tcW w:w="1500" w:type="dxa"/>
            <w:tcBorders>
              <w:top w:val="nil"/>
              <w:left w:val="nil"/>
              <w:bottom w:val="single" w:color="auto" w:sz="4" w:space="0"/>
              <w:right w:val="single" w:color="auto" w:sz="4" w:space="0"/>
            </w:tcBorders>
            <w:shd w:val="clear" w:color="auto" w:fill="auto"/>
            <w:vAlign w:val="center"/>
          </w:tcPr>
          <w:p w14:paraId="786EC8F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10个/箱</w:t>
            </w:r>
          </w:p>
        </w:tc>
        <w:tc>
          <w:tcPr>
            <w:tcW w:w="1760" w:type="dxa"/>
            <w:tcBorders>
              <w:top w:val="nil"/>
              <w:left w:val="nil"/>
              <w:bottom w:val="single" w:color="auto" w:sz="4" w:space="0"/>
              <w:right w:val="single" w:color="auto" w:sz="8" w:space="0"/>
            </w:tcBorders>
            <w:shd w:val="clear" w:color="auto" w:fill="auto"/>
            <w:vAlign w:val="center"/>
          </w:tcPr>
          <w:p w14:paraId="4D2042C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箱</w:t>
            </w:r>
          </w:p>
        </w:tc>
      </w:tr>
      <w:tr w14:paraId="7C27E9E1">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19D5A9E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470015</w:t>
            </w:r>
          </w:p>
        </w:tc>
        <w:tc>
          <w:tcPr>
            <w:tcW w:w="4680" w:type="dxa"/>
            <w:tcBorders>
              <w:top w:val="nil"/>
              <w:left w:val="nil"/>
              <w:bottom w:val="single" w:color="auto" w:sz="4" w:space="0"/>
              <w:right w:val="single" w:color="auto" w:sz="4" w:space="0"/>
            </w:tcBorders>
            <w:shd w:val="clear" w:color="auto" w:fill="auto"/>
            <w:vAlign w:val="center"/>
          </w:tcPr>
          <w:p w14:paraId="34E4C2C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器械臂无菌套</w:t>
            </w:r>
          </w:p>
        </w:tc>
        <w:tc>
          <w:tcPr>
            <w:tcW w:w="1500" w:type="dxa"/>
            <w:tcBorders>
              <w:top w:val="nil"/>
              <w:left w:val="nil"/>
              <w:bottom w:val="single" w:color="auto" w:sz="4" w:space="0"/>
              <w:right w:val="single" w:color="auto" w:sz="4" w:space="0"/>
            </w:tcBorders>
            <w:shd w:val="clear" w:color="auto" w:fill="auto"/>
            <w:vAlign w:val="center"/>
          </w:tcPr>
          <w:p w14:paraId="4711831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20 个/箱</w:t>
            </w:r>
          </w:p>
        </w:tc>
        <w:tc>
          <w:tcPr>
            <w:tcW w:w="1760" w:type="dxa"/>
            <w:tcBorders>
              <w:top w:val="nil"/>
              <w:left w:val="nil"/>
              <w:bottom w:val="single" w:color="auto" w:sz="4" w:space="0"/>
              <w:right w:val="single" w:color="auto" w:sz="8" w:space="0"/>
            </w:tcBorders>
            <w:shd w:val="clear" w:color="auto" w:fill="auto"/>
            <w:vAlign w:val="center"/>
          </w:tcPr>
          <w:p w14:paraId="05DFF78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箱</w:t>
            </w:r>
          </w:p>
        </w:tc>
      </w:tr>
      <w:tr w14:paraId="5E6661F8">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224455E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470341</w:t>
            </w:r>
          </w:p>
        </w:tc>
        <w:tc>
          <w:tcPr>
            <w:tcW w:w="4680" w:type="dxa"/>
            <w:tcBorders>
              <w:top w:val="nil"/>
              <w:left w:val="nil"/>
              <w:bottom w:val="single" w:color="auto" w:sz="4" w:space="0"/>
              <w:right w:val="single" w:color="auto" w:sz="4" w:space="0"/>
            </w:tcBorders>
            <w:shd w:val="clear" w:color="auto" w:fill="auto"/>
            <w:vAlign w:val="center"/>
          </w:tcPr>
          <w:p w14:paraId="32A0277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中心立柱无菌套</w:t>
            </w:r>
          </w:p>
        </w:tc>
        <w:tc>
          <w:tcPr>
            <w:tcW w:w="1500" w:type="dxa"/>
            <w:tcBorders>
              <w:top w:val="nil"/>
              <w:left w:val="nil"/>
              <w:bottom w:val="single" w:color="auto" w:sz="4" w:space="0"/>
              <w:right w:val="single" w:color="auto" w:sz="4" w:space="0"/>
            </w:tcBorders>
            <w:shd w:val="clear" w:color="auto" w:fill="auto"/>
            <w:vAlign w:val="center"/>
          </w:tcPr>
          <w:p w14:paraId="4516713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20个/箱</w:t>
            </w:r>
          </w:p>
        </w:tc>
        <w:tc>
          <w:tcPr>
            <w:tcW w:w="1760" w:type="dxa"/>
            <w:tcBorders>
              <w:top w:val="nil"/>
              <w:left w:val="nil"/>
              <w:bottom w:val="single" w:color="auto" w:sz="4" w:space="0"/>
              <w:right w:val="single" w:color="auto" w:sz="8" w:space="0"/>
            </w:tcBorders>
            <w:shd w:val="clear" w:color="auto" w:fill="auto"/>
            <w:vAlign w:val="center"/>
          </w:tcPr>
          <w:p w14:paraId="09034B2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箱</w:t>
            </w:r>
          </w:p>
        </w:tc>
      </w:tr>
      <w:tr w14:paraId="4A747F55">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18C9424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470359</w:t>
            </w:r>
          </w:p>
        </w:tc>
        <w:tc>
          <w:tcPr>
            <w:tcW w:w="4680" w:type="dxa"/>
            <w:tcBorders>
              <w:top w:val="nil"/>
              <w:left w:val="nil"/>
              <w:bottom w:val="single" w:color="auto" w:sz="4" w:space="0"/>
              <w:right w:val="single" w:color="auto" w:sz="4" w:space="0"/>
            </w:tcBorders>
            <w:shd w:val="clear" w:color="auto" w:fill="auto"/>
            <w:vAlign w:val="center"/>
          </w:tcPr>
          <w:p w14:paraId="7C00A02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8mm 无刃透明闭孔器</w:t>
            </w:r>
          </w:p>
        </w:tc>
        <w:tc>
          <w:tcPr>
            <w:tcW w:w="1500" w:type="dxa"/>
            <w:tcBorders>
              <w:top w:val="nil"/>
              <w:left w:val="nil"/>
              <w:bottom w:val="single" w:color="auto" w:sz="4" w:space="0"/>
              <w:right w:val="single" w:color="auto" w:sz="4" w:space="0"/>
            </w:tcBorders>
            <w:shd w:val="clear" w:color="auto" w:fill="auto"/>
            <w:vAlign w:val="center"/>
          </w:tcPr>
          <w:p w14:paraId="3F0D6D8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6个/箱</w:t>
            </w:r>
          </w:p>
        </w:tc>
        <w:tc>
          <w:tcPr>
            <w:tcW w:w="1760" w:type="dxa"/>
            <w:tcBorders>
              <w:top w:val="nil"/>
              <w:left w:val="nil"/>
              <w:bottom w:val="single" w:color="auto" w:sz="4" w:space="0"/>
              <w:right w:val="single" w:color="auto" w:sz="8" w:space="0"/>
            </w:tcBorders>
            <w:shd w:val="clear" w:color="auto" w:fill="auto"/>
            <w:vAlign w:val="center"/>
          </w:tcPr>
          <w:p w14:paraId="0130DBF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箱</w:t>
            </w:r>
          </w:p>
        </w:tc>
      </w:tr>
      <w:tr w14:paraId="62E44ADF">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7245B47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470360</w:t>
            </w:r>
          </w:p>
        </w:tc>
        <w:tc>
          <w:tcPr>
            <w:tcW w:w="4680" w:type="dxa"/>
            <w:tcBorders>
              <w:top w:val="nil"/>
              <w:left w:val="nil"/>
              <w:bottom w:val="single" w:color="auto" w:sz="4" w:space="0"/>
              <w:right w:val="single" w:color="auto" w:sz="4" w:space="0"/>
            </w:tcBorders>
            <w:shd w:val="clear" w:color="auto" w:fill="auto"/>
            <w:vAlign w:val="center"/>
          </w:tcPr>
          <w:p w14:paraId="77296E0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8mm 无刃透明闭孔器（长）</w:t>
            </w:r>
          </w:p>
        </w:tc>
        <w:tc>
          <w:tcPr>
            <w:tcW w:w="1500" w:type="dxa"/>
            <w:tcBorders>
              <w:top w:val="nil"/>
              <w:left w:val="nil"/>
              <w:bottom w:val="single" w:color="auto" w:sz="4" w:space="0"/>
              <w:right w:val="single" w:color="auto" w:sz="4" w:space="0"/>
            </w:tcBorders>
            <w:shd w:val="clear" w:color="auto" w:fill="auto"/>
            <w:vAlign w:val="center"/>
          </w:tcPr>
          <w:p w14:paraId="0B6F0E4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6个/箱</w:t>
            </w:r>
          </w:p>
        </w:tc>
        <w:tc>
          <w:tcPr>
            <w:tcW w:w="1760" w:type="dxa"/>
            <w:tcBorders>
              <w:top w:val="nil"/>
              <w:left w:val="nil"/>
              <w:bottom w:val="single" w:color="auto" w:sz="4" w:space="0"/>
              <w:right w:val="single" w:color="auto" w:sz="8" w:space="0"/>
            </w:tcBorders>
            <w:shd w:val="clear" w:color="auto" w:fill="auto"/>
            <w:vAlign w:val="center"/>
          </w:tcPr>
          <w:p w14:paraId="3E83D73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箱</w:t>
            </w:r>
          </w:p>
        </w:tc>
      </w:tr>
      <w:tr w14:paraId="0173F22C">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6B192A7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470361</w:t>
            </w:r>
          </w:p>
        </w:tc>
        <w:tc>
          <w:tcPr>
            <w:tcW w:w="4680" w:type="dxa"/>
            <w:tcBorders>
              <w:top w:val="nil"/>
              <w:left w:val="nil"/>
              <w:bottom w:val="single" w:color="auto" w:sz="4" w:space="0"/>
              <w:right w:val="single" w:color="auto" w:sz="4" w:space="0"/>
            </w:tcBorders>
            <w:shd w:val="clear" w:color="auto" w:fill="auto"/>
            <w:vAlign w:val="center"/>
          </w:tcPr>
          <w:p w14:paraId="3F7E44A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5 -8 mm 套管密封件</w:t>
            </w:r>
          </w:p>
        </w:tc>
        <w:tc>
          <w:tcPr>
            <w:tcW w:w="1500" w:type="dxa"/>
            <w:tcBorders>
              <w:top w:val="nil"/>
              <w:left w:val="nil"/>
              <w:bottom w:val="single" w:color="auto" w:sz="4" w:space="0"/>
              <w:right w:val="single" w:color="auto" w:sz="4" w:space="0"/>
            </w:tcBorders>
            <w:shd w:val="clear" w:color="auto" w:fill="auto"/>
            <w:vAlign w:val="center"/>
          </w:tcPr>
          <w:p w14:paraId="6A1CDAF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10个/箱</w:t>
            </w:r>
          </w:p>
        </w:tc>
        <w:tc>
          <w:tcPr>
            <w:tcW w:w="1760" w:type="dxa"/>
            <w:tcBorders>
              <w:top w:val="nil"/>
              <w:left w:val="nil"/>
              <w:bottom w:val="single" w:color="auto" w:sz="4" w:space="0"/>
              <w:right w:val="single" w:color="auto" w:sz="8" w:space="0"/>
            </w:tcBorders>
            <w:shd w:val="clear" w:color="auto" w:fill="auto"/>
            <w:vAlign w:val="center"/>
          </w:tcPr>
          <w:p w14:paraId="7008175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箱</w:t>
            </w:r>
          </w:p>
        </w:tc>
      </w:tr>
      <w:tr w14:paraId="7F618E6D">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581E30D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470380</w:t>
            </w:r>
          </w:p>
        </w:tc>
        <w:tc>
          <w:tcPr>
            <w:tcW w:w="4680" w:type="dxa"/>
            <w:tcBorders>
              <w:top w:val="nil"/>
              <w:left w:val="nil"/>
              <w:bottom w:val="single" w:color="auto" w:sz="4" w:space="0"/>
              <w:right w:val="single" w:color="auto" w:sz="4" w:space="0"/>
            </w:tcBorders>
            <w:shd w:val="clear" w:color="auto" w:fill="auto"/>
            <w:vAlign w:val="center"/>
          </w:tcPr>
          <w:p w14:paraId="1943899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12mm 吻合器套管密封件</w:t>
            </w:r>
          </w:p>
        </w:tc>
        <w:tc>
          <w:tcPr>
            <w:tcW w:w="1500" w:type="dxa"/>
            <w:tcBorders>
              <w:top w:val="nil"/>
              <w:left w:val="nil"/>
              <w:bottom w:val="single" w:color="auto" w:sz="4" w:space="0"/>
              <w:right w:val="single" w:color="auto" w:sz="4" w:space="0"/>
            </w:tcBorders>
            <w:shd w:val="clear" w:color="auto" w:fill="auto"/>
            <w:vAlign w:val="center"/>
          </w:tcPr>
          <w:p w14:paraId="4F010AC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10个/箱</w:t>
            </w:r>
          </w:p>
        </w:tc>
        <w:tc>
          <w:tcPr>
            <w:tcW w:w="1760" w:type="dxa"/>
            <w:tcBorders>
              <w:top w:val="nil"/>
              <w:left w:val="nil"/>
              <w:bottom w:val="single" w:color="auto" w:sz="4" w:space="0"/>
              <w:right w:val="single" w:color="auto" w:sz="8" w:space="0"/>
            </w:tcBorders>
            <w:shd w:val="clear" w:color="auto" w:fill="auto"/>
            <w:vAlign w:val="center"/>
          </w:tcPr>
          <w:p w14:paraId="7606D68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箱</w:t>
            </w:r>
          </w:p>
        </w:tc>
      </w:tr>
      <w:tr w14:paraId="0CDF5212">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5CA1D63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470381</w:t>
            </w:r>
          </w:p>
        </w:tc>
        <w:tc>
          <w:tcPr>
            <w:tcW w:w="4680" w:type="dxa"/>
            <w:tcBorders>
              <w:top w:val="nil"/>
              <w:left w:val="nil"/>
              <w:bottom w:val="single" w:color="auto" w:sz="4" w:space="0"/>
              <w:right w:val="single" w:color="auto" w:sz="4" w:space="0"/>
            </w:tcBorders>
            <w:shd w:val="clear" w:color="auto" w:fill="auto"/>
            <w:vAlign w:val="center"/>
          </w:tcPr>
          <w:p w14:paraId="47A40E7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12-8mm 变径管</w:t>
            </w:r>
          </w:p>
        </w:tc>
        <w:tc>
          <w:tcPr>
            <w:tcW w:w="1500" w:type="dxa"/>
            <w:tcBorders>
              <w:top w:val="nil"/>
              <w:left w:val="nil"/>
              <w:bottom w:val="single" w:color="auto" w:sz="4" w:space="0"/>
              <w:right w:val="single" w:color="auto" w:sz="4" w:space="0"/>
            </w:tcBorders>
            <w:shd w:val="clear" w:color="auto" w:fill="auto"/>
            <w:vAlign w:val="center"/>
          </w:tcPr>
          <w:p w14:paraId="7BCBC93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6个/箱</w:t>
            </w:r>
          </w:p>
        </w:tc>
        <w:tc>
          <w:tcPr>
            <w:tcW w:w="1760" w:type="dxa"/>
            <w:tcBorders>
              <w:top w:val="nil"/>
              <w:left w:val="nil"/>
              <w:bottom w:val="single" w:color="auto" w:sz="4" w:space="0"/>
              <w:right w:val="single" w:color="auto" w:sz="8" w:space="0"/>
            </w:tcBorders>
            <w:shd w:val="clear" w:color="auto" w:fill="auto"/>
            <w:vAlign w:val="center"/>
          </w:tcPr>
          <w:p w14:paraId="53F22E1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箱</w:t>
            </w:r>
          </w:p>
        </w:tc>
      </w:tr>
      <w:tr w14:paraId="2582B974">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8" w:space="0"/>
              <w:right w:val="single" w:color="auto" w:sz="4" w:space="0"/>
            </w:tcBorders>
            <w:shd w:val="clear" w:color="auto" w:fill="auto"/>
            <w:noWrap/>
            <w:vAlign w:val="center"/>
          </w:tcPr>
          <w:p w14:paraId="6E5C3FF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480275</w:t>
            </w:r>
          </w:p>
        </w:tc>
        <w:tc>
          <w:tcPr>
            <w:tcW w:w="4680" w:type="dxa"/>
            <w:tcBorders>
              <w:top w:val="nil"/>
              <w:left w:val="nil"/>
              <w:bottom w:val="single" w:color="auto" w:sz="8" w:space="0"/>
              <w:right w:val="single" w:color="auto" w:sz="4" w:space="0"/>
            </w:tcBorders>
            <w:shd w:val="clear" w:color="auto" w:fill="auto"/>
            <w:vAlign w:val="center"/>
          </w:tcPr>
          <w:p w14:paraId="640F1F9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Harmonic ACE 手术弯剪</w:t>
            </w:r>
          </w:p>
        </w:tc>
        <w:tc>
          <w:tcPr>
            <w:tcW w:w="1500" w:type="dxa"/>
            <w:tcBorders>
              <w:top w:val="nil"/>
              <w:left w:val="nil"/>
              <w:bottom w:val="single" w:color="auto" w:sz="8" w:space="0"/>
              <w:right w:val="single" w:color="auto" w:sz="4" w:space="0"/>
            </w:tcBorders>
            <w:shd w:val="clear" w:color="auto" w:fill="auto"/>
            <w:vAlign w:val="center"/>
          </w:tcPr>
          <w:p w14:paraId="333B4EC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6个/盒</w:t>
            </w:r>
          </w:p>
        </w:tc>
        <w:tc>
          <w:tcPr>
            <w:tcW w:w="1760" w:type="dxa"/>
            <w:tcBorders>
              <w:top w:val="nil"/>
              <w:left w:val="nil"/>
              <w:bottom w:val="single" w:color="auto" w:sz="8" w:space="0"/>
              <w:right w:val="single" w:color="auto" w:sz="8" w:space="0"/>
            </w:tcBorders>
            <w:shd w:val="clear" w:color="auto" w:fill="auto"/>
            <w:vAlign w:val="center"/>
          </w:tcPr>
          <w:p w14:paraId="054AE6B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盒</w:t>
            </w:r>
          </w:p>
        </w:tc>
      </w:tr>
      <w:tr w14:paraId="65C6B48E">
        <w:tblPrEx>
          <w:tblCellMar>
            <w:top w:w="0" w:type="dxa"/>
            <w:left w:w="108" w:type="dxa"/>
            <w:bottom w:w="0" w:type="dxa"/>
            <w:right w:w="108" w:type="dxa"/>
          </w:tblCellMar>
        </w:tblPrEx>
        <w:trPr>
          <w:trHeight w:val="23" w:hRule="atLeast"/>
        </w:trPr>
        <w:tc>
          <w:tcPr>
            <w:tcW w:w="1200" w:type="dxa"/>
            <w:tcBorders>
              <w:top w:val="nil"/>
              <w:left w:val="nil"/>
              <w:bottom w:val="nil"/>
              <w:right w:val="nil"/>
            </w:tcBorders>
            <w:shd w:val="clear" w:color="auto" w:fill="auto"/>
            <w:noWrap/>
            <w:vAlign w:val="center"/>
          </w:tcPr>
          <w:p w14:paraId="231153FC">
            <w:pPr>
              <w:widowControl/>
              <w:jc w:val="center"/>
              <w:rPr>
                <w:rFonts w:hint="eastAsia" w:ascii="宋体" w:hAnsi="宋体" w:eastAsia="宋体" w:cs="宋体"/>
                <w:kern w:val="0"/>
                <w:sz w:val="21"/>
                <w:szCs w:val="21"/>
              </w:rPr>
            </w:pPr>
          </w:p>
        </w:tc>
        <w:tc>
          <w:tcPr>
            <w:tcW w:w="4680" w:type="dxa"/>
            <w:tcBorders>
              <w:top w:val="nil"/>
              <w:left w:val="nil"/>
              <w:bottom w:val="nil"/>
              <w:right w:val="nil"/>
            </w:tcBorders>
            <w:shd w:val="clear" w:color="auto" w:fill="auto"/>
            <w:vAlign w:val="center"/>
          </w:tcPr>
          <w:p w14:paraId="6ACFB0E7">
            <w:pPr>
              <w:widowControl/>
              <w:jc w:val="left"/>
              <w:rPr>
                <w:rFonts w:hint="eastAsia" w:ascii="宋体" w:hAnsi="宋体" w:eastAsia="宋体" w:cs="宋体"/>
                <w:kern w:val="0"/>
                <w:sz w:val="21"/>
                <w:szCs w:val="21"/>
              </w:rPr>
            </w:pPr>
          </w:p>
        </w:tc>
        <w:tc>
          <w:tcPr>
            <w:tcW w:w="1500" w:type="dxa"/>
            <w:tcBorders>
              <w:top w:val="nil"/>
              <w:left w:val="nil"/>
              <w:bottom w:val="nil"/>
              <w:right w:val="nil"/>
            </w:tcBorders>
            <w:shd w:val="clear" w:color="auto" w:fill="auto"/>
            <w:vAlign w:val="center"/>
          </w:tcPr>
          <w:p w14:paraId="3CC27D43">
            <w:pPr>
              <w:widowControl/>
              <w:jc w:val="left"/>
              <w:rPr>
                <w:rFonts w:hint="eastAsia" w:ascii="宋体" w:hAnsi="宋体" w:eastAsia="宋体" w:cs="宋体"/>
                <w:kern w:val="0"/>
                <w:sz w:val="21"/>
                <w:szCs w:val="21"/>
              </w:rPr>
            </w:pPr>
          </w:p>
        </w:tc>
        <w:tc>
          <w:tcPr>
            <w:tcW w:w="1760" w:type="dxa"/>
            <w:tcBorders>
              <w:top w:val="nil"/>
              <w:left w:val="nil"/>
              <w:bottom w:val="nil"/>
              <w:right w:val="nil"/>
            </w:tcBorders>
            <w:shd w:val="clear" w:color="auto" w:fill="auto"/>
            <w:vAlign w:val="center"/>
          </w:tcPr>
          <w:p w14:paraId="0C4C4A2F">
            <w:pPr>
              <w:widowControl/>
              <w:jc w:val="left"/>
              <w:rPr>
                <w:rFonts w:hint="eastAsia" w:ascii="宋体" w:hAnsi="宋体" w:eastAsia="宋体" w:cs="宋体"/>
                <w:kern w:val="0"/>
                <w:sz w:val="21"/>
                <w:szCs w:val="21"/>
              </w:rPr>
            </w:pPr>
          </w:p>
        </w:tc>
      </w:tr>
      <w:tr w14:paraId="70F42563">
        <w:tblPrEx>
          <w:tblCellMar>
            <w:top w:w="0" w:type="dxa"/>
            <w:left w:w="108" w:type="dxa"/>
            <w:bottom w:w="0" w:type="dxa"/>
            <w:right w:w="108" w:type="dxa"/>
          </w:tblCellMar>
        </w:tblPrEx>
        <w:trPr>
          <w:trHeight w:val="23" w:hRule="atLeast"/>
        </w:trPr>
        <w:tc>
          <w:tcPr>
            <w:tcW w:w="9140" w:type="dxa"/>
            <w:gridSpan w:val="4"/>
            <w:tcBorders>
              <w:top w:val="nil"/>
              <w:left w:val="nil"/>
              <w:bottom w:val="nil"/>
              <w:right w:val="nil"/>
            </w:tcBorders>
            <w:shd w:val="clear" w:color="auto" w:fill="auto"/>
            <w:noWrap/>
            <w:vAlign w:val="center"/>
          </w:tcPr>
          <w:p w14:paraId="34FE7807">
            <w:pPr>
              <w:widowControl/>
              <w:jc w:val="left"/>
              <w:rPr>
                <w:rFonts w:hint="eastAsia" w:ascii="宋体" w:hAnsi="宋体" w:eastAsia="宋体" w:cs="宋体"/>
                <w:b/>
                <w:bCs/>
                <w:kern w:val="0"/>
                <w:sz w:val="21"/>
                <w:szCs w:val="21"/>
              </w:rPr>
            </w:pPr>
          </w:p>
          <w:p w14:paraId="1309905E">
            <w:pPr>
              <w:widowControl/>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da Vinci Xi 高级器械及钉仓</w:t>
            </w:r>
          </w:p>
        </w:tc>
      </w:tr>
      <w:tr w14:paraId="26EC86A5">
        <w:tblPrEx>
          <w:tblCellMar>
            <w:top w:w="0" w:type="dxa"/>
            <w:left w:w="108" w:type="dxa"/>
            <w:bottom w:w="0" w:type="dxa"/>
            <w:right w:w="108" w:type="dxa"/>
          </w:tblCellMar>
        </w:tblPrEx>
        <w:trPr>
          <w:trHeight w:val="23" w:hRule="atLeast"/>
        </w:trPr>
        <w:tc>
          <w:tcPr>
            <w:tcW w:w="1200" w:type="dxa"/>
            <w:tcBorders>
              <w:top w:val="single" w:color="auto" w:sz="8" w:space="0"/>
              <w:left w:val="single" w:color="auto" w:sz="8" w:space="0"/>
              <w:bottom w:val="single" w:color="auto" w:sz="4" w:space="0"/>
              <w:right w:val="single" w:color="auto" w:sz="4" w:space="0"/>
            </w:tcBorders>
            <w:shd w:val="clear" w:color="auto" w:fill="auto"/>
            <w:vAlign w:val="center"/>
          </w:tcPr>
          <w:p w14:paraId="614B2C7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产品号</w:t>
            </w:r>
          </w:p>
        </w:tc>
        <w:tc>
          <w:tcPr>
            <w:tcW w:w="4680" w:type="dxa"/>
            <w:tcBorders>
              <w:top w:val="single" w:color="auto" w:sz="8" w:space="0"/>
              <w:left w:val="nil"/>
              <w:bottom w:val="single" w:color="auto" w:sz="4" w:space="0"/>
              <w:right w:val="single" w:color="auto" w:sz="4" w:space="0"/>
            </w:tcBorders>
            <w:shd w:val="clear" w:color="auto" w:fill="auto"/>
            <w:vAlign w:val="center"/>
          </w:tcPr>
          <w:p w14:paraId="1BF6BC6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品名</w:t>
            </w:r>
          </w:p>
        </w:tc>
        <w:tc>
          <w:tcPr>
            <w:tcW w:w="1500" w:type="dxa"/>
            <w:tcBorders>
              <w:top w:val="single" w:color="auto" w:sz="8" w:space="0"/>
              <w:left w:val="nil"/>
              <w:bottom w:val="single" w:color="auto" w:sz="4" w:space="0"/>
              <w:right w:val="single" w:color="auto" w:sz="4" w:space="0"/>
            </w:tcBorders>
            <w:shd w:val="clear" w:color="auto" w:fill="auto"/>
            <w:vAlign w:val="center"/>
          </w:tcPr>
          <w:p w14:paraId="63A6CB6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个/盒</w:t>
            </w:r>
          </w:p>
        </w:tc>
        <w:tc>
          <w:tcPr>
            <w:tcW w:w="1760" w:type="dxa"/>
            <w:tcBorders>
              <w:top w:val="single" w:color="auto" w:sz="8" w:space="0"/>
              <w:left w:val="nil"/>
              <w:bottom w:val="single" w:color="auto" w:sz="4" w:space="0"/>
              <w:right w:val="single" w:color="auto" w:sz="8" w:space="0"/>
            </w:tcBorders>
            <w:shd w:val="clear" w:color="auto" w:fill="auto"/>
            <w:vAlign w:val="center"/>
          </w:tcPr>
          <w:p w14:paraId="10D7192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单位</w:t>
            </w:r>
          </w:p>
        </w:tc>
      </w:tr>
      <w:tr w14:paraId="1EEF293A">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5AF6387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480422</w:t>
            </w:r>
          </w:p>
        </w:tc>
        <w:tc>
          <w:tcPr>
            <w:tcW w:w="4680" w:type="dxa"/>
            <w:tcBorders>
              <w:top w:val="nil"/>
              <w:left w:val="nil"/>
              <w:bottom w:val="single" w:color="auto" w:sz="4" w:space="0"/>
              <w:right w:val="single" w:color="auto" w:sz="4" w:space="0"/>
            </w:tcBorders>
            <w:shd w:val="clear" w:color="auto" w:fill="auto"/>
            <w:vAlign w:val="center"/>
          </w:tcPr>
          <w:p w14:paraId="32E1F75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一次性使用血管切割闭合器械</w:t>
            </w:r>
          </w:p>
        </w:tc>
        <w:tc>
          <w:tcPr>
            <w:tcW w:w="1500" w:type="dxa"/>
            <w:tcBorders>
              <w:top w:val="nil"/>
              <w:left w:val="nil"/>
              <w:bottom w:val="single" w:color="auto" w:sz="4" w:space="0"/>
              <w:right w:val="single" w:color="auto" w:sz="4" w:space="0"/>
            </w:tcBorders>
            <w:shd w:val="clear" w:color="auto" w:fill="auto"/>
            <w:vAlign w:val="center"/>
          </w:tcPr>
          <w:p w14:paraId="21DB907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6把/盒</w:t>
            </w:r>
          </w:p>
        </w:tc>
        <w:tc>
          <w:tcPr>
            <w:tcW w:w="1760" w:type="dxa"/>
            <w:tcBorders>
              <w:top w:val="nil"/>
              <w:left w:val="nil"/>
              <w:bottom w:val="single" w:color="auto" w:sz="4" w:space="0"/>
              <w:right w:val="single" w:color="auto" w:sz="8" w:space="0"/>
            </w:tcBorders>
            <w:shd w:val="clear" w:color="auto" w:fill="auto"/>
            <w:vAlign w:val="center"/>
          </w:tcPr>
          <w:p w14:paraId="7F41EB5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盒</w:t>
            </w:r>
          </w:p>
        </w:tc>
      </w:tr>
      <w:tr w14:paraId="292CFFC0">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580D52D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480445</w:t>
            </w:r>
          </w:p>
        </w:tc>
        <w:tc>
          <w:tcPr>
            <w:tcW w:w="4680" w:type="dxa"/>
            <w:tcBorders>
              <w:top w:val="nil"/>
              <w:left w:val="nil"/>
              <w:bottom w:val="single" w:color="auto" w:sz="4" w:space="0"/>
              <w:right w:val="single" w:color="auto" w:sz="4" w:space="0"/>
            </w:tcBorders>
            <w:shd w:val="clear" w:color="auto" w:fill="auto"/>
            <w:vAlign w:val="center"/>
          </w:tcPr>
          <w:p w14:paraId="122FC17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SureForm直线型切割吻合器45型</w:t>
            </w:r>
          </w:p>
        </w:tc>
        <w:tc>
          <w:tcPr>
            <w:tcW w:w="1500" w:type="dxa"/>
            <w:tcBorders>
              <w:top w:val="nil"/>
              <w:left w:val="nil"/>
              <w:bottom w:val="single" w:color="auto" w:sz="4" w:space="0"/>
              <w:right w:val="single" w:color="auto" w:sz="4" w:space="0"/>
            </w:tcBorders>
            <w:shd w:val="clear" w:color="auto" w:fill="auto"/>
            <w:vAlign w:val="center"/>
          </w:tcPr>
          <w:p w14:paraId="4D1EF23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6把/盒</w:t>
            </w:r>
          </w:p>
        </w:tc>
        <w:tc>
          <w:tcPr>
            <w:tcW w:w="1760" w:type="dxa"/>
            <w:tcBorders>
              <w:top w:val="nil"/>
              <w:left w:val="nil"/>
              <w:bottom w:val="single" w:color="auto" w:sz="4" w:space="0"/>
              <w:right w:val="single" w:color="auto" w:sz="8" w:space="0"/>
            </w:tcBorders>
            <w:shd w:val="clear" w:color="auto" w:fill="auto"/>
            <w:vAlign w:val="center"/>
          </w:tcPr>
          <w:p w14:paraId="373FE47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盒</w:t>
            </w:r>
          </w:p>
        </w:tc>
      </w:tr>
      <w:tr w14:paraId="6CC168FC">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3E5C440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480545</w:t>
            </w:r>
          </w:p>
        </w:tc>
        <w:tc>
          <w:tcPr>
            <w:tcW w:w="4680" w:type="dxa"/>
            <w:tcBorders>
              <w:top w:val="nil"/>
              <w:left w:val="nil"/>
              <w:bottom w:val="single" w:color="auto" w:sz="4" w:space="0"/>
              <w:right w:val="single" w:color="auto" w:sz="4" w:space="0"/>
            </w:tcBorders>
            <w:shd w:val="clear" w:color="auto" w:fill="auto"/>
            <w:vAlign w:val="center"/>
          </w:tcPr>
          <w:p w14:paraId="74AA0A1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SureForm直线型切割吻合器45型弯头</w:t>
            </w:r>
          </w:p>
        </w:tc>
        <w:tc>
          <w:tcPr>
            <w:tcW w:w="1500" w:type="dxa"/>
            <w:tcBorders>
              <w:top w:val="nil"/>
              <w:left w:val="nil"/>
              <w:bottom w:val="single" w:color="auto" w:sz="4" w:space="0"/>
              <w:right w:val="single" w:color="auto" w:sz="4" w:space="0"/>
            </w:tcBorders>
            <w:shd w:val="clear" w:color="auto" w:fill="auto"/>
            <w:vAlign w:val="center"/>
          </w:tcPr>
          <w:p w14:paraId="3A512C5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6把/盒</w:t>
            </w:r>
          </w:p>
        </w:tc>
        <w:tc>
          <w:tcPr>
            <w:tcW w:w="1760" w:type="dxa"/>
            <w:tcBorders>
              <w:top w:val="nil"/>
              <w:left w:val="nil"/>
              <w:bottom w:val="single" w:color="auto" w:sz="4" w:space="0"/>
              <w:right w:val="single" w:color="auto" w:sz="8" w:space="0"/>
            </w:tcBorders>
            <w:shd w:val="clear" w:color="auto" w:fill="auto"/>
            <w:vAlign w:val="center"/>
          </w:tcPr>
          <w:p w14:paraId="571F746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盒</w:t>
            </w:r>
          </w:p>
        </w:tc>
      </w:tr>
      <w:tr w14:paraId="020DFDB9">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52E5760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480460</w:t>
            </w:r>
          </w:p>
        </w:tc>
        <w:tc>
          <w:tcPr>
            <w:tcW w:w="4680" w:type="dxa"/>
            <w:tcBorders>
              <w:top w:val="nil"/>
              <w:left w:val="nil"/>
              <w:bottom w:val="single" w:color="auto" w:sz="4" w:space="0"/>
              <w:right w:val="single" w:color="auto" w:sz="4" w:space="0"/>
            </w:tcBorders>
            <w:shd w:val="clear" w:color="auto" w:fill="auto"/>
            <w:vAlign w:val="center"/>
          </w:tcPr>
          <w:p w14:paraId="47ED7C0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SureForm直线型切割吻合器60型</w:t>
            </w:r>
          </w:p>
        </w:tc>
        <w:tc>
          <w:tcPr>
            <w:tcW w:w="1500" w:type="dxa"/>
            <w:tcBorders>
              <w:top w:val="nil"/>
              <w:left w:val="nil"/>
              <w:bottom w:val="single" w:color="auto" w:sz="4" w:space="0"/>
              <w:right w:val="single" w:color="auto" w:sz="4" w:space="0"/>
            </w:tcBorders>
            <w:shd w:val="clear" w:color="auto" w:fill="auto"/>
            <w:vAlign w:val="center"/>
          </w:tcPr>
          <w:p w14:paraId="7CBAF23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6把/盒</w:t>
            </w:r>
          </w:p>
        </w:tc>
        <w:tc>
          <w:tcPr>
            <w:tcW w:w="1760" w:type="dxa"/>
            <w:tcBorders>
              <w:top w:val="nil"/>
              <w:left w:val="nil"/>
              <w:bottom w:val="single" w:color="auto" w:sz="4" w:space="0"/>
              <w:right w:val="single" w:color="auto" w:sz="8" w:space="0"/>
            </w:tcBorders>
            <w:shd w:val="clear" w:color="auto" w:fill="auto"/>
            <w:vAlign w:val="center"/>
          </w:tcPr>
          <w:p w14:paraId="2AEA857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盒</w:t>
            </w:r>
          </w:p>
        </w:tc>
      </w:tr>
      <w:tr w14:paraId="04A414B3">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vAlign w:val="center"/>
          </w:tcPr>
          <w:p w14:paraId="6DCB422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48345M</w:t>
            </w:r>
          </w:p>
        </w:tc>
        <w:tc>
          <w:tcPr>
            <w:tcW w:w="4680" w:type="dxa"/>
            <w:tcBorders>
              <w:top w:val="nil"/>
              <w:left w:val="nil"/>
              <w:bottom w:val="single" w:color="auto" w:sz="4" w:space="0"/>
              <w:right w:val="single" w:color="auto" w:sz="4" w:space="0"/>
            </w:tcBorders>
            <w:shd w:val="clear" w:color="auto" w:fill="auto"/>
            <w:vAlign w:val="center"/>
          </w:tcPr>
          <w:p w14:paraId="29B4AE0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SureForm 45钉仓，45毫米 灰色，2.0毫米，6排</w:t>
            </w:r>
          </w:p>
        </w:tc>
        <w:tc>
          <w:tcPr>
            <w:tcW w:w="1500" w:type="dxa"/>
            <w:tcBorders>
              <w:top w:val="nil"/>
              <w:left w:val="nil"/>
              <w:bottom w:val="single" w:color="auto" w:sz="4" w:space="0"/>
              <w:right w:val="single" w:color="auto" w:sz="4" w:space="0"/>
            </w:tcBorders>
            <w:shd w:val="clear" w:color="auto" w:fill="auto"/>
            <w:vAlign w:val="center"/>
          </w:tcPr>
          <w:p w14:paraId="138427D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12个/盒</w:t>
            </w:r>
          </w:p>
        </w:tc>
        <w:tc>
          <w:tcPr>
            <w:tcW w:w="1760" w:type="dxa"/>
            <w:tcBorders>
              <w:top w:val="nil"/>
              <w:left w:val="nil"/>
              <w:bottom w:val="single" w:color="auto" w:sz="4" w:space="0"/>
              <w:right w:val="single" w:color="auto" w:sz="8" w:space="0"/>
            </w:tcBorders>
            <w:shd w:val="clear" w:color="auto" w:fill="auto"/>
            <w:vAlign w:val="center"/>
          </w:tcPr>
          <w:p w14:paraId="4FF8536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盒</w:t>
            </w:r>
          </w:p>
        </w:tc>
      </w:tr>
      <w:tr w14:paraId="62C0FA6F">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vAlign w:val="center"/>
          </w:tcPr>
          <w:p w14:paraId="25BAC3B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48345W</w:t>
            </w:r>
          </w:p>
        </w:tc>
        <w:tc>
          <w:tcPr>
            <w:tcW w:w="4680" w:type="dxa"/>
            <w:tcBorders>
              <w:top w:val="nil"/>
              <w:left w:val="nil"/>
              <w:bottom w:val="single" w:color="auto" w:sz="4" w:space="0"/>
              <w:right w:val="single" w:color="auto" w:sz="4" w:space="0"/>
            </w:tcBorders>
            <w:shd w:val="clear" w:color="auto" w:fill="auto"/>
            <w:vAlign w:val="center"/>
          </w:tcPr>
          <w:p w14:paraId="08F1F44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SureForm 45钉仓，45毫米 白色，2.5毫米，6排</w:t>
            </w:r>
          </w:p>
        </w:tc>
        <w:tc>
          <w:tcPr>
            <w:tcW w:w="1500" w:type="dxa"/>
            <w:tcBorders>
              <w:top w:val="nil"/>
              <w:left w:val="nil"/>
              <w:bottom w:val="single" w:color="auto" w:sz="4" w:space="0"/>
              <w:right w:val="single" w:color="auto" w:sz="4" w:space="0"/>
            </w:tcBorders>
            <w:shd w:val="clear" w:color="auto" w:fill="auto"/>
            <w:vAlign w:val="center"/>
          </w:tcPr>
          <w:p w14:paraId="4536251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12个/盒</w:t>
            </w:r>
          </w:p>
        </w:tc>
        <w:tc>
          <w:tcPr>
            <w:tcW w:w="1760" w:type="dxa"/>
            <w:tcBorders>
              <w:top w:val="nil"/>
              <w:left w:val="nil"/>
              <w:bottom w:val="single" w:color="auto" w:sz="4" w:space="0"/>
              <w:right w:val="single" w:color="auto" w:sz="8" w:space="0"/>
            </w:tcBorders>
            <w:shd w:val="clear" w:color="auto" w:fill="auto"/>
            <w:vAlign w:val="center"/>
          </w:tcPr>
          <w:p w14:paraId="493A75A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盒</w:t>
            </w:r>
          </w:p>
        </w:tc>
      </w:tr>
      <w:tr w14:paraId="10B91E68">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vAlign w:val="center"/>
          </w:tcPr>
          <w:p w14:paraId="205461F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48345B</w:t>
            </w:r>
          </w:p>
        </w:tc>
        <w:tc>
          <w:tcPr>
            <w:tcW w:w="4680" w:type="dxa"/>
            <w:tcBorders>
              <w:top w:val="nil"/>
              <w:left w:val="nil"/>
              <w:bottom w:val="single" w:color="auto" w:sz="4" w:space="0"/>
              <w:right w:val="single" w:color="auto" w:sz="4" w:space="0"/>
            </w:tcBorders>
            <w:shd w:val="clear" w:color="auto" w:fill="auto"/>
            <w:vAlign w:val="center"/>
          </w:tcPr>
          <w:p w14:paraId="603E50C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SureForm 45钉仓，45毫米 蓝色，3.5毫米，6排</w:t>
            </w:r>
          </w:p>
        </w:tc>
        <w:tc>
          <w:tcPr>
            <w:tcW w:w="1500" w:type="dxa"/>
            <w:tcBorders>
              <w:top w:val="nil"/>
              <w:left w:val="nil"/>
              <w:bottom w:val="single" w:color="auto" w:sz="4" w:space="0"/>
              <w:right w:val="single" w:color="auto" w:sz="4" w:space="0"/>
            </w:tcBorders>
            <w:shd w:val="clear" w:color="auto" w:fill="auto"/>
            <w:vAlign w:val="center"/>
          </w:tcPr>
          <w:p w14:paraId="51AE20F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12个/盒</w:t>
            </w:r>
          </w:p>
        </w:tc>
        <w:tc>
          <w:tcPr>
            <w:tcW w:w="1760" w:type="dxa"/>
            <w:tcBorders>
              <w:top w:val="nil"/>
              <w:left w:val="nil"/>
              <w:bottom w:val="single" w:color="auto" w:sz="4" w:space="0"/>
              <w:right w:val="single" w:color="auto" w:sz="8" w:space="0"/>
            </w:tcBorders>
            <w:shd w:val="clear" w:color="auto" w:fill="auto"/>
            <w:vAlign w:val="center"/>
          </w:tcPr>
          <w:p w14:paraId="203447F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盒</w:t>
            </w:r>
          </w:p>
        </w:tc>
      </w:tr>
      <w:tr w14:paraId="55AA4CB1">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vAlign w:val="center"/>
          </w:tcPr>
          <w:p w14:paraId="28D0293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48345G</w:t>
            </w:r>
          </w:p>
        </w:tc>
        <w:tc>
          <w:tcPr>
            <w:tcW w:w="4680" w:type="dxa"/>
            <w:tcBorders>
              <w:top w:val="nil"/>
              <w:left w:val="nil"/>
              <w:bottom w:val="single" w:color="auto" w:sz="4" w:space="0"/>
              <w:right w:val="single" w:color="auto" w:sz="4" w:space="0"/>
            </w:tcBorders>
            <w:shd w:val="clear" w:color="auto" w:fill="auto"/>
            <w:vAlign w:val="center"/>
          </w:tcPr>
          <w:p w14:paraId="54C8F31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SureForm 45钉仓，45毫米 绿色，4.3毫米，6排</w:t>
            </w:r>
          </w:p>
        </w:tc>
        <w:tc>
          <w:tcPr>
            <w:tcW w:w="1500" w:type="dxa"/>
            <w:tcBorders>
              <w:top w:val="nil"/>
              <w:left w:val="nil"/>
              <w:bottom w:val="single" w:color="auto" w:sz="4" w:space="0"/>
              <w:right w:val="single" w:color="auto" w:sz="4" w:space="0"/>
            </w:tcBorders>
            <w:shd w:val="clear" w:color="auto" w:fill="auto"/>
            <w:vAlign w:val="center"/>
          </w:tcPr>
          <w:p w14:paraId="3C23E08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12个/盒</w:t>
            </w:r>
          </w:p>
        </w:tc>
        <w:tc>
          <w:tcPr>
            <w:tcW w:w="1760" w:type="dxa"/>
            <w:tcBorders>
              <w:top w:val="nil"/>
              <w:left w:val="nil"/>
              <w:bottom w:val="single" w:color="auto" w:sz="4" w:space="0"/>
              <w:right w:val="single" w:color="auto" w:sz="8" w:space="0"/>
            </w:tcBorders>
            <w:shd w:val="clear" w:color="auto" w:fill="auto"/>
            <w:vAlign w:val="center"/>
          </w:tcPr>
          <w:p w14:paraId="476A577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盒</w:t>
            </w:r>
          </w:p>
        </w:tc>
      </w:tr>
      <w:tr w14:paraId="0C580A95">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vAlign w:val="center"/>
          </w:tcPr>
          <w:p w14:paraId="014D01B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48345T</w:t>
            </w:r>
          </w:p>
        </w:tc>
        <w:tc>
          <w:tcPr>
            <w:tcW w:w="4680" w:type="dxa"/>
            <w:tcBorders>
              <w:top w:val="nil"/>
              <w:left w:val="nil"/>
              <w:bottom w:val="single" w:color="auto" w:sz="4" w:space="0"/>
              <w:right w:val="single" w:color="auto" w:sz="4" w:space="0"/>
            </w:tcBorders>
            <w:shd w:val="clear" w:color="auto" w:fill="auto"/>
            <w:vAlign w:val="center"/>
          </w:tcPr>
          <w:p w14:paraId="0246792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SureForm 45钉仓，45毫米 黑色，4.6毫米，6排</w:t>
            </w:r>
          </w:p>
        </w:tc>
        <w:tc>
          <w:tcPr>
            <w:tcW w:w="1500" w:type="dxa"/>
            <w:tcBorders>
              <w:top w:val="nil"/>
              <w:left w:val="nil"/>
              <w:bottom w:val="single" w:color="auto" w:sz="4" w:space="0"/>
              <w:right w:val="single" w:color="auto" w:sz="4" w:space="0"/>
            </w:tcBorders>
            <w:shd w:val="clear" w:color="auto" w:fill="auto"/>
            <w:vAlign w:val="center"/>
          </w:tcPr>
          <w:p w14:paraId="64A3B50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12个/盒</w:t>
            </w:r>
          </w:p>
        </w:tc>
        <w:tc>
          <w:tcPr>
            <w:tcW w:w="1760" w:type="dxa"/>
            <w:tcBorders>
              <w:top w:val="nil"/>
              <w:left w:val="nil"/>
              <w:bottom w:val="single" w:color="auto" w:sz="4" w:space="0"/>
              <w:right w:val="single" w:color="auto" w:sz="8" w:space="0"/>
            </w:tcBorders>
            <w:shd w:val="clear" w:color="auto" w:fill="auto"/>
            <w:vAlign w:val="center"/>
          </w:tcPr>
          <w:p w14:paraId="776582C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盒</w:t>
            </w:r>
          </w:p>
        </w:tc>
      </w:tr>
      <w:tr w14:paraId="0443B910">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vAlign w:val="center"/>
          </w:tcPr>
          <w:p w14:paraId="289A9F6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48360W</w:t>
            </w:r>
          </w:p>
        </w:tc>
        <w:tc>
          <w:tcPr>
            <w:tcW w:w="4680" w:type="dxa"/>
            <w:tcBorders>
              <w:top w:val="nil"/>
              <w:left w:val="nil"/>
              <w:bottom w:val="single" w:color="auto" w:sz="4" w:space="0"/>
              <w:right w:val="single" w:color="auto" w:sz="4" w:space="0"/>
            </w:tcBorders>
            <w:shd w:val="clear" w:color="auto" w:fill="auto"/>
            <w:vAlign w:val="center"/>
          </w:tcPr>
          <w:p w14:paraId="4EE2829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SureForm 60钉仓，60毫米 白色，2.5毫米，6排</w:t>
            </w:r>
          </w:p>
        </w:tc>
        <w:tc>
          <w:tcPr>
            <w:tcW w:w="1500" w:type="dxa"/>
            <w:tcBorders>
              <w:top w:val="nil"/>
              <w:left w:val="nil"/>
              <w:bottom w:val="single" w:color="auto" w:sz="4" w:space="0"/>
              <w:right w:val="single" w:color="auto" w:sz="4" w:space="0"/>
            </w:tcBorders>
            <w:shd w:val="clear" w:color="auto" w:fill="auto"/>
            <w:vAlign w:val="center"/>
          </w:tcPr>
          <w:p w14:paraId="62B7E57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12个/盒</w:t>
            </w:r>
          </w:p>
        </w:tc>
        <w:tc>
          <w:tcPr>
            <w:tcW w:w="1760" w:type="dxa"/>
            <w:tcBorders>
              <w:top w:val="nil"/>
              <w:left w:val="nil"/>
              <w:bottom w:val="single" w:color="auto" w:sz="4" w:space="0"/>
              <w:right w:val="single" w:color="auto" w:sz="8" w:space="0"/>
            </w:tcBorders>
            <w:shd w:val="clear" w:color="auto" w:fill="auto"/>
            <w:vAlign w:val="center"/>
          </w:tcPr>
          <w:p w14:paraId="43EA080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盒</w:t>
            </w:r>
          </w:p>
        </w:tc>
      </w:tr>
      <w:tr w14:paraId="4A7B8CB4">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vAlign w:val="center"/>
          </w:tcPr>
          <w:p w14:paraId="351F423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48360B</w:t>
            </w:r>
          </w:p>
        </w:tc>
        <w:tc>
          <w:tcPr>
            <w:tcW w:w="4680" w:type="dxa"/>
            <w:tcBorders>
              <w:top w:val="nil"/>
              <w:left w:val="nil"/>
              <w:bottom w:val="single" w:color="auto" w:sz="4" w:space="0"/>
              <w:right w:val="single" w:color="auto" w:sz="4" w:space="0"/>
            </w:tcBorders>
            <w:shd w:val="clear" w:color="auto" w:fill="auto"/>
            <w:vAlign w:val="center"/>
          </w:tcPr>
          <w:p w14:paraId="0B3C736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SureForm 60钉仓，60毫米 蓝色，3.5毫米，6排</w:t>
            </w:r>
          </w:p>
        </w:tc>
        <w:tc>
          <w:tcPr>
            <w:tcW w:w="1500" w:type="dxa"/>
            <w:tcBorders>
              <w:top w:val="nil"/>
              <w:left w:val="nil"/>
              <w:bottom w:val="single" w:color="auto" w:sz="4" w:space="0"/>
              <w:right w:val="single" w:color="auto" w:sz="4" w:space="0"/>
            </w:tcBorders>
            <w:shd w:val="clear" w:color="auto" w:fill="auto"/>
            <w:vAlign w:val="center"/>
          </w:tcPr>
          <w:p w14:paraId="29230E9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12个/盒</w:t>
            </w:r>
          </w:p>
        </w:tc>
        <w:tc>
          <w:tcPr>
            <w:tcW w:w="1760" w:type="dxa"/>
            <w:tcBorders>
              <w:top w:val="nil"/>
              <w:left w:val="nil"/>
              <w:bottom w:val="single" w:color="auto" w:sz="4" w:space="0"/>
              <w:right w:val="single" w:color="auto" w:sz="8" w:space="0"/>
            </w:tcBorders>
            <w:shd w:val="clear" w:color="auto" w:fill="auto"/>
            <w:vAlign w:val="center"/>
          </w:tcPr>
          <w:p w14:paraId="40F3226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盒</w:t>
            </w:r>
          </w:p>
        </w:tc>
      </w:tr>
      <w:tr w14:paraId="380F226B">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vAlign w:val="center"/>
          </w:tcPr>
          <w:p w14:paraId="00D1B39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48360G</w:t>
            </w:r>
          </w:p>
        </w:tc>
        <w:tc>
          <w:tcPr>
            <w:tcW w:w="4680" w:type="dxa"/>
            <w:tcBorders>
              <w:top w:val="nil"/>
              <w:left w:val="nil"/>
              <w:bottom w:val="single" w:color="auto" w:sz="4" w:space="0"/>
              <w:right w:val="single" w:color="auto" w:sz="4" w:space="0"/>
            </w:tcBorders>
            <w:shd w:val="clear" w:color="auto" w:fill="auto"/>
            <w:vAlign w:val="center"/>
          </w:tcPr>
          <w:p w14:paraId="07E2F49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SureForm 60钉仓，60毫米 绿色，4.3毫米，6排</w:t>
            </w:r>
          </w:p>
        </w:tc>
        <w:tc>
          <w:tcPr>
            <w:tcW w:w="1500" w:type="dxa"/>
            <w:tcBorders>
              <w:top w:val="nil"/>
              <w:left w:val="nil"/>
              <w:bottom w:val="single" w:color="auto" w:sz="4" w:space="0"/>
              <w:right w:val="single" w:color="auto" w:sz="4" w:space="0"/>
            </w:tcBorders>
            <w:shd w:val="clear" w:color="auto" w:fill="auto"/>
            <w:vAlign w:val="center"/>
          </w:tcPr>
          <w:p w14:paraId="28CEAED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12个/盒</w:t>
            </w:r>
          </w:p>
        </w:tc>
        <w:tc>
          <w:tcPr>
            <w:tcW w:w="1760" w:type="dxa"/>
            <w:tcBorders>
              <w:top w:val="nil"/>
              <w:left w:val="nil"/>
              <w:bottom w:val="single" w:color="auto" w:sz="4" w:space="0"/>
              <w:right w:val="single" w:color="auto" w:sz="8" w:space="0"/>
            </w:tcBorders>
            <w:shd w:val="clear" w:color="auto" w:fill="auto"/>
            <w:vAlign w:val="center"/>
          </w:tcPr>
          <w:p w14:paraId="1C16F70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盒</w:t>
            </w:r>
          </w:p>
        </w:tc>
      </w:tr>
      <w:tr w14:paraId="566C4FAA">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8" w:space="0"/>
              <w:right w:val="single" w:color="auto" w:sz="4" w:space="0"/>
            </w:tcBorders>
            <w:shd w:val="clear" w:color="auto" w:fill="auto"/>
            <w:vAlign w:val="center"/>
          </w:tcPr>
          <w:p w14:paraId="37A8296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48360T</w:t>
            </w:r>
          </w:p>
        </w:tc>
        <w:tc>
          <w:tcPr>
            <w:tcW w:w="4680" w:type="dxa"/>
            <w:tcBorders>
              <w:top w:val="nil"/>
              <w:left w:val="nil"/>
              <w:bottom w:val="single" w:color="auto" w:sz="8" w:space="0"/>
              <w:right w:val="single" w:color="auto" w:sz="4" w:space="0"/>
            </w:tcBorders>
            <w:shd w:val="clear" w:color="auto" w:fill="auto"/>
            <w:vAlign w:val="center"/>
          </w:tcPr>
          <w:p w14:paraId="4949B50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SureForm 60钉仓，60毫米 黑色，4.6毫米，6排</w:t>
            </w:r>
          </w:p>
        </w:tc>
        <w:tc>
          <w:tcPr>
            <w:tcW w:w="1500" w:type="dxa"/>
            <w:tcBorders>
              <w:top w:val="nil"/>
              <w:left w:val="nil"/>
              <w:bottom w:val="single" w:color="auto" w:sz="8" w:space="0"/>
              <w:right w:val="single" w:color="auto" w:sz="4" w:space="0"/>
            </w:tcBorders>
            <w:shd w:val="clear" w:color="auto" w:fill="auto"/>
            <w:vAlign w:val="center"/>
          </w:tcPr>
          <w:p w14:paraId="2BB3A2F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12个/盒</w:t>
            </w:r>
          </w:p>
        </w:tc>
        <w:tc>
          <w:tcPr>
            <w:tcW w:w="1760" w:type="dxa"/>
            <w:tcBorders>
              <w:top w:val="nil"/>
              <w:left w:val="nil"/>
              <w:bottom w:val="single" w:color="auto" w:sz="8" w:space="0"/>
              <w:right w:val="single" w:color="auto" w:sz="8" w:space="0"/>
            </w:tcBorders>
            <w:shd w:val="clear" w:color="auto" w:fill="auto"/>
            <w:vAlign w:val="center"/>
          </w:tcPr>
          <w:p w14:paraId="2580BA0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盒</w:t>
            </w:r>
          </w:p>
        </w:tc>
      </w:tr>
      <w:tr w14:paraId="0BDD6A3B">
        <w:tblPrEx>
          <w:tblCellMar>
            <w:top w:w="0" w:type="dxa"/>
            <w:left w:w="108" w:type="dxa"/>
            <w:bottom w:w="0" w:type="dxa"/>
            <w:right w:w="108" w:type="dxa"/>
          </w:tblCellMar>
        </w:tblPrEx>
        <w:trPr>
          <w:trHeight w:val="23" w:hRule="atLeast"/>
        </w:trPr>
        <w:tc>
          <w:tcPr>
            <w:tcW w:w="1200" w:type="dxa"/>
            <w:tcBorders>
              <w:top w:val="nil"/>
              <w:left w:val="nil"/>
              <w:bottom w:val="nil"/>
              <w:right w:val="nil"/>
            </w:tcBorders>
            <w:shd w:val="clear" w:color="auto" w:fill="auto"/>
            <w:noWrap/>
            <w:vAlign w:val="bottom"/>
          </w:tcPr>
          <w:p w14:paraId="14391968">
            <w:pPr>
              <w:widowControl/>
              <w:jc w:val="center"/>
              <w:rPr>
                <w:rFonts w:hint="eastAsia" w:ascii="宋体" w:hAnsi="宋体" w:eastAsia="宋体" w:cs="宋体"/>
                <w:kern w:val="0"/>
                <w:sz w:val="21"/>
                <w:szCs w:val="21"/>
              </w:rPr>
            </w:pPr>
          </w:p>
        </w:tc>
        <w:tc>
          <w:tcPr>
            <w:tcW w:w="4680" w:type="dxa"/>
            <w:tcBorders>
              <w:top w:val="nil"/>
              <w:left w:val="nil"/>
              <w:bottom w:val="nil"/>
              <w:right w:val="nil"/>
            </w:tcBorders>
            <w:shd w:val="clear" w:color="auto" w:fill="auto"/>
            <w:noWrap/>
            <w:vAlign w:val="bottom"/>
          </w:tcPr>
          <w:p w14:paraId="6D906CCA">
            <w:pPr>
              <w:widowControl/>
              <w:jc w:val="left"/>
              <w:rPr>
                <w:rFonts w:hint="eastAsia" w:ascii="宋体" w:hAnsi="宋体" w:eastAsia="宋体" w:cs="宋体"/>
                <w:kern w:val="0"/>
                <w:sz w:val="21"/>
                <w:szCs w:val="21"/>
              </w:rPr>
            </w:pPr>
          </w:p>
        </w:tc>
        <w:tc>
          <w:tcPr>
            <w:tcW w:w="1500" w:type="dxa"/>
            <w:tcBorders>
              <w:top w:val="nil"/>
              <w:left w:val="nil"/>
              <w:bottom w:val="nil"/>
              <w:right w:val="nil"/>
            </w:tcBorders>
            <w:shd w:val="clear" w:color="auto" w:fill="auto"/>
            <w:noWrap/>
            <w:vAlign w:val="bottom"/>
          </w:tcPr>
          <w:p w14:paraId="58AA828F">
            <w:pPr>
              <w:widowControl/>
              <w:jc w:val="left"/>
              <w:rPr>
                <w:rFonts w:hint="eastAsia" w:ascii="宋体" w:hAnsi="宋体" w:eastAsia="宋体" w:cs="宋体"/>
                <w:kern w:val="0"/>
                <w:sz w:val="21"/>
                <w:szCs w:val="21"/>
              </w:rPr>
            </w:pPr>
          </w:p>
        </w:tc>
        <w:tc>
          <w:tcPr>
            <w:tcW w:w="1760" w:type="dxa"/>
            <w:tcBorders>
              <w:top w:val="nil"/>
              <w:left w:val="nil"/>
              <w:bottom w:val="nil"/>
              <w:right w:val="nil"/>
            </w:tcBorders>
            <w:shd w:val="clear" w:color="auto" w:fill="auto"/>
            <w:noWrap/>
            <w:vAlign w:val="bottom"/>
          </w:tcPr>
          <w:p w14:paraId="205F877C">
            <w:pPr>
              <w:widowControl/>
              <w:jc w:val="left"/>
              <w:rPr>
                <w:rFonts w:hint="eastAsia" w:ascii="宋体" w:hAnsi="宋体" w:eastAsia="宋体" w:cs="宋体"/>
                <w:kern w:val="0"/>
                <w:sz w:val="21"/>
                <w:szCs w:val="21"/>
              </w:rPr>
            </w:pPr>
          </w:p>
        </w:tc>
      </w:tr>
      <w:tr w14:paraId="019663F6">
        <w:tblPrEx>
          <w:tblCellMar>
            <w:top w:w="0" w:type="dxa"/>
            <w:left w:w="108" w:type="dxa"/>
            <w:bottom w:w="0" w:type="dxa"/>
            <w:right w:w="108" w:type="dxa"/>
          </w:tblCellMar>
        </w:tblPrEx>
        <w:trPr>
          <w:trHeight w:val="23" w:hRule="atLeast"/>
        </w:trPr>
        <w:tc>
          <w:tcPr>
            <w:tcW w:w="9140" w:type="dxa"/>
            <w:gridSpan w:val="4"/>
            <w:tcBorders>
              <w:top w:val="nil"/>
              <w:left w:val="nil"/>
              <w:bottom w:val="nil"/>
              <w:right w:val="nil"/>
            </w:tcBorders>
            <w:shd w:val="clear" w:color="auto" w:fill="auto"/>
            <w:noWrap/>
            <w:vAlign w:val="center"/>
          </w:tcPr>
          <w:p w14:paraId="626D91E6">
            <w:pPr>
              <w:widowControl/>
              <w:jc w:val="left"/>
              <w:rPr>
                <w:rFonts w:hint="eastAsia" w:ascii="宋体" w:hAnsi="宋体" w:eastAsia="宋体" w:cs="宋体"/>
                <w:b/>
                <w:bCs/>
                <w:kern w:val="0"/>
                <w:sz w:val="21"/>
                <w:szCs w:val="21"/>
              </w:rPr>
            </w:pPr>
          </w:p>
          <w:p w14:paraId="4841062A">
            <w:pPr>
              <w:widowControl/>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内窥镜</w:t>
            </w:r>
          </w:p>
        </w:tc>
      </w:tr>
      <w:tr w14:paraId="4C3382F4">
        <w:tblPrEx>
          <w:tblCellMar>
            <w:top w:w="0" w:type="dxa"/>
            <w:left w:w="108" w:type="dxa"/>
            <w:bottom w:w="0" w:type="dxa"/>
            <w:right w:w="108" w:type="dxa"/>
          </w:tblCellMar>
        </w:tblPrEx>
        <w:trPr>
          <w:trHeight w:val="23" w:hRule="atLeast"/>
        </w:trPr>
        <w:tc>
          <w:tcPr>
            <w:tcW w:w="1200" w:type="dxa"/>
            <w:tcBorders>
              <w:top w:val="single" w:color="auto" w:sz="8" w:space="0"/>
              <w:left w:val="single" w:color="auto" w:sz="8" w:space="0"/>
              <w:bottom w:val="single" w:color="auto" w:sz="4" w:space="0"/>
              <w:right w:val="single" w:color="auto" w:sz="4" w:space="0"/>
            </w:tcBorders>
            <w:shd w:val="clear" w:color="auto" w:fill="auto"/>
            <w:vAlign w:val="center"/>
          </w:tcPr>
          <w:p w14:paraId="01857AA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产品号</w:t>
            </w:r>
          </w:p>
        </w:tc>
        <w:tc>
          <w:tcPr>
            <w:tcW w:w="4680" w:type="dxa"/>
            <w:tcBorders>
              <w:top w:val="single" w:color="auto" w:sz="8" w:space="0"/>
              <w:left w:val="nil"/>
              <w:bottom w:val="single" w:color="auto" w:sz="4" w:space="0"/>
              <w:right w:val="single" w:color="auto" w:sz="4" w:space="0"/>
            </w:tcBorders>
            <w:shd w:val="clear" w:color="auto" w:fill="auto"/>
            <w:vAlign w:val="center"/>
          </w:tcPr>
          <w:p w14:paraId="78BF51E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品名</w:t>
            </w:r>
          </w:p>
        </w:tc>
        <w:tc>
          <w:tcPr>
            <w:tcW w:w="1500" w:type="dxa"/>
            <w:tcBorders>
              <w:top w:val="single" w:color="auto" w:sz="8" w:space="0"/>
              <w:left w:val="nil"/>
              <w:bottom w:val="single" w:color="auto" w:sz="4" w:space="0"/>
              <w:right w:val="single" w:color="auto" w:sz="8" w:space="0"/>
            </w:tcBorders>
            <w:shd w:val="clear" w:color="auto" w:fill="auto"/>
            <w:vAlign w:val="center"/>
          </w:tcPr>
          <w:p w14:paraId="5EB5EC3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单位</w:t>
            </w:r>
          </w:p>
        </w:tc>
        <w:tc>
          <w:tcPr>
            <w:tcW w:w="1760" w:type="dxa"/>
            <w:tcBorders>
              <w:top w:val="nil"/>
              <w:left w:val="nil"/>
              <w:bottom w:val="nil"/>
              <w:right w:val="nil"/>
            </w:tcBorders>
            <w:shd w:val="clear" w:color="auto" w:fill="auto"/>
            <w:noWrap/>
            <w:vAlign w:val="bottom"/>
          </w:tcPr>
          <w:p w14:paraId="0433A452">
            <w:pPr>
              <w:widowControl/>
              <w:jc w:val="center"/>
              <w:rPr>
                <w:rFonts w:hint="eastAsia" w:ascii="宋体" w:hAnsi="宋体" w:eastAsia="宋体" w:cs="宋体"/>
                <w:kern w:val="0"/>
                <w:sz w:val="21"/>
                <w:szCs w:val="21"/>
              </w:rPr>
            </w:pPr>
          </w:p>
        </w:tc>
      </w:tr>
      <w:tr w14:paraId="1772F8F4">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7CE660B0">
            <w:pPr>
              <w:widowControl/>
              <w:jc w:val="center"/>
              <w:rPr>
                <w:rFonts w:hint="eastAsia" w:ascii="宋体" w:hAnsi="宋体" w:eastAsia="宋体" w:cs="宋体"/>
                <w:kern w:val="0"/>
                <w:sz w:val="21"/>
                <w:szCs w:val="21"/>
              </w:rPr>
            </w:pPr>
            <w:r>
              <w:rPr>
                <w:rFonts w:hint="eastAsia" w:ascii="宋体" w:hAnsi="宋体" w:eastAsia="宋体" w:cs="宋体"/>
                <w:sz w:val="21"/>
                <w:szCs w:val="21"/>
              </w:rPr>
              <w:t>470026</w:t>
            </w:r>
          </w:p>
        </w:tc>
        <w:tc>
          <w:tcPr>
            <w:tcW w:w="4680" w:type="dxa"/>
            <w:tcBorders>
              <w:top w:val="nil"/>
              <w:left w:val="nil"/>
              <w:bottom w:val="single" w:color="auto" w:sz="4" w:space="0"/>
              <w:right w:val="single" w:color="auto" w:sz="4" w:space="0"/>
            </w:tcBorders>
            <w:shd w:val="clear" w:color="auto" w:fill="auto"/>
            <w:vAlign w:val="center"/>
          </w:tcPr>
          <w:p w14:paraId="2D1831A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三维电子内窥镜（0°）</w:t>
            </w:r>
          </w:p>
        </w:tc>
        <w:tc>
          <w:tcPr>
            <w:tcW w:w="1500" w:type="dxa"/>
            <w:tcBorders>
              <w:top w:val="nil"/>
              <w:left w:val="nil"/>
              <w:bottom w:val="single" w:color="auto" w:sz="4" w:space="0"/>
              <w:right w:val="single" w:color="auto" w:sz="8" w:space="0"/>
            </w:tcBorders>
            <w:shd w:val="clear" w:color="auto" w:fill="auto"/>
            <w:vAlign w:val="center"/>
          </w:tcPr>
          <w:p w14:paraId="1436AFDD">
            <w:pPr>
              <w:widowControl/>
              <w:jc w:val="center"/>
              <w:rPr>
                <w:rFonts w:hint="eastAsia" w:ascii="宋体" w:hAnsi="宋体" w:eastAsia="宋体" w:cs="宋体"/>
                <w:kern w:val="0"/>
                <w:sz w:val="21"/>
                <w:szCs w:val="21"/>
              </w:rPr>
            </w:pPr>
            <w:r>
              <w:rPr>
                <w:rFonts w:hint="eastAsia" w:ascii="宋体" w:hAnsi="宋体" w:eastAsia="宋体" w:cs="宋体"/>
                <w:sz w:val="21"/>
                <w:szCs w:val="21"/>
              </w:rPr>
              <w:t>个</w:t>
            </w:r>
          </w:p>
        </w:tc>
        <w:tc>
          <w:tcPr>
            <w:tcW w:w="1760" w:type="dxa"/>
            <w:tcBorders>
              <w:top w:val="nil"/>
              <w:left w:val="nil"/>
              <w:bottom w:val="nil"/>
              <w:right w:val="nil"/>
            </w:tcBorders>
            <w:shd w:val="clear" w:color="auto" w:fill="auto"/>
            <w:noWrap/>
            <w:vAlign w:val="bottom"/>
          </w:tcPr>
          <w:p w14:paraId="110567FC">
            <w:pPr>
              <w:widowControl/>
              <w:jc w:val="center"/>
              <w:rPr>
                <w:rFonts w:hint="eastAsia" w:ascii="宋体" w:hAnsi="宋体" w:eastAsia="宋体" w:cs="宋体"/>
                <w:kern w:val="0"/>
                <w:sz w:val="21"/>
                <w:szCs w:val="21"/>
              </w:rPr>
            </w:pPr>
          </w:p>
        </w:tc>
      </w:tr>
      <w:tr w14:paraId="2B949032">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41209A2A">
            <w:pPr>
              <w:widowControl/>
              <w:jc w:val="center"/>
              <w:rPr>
                <w:rFonts w:hint="eastAsia" w:ascii="宋体" w:hAnsi="宋体" w:eastAsia="宋体" w:cs="宋体"/>
                <w:kern w:val="0"/>
                <w:sz w:val="21"/>
                <w:szCs w:val="21"/>
              </w:rPr>
            </w:pPr>
            <w:r>
              <w:rPr>
                <w:rFonts w:hint="eastAsia" w:ascii="宋体" w:hAnsi="宋体" w:eastAsia="宋体" w:cs="宋体"/>
                <w:sz w:val="21"/>
                <w:szCs w:val="21"/>
              </w:rPr>
              <w:t>4700</w:t>
            </w:r>
            <w:r>
              <w:rPr>
                <w:rFonts w:hint="eastAsia" w:ascii="宋体" w:hAnsi="宋体" w:eastAsia="宋体" w:cs="宋体"/>
                <w:kern w:val="0"/>
                <w:sz w:val="21"/>
                <w:szCs w:val="21"/>
              </w:rPr>
              <w:t>56</w:t>
            </w:r>
          </w:p>
        </w:tc>
        <w:tc>
          <w:tcPr>
            <w:tcW w:w="4680" w:type="dxa"/>
            <w:tcBorders>
              <w:top w:val="nil"/>
              <w:left w:val="nil"/>
              <w:bottom w:val="single" w:color="auto" w:sz="4" w:space="0"/>
              <w:right w:val="single" w:color="auto" w:sz="4" w:space="0"/>
            </w:tcBorders>
            <w:shd w:val="clear" w:color="auto" w:fill="auto"/>
            <w:vAlign w:val="center"/>
          </w:tcPr>
          <w:p w14:paraId="1AC7148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三维电子内窥镜（0°）</w:t>
            </w:r>
          </w:p>
        </w:tc>
        <w:tc>
          <w:tcPr>
            <w:tcW w:w="1500" w:type="dxa"/>
            <w:tcBorders>
              <w:top w:val="nil"/>
              <w:left w:val="nil"/>
              <w:bottom w:val="single" w:color="auto" w:sz="4" w:space="0"/>
              <w:right w:val="single" w:color="auto" w:sz="8" w:space="0"/>
            </w:tcBorders>
            <w:shd w:val="clear" w:color="auto" w:fill="auto"/>
            <w:vAlign w:val="center"/>
          </w:tcPr>
          <w:p w14:paraId="626C3026">
            <w:pPr>
              <w:widowControl/>
              <w:jc w:val="center"/>
              <w:rPr>
                <w:rFonts w:hint="eastAsia" w:ascii="宋体" w:hAnsi="宋体" w:eastAsia="宋体" w:cs="宋体"/>
                <w:kern w:val="0"/>
                <w:sz w:val="21"/>
                <w:szCs w:val="21"/>
              </w:rPr>
            </w:pPr>
            <w:r>
              <w:rPr>
                <w:rFonts w:hint="eastAsia" w:ascii="宋体" w:hAnsi="宋体" w:eastAsia="宋体" w:cs="宋体"/>
                <w:sz w:val="21"/>
                <w:szCs w:val="21"/>
              </w:rPr>
              <w:t>个</w:t>
            </w:r>
          </w:p>
        </w:tc>
        <w:tc>
          <w:tcPr>
            <w:tcW w:w="1760" w:type="dxa"/>
            <w:tcBorders>
              <w:top w:val="nil"/>
              <w:left w:val="nil"/>
              <w:bottom w:val="nil"/>
              <w:right w:val="nil"/>
            </w:tcBorders>
            <w:shd w:val="clear" w:color="auto" w:fill="auto"/>
            <w:noWrap/>
            <w:vAlign w:val="bottom"/>
          </w:tcPr>
          <w:p w14:paraId="6B801438">
            <w:pPr>
              <w:widowControl/>
              <w:jc w:val="center"/>
              <w:rPr>
                <w:rFonts w:hint="eastAsia" w:ascii="宋体" w:hAnsi="宋体" w:eastAsia="宋体" w:cs="宋体"/>
                <w:kern w:val="0"/>
                <w:sz w:val="21"/>
                <w:szCs w:val="21"/>
              </w:rPr>
            </w:pPr>
          </w:p>
        </w:tc>
      </w:tr>
      <w:tr w14:paraId="2040499C">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6F33A81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4700</w:t>
            </w:r>
            <w:r>
              <w:rPr>
                <w:rFonts w:hint="eastAsia" w:ascii="宋体" w:hAnsi="宋体" w:eastAsia="宋体" w:cs="宋体"/>
                <w:sz w:val="21"/>
                <w:szCs w:val="21"/>
              </w:rPr>
              <w:t>27</w:t>
            </w:r>
          </w:p>
        </w:tc>
        <w:tc>
          <w:tcPr>
            <w:tcW w:w="4680" w:type="dxa"/>
            <w:tcBorders>
              <w:top w:val="nil"/>
              <w:left w:val="nil"/>
              <w:bottom w:val="single" w:color="auto" w:sz="4" w:space="0"/>
              <w:right w:val="single" w:color="auto" w:sz="4" w:space="0"/>
            </w:tcBorders>
            <w:shd w:val="clear" w:color="auto" w:fill="auto"/>
            <w:vAlign w:val="center"/>
          </w:tcPr>
          <w:p w14:paraId="2BC3CE2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三维电子内窥镜（30°）</w:t>
            </w:r>
          </w:p>
        </w:tc>
        <w:tc>
          <w:tcPr>
            <w:tcW w:w="1500" w:type="dxa"/>
            <w:tcBorders>
              <w:top w:val="nil"/>
              <w:left w:val="nil"/>
              <w:bottom w:val="single" w:color="auto" w:sz="4" w:space="0"/>
              <w:right w:val="single" w:color="auto" w:sz="8" w:space="0"/>
            </w:tcBorders>
            <w:shd w:val="clear" w:color="auto" w:fill="auto"/>
            <w:vAlign w:val="center"/>
          </w:tcPr>
          <w:p w14:paraId="11C85B5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c>
          <w:tcPr>
            <w:tcW w:w="1760" w:type="dxa"/>
            <w:tcBorders>
              <w:top w:val="nil"/>
              <w:left w:val="nil"/>
              <w:bottom w:val="nil"/>
              <w:right w:val="nil"/>
            </w:tcBorders>
            <w:shd w:val="clear" w:color="auto" w:fill="auto"/>
            <w:noWrap/>
            <w:vAlign w:val="bottom"/>
          </w:tcPr>
          <w:p w14:paraId="4E65537A">
            <w:pPr>
              <w:widowControl/>
              <w:jc w:val="center"/>
              <w:rPr>
                <w:rFonts w:hint="eastAsia" w:ascii="宋体" w:hAnsi="宋体" w:eastAsia="宋体" w:cs="宋体"/>
                <w:kern w:val="0"/>
                <w:sz w:val="21"/>
                <w:szCs w:val="21"/>
              </w:rPr>
            </w:pPr>
          </w:p>
        </w:tc>
      </w:tr>
      <w:tr w14:paraId="43DD5D7A">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8" w:space="0"/>
              <w:right w:val="single" w:color="auto" w:sz="4" w:space="0"/>
            </w:tcBorders>
            <w:shd w:val="clear" w:color="auto" w:fill="auto"/>
            <w:noWrap/>
            <w:vAlign w:val="center"/>
          </w:tcPr>
          <w:p w14:paraId="5D54BAC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470057</w:t>
            </w:r>
          </w:p>
        </w:tc>
        <w:tc>
          <w:tcPr>
            <w:tcW w:w="4680" w:type="dxa"/>
            <w:tcBorders>
              <w:top w:val="nil"/>
              <w:left w:val="nil"/>
              <w:bottom w:val="single" w:color="auto" w:sz="8" w:space="0"/>
              <w:right w:val="single" w:color="auto" w:sz="4" w:space="0"/>
            </w:tcBorders>
            <w:shd w:val="clear" w:color="auto" w:fill="auto"/>
            <w:vAlign w:val="center"/>
          </w:tcPr>
          <w:p w14:paraId="168EBE6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三维电子内窥镜（30°）</w:t>
            </w:r>
          </w:p>
        </w:tc>
        <w:tc>
          <w:tcPr>
            <w:tcW w:w="1500" w:type="dxa"/>
            <w:tcBorders>
              <w:top w:val="nil"/>
              <w:left w:val="nil"/>
              <w:bottom w:val="single" w:color="auto" w:sz="8" w:space="0"/>
              <w:right w:val="single" w:color="auto" w:sz="8" w:space="0"/>
            </w:tcBorders>
            <w:shd w:val="clear" w:color="auto" w:fill="auto"/>
            <w:vAlign w:val="center"/>
          </w:tcPr>
          <w:p w14:paraId="7D2B929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c>
          <w:tcPr>
            <w:tcW w:w="1760" w:type="dxa"/>
            <w:tcBorders>
              <w:top w:val="nil"/>
              <w:left w:val="nil"/>
              <w:bottom w:val="nil"/>
              <w:right w:val="nil"/>
            </w:tcBorders>
            <w:shd w:val="clear" w:color="auto" w:fill="auto"/>
            <w:noWrap/>
            <w:vAlign w:val="bottom"/>
          </w:tcPr>
          <w:p w14:paraId="0BA49463">
            <w:pPr>
              <w:widowControl/>
              <w:jc w:val="center"/>
              <w:rPr>
                <w:rFonts w:hint="eastAsia" w:ascii="宋体" w:hAnsi="宋体" w:eastAsia="宋体" w:cs="宋体"/>
                <w:kern w:val="0"/>
                <w:sz w:val="21"/>
                <w:szCs w:val="21"/>
              </w:rPr>
            </w:pPr>
          </w:p>
        </w:tc>
      </w:tr>
    </w:tbl>
    <w:p w14:paraId="3D0AAF91">
      <w:pPr>
        <w:spacing w:line="240" w:lineRule="auto"/>
        <w:ind w:firstLine="0" w:firstLineChars="0"/>
        <w:jc w:val="left"/>
        <w:rPr>
          <w:rFonts w:hint="eastAsia" w:ascii="宋体" w:hAnsi="宋体" w:cs="Arial"/>
          <w:bCs/>
          <w:color w:val="auto"/>
          <w:sz w:val="28"/>
          <w:szCs w:val="28"/>
          <w:highlight w:val="none"/>
          <w:u w:val="none"/>
          <w:lang w:val="en-US" w:eastAsia="zh-CN"/>
        </w:rPr>
      </w:pPr>
      <w:r>
        <w:rPr>
          <w:rFonts w:hint="eastAsia" w:ascii="宋体" w:hAnsi="宋体" w:cs="Arial"/>
          <w:bCs/>
          <w:color w:val="auto"/>
          <w:sz w:val="28"/>
          <w:szCs w:val="28"/>
          <w:highlight w:val="none"/>
          <w:u w:val="none"/>
          <w:lang w:val="en-US" w:eastAsia="zh-CN"/>
        </w:rPr>
        <w:br w:type="page"/>
      </w:r>
    </w:p>
    <w:p w14:paraId="36319770">
      <w:pPr>
        <w:spacing w:line="360" w:lineRule="auto"/>
        <w:ind w:firstLine="0" w:firstLineChars="0"/>
        <w:jc w:val="left"/>
        <w:rPr>
          <w:rFonts w:hint="eastAsia" w:ascii="宋体" w:hAnsi="宋体" w:cs="Arial"/>
          <w:bCs/>
          <w:color w:val="auto"/>
          <w:sz w:val="28"/>
          <w:szCs w:val="28"/>
          <w:highlight w:val="none"/>
          <w:u w:val="none"/>
          <w:lang w:val="en-US" w:eastAsia="zh-CN"/>
        </w:rPr>
      </w:pPr>
      <w:r>
        <w:rPr>
          <w:rFonts w:hint="eastAsia" w:ascii="宋体" w:hAnsi="宋体" w:cs="Arial"/>
          <w:bCs/>
          <w:color w:val="auto"/>
          <w:sz w:val="28"/>
          <w:szCs w:val="28"/>
          <w:highlight w:val="none"/>
          <w:u w:val="none"/>
          <w:lang w:val="en-US" w:eastAsia="zh-CN"/>
        </w:rPr>
        <w:t>附件：</w:t>
      </w:r>
    </w:p>
    <w:p w14:paraId="5081B2E5">
      <w:pPr>
        <w:jc w:val="center"/>
        <w:rPr>
          <w:rFonts w:hint="eastAsia" w:ascii="宋体" w:hAnsi="宋体" w:eastAsia="宋体" w:cs="Arial Unicode MS"/>
          <w:color w:val="auto"/>
          <w:sz w:val="44"/>
          <w:szCs w:val="44"/>
          <w:highlight w:val="none"/>
        </w:rPr>
      </w:pPr>
      <w:r>
        <w:rPr>
          <w:rFonts w:hint="eastAsia" w:ascii="宋体" w:hAnsi="宋体" w:eastAsia="宋体" w:cs="Arial Unicode MS"/>
          <w:color w:val="auto"/>
          <w:sz w:val="44"/>
          <w:szCs w:val="44"/>
          <w:highlight w:val="none"/>
        </w:rPr>
        <w:t>中小微企业划型标准</w:t>
      </w:r>
    </w:p>
    <w:p w14:paraId="27D61E70">
      <w:pPr>
        <w:ind w:left="1871"/>
        <w:rPr>
          <w:rFonts w:hint="eastAsia" w:ascii="宋体" w:hAnsi="宋体" w:eastAsia="宋体" w:cs="Arial Unicode MS"/>
          <w:color w:val="auto"/>
          <w:szCs w:val="21"/>
          <w:highlight w:val="none"/>
        </w:rPr>
      </w:pPr>
    </w:p>
    <w:tbl>
      <w:tblPr>
        <w:tblStyle w:val="49"/>
        <w:tblW w:w="7983" w:type="dxa"/>
        <w:jc w:val="center"/>
        <w:tblLayout w:type="fixed"/>
        <w:tblCellMar>
          <w:top w:w="0" w:type="dxa"/>
          <w:left w:w="108" w:type="dxa"/>
          <w:bottom w:w="0" w:type="dxa"/>
          <w:right w:w="108" w:type="dxa"/>
        </w:tblCellMar>
      </w:tblPr>
      <w:tblGrid>
        <w:gridCol w:w="1701"/>
        <w:gridCol w:w="1384"/>
        <w:gridCol w:w="913"/>
        <w:gridCol w:w="1620"/>
        <w:gridCol w:w="1440"/>
        <w:gridCol w:w="925"/>
      </w:tblGrid>
      <w:tr w14:paraId="2F414361">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7F8F52C2">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384" w:type="dxa"/>
            <w:tcBorders>
              <w:top w:val="single" w:color="auto" w:sz="4" w:space="0"/>
              <w:left w:val="nil"/>
              <w:bottom w:val="single" w:color="auto" w:sz="4" w:space="0"/>
              <w:right w:val="single" w:color="auto" w:sz="4" w:space="0"/>
            </w:tcBorders>
            <w:noWrap w:val="0"/>
            <w:vAlign w:val="center"/>
          </w:tcPr>
          <w:p w14:paraId="68AAED5E">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noWrap w:val="0"/>
            <w:vAlign w:val="center"/>
          </w:tcPr>
          <w:p w14:paraId="0969DD8A">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620" w:type="dxa"/>
            <w:tcBorders>
              <w:top w:val="single" w:color="auto" w:sz="4" w:space="0"/>
              <w:left w:val="nil"/>
              <w:bottom w:val="single" w:color="auto" w:sz="4" w:space="0"/>
              <w:right w:val="single" w:color="auto" w:sz="4" w:space="0"/>
            </w:tcBorders>
            <w:noWrap w:val="0"/>
            <w:vAlign w:val="center"/>
          </w:tcPr>
          <w:p w14:paraId="3287A815">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440" w:type="dxa"/>
            <w:tcBorders>
              <w:top w:val="single" w:color="auto" w:sz="4" w:space="0"/>
              <w:left w:val="nil"/>
              <w:bottom w:val="single" w:color="auto" w:sz="4" w:space="0"/>
              <w:right w:val="single" w:color="auto" w:sz="4" w:space="0"/>
            </w:tcBorders>
            <w:noWrap w:val="0"/>
            <w:vAlign w:val="center"/>
          </w:tcPr>
          <w:p w14:paraId="5F42FD8C">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925" w:type="dxa"/>
            <w:tcBorders>
              <w:top w:val="single" w:color="auto" w:sz="4" w:space="0"/>
              <w:left w:val="nil"/>
              <w:bottom w:val="single" w:color="auto" w:sz="4" w:space="0"/>
              <w:right w:val="single" w:color="auto" w:sz="4" w:space="0"/>
            </w:tcBorders>
            <w:noWrap w:val="0"/>
            <w:vAlign w:val="center"/>
          </w:tcPr>
          <w:p w14:paraId="042EDB18">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755CD77E">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0"/>
            <w:vAlign w:val="bottom"/>
          </w:tcPr>
          <w:p w14:paraId="002A85D9">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384" w:type="dxa"/>
            <w:tcBorders>
              <w:top w:val="nil"/>
              <w:left w:val="nil"/>
              <w:bottom w:val="single" w:color="auto" w:sz="4" w:space="0"/>
              <w:right w:val="single" w:color="auto" w:sz="4" w:space="0"/>
            </w:tcBorders>
            <w:noWrap w:val="0"/>
            <w:vAlign w:val="center"/>
          </w:tcPr>
          <w:p w14:paraId="5CABF4C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68D3267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56F8D0D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440" w:type="dxa"/>
            <w:tcBorders>
              <w:top w:val="nil"/>
              <w:left w:val="nil"/>
              <w:bottom w:val="single" w:color="auto" w:sz="4" w:space="0"/>
              <w:right w:val="single" w:color="auto" w:sz="4" w:space="0"/>
            </w:tcBorders>
            <w:noWrap w:val="0"/>
            <w:vAlign w:val="center"/>
          </w:tcPr>
          <w:p w14:paraId="4202AE8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925" w:type="dxa"/>
            <w:tcBorders>
              <w:top w:val="nil"/>
              <w:left w:val="nil"/>
              <w:bottom w:val="single" w:color="auto" w:sz="4" w:space="0"/>
              <w:right w:val="single" w:color="auto" w:sz="4" w:space="0"/>
            </w:tcBorders>
            <w:noWrap w:val="0"/>
            <w:vAlign w:val="center"/>
          </w:tcPr>
          <w:p w14:paraId="70C573D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16E000A3">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46201509">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384" w:type="dxa"/>
            <w:tcBorders>
              <w:top w:val="nil"/>
              <w:left w:val="nil"/>
              <w:bottom w:val="single" w:color="auto" w:sz="4" w:space="0"/>
              <w:right w:val="single" w:color="auto" w:sz="4" w:space="0"/>
            </w:tcBorders>
            <w:noWrap w:val="0"/>
            <w:vAlign w:val="center"/>
          </w:tcPr>
          <w:p w14:paraId="03E5FDC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1D3D075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02FA2C9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5281A88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noWrap w:val="0"/>
            <w:vAlign w:val="center"/>
          </w:tcPr>
          <w:p w14:paraId="47A7ECD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32558B4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44B37CF2">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66E9949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66417BD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096B13C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440" w:type="dxa"/>
            <w:tcBorders>
              <w:top w:val="nil"/>
              <w:left w:val="nil"/>
              <w:bottom w:val="single" w:color="auto" w:sz="4" w:space="0"/>
              <w:right w:val="single" w:color="auto" w:sz="4" w:space="0"/>
            </w:tcBorders>
            <w:noWrap w:val="0"/>
            <w:vAlign w:val="center"/>
          </w:tcPr>
          <w:p w14:paraId="6514C32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925" w:type="dxa"/>
            <w:tcBorders>
              <w:top w:val="nil"/>
              <w:left w:val="nil"/>
              <w:bottom w:val="single" w:color="auto" w:sz="4" w:space="0"/>
              <w:right w:val="single" w:color="auto" w:sz="4" w:space="0"/>
            </w:tcBorders>
            <w:noWrap w:val="0"/>
            <w:vAlign w:val="center"/>
          </w:tcPr>
          <w:p w14:paraId="0A0ECA9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51AC754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49E9AB4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384" w:type="dxa"/>
            <w:tcBorders>
              <w:top w:val="nil"/>
              <w:left w:val="nil"/>
              <w:bottom w:val="single" w:color="auto" w:sz="4" w:space="0"/>
              <w:right w:val="single" w:color="auto" w:sz="4" w:space="0"/>
            </w:tcBorders>
            <w:noWrap w:val="0"/>
            <w:vAlign w:val="center"/>
          </w:tcPr>
          <w:p w14:paraId="175D8F4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6AEEC58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50D6AA8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440" w:type="dxa"/>
            <w:tcBorders>
              <w:top w:val="nil"/>
              <w:left w:val="nil"/>
              <w:bottom w:val="single" w:color="auto" w:sz="4" w:space="0"/>
              <w:right w:val="single" w:color="auto" w:sz="4" w:space="0"/>
            </w:tcBorders>
            <w:noWrap w:val="0"/>
            <w:vAlign w:val="center"/>
          </w:tcPr>
          <w:p w14:paraId="314E4AA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925" w:type="dxa"/>
            <w:tcBorders>
              <w:top w:val="nil"/>
              <w:left w:val="nil"/>
              <w:bottom w:val="single" w:color="auto" w:sz="4" w:space="0"/>
              <w:right w:val="single" w:color="auto" w:sz="4" w:space="0"/>
            </w:tcBorders>
            <w:noWrap w:val="0"/>
            <w:vAlign w:val="center"/>
          </w:tcPr>
          <w:p w14:paraId="4E106C7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57B2EA00">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1C46501D">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3D23188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6223DF0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09A499D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440" w:type="dxa"/>
            <w:tcBorders>
              <w:top w:val="nil"/>
              <w:left w:val="nil"/>
              <w:bottom w:val="single" w:color="auto" w:sz="4" w:space="0"/>
              <w:right w:val="single" w:color="auto" w:sz="4" w:space="0"/>
            </w:tcBorders>
            <w:noWrap w:val="0"/>
            <w:vAlign w:val="center"/>
          </w:tcPr>
          <w:p w14:paraId="5D6D6DC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925" w:type="dxa"/>
            <w:tcBorders>
              <w:top w:val="nil"/>
              <w:left w:val="nil"/>
              <w:bottom w:val="single" w:color="auto" w:sz="4" w:space="0"/>
              <w:right w:val="single" w:color="auto" w:sz="4" w:space="0"/>
            </w:tcBorders>
            <w:noWrap w:val="0"/>
            <w:vAlign w:val="center"/>
          </w:tcPr>
          <w:p w14:paraId="7F6FDA9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3DBD34F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4A5ED2E0">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384" w:type="dxa"/>
            <w:tcBorders>
              <w:top w:val="nil"/>
              <w:left w:val="nil"/>
              <w:bottom w:val="single" w:color="auto" w:sz="4" w:space="0"/>
              <w:right w:val="single" w:color="auto" w:sz="4" w:space="0"/>
            </w:tcBorders>
            <w:noWrap w:val="0"/>
            <w:vAlign w:val="center"/>
          </w:tcPr>
          <w:p w14:paraId="71957A5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5E9282D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18D17B9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440" w:type="dxa"/>
            <w:tcBorders>
              <w:top w:val="nil"/>
              <w:left w:val="nil"/>
              <w:bottom w:val="single" w:color="auto" w:sz="4" w:space="0"/>
              <w:right w:val="single" w:color="auto" w:sz="4" w:space="0"/>
            </w:tcBorders>
            <w:noWrap w:val="0"/>
            <w:vAlign w:val="center"/>
          </w:tcPr>
          <w:p w14:paraId="2DDF5D4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925" w:type="dxa"/>
            <w:tcBorders>
              <w:top w:val="nil"/>
              <w:left w:val="nil"/>
              <w:bottom w:val="single" w:color="auto" w:sz="4" w:space="0"/>
              <w:right w:val="single" w:color="auto" w:sz="4" w:space="0"/>
            </w:tcBorders>
            <w:noWrap w:val="0"/>
            <w:vAlign w:val="center"/>
          </w:tcPr>
          <w:p w14:paraId="370B830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5D53234B">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3E847973">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5F1D02E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1DDFF51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1957C5A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440" w:type="dxa"/>
            <w:tcBorders>
              <w:top w:val="nil"/>
              <w:left w:val="nil"/>
              <w:bottom w:val="single" w:color="auto" w:sz="4" w:space="0"/>
              <w:right w:val="single" w:color="auto" w:sz="4" w:space="0"/>
            </w:tcBorders>
            <w:noWrap w:val="0"/>
            <w:vAlign w:val="center"/>
          </w:tcPr>
          <w:p w14:paraId="10C59DB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925" w:type="dxa"/>
            <w:tcBorders>
              <w:top w:val="nil"/>
              <w:left w:val="nil"/>
              <w:bottom w:val="single" w:color="auto" w:sz="4" w:space="0"/>
              <w:right w:val="single" w:color="auto" w:sz="4" w:space="0"/>
            </w:tcBorders>
            <w:noWrap w:val="0"/>
            <w:vAlign w:val="center"/>
          </w:tcPr>
          <w:p w14:paraId="53B1E1F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7E828F8F">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4756653C">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384" w:type="dxa"/>
            <w:tcBorders>
              <w:top w:val="nil"/>
              <w:left w:val="nil"/>
              <w:bottom w:val="single" w:color="auto" w:sz="4" w:space="0"/>
              <w:right w:val="single" w:color="auto" w:sz="4" w:space="0"/>
            </w:tcBorders>
            <w:noWrap w:val="0"/>
            <w:vAlign w:val="center"/>
          </w:tcPr>
          <w:p w14:paraId="54590FD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7852B74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75BCA66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440" w:type="dxa"/>
            <w:tcBorders>
              <w:top w:val="nil"/>
              <w:left w:val="nil"/>
              <w:bottom w:val="single" w:color="auto" w:sz="4" w:space="0"/>
              <w:right w:val="single" w:color="auto" w:sz="4" w:space="0"/>
            </w:tcBorders>
            <w:noWrap w:val="0"/>
            <w:vAlign w:val="center"/>
          </w:tcPr>
          <w:p w14:paraId="1928EB8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925" w:type="dxa"/>
            <w:tcBorders>
              <w:top w:val="nil"/>
              <w:left w:val="nil"/>
              <w:bottom w:val="single" w:color="auto" w:sz="4" w:space="0"/>
              <w:right w:val="single" w:color="auto" w:sz="4" w:space="0"/>
            </w:tcBorders>
            <w:noWrap w:val="0"/>
            <w:vAlign w:val="center"/>
          </w:tcPr>
          <w:p w14:paraId="262DEC7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3EAAE4C6">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7E98F535">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728DDEC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6586DCF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7013FC4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440" w:type="dxa"/>
            <w:tcBorders>
              <w:top w:val="nil"/>
              <w:left w:val="nil"/>
              <w:bottom w:val="single" w:color="auto" w:sz="4" w:space="0"/>
              <w:right w:val="single" w:color="auto" w:sz="4" w:space="0"/>
            </w:tcBorders>
            <w:noWrap w:val="0"/>
            <w:vAlign w:val="center"/>
          </w:tcPr>
          <w:p w14:paraId="5593FB0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925" w:type="dxa"/>
            <w:tcBorders>
              <w:top w:val="nil"/>
              <w:left w:val="nil"/>
              <w:bottom w:val="single" w:color="auto" w:sz="4" w:space="0"/>
              <w:right w:val="single" w:color="auto" w:sz="4" w:space="0"/>
            </w:tcBorders>
            <w:noWrap w:val="0"/>
            <w:vAlign w:val="center"/>
          </w:tcPr>
          <w:p w14:paraId="6A38988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E683EFB">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1047FDDB">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384" w:type="dxa"/>
            <w:tcBorders>
              <w:top w:val="nil"/>
              <w:left w:val="nil"/>
              <w:bottom w:val="single" w:color="auto" w:sz="4" w:space="0"/>
              <w:right w:val="single" w:color="auto" w:sz="4" w:space="0"/>
            </w:tcBorders>
            <w:noWrap w:val="0"/>
            <w:vAlign w:val="center"/>
          </w:tcPr>
          <w:p w14:paraId="22C8DA8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3DD9FC6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06FCEEF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566CE15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noWrap w:val="0"/>
            <w:vAlign w:val="center"/>
          </w:tcPr>
          <w:p w14:paraId="2D96BBA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0CD3A7CB">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397ABE70">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4E4B71F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0D57BBE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516B269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000000≤Y＜0000000</w:t>
            </w:r>
          </w:p>
        </w:tc>
        <w:tc>
          <w:tcPr>
            <w:tcW w:w="1440" w:type="dxa"/>
            <w:tcBorders>
              <w:top w:val="nil"/>
              <w:left w:val="nil"/>
              <w:bottom w:val="single" w:color="auto" w:sz="4" w:space="0"/>
              <w:right w:val="single" w:color="auto" w:sz="4" w:space="0"/>
            </w:tcBorders>
            <w:noWrap w:val="0"/>
            <w:vAlign w:val="center"/>
          </w:tcPr>
          <w:p w14:paraId="1DBA81E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200≤Y＜000000</w:t>
            </w:r>
          </w:p>
        </w:tc>
        <w:tc>
          <w:tcPr>
            <w:tcW w:w="925" w:type="dxa"/>
            <w:tcBorders>
              <w:top w:val="nil"/>
              <w:left w:val="nil"/>
              <w:bottom w:val="single" w:color="auto" w:sz="4" w:space="0"/>
              <w:right w:val="single" w:color="auto" w:sz="4" w:space="0"/>
            </w:tcBorders>
            <w:noWrap w:val="0"/>
            <w:vAlign w:val="center"/>
          </w:tcPr>
          <w:p w14:paraId="676FCDE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2C626E4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441991B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384" w:type="dxa"/>
            <w:tcBorders>
              <w:top w:val="nil"/>
              <w:left w:val="nil"/>
              <w:bottom w:val="single" w:color="auto" w:sz="4" w:space="0"/>
              <w:right w:val="single" w:color="auto" w:sz="4" w:space="0"/>
            </w:tcBorders>
            <w:noWrap w:val="0"/>
            <w:vAlign w:val="center"/>
          </w:tcPr>
          <w:p w14:paraId="7E9EDDD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7EEA88A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1D9E959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440" w:type="dxa"/>
            <w:tcBorders>
              <w:top w:val="nil"/>
              <w:left w:val="nil"/>
              <w:bottom w:val="single" w:color="auto" w:sz="4" w:space="0"/>
              <w:right w:val="single" w:color="auto" w:sz="4" w:space="0"/>
            </w:tcBorders>
            <w:noWrap w:val="0"/>
            <w:vAlign w:val="center"/>
          </w:tcPr>
          <w:p w14:paraId="31A0A97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925" w:type="dxa"/>
            <w:tcBorders>
              <w:top w:val="nil"/>
              <w:left w:val="nil"/>
              <w:bottom w:val="single" w:color="auto" w:sz="4" w:space="0"/>
              <w:right w:val="single" w:color="auto" w:sz="4" w:space="0"/>
            </w:tcBorders>
            <w:noWrap w:val="0"/>
            <w:vAlign w:val="center"/>
          </w:tcPr>
          <w:p w14:paraId="61AFBED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5B92A153">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1E6377C8">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416FB61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5E63ED4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3565978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1000≤Y＜0000000</w:t>
            </w:r>
          </w:p>
        </w:tc>
        <w:tc>
          <w:tcPr>
            <w:tcW w:w="1440" w:type="dxa"/>
            <w:tcBorders>
              <w:top w:val="nil"/>
              <w:left w:val="nil"/>
              <w:bottom w:val="single" w:color="auto" w:sz="4" w:space="0"/>
              <w:right w:val="single" w:color="auto" w:sz="4" w:space="0"/>
            </w:tcBorders>
            <w:noWrap w:val="0"/>
            <w:vAlign w:val="center"/>
          </w:tcPr>
          <w:p w14:paraId="6A054A9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925" w:type="dxa"/>
            <w:tcBorders>
              <w:top w:val="nil"/>
              <w:left w:val="nil"/>
              <w:bottom w:val="single" w:color="auto" w:sz="4" w:space="0"/>
              <w:right w:val="single" w:color="auto" w:sz="4" w:space="0"/>
            </w:tcBorders>
            <w:noWrap w:val="0"/>
            <w:vAlign w:val="center"/>
          </w:tcPr>
          <w:p w14:paraId="3E88DD3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014DD7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38F5DC1D">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384" w:type="dxa"/>
            <w:tcBorders>
              <w:top w:val="nil"/>
              <w:left w:val="nil"/>
              <w:bottom w:val="single" w:color="auto" w:sz="4" w:space="0"/>
              <w:right w:val="single" w:color="auto" w:sz="4" w:space="0"/>
            </w:tcBorders>
            <w:noWrap w:val="0"/>
            <w:vAlign w:val="center"/>
          </w:tcPr>
          <w:p w14:paraId="5DE4C69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564215B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03BDCE9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13866B5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noWrap w:val="0"/>
            <w:vAlign w:val="center"/>
          </w:tcPr>
          <w:p w14:paraId="3BF9AD7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43A74702">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2F7B58FC">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4F79F58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4043D03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5C7ADA3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2000≤Y＜0000000</w:t>
            </w:r>
          </w:p>
        </w:tc>
        <w:tc>
          <w:tcPr>
            <w:tcW w:w="1440" w:type="dxa"/>
            <w:tcBorders>
              <w:top w:val="nil"/>
              <w:left w:val="nil"/>
              <w:bottom w:val="single" w:color="auto" w:sz="4" w:space="0"/>
              <w:right w:val="single" w:color="auto" w:sz="4" w:space="0"/>
            </w:tcBorders>
            <w:noWrap w:val="0"/>
            <w:vAlign w:val="center"/>
          </w:tcPr>
          <w:p w14:paraId="176CE08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noWrap w:val="0"/>
            <w:vAlign w:val="center"/>
          </w:tcPr>
          <w:p w14:paraId="16983EA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D04B35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0D5FE1A6">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384" w:type="dxa"/>
            <w:tcBorders>
              <w:top w:val="nil"/>
              <w:left w:val="nil"/>
              <w:bottom w:val="single" w:color="auto" w:sz="4" w:space="0"/>
              <w:right w:val="single" w:color="auto" w:sz="4" w:space="0"/>
            </w:tcBorders>
            <w:noWrap w:val="0"/>
            <w:vAlign w:val="center"/>
          </w:tcPr>
          <w:p w14:paraId="624C67A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37161D2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207E461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13AB89E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255FEED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7080DADF">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62FDAFEC">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1739E22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0A91F78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44211FB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440" w:type="dxa"/>
            <w:tcBorders>
              <w:top w:val="nil"/>
              <w:left w:val="nil"/>
              <w:bottom w:val="single" w:color="auto" w:sz="4" w:space="0"/>
              <w:right w:val="single" w:color="auto" w:sz="4" w:space="0"/>
            </w:tcBorders>
            <w:noWrap w:val="0"/>
            <w:vAlign w:val="center"/>
          </w:tcPr>
          <w:p w14:paraId="4C56BFF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noWrap w:val="0"/>
            <w:vAlign w:val="center"/>
          </w:tcPr>
          <w:p w14:paraId="481E6AF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B134D0C">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64483A5D">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384" w:type="dxa"/>
            <w:tcBorders>
              <w:top w:val="nil"/>
              <w:left w:val="nil"/>
              <w:bottom w:val="single" w:color="auto" w:sz="4" w:space="0"/>
              <w:right w:val="single" w:color="auto" w:sz="4" w:space="0"/>
            </w:tcBorders>
            <w:noWrap w:val="0"/>
            <w:vAlign w:val="center"/>
          </w:tcPr>
          <w:p w14:paraId="0D15640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73E150D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261FDD0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3EC311E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40B2DE1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3D5068F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65348BFA">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28B5F30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4BB8E46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2898DBF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440" w:type="dxa"/>
            <w:tcBorders>
              <w:top w:val="nil"/>
              <w:left w:val="nil"/>
              <w:bottom w:val="single" w:color="auto" w:sz="4" w:space="0"/>
              <w:right w:val="single" w:color="auto" w:sz="4" w:space="0"/>
            </w:tcBorders>
            <w:noWrap w:val="0"/>
            <w:vAlign w:val="center"/>
          </w:tcPr>
          <w:p w14:paraId="4143B96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noWrap w:val="0"/>
            <w:vAlign w:val="center"/>
          </w:tcPr>
          <w:p w14:paraId="1115716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398148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65B3C0B3">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384" w:type="dxa"/>
            <w:tcBorders>
              <w:top w:val="nil"/>
              <w:left w:val="nil"/>
              <w:bottom w:val="single" w:color="auto" w:sz="4" w:space="0"/>
              <w:right w:val="single" w:color="auto" w:sz="4" w:space="0"/>
            </w:tcBorders>
            <w:noWrap w:val="0"/>
            <w:vAlign w:val="center"/>
          </w:tcPr>
          <w:p w14:paraId="29E47F1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0C42066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65C10D1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440" w:type="dxa"/>
            <w:tcBorders>
              <w:top w:val="nil"/>
              <w:left w:val="nil"/>
              <w:bottom w:val="single" w:color="auto" w:sz="4" w:space="0"/>
              <w:right w:val="single" w:color="auto" w:sz="4" w:space="0"/>
            </w:tcBorders>
            <w:noWrap w:val="0"/>
            <w:vAlign w:val="center"/>
          </w:tcPr>
          <w:p w14:paraId="5773500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7B4AF81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B148448">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2EA180DE">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38A6687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21AA72B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326B1F4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440" w:type="dxa"/>
            <w:tcBorders>
              <w:top w:val="nil"/>
              <w:left w:val="nil"/>
              <w:bottom w:val="single" w:color="auto" w:sz="4" w:space="0"/>
              <w:right w:val="single" w:color="auto" w:sz="4" w:space="0"/>
            </w:tcBorders>
            <w:noWrap w:val="0"/>
            <w:vAlign w:val="center"/>
          </w:tcPr>
          <w:p w14:paraId="5E11E9E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925" w:type="dxa"/>
            <w:tcBorders>
              <w:top w:val="nil"/>
              <w:left w:val="nil"/>
              <w:bottom w:val="single" w:color="auto" w:sz="4" w:space="0"/>
              <w:right w:val="single" w:color="auto" w:sz="4" w:space="0"/>
            </w:tcBorders>
            <w:noWrap w:val="0"/>
            <w:vAlign w:val="center"/>
          </w:tcPr>
          <w:p w14:paraId="49E0B48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E65FC15">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028579E6">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384" w:type="dxa"/>
            <w:tcBorders>
              <w:top w:val="nil"/>
              <w:left w:val="nil"/>
              <w:bottom w:val="single" w:color="auto" w:sz="4" w:space="0"/>
              <w:right w:val="single" w:color="auto" w:sz="4" w:space="0"/>
            </w:tcBorders>
            <w:noWrap w:val="0"/>
            <w:vAlign w:val="center"/>
          </w:tcPr>
          <w:p w14:paraId="4AFBBFF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432B4FB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11887F5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07D89BD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4DB3A02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7F4D1D6A">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28EE5691">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56B357C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3724585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56E1EC2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440" w:type="dxa"/>
            <w:tcBorders>
              <w:top w:val="nil"/>
              <w:left w:val="nil"/>
              <w:bottom w:val="single" w:color="auto" w:sz="4" w:space="0"/>
              <w:right w:val="single" w:color="auto" w:sz="4" w:space="0"/>
            </w:tcBorders>
            <w:noWrap w:val="0"/>
            <w:vAlign w:val="center"/>
          </w:tcPr>
          <w:p w14:paraId="16347FB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925" w:type="dxa"/>
            <w:tcBorders>
              <w:top w:val="nil"/>
              <w:left w:val="nil"/>
              <w:bottom w:val="single" w:color="auto" w:sz="4" w:space="0"/>
              <w:right w:val="single" w:color="auto" w:sz="4" w:space="0"/>
            </w:tcBorders>
            <w:noWrap w:val="0"/>
            <w:vAlign w:val="center"/>
          </w:tcPr>
          <w:p w14:paraId="4CE2868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1BBB160A">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06E6306D">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384" w:type="dxa"/>
            <w:tcBorders>
              <w:top w:val="nil"/>
              <w:left w:val="nil"/>
              <w:bottom w:val="single" w:color="auto" w:sz="4" w:space="0"/>
              <w:right w:val="single" w:color="auto" w:sz="4" w:space="0"/>
            </w:tcBorders>
            <w:noWrap w:val="0"/>
            <w:vAlign w:val="center"/>
          </w:tcPr>
          <w:p w14:paraId="16C8FB2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3BDE4D3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11CAD64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440" w:type="dxa"/>
            <w:tcBorders>
              <w:top w:val="nil"/>
              <w:left w:val="nil"/>
              <w:bottom w:val="single" w:color="auto" w:sz="4" w:space="0"/>
              <w:right w:val="single" w:color="auto" w:sz="4" w:space="0"/>
            </w:tcBorders>
            <w:noWrap w:val="0"/>
            <w:vAlign w:val="center"/>
          </w:tcPr>
          <w:p w14:paraId="14BCA2C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925" w:type="dxa"/>
            <w:tcBorders>
              <w:top w:val="nil"/>
              <w:left w:val="nil"/>
              <w:bottom w:val="single" w:color="auto" w:sz="4" w:space="0"/>
              <w:right w:val="single" w:color="auto" w:sz="4" w:space="0"/>
            </w:tcBorders>
            <w:noWrap w:val="0"/>
            <w:vAlign w:val="center"/>
          </w:tcPr>
          <w:p w14:paraId="617AF57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6042CD7B">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659A5597">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2E681F1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6114E09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4AEE5FF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440" w:type="dxa"/>
            <w:tcBorders>
              <w:top w:val="nil"/>
              <w:left w:val="nil"/>
              <w:bottom w:val="single" w:color="auto" w:sz="4" w:space="0"/>
              <w:right w:val="single" w:color="auto" w:sz="4" w:space="0"/>
            </w:tcBorders>
            <w:noWrap w:val="0"/>
            <w:vAlign w:val="center"/>
          </w:tcPr>
          <w:p w14:paraId="670D497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925" w:type="dxa"/>
            <w:tcBorders>
              <w:top w:val="nil"/>
              <w:left w:val="nil"/>
              <w:bottom w:val="single" w:color="auto" w:sz="4" w:space="0"/>
              <w:right w:val="single" w:color="auto" w:sz="4" w:space="0"/>
            </w:tcBorders>
            <w:noWrap w:val="0"/>
            <w:vAlign w:val="center"/>
          </w:tcPr>
          <w:p w14:paraId="186B3C1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4AAE25C0">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614DC790">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384" w:type="dxa"/>
            <w:tcBorders>
              <w:top w:val="nil"/>
              <w:left w:val="nil"/>
              <w:bottom w:val="single" w:color="auto" w:sz="4" w:space="0"/>
              <w:right w:val="single" w:color="auto" w:sz="4" w:space="0"/>
            </w:tcBorders>
            <w:noWrap w:val="0"/>
            <w:vAlign w:val="center"/>
          </w:tcPr>
          <w:p w14:paraId="5CB05E3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34009ED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695DCB0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385BDAA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925" w:type="dxa"/>
            <w:tcBorders>
              <w:top w:val="nil"/>
              <w:left w:val="nil"/>
              <w:bottom w:val="single" w:color="auto" w:sz="4" w:space="0"/>
              <w:right w:val="single" w:color="auto" w:sz="4" w:space="0"/>
            </w:tcBorders>
            <w:noWrap w:val="0"/>
            <w:vAlign w:val="center"/>
          </w:tcPr>
          <w:p w14:paraId="2674DCF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111C7F72">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47EF5671">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643C94B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03F1F08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25125F9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440" w:type="dxa"/>
            <w:tcBorders>
              <w:top w:val="nil"/>
              <w:left w:val="nil"/>
              <w:bottom w:val="single" w:color="auto" w:sz="4" w:space="0"/>
              <w:right w:val="single" w:color="auto" w:sz="4" w:space="0"/>
            </w:tcBorders>
            <w:noWrap w:val="0"/>
            <w:vAlign w:val="center"/>
          </w:tcPr>
          <w:p w14:paraId="3E788DD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925" w:type="dxa"/>
            <w:tcBorders>
              <w:top w:val="nil"/>
              <w:left w:val="nil"/>
              <w:bottom w:val="single" w:color="auto" w:sz="4" w:space="0"/>
              <w:right w:val="single" w:color="auto" w:sz="4" w:space="0"/>
            </w:tcBorders>
            <w:noWrap w:val="0"/>
            <w:vAlign w:val="center"/>
          </w:tcPr>
          <w:p w14:paraId="350F69B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6586A81C">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36A00CC5">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384" w:type="dxa"/>
            <w:tcBorders>
              <w:top w:val="nil"/>
              <w:left w:val="nil"/>
              <w:bottom w:val="single" w:color="auto" w:sz="4" w:space="0"/>
              <w:right w:val="single" w:color="auto" w:sz="4" w:space="0"/>
            </w:tcBorders>
            <w:noWrap w:val="0"/>
            <w:vAlign w:val="center"/>
          </w:tcPr>
          <w:p w14:paraId="563A246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5AFA97C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4D537F0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7CA34B3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1D402C7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053ABCC2">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12B63966">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36DE7B2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31852D8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2EED3DD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440" w:type="dxa"/>
            <w:tcBorders>
              <w:top w:val="nil"/>
              <w:left w:val="nil"/>
              <w:bottom w:val="single" w:color="auto" w:sz="4" w:space="0"/>
              <w:right w:val="single" w:color="auto" w:sz="4" w:space="0"/>
            </w:tcBorders>
            <w:noWrap w:val="0"/>
            <w:vAlign w:val="center"/>
          </w:tcPr>
          <w:p w14:paraId="7744F20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925" w:type="dxa"/>
            <w:tcBorders>
              <w:top w:val="nil"/>
              <w:left w:val="nil"/>
              <w:bottom w:val="single" w:color="auto" w:sz="4" w:space="0"/>
              <w:right w:val="single" w:color="auto" w:sz="4" w:space="0"/>
            </w:tcBorders>
            <w:noWrap w:val="0"/>
            <w:vAlign w:val="center"/>
          </w:tcPr>
          <w:p w14:paraId="765B7C4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964A090">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0"/>
            <w:vAlign w:val="bottom"/>
          </w:tcPr>
          <w:p w14:paraId="721929B4">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384" w:type="dxa"/>
            <w:tcBorders>
              <w:top w:val="nil"/>
              <w:left w:val="nil"/>
              <w:bottom w:val="single" w:color="auto" w:sz="4" w:space="0"/>
              <w:right w:val="single" w:color="auto" w:sz="4" w:space="0"/>
            </w:tcBorders>
            <w:noWrap w:val="0"/>
            <w:vAlign w:val="center"/>
          </w:tcPr>
          <w:p w14:paraId="48B2DA0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747C24A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22AE105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1D24600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3B0478A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06331806">
      <w:pPr>
        <w:spacing w:line="360" w:lineRule="auto"/>
        <w:ind w:firstLine="525" w:firstLineChars="250"/>
        <w:rPr>
          <w:rFonts w:hint="eastAsia" w:ascii="仿宋_GB2312" w:hAnsi="仿宋" w:eastAsia="仿宋_GB2312" w:cs="Times New Roman"/>
          <w:color w:val="auto"/>
          <w:szCs w:val="21"/>
          <w:highlight w:val="none"/>
        </w:rPr>
      </w:pPr>
    </w:p>
    <w:p w14:paraId="00A81BE2">
      <w:pPr>
        <w:spacing w:line="360" w:lineRule="auto"/>
        <w:ind w:firstLine="525" w:firstLineChars="250"/>
        <w:rPr>
          <w:rFonts w:ascii="仿宋_GB2312" w:hAnsi="仿宋" w:eastAsia="仿宋_GB2312" w:cs="Times New Roman"/>
          <w:color w:val="auto"/>
          <w:szCs w:val="21"/>
          <w:highlight w:val="none"/>
        </w:rPr>
      </w:pPr>
      <w:r>
        <w:rPr>
          <w:rFonts w:hint="eastAsia" w:ascii="仿宋_GB2312" w:hAnsi="仿宋" w:eastAsia="仿宋_GB2312" w:cs="Times New Roman"/>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FCF155D">
      <w:pPr>
        <w:snapToGrid w:val="0"/>
        <w:spacing w:before="120" w:beforeLines="50" w:after="50"/>
        <w:ind w:left="142"/>
        <w:jc w:val="left"/>
        <w:rPr>
          <w:rFonts w:hint="eastAsia" w:ascii="宋体" w:hAnsi="宋体" w:eastAsia="宋体" w:cs="Times New Roman"/>
          <w:b/>
          <w:color w:val="auto"/>
          <w:sz w:val="24"/>
          <w:highlight w:val="none"/>
        </w:rPr>
      </w:pPr>
    </w:p>
    <w:p w14:paraId="789A7A36">
      <w:pPr>
        <w:spacing w:line="360" w:lineRule="auto"/>
        <w:ind w:firstLine="0" w:firstLineChars="0"/>
        <w:jc w:val="left"/>
        <w:rPr>
          <w:rFonts w:hint="default" w:ascii="宋体" w:hAnsi="宋体" w:cs="Arial"/>
          <w:bCs/>
          <w:color w:val="auto"/>
          <w:szCs w:val="21"/>
          <w:highlight w:val="none"/>
          <w:u w:val="single"/>
          <w:lang w:val="en-US" w:eastAsia="zh-CN"/>
        </w:rPr>
      </w:pPr>
    </w:p>
    <w:bookmarkEnd w:id="39"/>
    <w:bookmarkEnd w:id="40"/>
    <w:p w14:paraId="4213B6E8">
      <w:pPr>
        <w:spacing w:before="56" w:line="219" w:lineRule="auto"/>
        <w:ind w:left="112"/>
        <w:rPr>
          <w:rFonts w:hint="eastAsia" w:ascii="宋体" w:hAnsi="宋体" w:cs="宋体"/>
          <w:b/>
          <w:color w:val="auto"/>
          <w:sz w:val="24"/>
          <w:highlight w:val="none"/>
        </w:rPr>
      </w:pPr>
    </w:p>
    <w:p w14:paraId="3D328800">
      <w:pPr>
        <w:spacing w:line="360" w:lineRule="auto"/>
        <w:ind w:firstLine="352" w:firstLineChars="147"/>
        <w:jc w:val="left"/>
        <w:rPr>
          <w:rFonts w:hint="eastAsia" w:ascii="宋体" w:hAnsi="宋体" w:cs="宋体"/>
          <w:bCs/>
          <w:color w:val="auto"/>
          <w:sz w:val="24"/>
          <w:szCs w:val="24"/>
          <w:highlight w:val="none"/>
        </w:rPr>
        <w:sectPr>
          <w:footerReference r:id="rId8" w:type="default"/>
          <w:pgSz w:w="11906" w:h="16838"/>
          <w:pgMar w:top="1304" w:right="1247" w:bottom="1304" w:left="1247" w:header="851" w:footer="567" w:gutter="0"/>
          <w:pgNumType w:fmt="decimal"/>
          <w:cols w:space="720" w:num="1"/>
          <w:docGrid w:linePitch="312" w:charSpace="0"/>
        </w:sectPr>
      </w:pPr>
    </w:p>
    <w:p w14:paraId="15010A0F">
      <w:pPr>
        <w:pStyle w:val="2"/>
        <w:jc w:val="center"/>
        <w:rPr>
          <w:rFonts w:hint="eastAsia"/>
          <w:color w:val="auto"/>
          <w:highlight w:val="none"/>
        </w:rPr>
      </w:pPr>
      <w:bookmarkStart w:id="41" w:name="_Toc10714"/>
      <w:r>
        <w:rPr>
          <w:rFonts w:hint="eastAsia"/>
          <w:color w:val="auto"/>
          <w:highlight w:val="none"/>
        </w:rPr>
        <w:t>第三章  投标人须知</w:t>
      </w:r>
      <w:bookmarkEnd w:id="41"/>
    </w:p>
    <w:p w14:paraId="4253BA31">
      <w:pPr>
        <w:jc w:val="center"/>
        <w:rPr>
          <w:rFonts w:hint="eastAsia"/>
          <w:color w:val="auto"/>
          <w:sz w:val="36"/>
          <w:szCs w:val="36"/>
          <w:highlight w:val="none"/>
        </w:rPr>
      </w:pPr>
      <w:bookmarkStart w:id="42" w:name="_Toc254970667"/>
      <w:bookmarkStart w:id="43" w:name="_Toc254970526"/>
      <w:r>
        <w:rPr>
          <w:rFonts w:hint="eastAsia"/>
          <w:color w:val="auto"/>
          <w:sz w:val="36"/>
          <w:szCs w:val="36"/>
          <w:highlight w:val="none"/>
        </w:rPr>
        <w:t>投标人须知前附表</w:t>
      </w:r>
      <w:bookmarkEnd w:id="42"/>
      <w:bookmarkEnd w:id="43"/>
    </w:p>
    <w:p w14:paraId="28B7C5C7">
      <w:pPr>
        <w:jc w:val="center"/>
        <w:rPr>
          <w:rFonts w:hint="eastAsia"/>
          <w:color w:val="auto"/>
          <w:sz w:val="36"/>
          <w:szCs w:val="36"/>
          <w:highlight w:val="none"/>
        </w:rPr>
      </w:pPr>
    </w:p>
    <w:tbl>
      <w:tblPr>
        <w:tblStyle w:val="49"/>
        <w:tblW w:w="96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708"/>
      </w:tblGrid>
      <w:tr w14:paraId="3A78ED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272559AA">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条款号</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2550DF00">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编列内容</w:t>
            </w:r>
          </w:p>
        </w:tc>
      </w:tr>
      <w:tr w14:paraId="6DE145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3FA4F937">
            <w:pPr>
              <w:spacing w:line="40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0B28013F">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投标人的资格要求：详见招标公告。</w:t>
            </w:r>
          </w:p>
        </w:tc>
      </w:tr>
      <w:tr w14:paraId="7ACB5B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7178DBCC">
            <w:pPr>
              <w:spacing w:line="400" w:lineRule="exact"/>
              <w:jc w:val="center"/>
              <w:rPr>
                <w:rFonts w:ascii="宋体" w:hAnsi="宋体"/>
                <w:color w:val="auto"/>
                <w:szCs w:val="21"/>
                <w:highlight w:val="none"/>
              </w:rPr>
            </w:pPr>
            <w:bookmarkStart w:id="44" w:name="_8.1"/>
            <w:bookmarkEnd w:id="44"/>
            <w:bookmarkStart w:id="45" w:name="_9.2"/>
            <w:bookmarkEnd w:id="45"/>
            <w:bookmarkStart w:id="46" w:name="_5"/>
            <w:bookmarkEnd w:id="46"/>
            <w:r>
              <w:rPr>
                <w:rFonts w:hint="eastAsia" w:ascii="宋体" w:hAnsi="宋体"/>
                <w:color w:val="auto"/>
                <w:szCs w:val="21"/>
                <w:highlight w:val="none"/>
              </w:rPr>
              <w:t>6.1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76188502">
            <w:pPr>
              <w:pStyle w:val="18"/>
              <w:spacing w:line="400" w:lineRule="exact"/>
              <w:rPr>
                <w:rFonts w:hint="eastAsia" w:ascii="宋体" w:hAnsi="宋体"/>
                <w:color w:val="auto"/>
                <w:szCs w:val="21"/>
                <w:highlight w:val="none"/>
              </w:rPr>
            </w:pPr>
            <w:r>
              <w:rPr>
                <w:rFonts w:hint="eastAsia" w:ascii="宋体" w:hAnsi="宋体"/>
                <w:color w:val="auto"/>
                <w:szCs w:val="21"/>
                <w:highlight w:val="none"/>
              </w:rPr>
              <w:t>本项目是否接受联合体投标：详见招标公告。</w:t>
            </w:r>
          </w:p>
        </w:tc>
      </w:tr>
      <w:tr w14:paraId="26AEFE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10B2FD3D">
            <w:pPr>
              <w:spacing w:line="400" w:lineRule="exact"/>
              <w:jc w:val="center"/>
              <w:rPr>
                <w:rFonts w:hint="eastAsia" w:ascii="宋体" w:hAnsi="宋体"/>
                <w:color w:val="auto"/>
                <w:szCs w:val="21"/>
                <w:highlight w:val="none"/>
              </w:rPr>
            </w:pPr>
            <w:r>
              <w:rPr>
                <w:rFonts w:ascii="宋体" w:hAnsi="宋体"/>
                <w:color w:val="auto"/>
                <w:szCs w:val="21"/>
                <w:highlight w:val="none"/>
              </w:rPr>
              <w:t>6.2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52113C1A">
            <w:pPr>
              <w:autoSpaceDE w:val="0"/>
              <w:autoSpaceDN w:val="0"/>
              <w:snapToGrid w:val="0"/>
              <w:spacing w:line="400" w:lineRule="exact"/>
              <w:textAlignment w:val="bottom"/>
              <w:rPr>
                <w:rFonts w:hint="eastAsia" w:ascii="宋体" w:hAnsi="宋体"/>
                <w:color w:val="auto"/>
                <w:szCs w:val="21"/>
                <w:highlight w:val="none"/>
              </w:rPr>
            </w:pPr>
            <w:bookmarkStart w:id="47" w:name="_Hlk54105293"/>
            <w:r>
              <w:rPr>
                <w:rFonts w:hint="eastAsia" w:ascii="宋体" w:hAnsi="宋体"/>
                <w:color w:val="auto"/>
                <w:szCs w:val="21"/>
                <w:highlight w:val="none"/>
              </w:rPr>
              <w:t>如接受联合体投标，</w:t>
            </w:r>
            <w:bookmarkEnd w:id="47"/>
            <w:r>
              <w:rPr>
                <w:rFonts w:hint="eastAsia" w:ascii="宋体" w:hAnsi="宋体"/>
                <w:color w:val="auto"/>
                <w:szCs w:val="21"/>
                <w:highlight w:val="none"/>
              </w:rPr>
              <w:t>联合体投标要求如下：</w:t>
            </w:r>
          </w:p>
          <w:p w14:paraId="554E2DA6">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1、两个以上投标人可以组成一个投标联合体，以一个投标人的身份共同参加投标，联合体投标人的名称应统一按“XXX 公司与 XXX 公司的联合体”的规则填写。</w:t>
            </w:r>
            <w:r>
              <w:rPr>
                <w:rFonts w:hint="eastAsia" w:ascii="宋体" w:hAnsi="宋体"/>
                <w:color w:val="auto"/>
                <w:szCs w:val="21"/>
                <w:highlight w:val="none"/>
              </w:rPr>
              <w:tab/>
            </w:r>
          </w:p>
          <w:p w14:paraId="10614764">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本项目招标公告“申请人的资格要求”第3点 “3、本项目的特定资格要求”的要求。</w:t>
            </w:r>
          </w:p>
          <w:p w14:paraId="28688792">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3、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r>
              <w:rPr>
                <w:rFonts w:hint="eastAsia" w:ascii="宋体" w:hAnsi="宋体"/>
                <w:color w:val="auto"/>
                <w:szCs w:val="21"/>
                <w:highlight w:val="none"/>
              </w:rPr>
              <w:tab/>
            </w:r>
          </w:p>
          <w:p w14:paraId="4BEB6DA2">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4、以联合体形式参加政府采购活动的，联合体各方不得再单独参加或者与其他投标人另外组成联合体参加同一合同项下的政府采购活动，否则与之相关的投标文件作废。</w:t>
            </w:r>
            <w:r>
              <w:rPr>
                <w:rFonts w:hint="eastAsia" w:ascii="宋体" w:hAnsi="宋体"/>
                <w:color w:val="auto"/>
                <w:szCs w:val="21"/>
                <w:highlight w:val="none"/>
              </w:rPr>
              <w:tab/>
            </w:r>
            <w:r>
              <w:rPr>
                <w:rFonts w:hint="eastAsia" w:ascii="宋体" w:hAnsi="宋体"/>
                <w:color w:val="auto"/>
                <w:szCs w:val="21"/>
                <w:highlight w:val="none"/>
              </w:rPr>
              <w:tab/>
            </w:r>
          </w:p>
          <w:p w14:paraId="32857A30">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5、联合体中有同类资质的投标人按照联合体分工承担相同工作的，应当按照资质等级较低的投标人确定资质等级。</w:t>
            </w:r>
            <w:r>
              <w:rPr>
                <w:rFonts w:hint="eastAsia" w:ascii="宋体" w:hAnsi="宋体"/>
                <w:color w:val="auto"/>
                <w:szCs w:val="21"/>
                <w:highlight w:val="none"/>
              </w:rPr>
              <w:tab/>
            </w:r>
            <w:r>
              <w:rPr>
                <w:rFonts w:hint="eastAsia" w:ascii="宋体" w:hAnsi="宋体"/>
                <w:color w:val="auto"/>
                <w:szCs w:val="21"/>
                <w:highlight w:val="none"/>
              </w:rPr>
              <w:tab/>
            </w:r>
          </w:p>
          <w:p w14:paraId="79E17BCC">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6、联合体投标业绩、履约能力按照联合体各方其中较高的一方认定并计算（招标文件另有规定的除外）。</w:t>
            </w:r>
            <w:r>
              <w:rPr>
                <w:rFonts w:hint="eastAsia" w:ascii="宋体" w:hAnsi="宋体"/>
                <w:color w:val="auto"/>
                <w:szCs w:val="21"/>
                <w:highlight w:val="none"/>
              </w:rPr>
              <w:tab/>
            </w:r>
            <w:r>
              <w:rPr>
                <w:rFonts w:hint="eastAsia" w:ascii="宋体" w:hAnsi="宋体"/>
                <w:color w:val="auto"/>
                <w:szCs w:val="21"/>
                <w:highlight w:val="none"/>
              </w:rPr>
              <w:tab/>
            </w:r>
            <w:r>
              <w:rPr>
                <w:rFonts w:hint="eastAsia" w:ascii="宋体" w:hAnsi="宋体"/>
                <w:color w:val="auto"/>
                <w:szCs w:val="21"/>
                <w:highlight w:val="none"/>
              </w:rPr>
              <w:tab/>
            </w:r>
          </w:p>
          <w:p w14:paraId="0FDA12CA">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7、联合体各方均应按照招标文件的规定提交资格证明文件。</w:t>
            </w:r>
          </w:p>
        </w:tc>
      </w:tr>
      <w:tr w14:paraId="4C1BF2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4F886AB0">
            <w:pPr>
              <w:spacing w:line="400" w:lineRule="exact"/>
              <w:jc w:val="center"/>
              <w:rPr>
                <w:rFonts w:ascii="宋体" w:hAnsi="宋体"/>
                <w:color w:val="auto"/>
                <w:szCs w:val="21"/>
                <w:highlight w:val="none"/>
              </w:rPr>
            </w:pPr>
            <w:r>
              <w:rPr>
                <w:rFonts w:hint="eastAsia" w:ascii="宋体" w:hAnsi="宋体"/>
                <w:color w:val="auto"/>
                <w:szCs w:val="21"/>
                <w:highlight w:val="none"/>
              </w:rPr>
              <w:t>7.2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02A2A98B">
            <w:pPr>
              <w:pStyle w:val="18"/>
              <w:spacing w:line="400" w:lineRule="exact"/>
              <w:rPr>
                <w:rFonts w:hint="eastAsia" w:ascii="宋体" w:hAnsi="宋体"/>
                <w:color w:val="auto"/>
                <w:szCs w:val="21"/>
                <w:highlight w:val="none"/>
              </w:rPr>
            </w:pPr>
            <w:r>
              <w:rPr>
                <w:rFonts w:hint="eastAsia" w:ascii="宋体" w:hAnsi="宋体"/>
                <w:color w:val="auto"/>
                <w:szCs w:val="21"/>
                <w:highlight w:val="none"/>
              </w:rPr>
              <w:t>本项目不允许转包、分包。</w:t>
            </w:r>
          </w:p>
        </w:tc>
      </w:tr>
      <w:tr w14:paraId="1DA503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895" w:type="dxa"/>
            <w:vMerge w:val="restart"/>
            <w:tcBorders>
              <w:top w:val="single" w:color="auto" w:sz="4" w:space="0"/>
              <w:left w:val="single" w:color="auto" w:sz="4" w:space="0"/>
              <w:right w:val="single" w:color="auto" w:sz="4" w:space="0"/>
            </w:tcBorders>
            <w:noWrap w:val="0"/>
            <w:vAlign w:val="center"/>
          </w:tcPr>
          <w:p w14:paraId="05B78ECE">
            <w:pPr>
              <w:spacing w:line="400" w:lineRule="exact"/>
              <w:jc w:val="center"/>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w:t>
            </w:r>
            <w:r>
              <w:rPr>
                <w:rFonts w:hint="eastAsia" w:ascii="宋体" w:hAnsi="宋体"/>
                <w:color w:val="auto"/>
                <w:szCs w:val="21"/>
                <w:highlight w:val="none"/>
              </w:rPr>
              <w:t>5</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0DF45765">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本项目不组织现场考察。</w:t>
            </w:r>
          </w:p>
        </w:tc>
      </w:tr>
      <w:tr w14:paraId="6A573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895" w:type="dxa"/>
            <w:vMerge w:val="continue"/>
            <w:tcBorders>
              <w:left w:val="single" w:color="auto" w:sz="4" w:space="0"/>
              <w:bottom w:val="single" w:color="auto" w:sz="4" w:space="0"/>
              <w:right w:val="single" w:color="auto" w:sz="4" w:space="0"/>
            </w:tcBorders>
            <w:noWrap w:val="0"/>
            <w:vAlign w:val="center"/>
          </w:tcPr>
          <w:p w14:paraId="22D461F6">
            <w:pPr>
              <w:spacing w:line="400" w:lineRule="exact"/>
              <w:jc w:val="center"/>
              <w:rPr>
                <w:rFonts w:hint="eastAsia" w:ascii="宋体" w:hAnsi="宋体"/>
                <w:color w:val="auto"/>
                <w:szCs w:val="21"/>
                <w:highlight w:val="none"/>
              </w:rPr>
            </w:pPr>
          </w:p>
        </w:tc>
        <w:tc>
          <w:tcPr>
            <w:tcW w:w="8708" w:type="dxa"/>
            <w:tcBorders>
              <w:top w:val="single" w:color="auto" w:sz="4" w:space="0"/>
              <w:left w:val="single" w:color="auto" w:sz="4" w:space="0"/>
              <w:bottom w:val="single" w:color="auto" w:sz="4" w:space="0"/>
              <w:right w:val="single" w:color="auto" w:sz="4" w:space="0"/>
            </w:tcBorders>
            <w:noWrap w:val="0"/>
            <w:vAlign w:val="center"/>
          </w:tcPr>
          <w:p w14:paraId="2540B939">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本项目不组织召开开标前答疑会</w:t>
            </w:r>
          </w:p>
        </w:tc>
      </w:tr>
      <w:tr w14:paraId="364C0E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restart"/>
            <w:tcBorders>
              <w:top w:val="single" w:color="auto" w:sz="4" w:space="0"/>
              <w:left w:val="single" w:color="auto" w:sz="4" w:space="0"/>
              <w:right w:val="single" w:color="auto" w:sz="4" w:space="0"/>
            </w:tcBorders>
            <w:noWrap w:val="0"/>
            <w:vAlign w:val="center"/>
          </w:tcPr>
          <w:p w14:paraId="6ED26C2A">
            <w:pPr>
              <w:spacing w:line="400" w:lineRule="exact"/>
              <w:jc w:val="center"/>
              <w:rPr>
                <w:rFonts w:hint="eastAsia" w:ascii="宋体" w:hAnsi="宋体"/>
                <w:color w:val="auto"/>
                <w:szCs w:val="21"/>
                <w:highlight w:val="none"/>
              </w:rPr>
            </w:pPr>
            <w:bookmarkStart w:id="48" w:name="_13.1"/>
            <w:bookmarkEnd w:id="48"/>
            <w:r>
              <w:rPr>
                <w:rFonts w:hint="eastAsia" w:ascii="宋体" w:hAnsi="宋体"/>
                <w:color w:val="auto"/>
                <w:szCs w:val="21"/>
                <w:highlight w:val="none"/>
              </w:rPr>
              <w:t>13.</w:t>
            </w:r>
            <w:bookmarkStart w:id="49" w:name="_Hlt19632543"/>
            <w:r>
              <w:rPr>
                <w:rFonts w:hint="eastAsia" w:ascii="宋体" w:hAnsi="宋体"/>
                <w:color w:val="auto"/>
                <w:szCs w:val="21"/>
                <w:highlight w:val="none"/>
              </w:rPr>
              <w:t>1</w:t>
            </w:r>
            <w:bookmarkEnd w:id="49"/>
          </w:p>
        </w:tc>
        <w:tc>
          <w:tcPr>
            <w:tcW w:w="8708" w:type="dxa"/>
            <w:tcBorders>
              <w:top w:val="single" w:color="auto" w:sz="4" w:space="0"/>
              <w:left w:val="single" w:color="auto" w:sz="4" w:space="0"/>
              <w:bottom w:val="single" w:color="auto" w:sz="4" w:space="0"/>
              <w:right w:val="single" w:color="auto" w:sz="4" w:space="0"/>
            </w:tcBorders>
            <w:noWrap w:val="0"/>
            <w:vAlign w:val="center"/>
          </w:tcPr>
          <w:p w14:paraId="0F5B9946">
            <w:pPr>
              <w:snapToGrid w:val="0"/>
              <w:spacing w:line="400" w:lineRule="exact"/>
              <w:jc w:val="left"/>
              <w:rPr>
                <w:rFonts w:hint="eastAsia" w:ascii="宋体" w:hAnsi="宋体" w:cs="Courier New"/>
                <w:b/>
                <w:color w:val="auto"/>
                <w:szCs w:val="21"/>
                <w:highlight w:val="none"/>
              </w:rPr>
            </w:pPr>
            <w:r>
              <w:rPr>
                <w:rFonts w:hint="eastAsia" w:ascii="宋体" w:hAnsi="宋体" w:cs="Courier New"/>
                <w:b/>
                <w:color w:val="auto"/>
                <w:szCs w:val="21"/>
                <w:highlight w:val="none"/>
              </w:rPr>
              <w:t>报价文件:</w:t>
            </w:r>
          </w:p>
          <w:p w14:paraId="0F524E7A">
            <w:pPr>
              <w:tabs>
                <w:tab w:val="left" w:pos="459"/>
              </w:tabs>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1、投标函（格式后附）；</w:t>
            </w:r>
            <w:r>
              <w:rPr>
                <w:rFonts w:hint="eastAsia" w:ascii="宋体" w:hAnsi="宋体"/>
                <w:b/>
                <w:color w:val="auto"/>
                <w:szCs w:val="21"/>
                <w:highlight w:val="none"/>
              </w:rPr>
              <w:t>（必须提供，否则按无效投标处理）</w:t>
            </w:r>
          </w:p>
          <w:p w14:paraId="618CA2E7">
            <w:pPr>
              <w:tabs>
                <w:tab w:val="left" w:pos="459"/>
              </w:tabs>
              <w:snapToGrid w:val="0"/>
              <w:spacing w:line="400" w:lineRule="exact"/>
              <w:jc w:val="left"/>
              <w:rPr>
                <w:rFonts w:hint="eastAsia" w:ascii="宋体" w:hAnsi="宋体"/>
                <w:color w:val="auto"/>
                <w:szCs w:val="21"/>
                <w:highlight w:val="none"/>
              </w:rPr>
            </w:pPr>
            <w:bookmarkStart w:id="50" w:name="_Hlk71299233"/>
            <w:r>
              <w:rPr>
                <w:rFonts w:hint="eastAsia" w:ascii="宋体" w:hAnsi="宋体"/>
                <w:color w:val="auto"/>
                <w:szCs w:val="21"/>
                <w:highlight w:val="none"/>
              </w:rPr>
              <w:t>2、开标一览表</w:t>
            </w:r>
            <w:bookmarkEnd w:id="50"/>
            <w:r>
              <w:rPr>
                <w:rFonts w:hint="eastAsia" w:ascii="宋体" w:hAnsi="宋体"/>
                <w:color w:val="auto"/>
                <w:szCs w:val="21"/>
                <w:highlight w:val="none"/>
              </w:rPr>
              <w:t>（格式后附）； （</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496E8BBC">
            <w:pPr>
              <w:pStyle w:val="85"/>
              <w:rPr>
                <w:rFonts w:hint="eastAsia" w:ascii="宋体" w:hAnsi="宋体"/>
                <w:color w:val="auto"/>
                <w:sz w:val="21"/>
                <w:szCs w:val="21"/>
                <w:highlight w:val="none"/>
              </w:rPr>
            </w:pPr>
            <w:r>
              <w:rPr>
                <w:rFonts w:hint="eastAsia" w:ascii="宋体" w:hAnsi="宋体"/>
                <w:color w:val="auto"/>
                <w:sz w:val="21"/>
                <w:szCs w:val="21"/>
                <w:highlight w:val="none"/>
              </w:rPr>
              <w:t>3、中小企业声明函（格式后附）；（如有请提供）</w:t>
            </w:r>
          </w:p>
          <w:p w14:paraId="109EA566">
            <w:pPr>
              <w:pStyle w:val="85"/>
              <w:rPr>
                <w:rFonts w:hint="eastAsia" w:ascii="宋体" w:hAnsi="宋体"/>
                <w:color w:val="auto"/>
                <w:sz w:val="21"/>
                <w:szCs w:val="21"/>
                <w:highlight w:val="none"/>
              </w:rPr>
            </w:pP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关于符合本国产品标准的声明函（格式后附）；（如有请提供）</w:t>
            </w:r>
          </w:p>
          <w:p w14:paraId="3A8BD1E5">
            <w:pPr>
              <w:tabs>
                <w:tab w:val="left" w:pos="459"/>
              </w:tabs>
              <w:snapToGrid w:val="0"/>
              <w:spacing w:line="400" w:lineRule="exact"/>
              <w:jc w:val="left"/>
              <w:rPr>
                <w:rFonts w:hint="eastAsia" w:ascii="宋体" w:hAnsi="宋体"/>
                <w:color w:val="auto"/>
                <w:szCs w:val="21"/>
                <w:highlight w:val="none"/>
              </w:rPr>
            </w:pPr>
            <w:r>
              <w:rPr>
                <w:rFonts w:hint="eastAsia" w:ascii="宋体" w:hAnsi="宋体"/>
                <w:bCs/>
                <w:color w:val="auto"/>
                <w:szCs w:val="21"/>
                <w:highlight w:val="none"/>
                <w:lang w:val="en-US" w:eastAsia="zh-CN"/>
              </w:rPr>
              <w:t>5</w:t>
            </w:r>
            <w:r>
              <w:rPr>
                <w:rFonts w:hint="eastAsia" w:ascii="宋体" w:hAnsi="宋体"/>
                <w:bCs/>
                <w:color w:val="auto"/>
                <w:szCs w:val="21"/>
                <w:highlight w:val="none"/>
              </w:rPr>
              <w:t>、</w:t>
            </w:r>
            <w:r>
              <w:rPr>
                <w:rFonts w:hint="eastAsia" w:ascii="宋体" w:hAnsi="宋体"/>
                <w:color w:val="auto"/>
                <w:szCs w:val="21"/>
                <w:highlight w:val="none"/>
              </w:rPr>
              <w:t>投标人针对报价需要说明的其他文件和说明（格式自拟）。</w:t>
            </w:r>
            <w:r>
              <w:rPr>
                <w:rFonts w:hint="eastAsia" w:ascii="宋体" w:hAnsi="宋体"/>
                <w:color w:val="auto"/>
                <w:sz w:val="21"/>
                <w:szCs w:val="21"/>
                <w:highlight w:val="none"/>
              </w:rPr>
              <w:t>（如有请提供）</w:t>
            </w:r>
          </w:p>
          <w:p w14:paraId="63F9608F">
            <w:pPr>
              <w:snapToGrid w:val="0"/>
              <w:spacing w:line="400" w:lineRule="exact"/>
              <w:ind w:firstLine="420"/>
              <w:jc w:val="left"/>
              <w:rPr>
                <w:rFonts w:hint="eastAsia" w:ascii="宋体" w:hAnsi="宋体"/>
                <w:color w:val="auto"/>
                <w:szCs w:val="21"/>
                <w:highlight w:val="none"/>
              </w:rPr>
            </w:pPr>
            <w:r>
              <w:rPr>
                <w:rFonts w:hint="eastAsia" w:ascii="宋体" w:hAnsi="宋体"/>
                <w:b/>
                <w:bCs/>
                <w:color w:val="auto"/>
                <w:szCs w:val="21"/>
                <w:highlight w:val="none"/>
              </w:rPr>
              <w:t>注：投标函、开标一览表必须由法定代表人或者委托代理人在规定签章处逐一签字并加盖投标人公章，否则按无效投标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0883F9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noWrap w:val="0"/>
            <w:vAlign w:val="center"/>
          </w:tcPr>
          <w:p w14:paraId="5ED054CE">
            <w:pPr>
              <w:spacing w:line="400" w:lineRule="exact"/>
              <w:rPr>
                <w:rFonts w:hint="eastAsia" w:ascii="宋体" w:hAnsi="宋体"/>
                <w:color w:val="auto"/>
                <w:szCs w:val="21"/>
                <w:highlight w:val="none"/>
              </w:rPr>
            </w:pPr>
            <w:bookmarkStart w:id="51" w:name="_13.2"/>
            <w:bookmarkEnd w:id="51"/>
          </w:p>
        </w:tc>
        <w:tc>
          <w:tcPr>
            <w:tcW w:w="8708" w:type="dxa"/>
            <w:tcBorders>
              <w:top w:val="single" w:color="auto" w:sz="4" w:space="0"/>
              <w:left w:val="single" w:color="auto" w:sz="4" w:space="0"/>
              <w:bottom w:val="single" w:color="auto" w:sz="4" w:space="0"/>
              <w:right w:val="single" w:color="auto" w:sz="4" w:space="0"/>
            </w:tcBorders>
            <w:noWrap w:val="0"/>
            <w:vAlign w:val="center"/>
          </w:tcPr>
          <w:p w14:paraId="4616B13A">
            <w:pPr>
              <w:snapToGrid w:val="0"/>
              <w:spacing w:line="400" w:lineRule="exact"/>
              <w:jc w:val="left"/>
              <w:rPr>
                <w:rFonts w:hint="eastAsia" w:ascii="宋体" w:hAnsi="宋体" w:cs="Courier New"/>
                <w:b/>
                <w:color w:val="auto"/>
                <w:szCs w:val="21"/>
                <w:highlight w:val="none"/>
              </w:rPr>
            </w:pPr>
            <w:r>
              <w:rPr>
                <w:rFonts w:hint="eastAsia" w:ascii="宋体" w:hAnsi="宋体" w:cs="Courier New"/>
                <w:b/>
                <w:color w:val="auto"/>
                <w:szCs w:val="21"/>
                <w:highlight w:val="none"/>
              </w:rPr>
              <w:t>资格证明文件:</w:t>
            </w:r>
          </w:p>
          <w:p w14:paraId="63D3C658">
            <w:pPr>
              <w:autoSpaceDE w:val="0"/>
              <w:autoSpaceDN w:val="0"/>
              <w:snapToGrid w:val="0"/>
              <w:spacing w:line="400" w:lineRule="exact"/>
              <w:textAlignment w:val="bottom"/>
              <w:rPr>
                <w:rFonts w:hint="eastAsia" w:ascii="宋体" w:hAnsi="宋体"/>
                <w:b/>
                <w:color w:val="auto"/>
                <w:szCs w:val="21"/>
                <w:highlight w:val="none"/>
              </w:rPr>
            </w:pPr>
            <w:r>
              <w:rPr>
                <w:rFonts w:hint="eastAsia" w:ascii="宋体" w:hAnsi="宋体" w:cs="宋体"/>
                <w:color w:val="auto"/>
                <w:szCs w:val="21"/>
                <w:highlight w:val="none"/>
              </w:rPr>
              <w:t>1、投标人为法人或者其他组织的，</w:t>
            </w:r>
            <w:r>
              <w:rPr>
                <w:rFonts w:hint="eastAsia" w:ascii="宋体" w:hAnsi="宋体"/>
                <w:color w:val="auto"/>
                <w:szCs w:val="21"/>
                <w:highlight w:val="none"/>
              </w:rPr>
              <w:t>证明文件为其营业执照复印件（如营业执照或者事业单位法人证书或者执业许可证等）；投标人为自然人的，证明文件为其身份证复印件；</w:t>
            </w:r>
            <w:r>
              <w:rPr>
                <w:rFonts w:hint="eastAsia" w:ascii="宋体" w:hAnsi="宋体"/>
                <w:b/>
                <w:color w:val="auto"/>
                <w:szCs w:val="21"/>
                <w:highlight w:val="none"/>
              </w:rPr>
              <w:t>（必须提供，否则投标文件按无效响应处理</w:t>
            </w:r>
            <w:r>
              <w:rPr>
                <w:rFonts w:ascii="宋体" w:hAnsi="宋体"/>
                <w:b/>
                <w:color w:val="auto"/>
                <w:szCs w:val="21"/>
                <w:highlight w:val="none"/>
              </w:rPr>
              <w:t>）</w:t>
            </w:r>
          </w:p>
          <w:p w14:paraId="1B1B595F">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2、投标人依法缴纳税收的相关材料（投标</w:t>
            </w:r>
            <w:r>
              <w:rPr>
                <w:rFonts w:hint="eastAsia" w:ascii="宋体" w:hAnsi="宋体" w:cs="宋体"/>
                <w:color w:val="auto"/>
                <w:szCs w:val="21"/>
                <w:highlight w:val="none"/>
                <w:lang w:val="en-US" w:eastAsia="zh-CN"/>
              </w:rPr>
              <w:t>截止时间前半年内</w:t>
            </w:r>
            <w:r>
              <w:rPr>
                <w:rFonts w:hint="eastAsia" w:ascii="宋体" w:hAnsi="宋体" w:cs="宋体"/>
                <w:color w:val="auto"/>
                <w:szCs w:val="21"/>
                <w:highlight w:val="none"/>
              </w:rPr>
              <w:t>连续3个月的依法缴纳税收的凭据复印件；依法免税的投标人，必须提供相应文件证明其依法免税。从</w:t>
            </w:r>
            <w:r>
              <w:rPr>
                <w:rFonts w:ascii="宋体" w:hAnsi="宋体" w:cs="宋体"/>
                <w:color w:val="auto"/>
                <w:szCs w:val="21"/>
                <w:highlight w:val="none"/>
              </w:rPr>
              <w:t>成立</w:t>
            </w:r>
            <w:r>
              <w:rPr>
                <w:rFonts w:hint="eastAsia" w:ascii="宋体" w:hAnsi="宋体" w:cs="宋体"/>
                <w:color w:val="auto"/>
                <w:szCs w:val="21"/>
                <w:highlight w:val="none"/>
              </w:rPr>
              <w:t>之日起到投标文件提交截止时间止不足要求月数的，只需提供从</w:t>
            </w:r>
            <w:r>
              <w:rPr>
                <w:rFonts w:ascii="宋体" w:hAnsi="宋体" w:cs="宋体"/>
                <w:color w:val="auto"/>
                <w:szCs w:val="21"/>
                <w:highlight w:val="none"/>
              </w:rPr>
              <w:t>成立</w:t>
            </w:r>
            <w:r>
              <w:rPr>
                <w:rFonts w:hint="eastAsia" w:ascii="宋体" w:hAnsi="宋体" w:cs="宋体"/>
                <w:color w:val="auto"/>
                <w:szCs w:val="21"/>
                <w:highlight w:val="none"/>
              </w:rPr>
              <w:t>之日起的依法缴纳税收相应证明文件）；</w:t>
            </w:r>
            <w:r>
              <w:rPr>
                <w:rFonts w:hint="eastAsia" w:ascii="宋体" w:hAnsi="宋体" w:cs="宋体"/>
                <w:b/>
                <w:color w:val="auto"/>
                <w:szCs w:val="21"/>
                <w:highlight w:val="none"/>
              </w:rPr>
              <w:t>（必须提供，否则按无效投标处理）</w:t>
            </w:r>
          </w:p>
          <w:p w14:paraId="288D912A">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3、投标人依法缴纳社会保障资金的相关材料[投标</w:t>
            </w:r>
            <w:r>
              <w:rPr>
                <w:rFonts w:hint="eastAsia" w:ascii="宋体" w:hAnsi="宋体" w:cs="宋体"/>
                <w:color w:val="auto"/>
                <w:szCs w:val="21"/>
                <w:highlight w:val="none"/>
                <w:lang w:val="en-US" w:eastAsia="zh-CN"/>
              </w:rPr>
              <w:t>截止时间前半年内</w:t>
            </w:r>
            <w:r>
              <w:rPr>
                <w:rFonts w:hint="eastAsia" w:ascii="宋体" w:hAnsi="宋体" w:cs="宋体"/>
                <w:color w:val="auto"/>
                <w:szCs w:val="21"/>
                <w:highlight w:val="none"/>
              </w:rPr>
              <w:t>连续3个月的依法缴纳社会保障资金的缴费凭证（专用收据或者社会保险缴纳清单）复印件；依法不需要缴纳社会保障资金的投标人，必须提供相应文件证明不需要缴纳社会保障资金。从</w:t>
            </w:r>
            <w:r>
              <w:rPr>
                <w:rFonts w:ascii="宋体" w:hAnsi="宋体" w:cs="宋体"/>
                <w:color w:val="auto"/>
                <w:szCs w:val="21"/>
                <w:highlight w:val="none"/>
              </w:rPr>
              <w:t>成立</w:t>
            </w:r>
            <w:r>
              <w:rPr>
                <w:rFonts w:hint="eastAsia" w:ascii="宋体" w:hAnsi="宋体" w:cs="宋体"/>
                <w:color w:val="auto"/>
                <w:szCs w:val="21"/>
                <w:highlight w:val="none"/>
              </w:rPr>
              <w:t>之日起到投标文件提交截止时间止不足要求月数的只需提供从</w:t>
            </w:r>
            <w:r>
              <w:rPr>
                <w:rFonts w:ascii="宋体" w:hAnsi="宋体" w:cs="宋体"/>
                <w:color w:val="auto"/>
                <w:szCs w:val="21"/>
                <w:highlight w:val="none"/>
              </w:rPr>
              <w:t>成立</w:t>
            </w:r>
            <w:r>
              <w:rPr>
                <w:rFonts w:hint="eastAsia" w:ascii="宋体" w:hAnsi="宋体" w:cs="宋体"/>
                <w:color w:val="auto"/>
                <w:szCs w:val="21"/>
                <w:highlight w:val="none"/>
              </w:rPr>
              <w:t>之日起的依法缴纳社会保障资金的相应证明文件]；</w:t>
            </w:r>
            <w:r>
              <w:rPr>
                <w:rFonts w:hint="eastAsia" w:ascii="宋体" w:hAnsi="宋体" w:cs="宋体"/>
                <w:b/>
                <w:color w:val="auto"/>
                <w:szCs w:val="21"/>
                <w:highlight w:val="none"/>
              </w:rPr>
              <w:t>（必须提供，否则按无效投标处理）</w:t>
            </w:r>
          </w:p>
          <w:p w14:paraId="01B93E2D">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4、投标人财务状况报告（</w:t>
            </w:r>
            <w:r>
              <w:rPr>
                <w:rFonts w:hint="eastAsia"/>
                <w:color w:val="auto"/>
                <w:highlight w:val="none"/>
                <w:lang w:val="en-US" w:eastAsia="zh-CN"/>
              </w:rPr>
              <w:t>2025</w:t>
            </w:r>
            <w:r>
              <w:rPr>
                <w:rFonts w:hint="eastAsia"/>
                <w:color w:val="auto"/>
                <w:highlight w:val="none"/>
              </w:rPr>
              <w:t>年</w:t>
            </w:r>
            <w:r>
              <w:rPr>
                <w:rFonts w:hint="eastAsia" w:ascii="宋体" w:hAnsi="宋体" w:cs="宋体"/>
                <w:color w:val="auto"/>
                <w:szCs w:val="21"/>
                <w:highlight w:val="none"/>
              </w:rPr>
              <w:t>财务报表复印件或者银行出具的资信证明；投标人属于成立</w:t>
            </w:r>
            <w:r>
              <w:rPr>
                <w:rFonts w:ascii="宋体" w:hAnsi="宋体" w:cs="宋体"/>
                <w:color w:val="auto"/>
                <w:szCs w:val="21"/>
                <w:highlight w:val="none"/>
              </w:rPr>
              <w:t>时间</w:t>
            </w:r>
            <w:r>
              <w:rPr>
                <w:rFonts w:hint="eastAsia" w:ascii="宋体" w:hAnsi="宋体" w:cs="宋体"/>
                <w:color w:val="auto"/>
                <w:szCs w:val="21"/>
                <w:highlight w:val="none"/>
              </w:rPr>
              <w:t>在规定年度之后</w:t>
            </w:r>
            <w:r>
              <w:rPr>
                <w:rFonts w:ascii="宋体" w:hAnsi="宋体" w:cs="宋体"/>
                <w:color w:val="auto"/>
                <w:szCs w:val="21"/>
                <w:highlight w:val="none"/>
              </w:rPr>
              <w:t>的</w:t>
            </w:r>
            <w:r>
              <w:rPr>
                <w:rFonts w:hint="eastAsia" w:ascii="宋体" w:hAnsi="宋体" w:cs="宋体"/>
                <w:color w:val="auto"/>
                <w:szCs w:val="21"/>
                <w:highlight w:val="none"/>
              </w:rPr>
              <w:t>法人或其他组织</w:t>
            </w:r>
            <w:r>
              <w:rPr>
                <w:rFonts w:ascii="宋体" w:hAnsi="宋体" w:cs="宋体"/>
                <w:color w:val="auto"/>
                <w:szCs w:val="21"/>
                <w:highlight w:val="none"/>
              </w:rPr>
              <w:t>，需提供成立</w:t>
            </w:r>
            <w:r>
              <w:rPr>
                <w:rFonts w:hint="eastAsia" w:ascii="宋体" w:hAnsi="宋体" w:cs="宋体"/>
                <w:color w:val="auto"/>
                <w:szCs w:val="21"/>
                <w:highlight w:val="none"/>
              </w:rPr>
              <w:t>之日起至投标截止时间前</w:t>
            </w:r>
            <w:r>
              <w:rPr>
                <w:rFonts w:ascii="宋体" w:hAnsi="宋体" w:cs="宋体"/>
                <w:color w:val="auto"/>
                <w:szCs w:val="21"/>
                <w:highlight w:val="none"/>
              </w:rPr>
              <w:t>的月报表</w:t>
            </w:r>
            <w:r>
              <w:rPr>
                <w:rFonts w:hint="eastAsia" w:ascii="宋体" w:hAnsi="宋体" w:cs="宋体"/>
                <w:color w:val="auto"/>
                <w:szCs w:val="21"/>
                <w:highlight w:val="none"/>
              </w:rPr>
              <w:t>或银行出具的资信证明；资信证明应在有效期内，未注明有效期的，银行出具时间至投标截止时间不超过一年）；</w:t>
            </w:r>
            <w:r>
              <w:rPr>
                <w:rFonts w:hint="eastAsia" w:ascii="宋体" w:hAnsi="宋体" w:cs="宋体"/>
                <w:b/>
                <w:color w:val="auto"/>
                <w:szCs w:val="21"/>
                <w:highlight w:val="none"/>
              </w:rPr>
              <w:t>（除自然人外必须提供，否则按无效投标处理）</w:t>
            </w:r>
          </w:p>
          <w:p w14:paraId="16BD6BF3">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5、投标人直接控股、管理关系信息表（格式后附）；</w:t>
            </w:r>
            <w:r>
              <w:rPr>
                <w:rFonts w:hint="eastAsia" w:ascii="宋体" w:hAnsi="宋体" w:cs="宋体"/>
                <w:b/>
                <w:color w:val="auto"/>
                <w:szCs w:val="21"/>
                <w:highlight w:val="none"/>
              </w:rPr>
              <w:t>（必须提供，否则按无效投标处理）</w:t>
            </w:r>
          </w:p>
          <w:p w14:paraId="3303062C">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6、投标声明（格式后附）；</w:t>
            </w:r>
            <w:r>
              <w:rPr>
                <w:rFonts w:hint="eastAsia" w:ascii="宋体" w:hAnsi="宋体" w:cs="宋体"/>
                <w:b/>
                <w:color w:val="auto"/>
                <w:szCs w:val="21"/>
                <w:highlight w:val="none"/>
              </w:rPr>
              <w:t>（必须提供，否则按无效投标处理）</w:t>
            </w:r>
          </w:p>
          <w:p w14:paraId="20F22DD3">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7、联合体协议书（格式后附）；</w:t>
            </w:r>
            <w:r>
              <w:rPr>
                <w:rFonts w:hint="eastAsia" w:ascii="宋体" w:hAnsi="宋体" w:cs="宋体"/>
                <w:b/>
                <w:color w:val="auto"/>
                <w:szCs w:val="21"/>
                <w:highlight w:val="none"/>
              </w:rPr>
              <w:t>（联合体投标时必须提供，否则按无效投标处理）</w:t>
            </w:r>
          </w:p>
          <w:p w14:paraId="0125765A">
            <w:pPr>
              <w:pStyle w:val="85"/>
              <w:rPr>
                <w:rFonts w:hint="eastAsia" w:ascii="宋体" w:hAnsi="宋体"/>
                <w:b/>
                <w:bCs w:val="0"/>
                <w:color w:val="auto"/>
                <w:szCs w:val="21"/>
                <w:highlight w:val="none"/>
              </w:rPr>
            </w:pPr>
            <w:r>
              <w:rPr>
                <w:rFonts w:hint="eastAsia" w:ascii="宋体" w:hAnsi="宋体" w:cs="宋体"/>
                <w:bCs w:val="0"/>
                <w:color w:val="auto"/>
                <w:spacing w:val="0"/>
                <w:kern w:val="2"/>
                <w:sz w:val="21"/>
                <w:szCs w:val="21"/>
                <w:highlight w:val="none"/>
                <w:lang w:val="en-US" w:eastAsia="zh-CN"/>
              </w:rPr>
              <w:t>8</w:t>
            </w:r>
            <w:r>
              <w:rPr>
                <w:rFonts w:hint="eastAsia" w:ascii="宋体" w:hAnsi="宋体" w:cs="宋体"/>
                <w:bCs w:val="0"/>
                <w:color w:val="auto"/>
                <w:spacing w:val="0"/>
                <w:kern w:val="2"/>
                <w:sz w:val="21"/>
                <w:szCs w:val="21"/>
                <w:highlight w:val="none"/>
              </w:rPr>
              <w:t>、除招标文件规定必须提供以外，投标人认为需要提供的其他证明材料。</w:t>
            </w:r>
          </w:p>
          <w:p w14:paraId="113EF1DF">
            <w:pPr>
              <w:snapToGrid w:val="0"/>
              <w:spacing w:line="40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注：</w:t>
            </w:r>
          </w:p>
          <w:p w14:paraId="167D658E">
            <w:pPr>
              <w:snapToGrid w:val="0"/>
              <w:spacing w:line="400" w:lineRule="exact"/>
              <w:ind w:firstLine="422" w:firstLineChars="200"/>
              <w:jc w:val="left"/>
              <w:rPr>
                <w:rFonts w:hint="eastAsia" w:ascii="宋体" w:hAnsi="宋体" w:cs="Courier New"/>
                <w:b/>
                <w:color w:val="auto"/>
                <w:szCs w:val="21"/>
                <w:highlight w:val="none"/>
              </w:rPr>
            </w:pPr>
            <w:r>
              <w:rPr>
                <w:rFonts w:hint="eastAsia" w:ascii="宋体" w:hAnsi="宋体"/>
                <w:b/>
                <w:bCs/>
                <w:color w:val="auto"/>
                <w:szCs w:val="21"/>
                <w:highlight w:val="none"/>
              </w:rPr>
              <w:t>1、以上标明“必须提供”的材料属于复印件的，必须加盖投标人公章，否则按无效投标</w:t>
            </w:r>
            <w:r>
              <w:rPr>
                <w:rFonts w:hint="eastAsia" w:ascii="宋体" w:hAnsi="宋体" w:cs="Courier New"/>
                <w:b/>
                <w:color w:val="auto"/>
                <w:szCs w:val="21"/>
                <w:highlight w:val="none"/>
              </w:rPr>
              <w:t>处理。</w:t>
            </w:r>
          </w:p>
          <w:p w14:paraId="1B5B0EF3">
            <w:pPr>
              <w:snapToGrid w:val="0"/>
              <w:spacing w:line="400" w:lineRule="exact"/>
              <w:ind w:firstLine="422" w:firstLineChars="200"/>
              <w:jc w:val="left"/>
              <w:rPr>
                <w:rFonts w:hint="eastAsia" w:ascii="宋体" w:hAnsi="宋体"/>
                <w:b/>
                <w:bCs/>
                <w:color w:val="auto"/>
                <w:szCs w:val="21"/>
                <w:highlight w:val="none"/>
              </w:rPr>
            </w:pPr>
            <w:r>
              <w:rPr>
                <w:rFonts w:hint="eastAsia" w:ascii="宋体" w:hAnsi="宋体" w:cs="Courier New"/>
                <w:b/>
                <w:color w:val="auto"/>
                <w:szCs w:val="21"/>
                <w:highlight w:val="none"/>
              </w:rPr>
              <w:t>2、</w:t>
            </w:r>
            <w:r>
              <w:rPr>
                <w:rFonts w:hint="eastAsia" w:ascii="宋体" w:hAnsi="宋体"/>
                <w:b/>
                <w:bCs/>
                <w:color w:val="auto"/>
                <w:szCs w:val="21"/>
                <w:highlight w:val="none"/>
              </w:rPr>
              <w:t>投标声明必须由法定代表人在规定签章处签字并加盖投标人公章，否则按无效投标处理。</w:t>
            </w:r>
          </w:p>
          <w:p w14:paraId="6B597A80">
            <w:pPr>
              <w:snapToGrid w:val="0"/>
              <w:spacing w:line="40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3、投标人直接控股、管理关系信息表必须由法定代表人或者委托代理人在规定签章处签字并加盖投标人公章，否则按无效投标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p w14:paraId="2927AC5B">
            <w:pPr>
              <w:snapToGrid w:val="0"/>
              <w:spacing w:line="40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4、联合体投标时，第1-5项资格证明文件联合体各方均必须分别提供，联合体各方分别盖章和签字，否则按无效投标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p w14:paraId="3497BD47">
            <w:pPr>
              <w:snapToGrid w:val="0"/>
              <w:spacing w:line="40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5、分公司参加投标的，应当取得总公司授权，否则按无效投标处理。</w:t>
            </w:r>
          </w:p>
        </w:tc>
      </w:tr>
      <w:tr w14:paraId="1B751C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noWrap w:val="0"/>
            <w:vAlign w:val="center"/>
          </w:tcPr>
          <w:p w14:paraId="251CE18E">
            <w:pPr>
              <w:spacing w:line="400" w:lineRule="exact"/>
              <w:rPr>
                <w:rFonts w:hint="eastAsia" w:ascii="宋体" w:hAnsi="宋体"/>
                <w:color w:val="auto"/>
                <w:szCs w:val="21"/>
                <w:highlight w:val="none"/>
              </w:rPr>
            </w:pPr>
            <w:bookmarkStart w:id="52" w:name="_13.3"/>
            <w:bookmarkEnd w:id="52"/>
          </w:p>
        </w:tc>
        <w:tc>
          <w:tcPr>
            <w:tcW w:w="8708" w:type="dxa"/>
            <w:tcBorders>
              <w:top w:val="single" w:color="auto" w:sz="4" w:space="0"/>
              <w:left w:val="single" w:color="auto" w:sz="4" w:space="0"/>
              <w:bottom w:val="single" w:color="auto" w:sz="4" w:space="0"/>
              <w:right w:val="single" w:color="auto" w:sz="4" w:space="0"/>
            </w:tcBorders>
            <w:noWrap w:val="0"/>
            <w:vAlign w:val="center"/>
          </w:tcPr>
          <w:p w14:paraId="6FFF4CEE">
            <w:pPr>
              <w:snapToGrid w:val="0"/>
              <w:spacing w:line="400" w:lineRule="exact"/>
              <w:jc w:val="left"/>
              <w:rPr>
                <w:rFonts w:hint="eastAsia" w:ascii="宋体" w:hAnsi="宋体" w:cs="Courier New"/>
                <w:b/>
                <w:color w:val="auto"/>
                <w:szCs w:val="21"/>
                <w:highlight w:val="none"/>
              </w:rPr>
            </w:pPr>
            <w:r>
              <w:rPr>
                <w:rFonts w:hint="eastAsia" w:ascii="宋体" w:hAnsi="宋体" w:cs="Courier New"/>
                <w:b/>
                <w:color w:val="auto"/>
                <w:szCs w:val="21"/>
                <w:highlight w:val="none"/>
              </w:rPr>
              <w:t>商务文件：</w:t>
            </w:r>
          </w:p>
          <w:p w14:paraId="0309519A">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1、无串通投标行为的承诺函（格式后附）；（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4314B51B">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2、投标保证金提交凭证；（</w:t>
            </w:r>
            <w:r>
              <w:rPr>
                <w:rFonts w:hint="eastAsia"/>
                <w:b/>
                <w:bCs/>
                <w:color w:val="auto"/>
                <w:highlight w:val="none"/>
              </w:rPr>
              <w:t>如要求提交投标保证金的则必须提供</w:t>
            </w:r>
            <w:r>
              <w:rPr>
                <w:rFonts w:hint="eastAsia" w:ascii="宋体" w:hAnsi="宋体"/>
                <w:b/>
                <w:color w:val="auto"/>
                <w:szCs w:val="21"/>
                <w:highlight w:val="none"/>
              </w:rPr>
              <w:t>，否则按无效投标处理</w:t>
            </w:r>
            <w:r>
              <w:rPr>
                <w:rFonts w:hint="eastAsia" w:ascii="宋体" w:hAnsi="宋体"/>
                <w:color w:val="auto"/>
                <w:szCs w:val="21"/>
                <w:highlight w:val="none"/>
              </w:rPr>
              <w:t>）</w:t>
            </w:r>
          </w:p>
          <w:p w14:paraId="4837C6B7">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3、法定代表人身份证明及法定代表人有效身份证正反面复印件（格式后附）；（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E883ABE">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4、授权委托书及委托代理人有效身份证正反面复印件（格式后附）；（</w:t>
            </w:r>
            <w:r>
              <w:rPr>
                <w:rFonts w:hint="eastAsia" w:ascii="宋体" w:hAnsi="宋体"/>
                <w:b/>
                <w:color w:val="auto"/>
                <w:szCs w:val="21"/>
                <w:highlight w:val="none"/>
              </w:rPr>
              <w:t>委托时必须提供，否则按无效投标处理</w:t>
            </w:r>
            <w:r>
              <w:rPr>
                <w:rFonts w:hint="eastAsia" w:ascii="宋体" w:hAnsi="宋体"/>
                <w:color w:val="auto"/>
                <w:szCs w:val="21"/>
                <w:highlight w:val="none"/>
              </w:rPr>
              <w:t>）</w:t>
            </w:r>
          </w:p>
          <w:p w14:paraId="7E026128">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5、商务要求偏离表（格式后附）；（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693F69C6">
            <w:pPr>
              <w:snapToGrid w:val="0"/>
              <w:spacing w:line="400" w:lineRule="exact"/>
              <w:jc w:val="left"/>
              <w:rPr>
                <w:rFonts w:hint="eastAsia"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、服务承诺（格式自拟）；（</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DF52FFF">
            <w:pPr>
              <w:snapToGrid w:val="0"/>
              <w:spacing w:line="400" w:lineRule="exact"/>
              <w:jc w:val="left"/>
              <w:rPr>
                <w:rFonts w:hint="eastAsia"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、投标人情况介绍（格式自拟）；</w:t>
            </w:r>
            <w:r>
              <w:rPr>
                <w:rFonts w:hint="eastAsia" w:ascii="宋体" w:hAnsi="宋体"/>
                <w:color w:val="auto"/>
                <w:sz w:val="21"/>
                <w:szCs w:val="21"/>
                <w:highlight w:val="none"/>
              </w:rPr>
              <w:t>（如有请提供）</w:t>
            </w:r>
          </w:p>
          <w:p w14:paraId="4A652457">
            <w:pPr>
              <w:snapToGrid w:val="0"/>
              <w:spacing w:line="400" w:lineRule="exact"/>
              <w:jc w:val="left"/>
              <w:rPr>
                <w:rFonts w:hint="eastAsia" w:ascii="宋体" w:hAnsi="宋体"/>
                <w:color w:val="auto"/>
                <w:szCs w:val="21"/>
                <w:highlight w:val="none"/>
              </w:rPr>
            </w:pPr>
            <w:r>
              <w:rPr>
                <w:rFonts w:ascii="宋体" w:hAnsi="宋体"/>
                <w:color w:val="auto"/>
                <w:szCs w:val="21"/>
                <w:highlight w:val="none"/>
              </w:rPr>
              <w:t>8</w:t>
            </w:r>
            <w:r>
              <w:rPr>
                <w:rFonts w:hint="eastAsia" w:ascii="宋体" w:hAnsi="宋体"/>
                <w:color w:val="auto"/>
                <w:szCs w:val="21"/>
                <w:highlight w:val="none"/>
              </w:rPr>
              <w:t>、除招标文件规定必须提供以外，投标人认为需要提供的其他证明材料（格式自拟）。（投标人根据“第二章 采购需求”及“第四章 评标方法及评标标准”提供有关证明材料）。</w:t>
            </w:r>
            <w:r>
              <w:rPr>
                <w:rFonts w:hint="eastAsia" w:ascii="宋体" w:hAnsi="宋体"/>
                <w:color w:val="auto"/>
                <w:sz w:val="21"/>
                <w:szCs w:val="21"/>
                <w:highlight w:val="none"/>
              </w:rPr>
              <w:t>（如有请提供）</w:t>
            </w:r>
          </w:p>
          <w:p w14:paraId="55653A42">
            <w:pPr>
              <w:snapToGrid w:val="0"/>
              <w:spacing w:line="400" w:lineRule="exact"/>
              <w:ind w:firstLine="422" w:firstLineChars="200"/>
              <w:jc w:val="left"/>
              <w:rPr>
                <w:rFonts w:hint="eastAsia" w:ascii="宋体" w:hAnsi="宋体"/>
                <w:color w:val="auto"/>
                <w:szCs w:val="21"/>
                <w:highlight w:val="none"/>
              </w:rPr>
            </w:pPr>
            <w:r>
              <w:rPr>
                <w:rFonts w:hint="eastAsia" w:ascii="宋体" w:hAnsi="宋体"/>
                <w:b/>
                <w:bCs/>
                <w:color w:val="auto"/>
                <w:szCs w:val="21"/>
                <w:highlight w:val="none"/>
              </w:rPr>
              <w:t>注：以上标明“必须提供”的材料属于复印件的，必须加盖投标人公章，否则按无效投标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7C0850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bottom w:val="single" w:color="auto" w:sz="4" w:space="0"/>
              <w:right w:val="single" w:color="auto" w:sz="4" w:space="0"/>
            </w:tcBorders>
            <w:noWrap w:val="0"/>
            <w:vAlign w:val="center"/>
          </w:tcPr>
          <w:p w14:paraId="35F6B623">
            <w:pPr>
              <w:spacing w:line="400" w:lineRule="exact"/>
              <w:rPr>
                <w:rFonts w:hint="eastAsia" w:ascii="宋体" w:hAnsi="宋体"/>
                <w:color w:val="auto"/>
                <w:szCs w:val="21"/>
                <w:highlight w:val="none"/>
              </w:rPr>
            </w:pPr>
            <w:bookmarkStart w:id="53" w:name="_13.4"/>
            <w:bookmarkEnd w:id="53"/>
          </w:p>
        </w:tc>
        <w:tc>
          <w:tcPr>
            <w:tcW w:w="8708" w:type="dxa"/>
            <w:tcBorders>
              <w:top w:val="single" w:color="auto" w:sz="4" w:space="0"/>
              <w:left w:val="single" w:color="auto" w:sz="4" w:space="0"/>
              <w:bottom w:val="single" w:color="auto" w:sz="4" w:space="0"/>
              <w:right w:val="single" w:color="auto" w:sz="4" w:space="0"/>
            </w:tcBorders>
            <w:noWrap w:val="0"/>
            <w:vAlign w:val="center"/>
          </w:tcPr>
          <w:p w14:paraId="1DB50B12">
            <w:pPr>
              <w:snapToGrid w:val="0"/>
              <w:spacing w:line="360" w:lineRule="exact"/>
              <w:jc w:val="left"/>
              <w:rPr>
                <w:rFonts w:hint="eastAsia" w:ascii="宋体" w:hAnsi="宋体" w:cs="Courier New"/>
                <w:b/>
                <w:i/>
                <w:color w:val="auto"/>
                <w:szCs w:val="21"/>
                <w:highlight w:val="none"/>
              </w:rPr>
            </w:pPr>
            <w:r>
              <w:rPr>
                <w:rFonts w:hint="eastAsia" w:ascii="宋体" w:hAnsi="宋体" w:cs="Courier New"/>
                <w:b/>
                <w:color w:val="auto"/>
                <w:szCs w:val="21"/>
                <w:highlight w:val="none"/>
              </w:rPr>
              <w:t>技术文件：</w:t>
            </w:r>
          </w:p>
          <w:p w14:paraId="44043443">
            <w:pPr>
              <w:snapToGrid w:val="0"/>
              <w:spacing w:line="360" w:lineRule="exact"/>
              <w:jc w:val="left"/>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、技术要求偏离表（格式后附）；</w:t>
            </w:r>
            <w:r>
              <w:rPr>
                <w:rFonts w:hint="eastAsia" w:ascii="宋体" w:hAnsi="宋体"/>
                <w:b/>
                <w:color w:val="auto"/>
                <w:szCs w:val="21"/>
                <w:highlight w:val="none"/>
              </w:rPr>
              <w:t>（必须提供，否则按无效投标处理）</w:t>
            </w:r>
          </w:p>
          <w:p w14:paraId="43CBBC49">
            <w:pPr>
              <w:snapToGrid w:val="0"/>
              <w:spacing w:line="360" w:lineRule="exact"/>
              <w:jc w:val="left"/>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、服务方案（格式自拟）；</w:t>
            </w:r>
            <w:r>
              <w:rPr>
                <w:rFonts w:hint="eastAsia" w:ascii="宋体" w:hAnsi="宋体"/>
                <w:b/>
                <w:color w:val="auto"/>
                <w:szCs w:val="21"/>
                <w:highlight w:val="none"/>
              </w:rPr>
              <w:t>（必须提供，否则按无效投标处理）</w:t>
            </w:r>
          </w:p>
          <w:p w14:paraId="567D59E3">
            <w:pPr>
              <w:snapToGrid w:val="0"/>
              <w:spacing w:line="360" w:lineRule="exact"/>
              <w:jc w:val="left"/>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、项目实施人员一览表（格式后附）；</w:t>
            </w:r>
            <w:r>
              <w:rPr>
                <w:rFonts w:hint="eastAsia" w:ascii="宋体" w:hAnsi="宋体"/>
                <w:b/>
                <w:color w:val="auto"/>
                <w:szCs w:val="21"/>
                <w:highlight w:val="none"/>
              </w:rPr>
              <w:t>（必须提供，否则按无效投标处理）</w:t>
            </w:r>
          </w:p>
          <w:p w14:paraId="2E036A22">
            <w:pPr>
              <w:snapToGrid w:val="0"/>
              <w:spacing w:line="360" w:lineRule="exact"/>
              <w:jc w:val="left"/>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、除招标文件规定必须提供以外，投标人需要说明的其他文件和说明（格式自拟）。</w:t>
            </w:r>
            <w:r>
              <w:rPr>
                <w:rFonts w:hint="eastAsia" w:ascii="宋体" w:hAnsi="宋体"/>
                <w:color w:val="auto"/>
                <w:sz w:val="21"/>
                <w:szCs w:val="21"/>
                <w:highlight w:val="none"/>
              </w:rPr>
              <w:t>（如有请提供）</w:t>
            </w:r>
          </w:p>
          <w:p w14:paraId="5715D4A7">
            <w:pPr>
              <w:snapToGrid w:val="0"/>
              <w:spacing w:line="360" w:lineRule="exact"/>
              <w:ind w:firstLine="316" w:firstLineChars="150"/>
              <w:jc w:val="left"/>
              <w:rPr>
                <w:rFonts w:hint="eastAsia" w:ascii="宋体" w:hAnsi="宋体"/>
                <w:b/>
                <w:bCs/>
                <w:color w:val="auto"/>
                <w:szCs w:val="21"/>
                <w:highlight w:val="none"/>
              </w:rPr>
            </w:pPr>
            <w:r>
              <w:rPr>
                <w:rFonts w:hint="eastAsia" w:ascii="宋体" w:hAnsi="宋体"/>
                <w:b/>
                <w:bCs/>
                <w:color w:val="auto"/>
                <w:szCs w:val="21"/>
                <w:highlight w:val="none"/>
              </w:rPr>
              <w:t>注：以上标明“必须提供”的材料属于复印件的，必须加盖投标人公章，否则按无效投标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6D06B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114142CC">
            <w:pPr>
              <w:spacing w:line="400" w:lineRule="exact"/>
              <w:jc w:val="center"/>
              <w:rPr>
                <w:rFonts w:hint="eastAsia" w:ascii="宋体" w:hAnsi="宋体"/>
                <w:color w:val="auto"/>
                <w:szCs w:val="21"/>
                <w:highlight w:val="none"/>
              </w:rPr>
            </w:pPr>
            <w:bookmarkStart w:id="54" w:name="_13.5"/>
            <w:bookmarkEnd w:id="54"/>
            <w:bookmarkStart w:id="55" w:name="_16.2"/>
            <w:bookmarkEnd w:id="55"/>
            <w:r>
              <w:rPr>
                <w:rFonts w:hint="eastAsia" w:ascii="宋体" w:hAnsi="宋体"/>
                <w:color w:val="auto"/>
                <w:szCs w:val="21"/>
                <w:highlight w:val="none"/>
              </w:rPr>
              <w:t>16</w:t>
            </w:r>
            <w:bookmarkStart w:id="56" w:name="_Hlt19693759"/>
            <w:bookmarkStart w:id="57" w:name="_Hlt19194066"/>
            <w:bookmarkStart w:id="58" w:name="_Hlt19693758"/>
            <w:bookmarkStart w:id="59" w:name="_Hlt19194067"/>
            <w:r>
              <w:rPr>
                <w:rFonts w:hint="eastAsia" w:ascii="宋体" w:hAnsi="宋体"/>
                <w:color w:val="auto"/>
                <w:szCs w:val="21"/>
                <w:highlight w:val="none"/>
              </w:rPr>
              <w:t>.</w:t>
            </w:r>
            <w:bookmarkEnd w:id="56"/>
            <w:bookmarkEnd w:id="57"/>
            <w:bookmarkEnd w:id="58"/>
            <w:bookmarkEnd w:id="59"/>
            <w:r>
              <w:rPr>
                <w:rFonts w:hint="eastAsia" w:ascii="宋体" w:hAnsi="宋体"/>
                <w:color w:val="auto"/>
                <w:szCs w:val="21"/>
                <w:highlight w:val="none"/>
              </w:rPr>
              <w:t>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4E20E50F">
            <w:pPr>
              <w:snapToGrid w:val="0"/>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本项目报价包含完成本服务项目所需的相关费用，包括但不限于服务内容、所涉及的备品备件、工具、人工费、差旅费、材料、实施、调试、验收、技术培训及技术资料、软件升级</w:t>
            </w:r>
            <w:r>
              <w:rPr>
                <w:rFonts w:hint="eastAsia" w:ascii="宋体" w:hAnsi="宋体" w:cs="宋体"/>
                <w:color w:val="auto"/>
                <w:kern w:val="0"/>
                <w:szCs w:val="21"/>
                <w:highlight w:val="none"/>
                <w:lang w:eastAsia="zh-CN"/>
              </w:rPr>
              <w:t>、与软件升级功能对应的适配设备更换</w:t>
            </w:r>
            <w:r>
              <w:rPr>
                <w:rFonts w:hint="eastAsia" w:ascii="宋体" w:hAnsi="宋体" w:cs="宋体"/>
                <w:color w:val="auto"/>
                <w:kern w:val="0"/>
                <w:szCs w:val="21"/>
                <w:highlight w:val="none"/>
              </w:rPr>
              <w:t>等各种费用和售后服务、税金、招标代理服务费及其它所有成本费用的总和。</w:t>
            </w:r>
          </w:p>
        </w:tc>
      </w:tr>
      <w:tr w14:paraId="029755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4E92B694">
            <w:pPr>
              <w:spacing w:line="400" w:lineRule="exact"/>
              <w:jc w:val="center"/>
              <w:rPr>
                <w:rFonts w:hint="eastAsia" w:ascii="宋体" w:hAnsi="宋体"/>
                <w:color w:val="auto"/>
                <w:szCs w:val="21"/>
                <w:highlight w:val="none"/>
              </w:rPr>
            </w:pPr>
            <w:bookmarkStart w:id="60" w:name="_17.1"/>
            <w:bookmarkEnd w:id="60"/>
            <w:r>
              <w:rPr>
                <w:rFonts w:hint="eastAsia" w:ascii="宋体" w:hAnsi="宋体"/>
                <w:color w:val="auto"/>
                <w:szCs w:val="21"/>
                <w:highlight w:val="none"/>
              </w:rPr>
              <w:t>17.</w:t>
            </w:r>
            <w:r>
              <w:rPr>
                <w:rFonts w:ascii="宋体" w:hAnsi="宋体"/>
                <w:color w:val="auto"/>
                <w:szCs w:val="21"/>
                <w:highlight w:val="none"/>
              </w:rPr>
              <w:t>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385B2406">
            <w:pPr>
              <w:snapToGrid w:val="0"/>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投标有效期：投标截止之日起60天内。</w:t>
            </w:r>
          </w:p>
        </w:tc>
      </w:tr>
      <w:tr w14:paraId="44742A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5DCCF5E6">
            <w:pPr>
              <w:spacing w:line="400" w:lineRule="exact"/>
              <w:jc w:val="center"/>
              <w:rPr>
                <w:rFonts w:hint="eastAsia" w:ascii="宋体" w:hAnsi="宋体"/>
                <w:color w:val="auto"/>
                <w:szCs w:val="21"/>
                <w:highlight w:val="none"/>
              </w:rPr>
            </w:pPr>
            <w:bookmarkStart w:id="61" w:name="_18"/>
            <w:bookmarkEnd w:id="61"/>
            <w:r>
              <w:rPr>
                <w:rFonts w:hint="eastAsia" w:ascii="宋体" w:hAnsi="宋体"/>
                <w:color w:val="auto"/>
                <w:szCs w:val="21"/>
                <w:highlight w:val="none"/>
              </w:rPr>
              <w:t>18</w:t>
            </w:r>
            <w:r>
              <w:rPr>
                <w:rFonts w:ascii="宋体" w:hAnsi="宋体"/>
                <w:color w:val="auto"/>
                <w:szCs w:val="21"/>
                <w:highlight w:val="none"/>
              </w:rPr>
              <w:t>.1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31C0CC76">
            <w:pPr>
              <w:snapToGrid w:val="0"/>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本项目收取投标保证金，具体规定如下：</w:t>
            </w:r>
          </w:p>
          <w:p w14:paraId="1FB3FF6C">
            <w:pPr>
              <w:snapToGrid w:val="0"/>
              <w:spacing w:line="400" w:lineRule="exac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 xml:space="preserve">  投标保证金人民币</w:t>
            </w:r>
            <w:r>
              <w:rPr>
                <w:rFonts w:hint="eastAsia" w:ascii="宋体" w:hAnsi="宋体" w:cs="宋体"/>
                <w:color w:val="auto"/>
                <w:kern w:val="0"/>
                <w:szCs w:val="21"/>
                <w:highlight w:val="none"/>
                <w:u w:val="single"/>
                <w:lang w:eastAsia="zh-CN"/>
              </w:rPr>
              <w:t>：58000元。</w:t>
            </w:r>
          </w:p>
          <w:p w14:paraId="0623DD56">
            <w:pPr>
              <w:snapToGrid w:val="0"/>
              <w:spacing w:line="400" w:lineRule="exact"/>
              <w:rPr>
                <w:rFonts w:hint="eastAsia" w:ascii="宋体" w:hAnsi="宋体"/>
                <w:color w:val="auto"/>
                <w:szCs w:val="21"/>
                <w:highlight w:val="none"/>
              </w:rPr>
            </w:pPr>
            <w:r>
              <w:rPr>
                <w:rFonts w:hint="eastAsia" w:ascii="宋体" w:hAnsi="宋体" w:cs="宋体"/>
                <w:color w:val="auto"/>
                <w:kern w:val="0"/>
                <w:szCs w:val="21"/>
                <w:highlight w:val="none"/>
              </w:rPr>
              <w:t>投标保证金的交纳方式：银行转账、支票、汇票、本票或者金融、担保机构出具的保函，禁止采用现钞方式。采用银行转账方式的，在投标截止时间前交至指定账户并且到账（</w:t>
            </w:r>
            <w:r>
              <w:rPr>
                <w:rFonts w:hint="eastAsia" w:ascii="宋体" w:hAnsi="宋体" w:cs="宋体"/>
                <w:color w:val="auto"/>
                <w:szCs w:val="21"/>
                <w:highlight w:val="none"/>
              </w:rPr>
              <w:t>开户名称：广西科文招标有限公司，开户银行：广西北部湾银行南宁分行营业部，银行账号：0101012090615689</w:t>
            </w:r>
            <w:r>
              <w:rPr>
                <w:rFonts w:hint="eastAsia" w:ascii="宋体" w:hAnsi="宋体" w:cs="宋体"/>
                <w:color w:val="auto"/>
                <w:kern w:val="0"/>
                <w:szCs w:val="21"/>
                <w:highlight w:val="none"/>
              </w:rPr>
              <w:t>）；采用支票、汇票、本票或者保函等方式的，在投标截止时间前，投标人必须递交支票、汇票、本票或者保函原件。否则视为无效投标保证金。</w:t>
            </w:r>
          </w:p>
          <w:p w14:paraId="4077522C">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相关要求：</w:t>
            </w:r>
          </w:p>
          <w:p w14:paraId="78B6F0B2">
            <w:pPr>
              <w:pStyle w:val="18"/>
              <w:spacing w:line="400" w:lineRule="exact"/>
              <w:rPr>
                <w:rFonts w:hint="eastAsia" w:ascii="宋体" w:hAnsi="宋体"/>
                <w:color w:val="auto"/>
                <w:szCs w:val="21"/>
                <w:highlight w:val="none"/>
              </w:rPr>
            </w:pPr>
            <w:r>
              <w:rPr>
                <w:rFonts w:hint="eastAsia" w:ascii="宋体" w:hAnsi="宋体"/>
                <w:color w:val="auto"/>
                <w:szCs w:val="21"/>
                <w:highlight w:val="none"/>
              </w:rPr>
              <w:t>1、投标保证金采用银行转账交纳方式的，在投标截止时间前交至指定账户并且到账，投标人应将银行转账底单的复印件作为投标保证金提交凭证，</w:t>
            </w:r>
            <w:r>
              <w:rPr>
                <w:rFonts w:ascii="宋体" w:hAnsi="宋体"/>
                <w:color w:val="auto"/>
                <w:szCs w:val="21"/>
                <w:highlight w:val="none"/>
              </w:rPr>
              <w:t>放置于</w:t>
            </w:r>
            <w:r>
              <w:rPr>
                <w:rFonts w:hint="eastAsia" w:ascii="宋体" w:hAnsi="宋体"/>
                <w:color w:val="auto"/>
                <w:szCs w:val="21"/>
                <w:highlight w:val="none"/>
              </w:rPr>
              <w:t>商务文件</w:t>
            </w:r>
            <w:r>
              <w:rPr>
                <w:rFonts w:ascii="宋体" w:hAnsi="宋体"/>
                <w:color w:val="auto"/>
                <w:szCs w:val="21"/>
                <w:highlight w:val="none"/>
              </w:rPr>
              <w:t>中</w:t>
            </w:r>
            <w:r>
              <w:rPr>
                <w:rFonts w:hint="eastAsia" w:ascii="宋体" w:hAnsi="宋体"/>
                <w:color w:val="auto"/>
                <w:szCs w:val="21"/>
                <w:highlight w:val="none"/>
              </w:rPr>
              <w:t>，</w:t>
            </w:r>
            <w:r>
              <w:rPr>
                <w:rFonts w:hint="eastAsia" w:ascii="宋体" w:hAnsi="宋体"/>
                <w:b/>
                <w:color w:val="auto"/>
                <w:szCs w:val="21"/>
                <w:highlight w:val="none"/>
              </w:rPr>
              <w:t>否则投标无效</w:t>
            </w:r>
            <w:r>
              <w:rPr>
                <w:rFonts w:hint="eastAsia" w:ascii="宋体" w:hAnsi="宋体"/>
                <w:color w:val="auto"/>
                <w:szCs w:val="21"/>
                <w:highlight w:val="none"/>
              </w:rPr>
              <w:t>。</w:t>
            </w:r>
          </w:p>
          <w:p w14:paraId="6D9EBF83">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2、投标保证金采用支票、汇票、本票或者金融、担保机构出具的保函交纳方式的，投标人应将支票、汇票、本票或者金融、担保机构出具的保函的复印件作为投标保证金提交凭证，放置于商务文件中，</w:t>
            </w:r>
            <w:r>
              <w:rPr>
                <w:rFonts w:hint="eastAsia" w:ascii="宋体" w:hAnsi="宋体"/>
                <w:b/>
                <w:color w:val="auto"/>
                <w:szCs w:val="21"/>
                <w:highlight w:val="none"/>
              </w:rPr>
              <w:t>否则投标无效</w:t>
            </w:r>
            <w:r>
              <w:rPr>
                <w:rFonts w:hint="eastAsia" w:ascii="宋体" w:hAnsi="宋体"/>
                <w:color w:val="auto"/>
                <w:szCs w:val="21"/>
                <w:highlight w:val="none"/>
              </w:rPr>
              <w:t>。</w:t>
            </w:r>
            <w:r>
              <w:rPr>
                <w:rFonts w:hint="eastAsia" w:ascii="宋体" w:hAnsi="宋体"/>
                <w:b/>
                <w:color w:val="auto"/>
                <w:szCs w:val="21"/>
                <w:highlight w:val="none"/>
              </w:rPr>
              <w:t>投标人必须在投标截止时间前将支票、汇票、本票或者金融、担保机构出具的保函原件提交给采购代理机构，由采购代理机构向投标人出具回执，并妥善保管。</w:t>
            </w:r>
          </w:p>
          <w:p w14:paraId="2236A1E8">
            <w:pPr>
              <w:snapToGrid w:val="0"/>
              <w:spacing w:line="400" w:lineRule="exact"/>
              <w:rPr>
                <w:rFonts w:hint="eastAsia" w:ascii="宋体" w:hAnsi="宋体"/>
                <w:color w:val="auto"/>
                <w:szCs w:val="21"/>
                <w:highlight w:val="none"/>
              </w:rPr>
            </w:pPr>
            <w:r>
              <w:rPr>
                <w:rFonts w:hint="eastAsia" w:ascii="宋体" w:hAnsi="宋体" w:cs="宋体"/>
                <w:color w:val="auto"/>
                <w:szCs w:val="21"/>
                <w:highlight w:val="none"/>
              </w:rPr>
              <w:t>3、投标人为联合体的，可以由联合体中的一方或者多方共同交纳投标保证金，其交纳的保证金对联合体各方均具有约束力。</w:t>
            </w:r>
          </w:p>
          <w:p w14:paraId="0B5D7701">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 xml:space="preserve">备注： </w:t>
            </w:r>
          </w:p>
          <w:p w14:paraId="6AAD7853">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1、投标保证金在投标截止时间后提交的，或者不按规定交纳方式交纳的，或者未足额交纳的（包含保函额度不足的），视为无效投标保证金。</w:t>
            </w:r>
          </w:p>
          <w:p w14:paraId="7443B863">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2、投标人采用现钞方式或者从个人账户（自然人投标除外）转出的投标保证金，视为无效投标保证金。</w:t>
            </w:r>
          </w:p>
          <w:p w14:paraId="68682816">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3、支票、汇票或者本票出现无效或者背书情形的，视为无效投标保证金。</w:t>
            </w:r>
          </w:p>
          <w:p w14:paraId="0A8E03A6">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4、保函有效期低于投标有效期的，视为无效投标保证金。</w:t>
            </w:r>
          </w:p>
          <w:p w14:paraId="17353114">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5、采用金融、担保机构出具保函的，必须为无条件保函，否则视为无效投标保证金。</w:t>
            </w:r>
          </w:p>
          <w:p w14:paraId="149174DA">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6、保证金凭证应注明正确的项目编号、分标号（如有）等信息，否则，信息不明确或有误的将可能被视为无效投标保证金，并有可能影响保证金的及时退付。</w:t>
            </w:r>
          </w:p>
        </w:tc>
      </w:tr>
      <w:tr w14:paraId="727E9E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2BA78744">
            <w:pPr>
              <w:spacing w:line="400" w:lineRule="exact"/>
              <w:jc w:val="center"/>
              <w:rPr>
                <w:rFonts w:hint="eastAsia" w:ascii="宋体" w:hAnsi="宋体"/>
                <w:color w:val="auto"/>
                <w:szCs w:val="21"/>
                <w:highlight w:val="none"/>
              </w:rPr>
            </w:pPr>
            <w:bookmarkStart w:id="62" w:name="_19.2"/>
            <w:bookmarkEnd w:id="62"/>
            <w:r>
              <w:rPr>
                <w:rFonts w:hint="eastAsia" w:ascii="宋体" w:hAnsi="宋体"/>
                <w:color w:val="auto"/>
                <w:szCs w:val="21"/>
                <w:highlight w:val="none"/>
              </w:rPr>
              <w:t>19.2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58BDE352">
            <w:pPr>
              <w:autoSpaceDE w:val="0"/>
              <w:autoSpaceDN w:val="0"/>
              <w:snapToGrid w:val="0"/>
              <w:spacing w:line="400" w:lineRule="exact"/>
              <w:textAlignment w:val="bottom"/>
              <w:rPr>
                <w:rFonts w:hint="eastAsia" w:ascii="宋体" w:hAnsi="宋体"/>
                <w:color w:val="auto"/>
                <w:szCs w:val="21"/>
                <w:highlight w:val="none"/>
              </w:rPr>
            </w:pPr>
            <w:r>
              <w:rPr>
                <w:rFonts w:hint="eastAsia" w:hAnsi="宋体"/>
                <w:color w:val="auto"/>
                <w:szCs w:val="21"/>
                <w:highlight w:val="none"/>
              </w:rPr>
              <w:t>投标文件应按报价文件、资格证明文件、商务文件、技术文件分别编制，</w:t>
            </w:r>
            <w:r>
              <w:rPr>
                <w:rFonts w:hint="eastAsia" w:ascii="宋体" w:hAnsi="宋体" w:cs="宋体"/>
                <w:color w:val="auto"/>
                <w:szCs w:val="21"/>
                <w:highlight w:val="none"/>
                <w:lang w:bidi="ar"/>
              </w:rPr>
              <w:t>并按广西政府采购云平台的要求编制、加密、上传。</w:t>
            </w:r>
          </w:p>
        </w:tc>
      </w:tr>
      <w:tr w14:paraId="68D7EA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2D3D942C">
            <w:pPr>
              <w:spacing w:line="400" w:lineRule="exact"/>
              <w:jc w:val="center"/>
              <w:rPr>
                <w:rFonts w:hint="eastAsia" w:ascii="宋体" w:hAnsi="宋体"/>
                <w:color w:val="auto"/>
                <w:szCs w:val="21"/>
                <w:highlight w:val="none"/>
              </w:rPr>
            </w:pPr>
            <w:r>
              <w:rPr>
                <w:rFonts w:hint="eastAsia" w:ascii="宋体" w:hAnsi="宋体"/>
                <w:color w:val="auto"/>
                <w:szCs w:val="21"/>
                <w:highlight w:val="none"/>
              </w:rPr>
              <w:t>20.1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109C9BD8">
            <w:pPr>
              <w:autoSpaceDE w:val="0"/>
              <w:autoSpaceDN w:val="0"/>
              <w:snapToGrid w:val="0"/>
              <w:spacing w:line="400" w:lineRule="exact"/>
              <w:textAlignment w:val="bottom"/>
              <w:rPr>
                <w:rFonts w:hint="eastAsia" w:hAnsi="宋体"/>
                <w:color w:val="auto"/>
                <w:szCs w:val="21"/>
                <w:highlight w:val="none"/>
              </w:rPr>
            </w:pPr>
            <w:r>
              <w:rPr>
                <w:rFonts w:hint="eastAsia" w:ascii="宋体" w:hAnsi="宋体"/>
                <w:color w:val="auto"/>
                <w:szCs w:val="21"/>
                <w:highlight w:val="none"/>
              </w:rPr>
              <w:t>电子投标文件应在制作完成后，投标人应按广西政府采购云平台的要求进行加密，并在规定时间内解密，否则，由此产生的后果由投标人自行负责。</w:t>
            </w:r>
          </w:p>
        </w:tc>
      </w:tr>
      <w:tr w14:paraId="381F1C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37A3449C">
            <w:pPr>
              <w:spacing w:line="400" w:lineRule="exact"/>
              <w:jc w:val="center"/>
              <w:rPr>
                <w:rFonts w:hint="eastAsia" w:ascii="宋体" w:hAnsi="宋体"/>
                <w:color w:val="auto"/>
                <w:szCs w:val="21"/>
                <w:highlight w:val="none"/>
              </w:rPr>
            </w:pPr>
            <w:bookmarkStart w:id="63" w:name="_21.1"/>
            <w:bookmarkEnd w:id="63"/>
            <w:r>
              <w:rPr>
                <w:rFonts w:hint="eastAsia" w:ascii="宋体" w:hAnsi="宋体"/>
                <w:color w:val="auto"/>
                <w:szCs w:val="21"/>
                <w:highlight w:val="none"/>
              </w:rPr>
              <w:t>21.1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69C0FDAA">
            <w:pPr>
              <w:snapToGrid w:val="0"/>
              <w:spacing w:line="400" w:lineRule="exact"/>
              <w:rPr>
                <w:rFonts w:hint="eastAsia" w:ascii="宋体" w:hAnsi="宋体"/>
                <w:color w:val="auto"/>
                <w:szCs w:val="21"/>
                <w:highlight w:val="none"/>
                <w:u w:val="single"/>
              </w:rPr>
            </w:pPr>
            <w:r>
              <w:rPr>
                <w:rFonts w:hint="eastAsia" w:ascii="宋体" w:hAnsi="宋体"/>
                <w:color w:val="auto"/>
                <w:szCs w:val="21"/>
                <w:highlight w:val="none"/>
              </w:rPr>
              <w:t>1、投标截止时间：详见招标公告</w:t>
            </w:r>
          </w:p>
          <w:p w14:paraId="43729358">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2、投标地点：详见招标公告</w:t>
            </w:r>
          </w:p>
        </w:tc>
      </w:tr>
      <w:tr w14:paraId="7E3D2D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6F23002C">
            <w:pPr>
              <w:spacing w:line="400" w:lineRule="exact"/>
              <w:jc w:val="center"/>
              <w:rPr>
                <w:rFonts w:hint="eastAsia" w:ascii="宋体" w:hAnsi="宋体"/>
                <w:color w:val="auto"/>
                <w:szCs w:val="21"/>
                <w:highlight w:val="none"/>
              </w:rPr>
            </w:pPr>
            <w:bookmarkStart w:id="64" w:name="_23"/>
            <w:bookmarkEnd w:id="64"/>
            <w:r>
              <w:rPr>
                <w:rFonts w:hint="eastAsia" w:ascii="宋体" w:hAnsi="宋体"/>
                <w:color w:val="auto"/>
                <w:szCs w:val="21"/>
                <w:highlight w:val="none"/>
              </w:rPr>
              <w:t>23</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53CE7722">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1、开标时间：详见招标公告</w:t>
            </w:r>
          </w:p>
          <w:p w14:paraId="635D1363">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2、开标地点：详见招标公告</w:t>
            </w:r>
          </w:p>
        </w:tc>
      </w:tr>
      <w:tr w14:paraId="7BE33D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085B1C51">
            <w:pPr>
              <w:spacing w:line="400" w:lineRule="exact"/>
              <w:jc w:val="center"/>
              <w:rPr>
                <w:rFonts w:hint="eastAsia" w:ascii="宋体" w:hAnsi="宋体"/>
                <w:color w:val="auto"/>
                <w:szCs w:val="21"/>
                <w:highlight w:val="none"/>
              </w:rPr>
            </w:pPr>
            <w:r>
              <w:rPr>
                <w:rFonts w:hint="eastAsia" w:ascii="宋体" w:hAnsi="宋体"/>
                <w:bCs/>
                <w:color w:val="auto"/>
                <w:szCs w:val="21"/>
                <w:highlight w:val="none"/>
              </w:rPr>
              <w:t>24.2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7EC85C5A">
            <w:pPr>
              <w:snapToGrid w:val="0"/>
              <w:spacing w:line="400" w:lineRule="exact"/>
              <w:rPr>
                <w:rFonts w:hint="eastAsia" w:ascii="宋体" w:hAnsi="宋体"/>
                <w:color w:val="auto"/>
                <w:szCs w:val="21"/>
                <w:highlight w:val="none"/>
              </w:rPr>
            </w:pPr>
            <w:r>
              <w:rPr>
                <w:rFonts w:hint="eastAsia" w:ascii="宋体" w:hAnsi="宋体"/>
                <w:bCs/>
                <w:color w:val="auto"/>
                <w:szCs w:val="21"/>
                <w:highlight w:val="none"/>
              </w:rPr>
              <w:t>广西政府采购云平台按开标时间自动提取所有投标文件。采购代理机构依托广西政府采购云平台向各投标人发出电子加密投标文件【开始解密】通知，由投标人进行投标文件解密。</w:t>
            </w:r>
            <w:r>
              <w:rPr>
                <w:rFonts w:hint="eastAsia" w:ascii="宋体" w:hAnsi="宋体"/>
                <w:b/>
                <w:bCs/>
                <w:color w:val="auto"/>
                <w:szCs w:val="21"/>
                <w:highlight w:val="none"/>
              </w:rPr>
              <w:t>投标人的法定代表人或其委托代理人须携带加密时所用的CA锁准时登录到广西政府采购云平台电子开标大厅签到</w:t>
            </w:r>
            <w:r>
              <w:rPr>
                <w:rFonts w:hint="eastAsia" w:ascii="宋体" w:hAnsi="宋体" w:cs="宋体"/>
                <w:b/>
                <w:color w:val="auto"/>
                <w:szCs w:val="21"/>
                <w:highlight w:val="none"/>
              </w:rPr>
              <w:t>并在发起解密</w:t>
            </w:r>
            <w:r>
              <w:rPr>
                <w:rFonts w:hint="eastAsia" w:ascii="宋体" w:hAnsi="宋体"/>
                <w:b/>
                <w:bCs/>
                <w:color w:val="auto"/>
                <w:szCs w:val="21"/>
                <w:highlight w:val="none"/>
              </w:rPr>
              <w:t>通知</w:t>
            </w:r>
            <w:r>
              <w:rPr>
                <w:rFonts w:hint="eastAsia" w:ascii="宋体" w:hAnsi="宋体" w:cs="宋体"/>
                <w:b/>
                <w:color w:val="auto"/>
                <w:szCs w:val="21"/>
                <w:highlight w:val="none"/>
              </w:rPr>
              <w:t>之时起30分钟内完成</w:t>
            </w:r>
            <w:r>
              <w:rPr>
                <w:rFonts w:hint="eastAsia" w:ascii="宋体" w:hAnsi="宋体"/>
                <w:b/>
                <w:bCs/>
                <w:color w:val="auto"/>
                <w:szCs w:val="21"/>
                <w:highlight w:val="none"/>
              </w:rPr>
              <w:t>对电子投标文件解密。投标文件未按时解密的，视为无效投标。</w:t>
            </w:r>
          </w:p>
        </w:tc>
      </w:tr>
      <w:tr w14:paraId="43B8DC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70B73AD1">
            <w:pPr>
              <w:spacing w:line="400" w:lineRule="exact"/>
              <w:jc w:val="center"/>
              <w:rPr>
                <w:rFonts w:hint="eastAsia" w:ascii="宋体" w:hAnsi="宋体"/>
                <w:color w:val="auto"/>
                <w:szCs w:val="21"/>
                <w:highlight w:val="none"/>
              </w:rPr>
            </w:pPr>
            <w:bookmarkStart w:id="65" w:name="_25.3"/>
            <w:bookmarkEnd w:id="65"/>
            <w:r>
              <w:rPr>
                <w:rFonts w:hint="eastAsia" w:ascii="宋体" w:hAnsi="宋体"/>
                <w:color w:val="auto"/>
                <w:szCs w:val="21"/>
                <w:highlight w:val="none"/>
              </w:rPr>
              <w:t>25.3（3）</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35EB1D8F">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506DCB3E">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查询渠道：</w:t>
            </w:r>
            <w:r>
              <w:rPr>
                <w:rFonts w:ascii="宋体" w:hAnsi="宋体"/>
                <w:color w:val="auto"/>
                <w:szCs w:val="21"/>
                <w:highlight w:val="none"/>
              </w:rPr>
              <w:t>“信用中国”网站（www.creditchina.gov.cn）、中国政府采购网（</w:t>
            </w:r>
            <w:r>
              <w:rPr>
                <w:rFonts w:ascii="宋体" w:hAnsi="宋体"/>
                <w:color w:val="auto"/>
                <w:szCs w:val="21"/>
                <w:highlight w:val="none"/>
              </w:rPr>
              <w:fldChar w:fldCharType="begin"/>
            </w:r>
            <w:r>
              <w:rPr>
                <w:rFonts w:ascii="宋体" w:hAnsi="宋体"/>
                <w:color w:val="auto"/>
                <w:szCs w:val="21"/>
                <w:highlight w:val="none"/>
              </w:rPr>
              <w:instrText xml:space="preserve"> HYPERLINK "http://www.ccgp.gov.cn" </w:instrText>
            </w:r>
            <w:r>
              <w:rPr>
                <w:rFonts w:ascii="宋体" w:hAnsi="宋体"/>
                <w:color w:val="auto"/>
                <w:szCs w:val="21"/>
                <w:highlight w:val="none"/>
              </w:rPr>
              <w:fldChar w:fldCharType="separate"/>
            </w:r>
            <w:r>
              <w:rPr>
                <w:rStyle w:val="57"/>
                <w:rFonts w:ascii="宋体" w:hAnsi="宋体"/>
                <w:color w:val="auto"/>
                <w:szCs w:val="21"/>
                <w:highlight w:val="none"/>
              </w:rPr>
              <w:t>www.ccgp.gov.cn</w:t>
            </w:r>
            <w:r>
              <w:rPr>
                <w:rFonts w:ascii="宋体" w:hAnsi="宋体"/>
                <w:color w:val="auto"/>
                <w:szCs w:val="21"/>
                <w:highlight w:val="none"/>
              </w:rPr>
              <w:fldChar w:fldCharType="end"/>
            </w:r>
            <w:r>
              <w:rPr>
                <w:rFonts w:ascii="宋体" w:hAnsi="宋体"/>
                <w:color w:val="auto"/>
                <w:szCs w:val="21"/>
                <w:highlight w:val="none"/>
              </w:rPr>
              <w:t>）</w:t>
            </w:r>
            <w:r>
              <w:rPr>
                <w:rFonts w:hint="eastAsia" w:ascii="宋体" w:hAnsi="宋体"/>
                <w:color w:val="auto"/>
                <w:szCs w:val="21"/>
                <w:highlight w:val="none"/>
              </w:rPr>
              <w:t>。</w:t>
            </w:r>
          </w:p>
          <w:p w14:paraId="1C9DB984">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信用查询截止时点：</w:t>
            </w:r>
            <w:r>
              <w:rPr>
                <w:rFonts w:ascii="宋体" w:hAnsi="宋体" w:cs="宋体"/>
                <w:color w:val="auto"/>
                <w:szCs w:val="21"/>
                <w:highlight w:val="none"/>
              </w:rPr>
              <w:t>资格审查结束前</w:t>
            </w:r>
            <w:r>
              <w:rPr>
                <w:rFonts w:hint="eastAsia" w:ascii="宋体" w:hAnsi="宋体" w:cs="宋体"/>
                <w:color w:val="auto"/>
                <w:szCs w:val="21"/>
                <w:highlight w:val="none"/>
              </w:rPr>
              <w:t>。</w:t>
            </w:r>
          </w:p>
          <w:p w14:paraId="1361E9F7">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查询记录和证据留存方式：</w:t>
            </w:r>
            <w:r>
              <w:rPr>
                <w:rFonts w:hint="eastAsia" w:ascii="宋体" w:hAnsi="宋体" w:cs="宋体"/>
                <w:color w:val="auto"/>
                <w:szCs w:val="21"/>
                <w:highlight w:val="none"/>
              </w:rPr>
              <w:t>将查询网站中的查询记录截图并作为评审资料保存。</w:t>
            </w:r>
          </w:p>
          <w:p w14:paraId="20CF06DC">
            <w:pPr>
              <w:snapToGrid w:val="0"/>
              <w:spacing w:line="400" w:lineRule="exact"/>
              <w:rPr>
                <w:rFonts w:hint="eastAsia" w:ascii="宋体" w:hAnsi="宋体"/>
                <w:b/>
                <w:color w:val="auto"/>
                <w:szCs w:val="21"/>
                <w:highlight w:val="none"/>
              </w:rPr>
            </w:pPr>
            <w:r>
              <w:rPr>
                <w:rFonts w:hint="eastAsia" w:ascii="宋体" w:hAnsi="宋体"/>
                <w:color w:val="auto"/>
                <w:szCs w:val="21"/>
                <w:highlight w:val="none"/>
              </w:rPr>
              <w:t>信用信息使用规则：根据财政部《关于在政府采购活动中查询及使用信用记录有关问题的通知》（财库〔2016〕125号）的规定，</w:t>
            </w:r>
            <w:r>
              <w:rPr>
                <w:rFonts w:hint="eastAsia" w:ascii="宋体" w:hAnsi="宋体" w:cs="宋体"/>
                <w:color w:val="auto"/>
                <w:szCs w:val="21"/>
                <w:highlight w:val="none"/>
                <w:lang w:bidi="ar"/>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投标人，不得参与政府采购活动。</w:t>
            </w:r>
          </w:p>
        </w:tc>
      </w:tr>
      <w:tr w14:paraId="3B8343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2ADEAEAA">
            <w:pPr>
              <w:spacing w:line="400" w:lineRule="exact"/>
              <w:jc w:val="center"/>
              <w:rPr>
                <w:rFonts w:hint="eastAsia" w:ascii="宋体" w:hAnsi="宋体"/>
                <w:color w:val="auto"/>
                <w:szCs w:val="21"/>
                <w:highlight w:val="none"/>
              </w:rPr>
            </w:pPr>
            <w:bookmarkStart w:id="66" w:name="_26"/>
            <w:bookmarkEnd w:id="66"/>
            <w:r>
              <w:rPr>
                <w:rFonts w:hint="eastAsia" w:ascii="宋体" w:hAnsi="宋体"/>
                <w:color w:val="auto"/>
                <w:szCs w:val="21"/>
                <w:highlight w:val="none"/>
              </w:rPr>
              <w:t>26</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6767D432">
            <w:pPr>
              <w:autoSpaceDE w:val="0"/>
              <w:autoSpaceDN w:val="0"/>
              <w:snapToGrid w:val="0"/>
              <w:spacing w:line="400" w:lineRule="exact"/>
              <w:textAlignment w:val="bottom"/>
              <w:rPr>
                <w:rFonts w:hint="eastAsia" w:ascii="宋体" w:hAnsi="宋体" w:cs="宋体"/>
                <w:color w:val="auto"/>
                <w:szCs w:val="21"/>
                <w:highlight w:val="none"/>
                <w:lang w:bidi="ar"/>
              </w:rPr>
            </w:pPr>
            <w:r>
              <w:rPr>
                <w:rFonts w:hint="eastAsia" w:ascii="宋体" w:hAnsi="宋体" w:cs="宋体"/>
                <w:color w:val="auto"/>
                <w:szCs w:val="21"/>
                <w:highlight w:val="none"/>
                <w:lang w:bidi="ar"/>
              </w:rPr>
              <w:t>评标委员会的人数：5人。</w:t>
            </w:r>
          </w:p>
        </w:tc>
      </w:tr>
      <w:tr w14:paraId="1A0A5E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56986489">
            <w:pPr>
              <w:spacing w:line="400" w:lineRule="exact"/>
              <w:jc w:val="center"/>
              <w:rPr>
                <w:rFonts w:hint="eastAsia" w:ascii="宋体" w:hAnsi="宋体"/>
                <w:color w:val="auto"/>
                <w:szCs w:val="21"/>
                <w:highlight w:val="none"/>
              </w:rPr>
            </w:pPr>
            <w:bookmarkStart w:id="67" w:name="_28.3"/>
            <w:bookmarkEnd w:id="67"/>
            <w:r>
              <w:rPr>
                <w:rFonts w:ascii="宋体" w:hAnsi="宋体"/>
                <w:color w:val="auto"/>
                <w:szCs w:val="21"/>
                <w:highlight w:val="none"/>
              </w:rPr>
              <w:t>29.1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78E94534">
            <w:pPr>
              <w:autoSpaceDE w:val="0"/>
              <w:autoSpaceDN w:val="0"/>
              <w:snapToGrid w:val="0"/>
              <w:spacing w:line="400" w:lineRule="exact"/>
              <w:textAlignment w:val="bottom"/>
              <w:rPr>
                <w:rFonts w:hint="eastAsia" w:ascii="宋体" w:hAnsi="宋体" w:cs="宋体"/>
                <w:color w:val="auto"/>
                <w:szCs w:val="21"/>
                <w:highlight w:val="none"/>
                <w:lang w:bidi="ar"/>
              </w:rPr>
            </w:pPr>
            <w:r>
              <w:rPr>
                <w:rFonts w:hint="eastAsia" w:ascii="宋体" w:hAnsi="宋体" w:cs="宋体"/>
                <w:color w:val="auto"/>
                <w:szCs w:val="21"/>
                <w:highlight w:val="none"/>
                <w:lang w:bidi="ar"/>
              </w:rPr>
              <w:t>评标方法：综合评分法</w:t>
            </w:r>
          </w:p>
        </w:tc>
      </w:tr>
      <w:tr w14:paraId="068008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vMerge w:val="restart"/>
            <w:tcBorders>
              <w:top w:val="single" w:color="auto" w:sz="4" w:space="0"/>
              <w:left w:val="single" w:color="auto" w:sz="4" w:space="0"/>
              <w:right w:val="single" w:color="auto" w:sz="4" w:space="0"/>
            </w:tcBorders>
            <w:noWrap w:val="0"/>
            <w:vAlign w:val="center"/>
          </w:tcPr>
          <w:p w14:paraId="4F04F678">
            <w:pPr>
              <w:spacing w:line="400" w:lineRule="exact"/>
              <w:jc w:val="center"/>
              <w:rPr>
                <w:rFonts w:hint="eastAsia" w:ascii="宋体" w:hAnsi="宋体"/>
                <w:color w:val="auto"/>
                <w:szCs w:val="21"/>
                <w:highlight w:val="none"/>
              </w:rPr>
            </w:pPr>
            <w:bookmarkStart w:id="68" w:name="_29.2.2（2）"/>
            <w:bookmarkEnd w:id="68"/>
            <w:r>
              <w:rPr>
                <w:rFonts w:hint="eastAsia" w:ascii="宋体" w:hAnsi="宋体"/>
                <w:color w:val="auto"/>
                <w:szCs w:val="21"/>
                <w:highlight w:val="none"/>
              </w:rPr>
              <w:t>29</w:t>
            </w:r>
            <w:r>
              <w:rPr>
                <w:rFonts w:ascii="宋体" w:hAnsi="宋体"/>
                <w:color w:val="auto"/>
                <w:szCs w:val="21"/>
                <w:highlight w:val="none"/>
              </w:rPr>
              <w:t>.2</w:t>
            </w:r>
          </w:p>
        </w:tc>
        <w:tc>
          <w:tcPr>
            <w:tcW w:w="8708" w:type="dxa"/>
            <w:tcBorders>
              <w:top w:val="single" w:color="auto" w:sz="4" w:space="0"/>
              <w:left w:val="single" w:color="auto" w:sz="4" w:space="0"/>
              <w:right w:val="single" w:color="auto" w:sz="4" w:space="0"/>
            </w:tcBorders>
            <w:noWrap w:val="0"/>
            <w:vAlign w:val="center"/>
          </w:tcPr>
          <w:p w14:paraId="73CC86E8">
            <w:pPr>
              <w:snapToGrid w:val="0"/>
              <w:spacing w:line="400" w:lineRule="exact"/>
              <w:rPr>
                <w:rFonts w:ascii="宋体" w:hAnsi="宋体"/>
                <w:color w:val="auto"/>
                <w:szCs w:val="21"/>
                <w:highlight w:val="none"/>
              </w:rPr>
            </w:pPr>
            <w:r>
              <w:rPr>
                <w:rFonts w:hint="eastAsia" w:ascii="宋体" w:hAnsi="宋体" w:cs="宋体"/>
                <w:color w:val="auto"/>
                <w:szCs w:val="21"/>
                <w:highlight w:val="none"/>
              </w:rPr>
              <w:t>商务要求</w:t>
            </w:r>
            <w:r>
              <w:rPr>
                <w:rFonts w:hint="eastAsia" w:ascii="宋体" w:hAnsi="宋体"/>
                <w:color w:val="auto"/>
                <w:szCs w:val="21"/>
                <w:highlight w:val="none"/>
              </w:rPr>
              <w:t>评审中允许负偏离的条款数为</w:t>
            </w:r>
            <w:r>
              <w:rPr>
                <w:rFonts w:hint="eastAsia" w:ascii="宋体" w:hAnsi="宋体"/>
                <w:color w:val="auto"/>
                <w:szCs w:val="21"/>
                <w:highlight w:val="none"/>
                <w:lang w:val="en-US" w:eastAsia="zh-CN"/>
              </w:rPr>
              <w:t>0</w:t>
            </w:r>
            <w:r>
              <w:rPr>
                <w:rFonts w:hint="eastAsia" w:ascii="宋体" w:hAnsi="宋体"/>
                <w:color w:val="auto"/>
                <w:szCs w:val="21"/>
                <w:highlight w:val="none"/>
              </w:rPr>
              <w:t>项。</w:t>
            </w:r>
          </w:p>
          <w:p w14:paraId="4E1574EC">
            <w:pPr>
              <w:snapToGrid w:val="0"/>
              <w:spacing w:line="400" w:lineRule="exact"/>
              <w:rPr>
                <w:rFonts w:hint="eastAsia"/>
                <w:color w:val="auto"/>
                <w:highlight w:val="none"/>
              </w:rPr>
            </w:pPr>
            <w:r>
              <w:rPr>
                <w:rFonts w:hint="eastAsia" w:ascii="宋体" w:hAnsi="宋体" w:cs="宋体"/>
                <w:color w:val="auto"/>
                <w:szCs w:val="21"/>
                <w:highlight w:val="none"/>
              </w:rPr>
              <w:t>技术要求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lang w:val="en-US" w:eastAsia="zh-CN"/>
              </w:rPr>
              <w:t>0</w:t>
            </w:r>
            <w:r>
              <w:rPr>
                <w:rFonts w:hint="eastAsia" w:ascii="宋体" w:hAnsi="宋体"/>
                <w:color w:val="auto"/>
                <w:szCs w:val="21"/>
                <w:highlight w:val="none"/>
              </w:rPr>
              <w:t>项。</w:t>
            </w:r>
          </w:p>
        </w:tc>
      </w:tr>
      <w:tr w14:paraId="36D8A4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vMerge w:val="continue"/>
            <w:tcBorders>
              <w:left w:val="single" w:color="auto" w:sz="4" w:space="0"/>
              <w:right w:val="single" w:color="auto" w:sz="4" w:space="0"/>
            </w:tcBorders>
            <w:noWrap w:val="0"/>
            <w:vAlign w:val="center"/>
          </w:tcPr>
          <w:p w14:paraId="4676A7DA">
            <w:pPr>
              <w:spacing w:line="400" w:lineRule="exact"/>
              <w:jc w:val="center"/>
              <w:rPr>
                <w:rFonts w:hint="eastAsia" w:ascii="宋体" w:hAnsi="宋体"/>
                <w:color w:val="auto"/>
                <w:szCs w:val="21"/>
                <w:highlight w:val="none"/>
              </w:rPr>
            </w:pPr>
          </w:p>
        </w:tc>
        <w:tc>
          <w:tcPr>
            <w:tcW w:w="8708" w:type="dxa"/>
            <w:tcBorders>
              <w:top w:val="single" w:color="auto" w:sz="4" w:space="0"/>
              <w:left w:val="single" w:color="auto" w:sz="4" w:space="0"/>
              <w:right w:val="single" w:color="auto" w:sz="4" w:space="0"/>
            </w:tcBorders>
            <w:noWrap w:val="0"/>
            <w:vAlign w:val="center"/>
          </w:tcPr>
          <w:p w14:paraId="4C179B8B">
            <w:pPr>
              <w:snapToGrid w:val="0"/>
              <w:spacing w:line="400" w:lineRule="exact"/>
              <w:rPr>
                <w:rFonts w:hint="eastAsia" w:ascii="宋体" w:hAnsi="宋体" w:cs="宋体"/>
                <w:color w:val="auto"/>
                <w:szCs w:val="21"/>
                <w:highlight w:val="none"/>
                <w:u w:val="single"/>
              </w:rPr>
            </w:pPr>
            <w:r>
              <w:rPr>
                <w:rFonts w:hAnsi="宋体"/>
                <w:color w:val="auto"/>
                <w:highlight w:val="none"/>
              </w:rPr>
              <w:t>中标候选人推荐数量</w:t>
            </w:r>
            <w:r>
              <w:rPr>
                <w:rFonts w:hint="eastAsia" w:hAnsi="宋体"/>
                <w:color w:val="auto"/>
                <w:highlight w:val="none"/>
              </w:rPr>
              <w:t>：3家</w:t>
            </w:r>
          </w:p>
        </w:tc>
      </w:tr>
      <w:tr w14:paraId="5F8B49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36D03FF8">
            <w:pPr>
              <w:spacing w:line="400" w:lineRule="exact"/>
              <w:jc w:val="center"/>
              <w:rPr>
                <w:rFonts w:hint="eastAsia" w:ascii="宋体" w:hAnsi="宋体"/>
                <w:color w:val="auto"/>
                <w:szCs w:val="21"/>
                <w:highlight w:val="none"/>
              </w:rPr>
            </w:pPr>
            <w:r>
              <w:rPr>
                <w:rFonts w:hint="eastAsia" w:ascii="宋体" w:hAnsi="宋体"/>
                <w:color w:val="auto"/>
                <w:szCs w:val="21"/>
                <w:highlight w:val="none"/>
              </w:rPr>
              <w:t>30</w:t>
            </w:r>
            <w:r>
              <w:rPr>
                <w:rFonts w:ascii="宋体" w:hAnsi="宋体"/>
                <w:color w:val="auto"/>
                <w:szCs w:val="21"/>
                <w:highlight w:val="none"/>
              </w:rPr>
              <w:t>.1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3348B273">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采用综合评分法的采购项目，采购人确定中标人时，出现中标候选人并列的情形，采购人按以下的方式确定中标人：按综合评分中</w:t>
            </w:r>
            <w:r>
              <w:rPr>
                <w:rFonts w:hint="eastAsia" w:ascii="宋体" w:hAnsi="宋体"/>
                <w:color w:val="auto"/>
                <w:szCs w:val="21"/>
                <w:highlight w:val="none"/>
                <w:lang w:val="en-US" w:eastAsia="zh-CN"/>
              </w:rPr>
              <w:t>价格分、</w:t>
            </w:r>
            <w:r>
              <w:rPr>
                <w:rFonts w:hint="eastAsia" w:hAnsi="宋体" w:cs="宋体"/>
                <w:bCs/>
                <w:color w:val="auto"/>
                <w:sz w:val="21"/>
                <w:highlight w:val="none"/>
              </w:rPr>
              <w:t>技术</w:t>
            </w:r>
            <w:r>
              <w:rPr>
                <w:rFonts w:hint="eastAsia" w:hAnsi="宋体" w:cs="宋体"/>
                <w:bCs/>
                <w:color w:val="auto"/>
                <w:sz w:val="21"/>
                <w:highlight w:val="none"/>
                <w:lang w:val="en-US" w:eastAsia="zh-CN"/>
              </w:rPr>
              <w:t>分</w:t>
            </w:r>
            <w:r>
              <w:rPr>
                <w:rFonts w:hint="eastAsia" w:hAnsi="宋体" w:cs="宋体"/>
                <w:bCs/>
                <w:color w:val="auto"/>
                <w:sz w:val="21"/>
                <w:highlight w:val="none"/>
              </w:rPr>
              <w:t>、</w:t>
            </w:r>
            <w:r>
              <w:rPr>
                <w:rFonts w:hint="eastAsia" w:hAnsi="宋体" w:cs="宋体"/>
                <w:bCs/>
                <w:color w:val="auto"/>
                <w:sz w:val="21"/>
                <w:highlight w:val="none"/>
                <w:lang w:val="en-US" w:eastAsia="zh-CN"/>
              </w:rPr>
              <w:t>商务分</w:t>
            </w:r>
            <w:r>
              <w:rPr>
                <w:rFonts w:hint="eastAsia" w:ascii="宋体" w:hAnsi="宋体"/>
                <w:color w:val="auto"/>
                <w:szCs w:val="21"/>
                <w:highlight w:val="none"/>
              </w:rPr>
              <w:t>得分高低依次确定。</w:t>
            </w:r>
          </w:p>
          <w:p w14:paraId="4BC054D9">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采用最低评标价法的采购项目，采购人确定中标人时，出现中标候选人并列的情形，采购人按以下的方式确定中标人：按服务水平</w:t>
            </w:r>
            <w:r>
              <w:rPr>
                <w:rFonts w:ascii="宋体" w:hAnsi="宋体"/>
                <w:color w:val="auto"/>
                <w:szCs w:val="21"/>
                <w:highlight w:val="none"/>
              </w:rPr>
              <w:t>技术指标高优先、</w:t>
            </w:r>
            <w:r>
              <w:rPr>
                <w:rFonts w:hint="eastAsia" w:ascii="宋体" w:hAnsi="宋体"/>
                <w:color w:val="auto"/>
                <w:szCs w:val="21"/>
                <w:highlight w:val="none"/>
              </w:rPr>
              <w:t>服务方案好</w:t>
            </w:r>
            <w:r>
              <w:rPr>
                <w:rFonts w:ascii="宋体" w:hAnsi="宋体"/>
                <w:color w:val="auto"/>
                <w:szCs w:val="21"/>
                <w:highlight w:val="none"/>
              </w:rPr>
              <w:t>优先、</w:t>
            </w:r>
            <w:r>
              <w:rPr>
                <w:rFonts w:hint="eastAsia" w:ascii="宋体" w:hAnsi="宋体"/>
                <w:color w:val="auto"/>
                <w:szCs w:val="21"/>
                <w:highlight w:val="none"/>
              </w:rPr>
              <w:t>拟投入人员多</w:t>
            </w:r>
            <w:r>
              <w:rPr>
                <w:rFonts w:ascii="宋体" w:hAnsi="宋体"/>
                <w:color w:val="auto"/>
                <w:szCs w:val="21"/>
                <w:highlight w:val="none"/>
              </w:rPr>
              <w:t>优先、</w:t>
            </w:r>
            <w:r>
              <w:rPr>
                <w:rFonts w:hint="eastAsia" w:ascii="宋体" w:hAnsi="宋体"/>
                <w:color w:val="auto"/>
                <w:szCs w:val="21"/>
                <w:highlight w:val="none"/>
              </w:rPr>
              <w:t>服务</w:t>
            </w:r>
            <w:r>
              <w:rPr>
                <w:rFonts w:ascii="宋体" w:hAnsi="宋体"/>
                <w:color w:val="auto"/>
                <w:szCs w:val="21"/>
                <w:highlight w:val="none"/>
              </w:rPr>
              <w:t>响应时间短优先的</w:t>
            </w:r>
            <w:r>
              <w:rPr>
                <w:rFonts w:hint="eastAsia" w:ascii="宋体" w:hAnsi="宋体"/>
                <w:color w:val="auto"/>
                <w:szCs w:val="21"/>
                <w:highlight w:val="none"/>
              </w:rPr>
              <w:t>顺序依次确定。</w:t>
            </w:r>
          </w:p>
        </w:tc>
      </w:tr>
      <w:tr w14:paraId="6B3593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2A8F3B27">
            <w:pPr>
              <w:spacing w:line="400" w:lineRule="exact"/>
              <w:jc w:val="center"/>
              <w:rPr>
                <w:rFonts w:hint="eastAsia" w:ascii="宋体" w:hAnsi="宋体"/>
                <w:color w:val="auto"/>
                <w:szCs w:val="21"/>
                <w:highlight w:val="none"/>
              </w:rPr>
            </w:pPr>
            <w:bookmarkStart w:id="69" w:name="_39.1"/>
            <w:bookmarkEnd w:id="69"/>
            <w:r>
              <w:rPr>
                <w:rFonts w:hint="eastAsia" w:ascii="宋体" w:hAnsi="宋体"/>
                <w:color w:val="auto"/>
                <w:szCs w:val="21"/>
                <w:highlight w:val="none"/>
              </w:rPr>
              <w:t>35</w:t>
            </w:r>
            <w:r>
              <w:rPr>
                <w:rFonts w:ascii="宋体" w:hAnsi="宋体"/>
                <w:color w:val="auto"/>
                <w:szCs w:val="21"/>
                <w:highlight w:val="none"/>
              </w:rPr>
              <w:t>.1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22399194">
            <w:pPr>
              <w:autoSpaceDE w:val="0"/>
              <w:autoSpaceDN w:val="0"/>
              <w:snapToGrid w:val="0"/>
              <w:spacing w:line="360" w:lineRule="auto"/>
              <w:textAlignment w:val="bottom"/>
              <w:rPr>
                <w:rFonts w:ascii="宋体" w:hAnsi="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b/>
                <w:bCs/>
                <w:color w:val="auto"/>
                <w:szCs w:val="21"/>
                <w:highlight w:val="none"/>
              </w:rPr>
              <w:t>本项目不收取履约保证金。</w:t>
            </w:r>
          </w:p>
          <w:p w14:paraId="0A7015CC">
            <w:pPr>
              <w:autoSpaceDE w:val="0"/>
              <w:autoSpaceDN w:val="0"/>
              <w:snapToGrid w:val="0"/>
              <w:spacing w:line="360" w:lineRule="auto"/>
              <w:textAlignment w:val="bottom"/>
              <w:rPr>
                <w:rFonts w:hint="eastAsia" w:ascii="宋体" w:hAnsi="宋体"/>
                <w:b w:val="0"/>
                <w:bCs w:val="0"/>
                <w:color w:val="auto"/>
                <w:szCs w:val="21"/>
                <w:highlight w:val="none"/>
              </w:rPr>
            </w:pPr>
            <w:r>
              <w:rPr>
                <w:rFonts w:hint="eastAsia" w:ascii="宋体" w:hAnsi="宋体" w:cs="宋体"/>
                <w:b w:val="0"/>
                <w:bCs w:val="0"/>
                <w:color w:val="auto"/>
                <w:szCs w:val="21"/>
                <w:highlight w:val="none"/>
                <w:lang w:eastAsia="zh-CN"/>
              </w:rPr>
              <w:t>□</w:t>
            </w:r>
            <w:r>
              <w:rPr>
                <w:rFonts w:hint="eastAsia" w:ascii="宋体" w:hAnsi="宋体"/>
                <w:b w:val="0"/>
                <w:bCs w:val="0"/>
                <w:color w:val="auto"/>
                <w:szCs w:val="21"/>
                <w:highlight w:val="none"/>
              </w:rPr>
              <w:t>本项目收取履约保证金，具体规定如下：</w:t>
            </w:r>
          </w:p>
          <w:p w14:paraId="6A6EA6B1">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履约保证金金额：按暂定合同金额（</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年采购预算）的5%（如中标供应商为中小微企业，按2%）。</w:t>
            </w:r>
          </w:p>
          <w:p w14:paraId="6326C220">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履约保证金提交方式：银行转账、支票、汇票、本票或者金融、担保机构出具的保函等非现金方式。</w:t>
            </w:r>
          </w:p>
          <w:p w14:paraId="5C9511EF">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履约保证金退付方式、时间及条件：</w:t>
            </w:r>
            <w:r>
              <w:rPr>
                <w:rFonts w:hint="eastAsia" w:ascii="宋体" w:hAnsi="宋体" w:cs="宋体"/>
                <w:color w:val="auto"/>
                <w:szCs w:val="21"/>
                <w:highlight w:val="none"/>
                <w:u w:val="single"/>
              </w:rPr>
              <w:t>由成交供应商向履约保证金收取单位提供《广西壮族自治区政府采购项目合同验收书》（详见桂财采〔2015〕22号），保证金收取单位在收到合格材料后5个工作日内办理退还手续（不计利息） 。</w:t>
            </w:r>
          </w:p>
          <w:p w14:paraId="6A48B1CE">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履约保证金指定账户：</w:t>
            </w:r>
          </w:p>
          <w:p w14:paraId="238E6243">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开户名称：</w:t>
            </w:r>
            <w:r>
              <w:rPr>
                <w:rFonts w:hint="eastAsia" w:ascii="宋体" w:hAnsi="宋体" w:cs="宋体"/>
                <w:color w:val="auto"/>
                <w:szCs w:val="21"/>
                <w:highlight w:val="none"/>
                <w:u w:val="single"/>
              </w:rPr>
              <w:t xml:space="preserve">  </w:t>
            </w:r>
            <w:r>
              <w:rPr>
                <w:rFonts w:hint="eastAsia" w:ascii="宋体" w:hAnsi="宋体"/>
                <w:color w:val="auto"/>
                <w:szCs w:val="21"/>
                <w:highlight w:val="none"/>
                <w:u w:val="single"/>
                <w:lang w:eastAsia="zh-CN"/>
              </w:rPr>
              <w:t>广西医科大学第一附属医院</w:t>
            </w:r>
            <w:r>
              <w:rPr>
                <w:rFonts w:hint="eastAsia" w:ascii="宋体" w:hAnsi="宋体" w:cs="宋体"/>
                <w:color w:val="auto"/>
                <w:szCs w:val="21"/>
                <w:highlight w:val="none"/>
                <w:u w:val="single"/>
              </w:rPr>
              <w:t xml:space="preserve">                   </w:t>
            </w:r>
          </w:p>
          <w:p w14:paraId="61951D62">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中国建设银行股份有限公司南宁医科大支行      </w:t>
            </w:r>
          </w:p>
          <w:p w14:paraId="356758A0">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银行账号：</w:t>
            </w:r>
            <w:r>
              <w:rPr>
                <w:rFonts w:hint="eastAsia" w:ascii="宋体" w:hAnsi="宋体" w:cs="宋体"/>
                <w:color w:val="auto"/>
                <w:szCs w:val="21"/>
                <w:highlight w:val="none"/>
                <w:u w:val="single"/>
              </w:rPr>
              <w:t xml:space="preserve"> 45001604560050501061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14:paraId="37E51F1B">
            <w:pPr>
              <w:spacing w:line="360" w:lineRule="auto"/>
              <w:contextualSpacing/>
              <w:rPr>
                <w:rFonts w:hint="eastAsia" w:ascii="宋体" w:hAnsi="宋体" w:cs="宋体"/>
                <w:b/>
                <w:color w:val="auto"/>
                <w:szCs w:val="21"/>
                <w:highlight w:val="none"/>
              </w:rPr>
            </w:pPr>
            <w:r>
              <w:rPr>
                <w:rFonts w:hint="eastAsia" w:ascii="宋体" w:hAnsi="宋体" w:cs="宋体"/>
                <w:b/>
                <w:color w:val="auto"/>
                <w:szCs w:val="21"/>
                <w:highlight w:val="none"/>
              </w:rPr>
              <w:t>备注：</w:t>
            </w:r>
          </w:p>
          <w:p w14:paraId="6D89568A">
            <w:pPr>
              <w:spacing w:line="360" w:lineRule="auto"/>
              <w:contextualSpacing/>
              <w:rPr>
                <w:rFonts w:ascii="宋体" w:hAnsi="宋体" w:cs="宋体"/>
                <w:b/>
                <w:color w:val="auto"/>
                <w:szCs w:val="21"/>
                <w:highlight w:val="none"/>
              </w:rPr>
            </w:pPr>
            <w:r>
              <w:rPr>
                <w:rFonts w:hint="eastAsia" w:ascii="宋体" w:hAnsi="宋体" w:cs="宋体"/>
                <w:b/>
                <w:color w:val="auto"/>
                <w:szCs w:val="21"/>
                <w:highlight w:val="none"/>
              </w:rPr>
              <w:t>1</w:t>
            </w:r>
            <w:bookmarkStart w:id="70" w:name="_Hlk54170335"/>
            <w:r>
              <w:rPr>
                <w:rFonts w:hint="eastAsia" w:ascii="宋体" w:hAnsi="宋体" w:cs="宋体"/>
                <w:b/>
                <w:color w:val="auto"/>
                <w:szCs w:val="21"/>
                <w:highlight w:val="none"/>
              </w:rPr>
              <w:t>、</w:t>
            </w:r>
            <w:r>
              <w:rPr>
                <w:rFonts w:hint="eastAsia" w:ascii="宋体" w:hAnsi="宋体"/>
                <w:b/>
                <w:color w:val="auto"/>
                <w:szCs w:val="21"/>
                <w:highlight w:val="none"/>
              </w:rPr>
              <w:t>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金额的5%。</w:t>
            </w:r>
            <w:bookmarkEnd w:id="70"/>
          </w:p>
          <w:p w14:paraId="64A664D8">
            <w:pPr>
              <w:spacing w:line="360" w:lineRule="auto"/>
              <w:contextualSpacing/>
              <w:rPr>
                <w:rFonts w:hint="eastAsia" w:ascii="宋体" w:hAnsi="宋体" w:cs="宋体"/>
                <w:b/>
                <w:color w:val="auto"/>
                <w:szCs w:val="21"/>
                <w:highlight w:val="none"/>
              </w:rPr>
            </w:pPr>
            <w:r>
              <w:rPr>
                <w:rFonts w:hint="eastAsia" w:ascii="宋体" w:hAnsi="宋体" w:cs="宋体"/>
                <w:b/>
                <w:color w:val="auto"/>
                <w:szCs w:val="21"/>
                <w:highlight w:val="none"/>
              </w:rPr>
              <w:t>2、履约保证金不足额缴纳的，或者金融、担保机构出具的保函额度不足的或者保函有效期低于合同履行期限（即签订采购合同之日起至履行完合同约定的权利及义务之日止）的，不予签订合同。</w:t>
            </w:r>
          </w:p>
          <w:p w14:paraId="11DB834B">
            <w:pPr>
              <w:spacing w:line="360" w:lineRule="auto"/>
              <w:contextualSpacing/>
              <w:rPr>
                <w:rFonts w:hint="eastAsia" w:ascii="宋体" w:hAnsi="宋体" w:cs="宋体"/>
                <w:b/>
                <w:color w:val="auto"/>
                <w:szCs w:val="21"/>
                <w:highlight w:val="none"/>
              </w:rPr>
            </w:pPr>
            <w:r>
              <w:rPr>
                <w:rFonts w:ascii="宋体" w:hAnsi="宋体" w:cs="宋体"/>
                <w:b/>
                <w:color w:val="auto"/>
                <w:szCs w:val="21"/>
                <w:highlight w:val="none"/>
              </w:rPr>
              <w:t>3</w:t>
            </w:r>
            <w:r>
              <w:rPr>
                <w:rFonts w:hint="eastAsia" w:ascii="宋体" w:hAnsi="宋体" w:cs="宋体"/>
                <w:b/>
                <w:color w:val="auto"/>
                <w:szCs w:val="21"/>
                <w:highlight w:val="none"/>
              </w:rPr>
              <w:t>、采用金融、担保机构出具的保函的，必须为无条件保函，否则不予签订合同。</w:t>
            </w:r>
          </w:p>
          <w:p w14:paraId="59E5884F">
            <w:pPr>
              <w:autoSpaceDE w:val="0"/>
              <w:autoSpaceDN w:val="0"/>
              <w:snapToGrid w:val="0"/>
              <w:spacing w:line="400" w:lineRule="exact"/>
              <w:textAlignment w:val="bottom"/>
              <w:rPr>
                <w:rFonts w:hint="eastAsia" w:ascii="宋体" w:hAnsi="宋体"/>
                <w:color w:val="auto"/>
                <w:szCs w:val="21"/>
                <w:highlight w:val="none"/>
              </w:rPr>
            </w:pPr>
            <w:r>
              <w:rPr>
                <w:rFonts w:ascii="宋体" w:hAnsi="宋体" w:cs="宋体"/>
                <w:b/>
                <w:color w:val="auto"/>
                <w:szCs w:val="21"/>
                <w:highlight w:val="none"/>
              </w:rPr>
              <w:t>4</w:t>
            </w:r>
            <w:r>
              <w:rPr>
                <w:rFonts w:hint="eastAsia" w:ascii="宋体" w:hAnsi="宋体" w:cs="宋体"/>
                <w:b/>
                <w:color w:val="auto"/>
                <w:szCs w:val="21"/>
                <w:highlight w:val="none"/>
              </w:rPr>
              <w:t>、供应商为联合体的，由联合体任意一方按规定提交的履约保证金，视为有效履约保证金。</w:t>
            </w:r>
          </w:p>
        </w:tc>
      </w:tr>
      <w:tr w14:paraId="01B11C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030164DD">
            <w:pPr>
              <w:spacing w:line="400" w:lineRule="exact"/>
              <w:jc w:val="center"/>
              <w:rPr>
                <w:rFonts w:hint="eastAsia" w:ascii="宋体" w:hAnsi="宋体"/>
                <w:color w:val="auto"/>
                <w:szCs w:val="21"/>
                <w:highlight w:val="none"/>
              </w:rPr>
            </w:pPr>
            <w:bookmarkStart w:id="71" w:name="_40.1"/>
            <w:bookmarkEnd w:id="71"/>
            <w:r>
              <w:rPr>
                <w:rFonts w:hint="eastAsia" w:ascii="宋体" w:hAnsi="宋体"/>
                <w:color w:val="auto"/>
                <w:szCs w:val="21"/>
                <w:highlight w:val="none"/>
              </w:rPr>
              <w:t>36.1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455CF9C1">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 xml:space="preserve">签订合同携带的证明材料： </w:t>
            </w:r>
          </w:p>
          <w:p w14:paraId="0C1133F9">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1、委托代理人负责签订合同的，须携带授权委托书及委托代理人身份证原件等其他资格证件。</w:t>
            </w:r>
          </w:p>
          <w:p w14:paraId="33F91892">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2、法定代表人负责签订合同的，须携带法定代表人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2D4A91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3706382A">
            <w:pPr>
              <w:spacing w:line="400" w:lineRule="exact"/>
              <w:jc w:val="center"/>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8.2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4F916654">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接收质疑函方式：以纸质书面形式。</w:t>
            </w:r>
          </w:p>
          <w:p w14:paraId="3165F27A">
            <w:pPr>
              <w:pStyle w:val="27"/>
              <w:snapToGrid w:val="0"/>
              <w:spacing w:line="360" w:lineRule="auto"/>
              <w:rPr>
                <w:rFonts w:hint="eastAsia" w:hAnsi="宋体" w:cs="宋体"/>
                <w:color w:val="auto"/>
                <w:sz w:val="21"/>
                <w:highlight w:val="none"/>
              </w:rPr>
            </w:pPr>
            <w:r>
              <w:rPr>
                <w:rFonts w:hint="eastAsia" w:hAnsi="宋体" w:cs="宋体"/>
                <w:color w:val="auto"/>
                <w:kern w:val="2"/>
                <w:sz w:val="21"/>
                <w:highlight w:val="none"/>
              </w:rPr>
              <w:t>质疑联系部门及联系方式：</w:t>
            </w:r>
            <w:r>
              <w:rPr>
                <w:rFonts w:hint="eastAsia" w:hAnsi="宋体" w:cs="宋体"/>
                <w:color w:val="auto"/>
                <w:sz w:val="21"/>
                <w:highlight w:val="none"/>
              </w:rPr>
              <w:t>广西科文招标有限公司，质疑联系人：蒙颖、郑辉海  联系电话：</w:t>
            </w:r>
            <w:r>
              <w:rPr>
                <w:rFonts w:hint="eastAsia" w:hAnsi="宋体" w:cs="Arial"/>
                <w:color w:val="auto"/>
                <w:highlight w:val="none"/>
              </w:rPr>
              <w:t>0771-2023875</w:t>
            </w:r>
            <w:r>
              <w:rPr>
                <w:rFonts w:hint="eastAsia" w:hAnsi="宋体" w:cs="宋体"/>
                <w:color w:val="auto"/>
                <w:sz w:val="21"/>
                <w:highlight w:val="none"/>
              </w:rPr>
              <w:t>，</w:t>
            </w:r>
            <w:r>
              <w:rPr>
                <w:rFonts w:hAnsi="宋体" w:cs="宋体"/>
                <w:color w:val="auto"/>
                <w:sz w:val="21"/>
                <w:highlight w:val="none"/>
              </w:rPr>
              <w:t>通讯地址</w:t>
            </w:r>
            <w:r>
              <w:rPr>
                <w:rFonts w:hint="eastAsia" w:hAnsi="宋体" w:cs="宋体"/>
                <w:color w:val="auto"/>
                <w:sz w:val="21"/>
                <w:highlight w:val="none"/>
              </w:rPr>
              <w:t>：广西南宁市民族大道141号中鼎万象东方大厦D区五层</w:t>
            </w:r>
          </w:p>
          <w:p w14:paraId="467EF57C">
            <w:pPr>
              <w:pStyle w:val="27"/>
              <w:snapToGrid w:val="0"/>
              <w:spacing w:line="360" w:lineRule="auto"/>
              <w:rPr>
                <w:rFonts w:hint="eastAsia" w:hAnsi="宋体" w:cs="宋体"/>
                <w:color w:val="auto"/>
                <w:kern w:val="2"/>
                <w:sz w:val="21"/>
                <w:highlight w:val="none"/>
              </w:rPr>
            </w:pPr>
            <w:r>
              <w:rPr>
                <w:rFonts w:hint="eastAsia" w:hAnsi="宋体" w:cs="宋体"/>
                <w:color w:val="auto"/>
                <w:sz w:val="21"/>
                <w:highlight w:val="none"/>
              </w:rPr>
              <w:t>业务时间：每天上午8时3</w:t>
            </w:r>
            <w:r>
              <w:rPr>
                <w:rFonts w:hAnsi="宋体" w:cs="宋体"/>
                <w:color w:val="auto"/>
                <w:sz w:val="21"/>
                <w:highlight w:val="none"/>
              </w:rPr>
              <w:t>0</w:t>
            </w:r>
            <w:r>
              <w:rPr>
                <w:rFonts w:hint="eastAsia" w:hAnsi="宋体" w:cs="宋体"/>
                <w:color w:val="auto"/>
                <w:sz w:val="21"/>
                <w:highlight w:val="none"/>
              </w:rPr>
              <w:t>分至12时，下午15时至18时（北京时间，</w:t>
            </w:r>
            <w:r>
              <w:rPr>
                <w:rFonts w:hAnsi="宋体" w:cs="宋体"/>
                <w:color w:val="auto"/>
                <w:sz w:val="21"/>
                <w:highlight w:val="none"/>
              </w:rPr>
              <w:t>法定节假日</w:t>
            </w:r>
            <w:r>
              <w:rPr>
                <w:rFonts w:hint="eastAsia" w:hAnsi="宋体" w:cs="宋体"/>
                <w:color w:val="auto"/>
                <w:sz w:val="21"/>
                <w:highlight w:val="none"/>
              </w:rPr>
              <w:t xml:space="preserve">除外 ） </w:t>
            </w:r>
          </w:p>
        </w:tc>
      </w:tr>
      <w:tr w14:paraId="37C49B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6C3C3330">
            <w:pPr>
              <w:spacing w:line="400" w:lineRule="exact"/>
              <w:jc w:val="center"/>
              <w:rPr>
                <w:rFonts w:hint="eastAsia" w:ascii="宋体" w:hAnsi="宋体"/>
                <w:color w:val="auto"/>
                <w:szCs w:val="21"/>
                <w:highlight w:val="none"/>
              </w:rPr>
            </w:pPr>
            <w:bookmarkStart w:id="72" w:name="_42"/>
            <w:bookmarkEnd w:id="72"/>
            <w:bookmarkStart w:id="73" w:name="_41"/>
            <w:bookmarkEnd w:id="73"/>
            <w:bookmarkStart w:id="74" w:name="_Hlt17709148"/>
            <w:r>
              <w:rPr>
                <w:rFonts w:hint="eastAsia" w:ascii="宋体" w:hAnsi="宋体"/>
                <w:color w:val="auto"/>
                <w:szCs w:val="21"/>
                <w:highlight w:val="none"/>
              </w:rPr>
              <w:t>3</w:t>
            </w:r>
            <w:bookmarkEnd w:id="74"/>
            <w:r>
              <w:rPr>
                <w:rFonts w:ascii="宋体" w:hAnsi="宋体"/>
                <w:color w:val="auto"/>
                <w:szCs w:val="21"/>
                <w:highlight w:val="none"/>
              </w:rPr>
              <w:t>9.1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2986454C">
            <w:pPr>
              <w:pStyle w:val="27"/>
              <w:snapToGrid w:val="0"/>
              <w:spacing w:line="360" w:lineRule="auto"/>
              <w:rPr>
                <w:rFonts w:hint="eastAsia" w:hAnsi="宋体" w:cs="宋体"/>
                <w:color w:val="auto"/>
                <w:sz w:val="21"/>
                <w:highlight w:val="none"/>
              </w:rPr>
            </w:pPr>
            <w:r>
              <w:rPr>
                <w:rFonts w:hint="eastAsia" w:hAnsi="宋体" w:cs="宋体"/>
                <w:color w:val="auto"/>
                <w:sz w:val="21"/>
                <w:highlight w:val="none"/>
              </w:rPr>
              <w:t>1、采购代理服务费支付方式：本项目的招标代理服务费按以下收费标准向成交投标人收取，领取成交通知书前，成交投标人应向采购代理机构一次付清招标代理服务费，否则采购代理机构有权不予以办理。</w:t>
            </w:r>
          </w:p>
          <w:p w14:paraId="754B8C22">
            <w:pPr>
              <w:pStyle w:val="27"/>
              <w:snapToGrid w:val="0"/>
              <w:spacing w:line="360" w:lineRule="auto"/>
              <w:rPr>
                <w:rFonts w:hint="eastAsia" w:hAnsi="宋体" w:cs="宋体"/>
                <w:color w:val="auto"/>
                <w:sz w:val="21"/>
                <w:highlight w:val="none"/>
              </w:rPr>
            </w:pPr>
            <w:r>
              <w:rPr>
                <w:rFonts w:hint="eastAsia" w:hAnsi="宋体" w:cs="宋体"/>
                <w:color w:val="auto"/>
                <w:sz w:val="21"/>
                <w:highlight w:val="none"/>
              </w:rPr>
              <w:t>2、采购代理服务费收取标准：</w:t>
            </w:r>
          </w:p>
          <w:p w14:paraId="07D6BE99">
            <w:pPr>
              <w:pStyle w:val="27"/>
              <w:snapToGrid w:val="0"/>
              <w:spacing w:line="360" w:lineRule="auto"/>
              <w:rPr>
                <w:rFonts w:hAnsi="宋体" w:cs="宋体"/>
                <w:color w:val="auto"/>
                <w:sz w:val="21"/>
                <w:highlight w:val="none"/>
              </w:rPr>
            </w:pPr>
            <w:r>
              <w:rPr>
                <w:rFonts w:hint="eastAsia" w:hAnsi="宋体" w:cs="宋体"/>
                <w:color w:val="auto"/>
                <w:sz w:val="21"/>
                <w:highlight w:val="none"/>
              </w:rPr>
              <w:t>以成交金额为计费额，按本须知正文第</w:t>
            </w:r>
            <w:r>
              <w:rPr>
                <w:rFonts w:hAnsi="宋体" w:cs="宋体"/>
                <w:color w:val="auto"/>
                <w:sz w:val="21"/>
                <w:highlight w:val="none"/>
              </w:rPr>
              <w:t>3</w:t>
            </w:r>
            <w:r>
              <w:rPr>
                <w:rFonts w:hint="eastAsia" w:hAnsi="宋体" w:cs="宋体"/>
                <w:color w:val="auto"/>
                <w:sz w:val="21"/>
                <w:highlight w:val="none"/>
              </w:rPr>
              <w:t>9.</w:t>
            </w:r>
            <w:r>
              <w:rPr>
                <w:rFonts w:hAnsi="宋体" w:cs="宋体"/>
                <w:color w:val="auto"/>
                <w:sz w:val="21"/>
                <w:highlight w:val="none"/>
              </w:rPr>
              <w:t>2</w:t>
            </w:r>
            <w:r>
              <w:rPr>
                <w:rFonts w:hint="eastAsia" w:hAnsi="宋体" w:cs="宋体"/>
                <w:color w:val="auto"/>
                <w:sz w:val="21"/>
                <w:highlight w:val="none"/>
              </w:rPr>
              <w:t>条规定的收费计算标准（服务类）采用差额定率累进法计算出收费基准价格，采购代理服务费收费以收费基准价格下浮</w:t>
            </w:r>
            <w:r>
              <w:rPr>
                <w:rFonts w:hint="eastAsia" w:hAnsi="宋体" w:cs="宋体"/>
                <w:color w:val="auto"/>
                <w:sz w:val="21"/>
                <w:highlight w:val="none"/>
                <w:lang w:val="en-US" w:eastAsia="zh-CN"/>
              </w:rPr>
              <w:t>20</w:t>
            </w:r>
            <w:r>
              <w:rPr>
                <w:rFonts w:hint="eastAsia" w:hAnsi="宋体" w:cs="宋体"/>
                <w:color w:val="auto"/>
                <w:sz w:val="21"/>
                <w:highlight w:val="none"/>
              </w:rPr>
              <w:t>%收取。</w:t>
            </w:r>
          </w:p>
          <w:p w14:paraId="15B14F77">
            <w:pPr>
              <w:pStyle w:val="27"/>
              <w:snapToGrid w:val="0"/>
              <w:spacing w:line="360" w:lineRule="auto"/>
              <w:rPr>
                <w:rFonts w:hint="eastAsia" w:hAnsi="宋体" w:cs="宋体"/>
                <w:color w:val="auto"/>
                <w:sz w:val="21"/>
                <w:highlight w:val="none"/>
              </w:rPr>
            </w:pPr>
            <w:r>
              <w:rPr>
                <w:rFonts w:hint="eastAsia" w:hAnsi="宋体" w:cs="宋体"/>
                <w:color w:val="auto"/>
                <w:sz w:val="21"/>
                <w:highlight w:val="none"/>
              </w:rPr>
              <w:t>3、开户名称：广西科文招标有限公司南宁三分公司</w:t>
            </w:r>
          </w:p>
          <w:p w14:paraId="67DB83A3">
            <w:pPr>
              <w:pStyle w:val="27"/>
              <w:snapToGrid w:val="0"/>
              <w:spacing w:line="360" w:lineRule="auto"/>
              <w:rPr>
                <w:rFonts w:hint="eastAsia" w:hAnsi="宋体" w:cs="宋体"/>
                <w:color w:val="auto"/>
                <w:sz w:val="21"/>
                <w:highlight w:val="none"/>
              </w:rPr>
            </w:pPr>
            <w:r>
              <w:rPr>
                <w:rFonts w:hint="eastAsia" w:hAnsi="宋体" w:cs="宋体"/>
                <w:color w:val="auto"/>
                <w:sz w:val="21"/>
                <w:highlight w:val="none"/>
              </w:rPr>
              <w:t>开户银行：广西北部湾银行股份有限公司南宁市云景支行</w:t>
            </w:r>
          </w:p>
          <w:p w14:paraId="6B4EB9FB">
            <w:pPr>
              <w:pStyle w:val="27"/>
              <w:snapToGrid w:val="0"/>
              <w:spacing w:line="360" w:lineRule="auto"/>
              <w:rPr>
                <w:rFonts w:hint="eastAsia" w:hAnsi="宋体" w:cs="宋体"/>
                <w:color w:val="auto"/>
                <w:sz w:val="21"/>
                <w:highlight w:val="none"/>
              </w:rPr>
            </w:pPr>
            <w:r>
              <w:rPr>
                <w:rFonts w:hint="eastAsia" w:hAnsi="宋体" w:cs="宋体"/>
                <w:color w:val="auto"/>
                <w:sz w:val="21"/>
                <w:highlight w:val="none"/>
              </w:rPr>
              <w:t>银行账号：805029874400001</w:t>
            </w:r>
          </w:p>
        </w:tc>
      </w:tr>
      <w:tr w14:paraId="7CDBB6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005341C5">
            <w:pPr>
              <w:snapToGrid w:val="0"/>
              <w:spacing w:line="400" w:lineRule="exact"/>
              <w:jc w:val="center"/>
              <w:rPr>
                <w:rFonts w:hint="eastAsia" w:ascii="宋体" w:hAnsi="宋体"/>
                <w:color w:val="auto"/>
                <w:szCs w:val="21"/>
                <w:highlight w:val="none"/>
              </w:rPr>
            </w:pPr>
            <w:r>
              <w:rPr>
                <w:rFonts w:ascii="宋体" w:hAnsi="宋体"/>
                <w:color w:val="auto"/>
                <w:szCs w:val="21"/>
                <w:highlight w:val="none"/>
              </w:rPr>
              <w:t>40.1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4F30B08D">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解释：</w:t>
            </w:r>
            <w:r>
              <w:rPr>
                <w:rFonts w:ascii="宋体" w:hAnsi="宋体"/>
                <w:color w:val="auto"/>
                <w:szCs w:val="21"/>
                <w:highlight w:val="none"/>
              </w:rPr>
              <w:t>构成本招标文件的各个组成文件应互为解释，互为说明；除招标文件中有特别规定外，仅适用于招标投标阶段的规定，按</w:t>
            </w:r>
            <w:r>
              <w:rPr>
                <w:rFonts w:hint="eastAsia" w:ascii="宋体" w:hAnsi="宋体"/>
                <w:color w:val="auto"/>
                <w:szCs w:val="21"/>
                <w:highlight w:val="none"/>
              </w:rPr>
              <w:t>更正公告（澄清公告）</w:t>
            </w:r>
            <w:r>
              <w:rPr>
                <w:rFonts w:ascii="宋体" w:hAnsi="宋体"/>
                <w:color w:val="auto"/>
                <w:szCs w:val="21"/>
                <w:highlight w:val="none"/>
              </w:rPr>
              <w:t>、招标公告、</w:t>
            </w:r>
            <w:r>
              <w:rPr>
                <w:rFonts w:hint="eastAsia" w:ascii="宋体" w:hAnsi="宋体"/>
                <w:color w:val="auto"/>
                <w:szCs w:val="21"/>
                <w:highlight w:val="none"/>
              </w:rPr>
              <w:t>采购需求、</w:t>
            </w:r>
            <w:r>
              <w:rPr>
                <w:rFonts w:ascii="宋体" w:hAnsi="宋体"/>
                <w:color w:val="auto"/>
                <w:szCs w:val="21"/>
                <w:highlight w:val="none"/>
              </w:rPr>
              <w:t>投标人须知、</w:t>
            </w:r>
            <w:r>
              <w:rPr>
                <w:rFonts w:hint="eastAsia" w:ascii="宋体" w:hAnsi="宋体"/>
                <w:color w:val="auto"/>
                <w:szCs w:val="21"/>
                <w:highlight w:val="none"/>
              </w:rPr>
              <w:t>评标方法及评标标准</w:t>
            </w:r>
            <w:r>
              <w:rPr>
                <w:rFonts w:ascii="宋体" w:hAnsi="宋体"/>
                <w:color w:val="auto"/>
                <w:szCs w:val="21"/>
                <w:highlight w:val="none"/>
              </w:rPr>
              <w:t>、</w:t>
            </w:r>
            <w:r>
              <w:rPr>
                <w:rFonts w:hint="eastAsia" w:ascii="宋体" w:hAnsi="宋体"/>
                <w:color w:val="auto"/>
                <w:szCs w:val="21"/>
                <w:highlight w:val="none"/>
              </w:rPr>
              <w:t>拟签订的合同文本、</w:t>
            </w:r>
            <w:r>
              <w:rPr>
                <w:rFonts w:ascii="宋体" w:hAnsi="宋体"/>
                <w:color w:val="auto"/>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Cs w:val="21"/>
                <w:highlight w:val="none"/>
              </w:rPr>
              <w:t>更正公告（澄清公告）</w:t>
            </w:r>
            <w:r>
              <w:rPr>
                <w:rFonts w:ascii="宋体" w:hAnsi="宋体"/>
                <w:color w:val="auto"/>
                <w:szCs w:val="21"/>
                <w:highlight w:val="none"/>
              </w:rPr>
              <w:t>与同步更新的招标文件不一致时以</w:t>
            </w:r>
            <w:r>
              <w:rPr>
                <w:rFonts w:hint="eastAsia" w:ascii="宋体" w:hAnsi="宋体"/>
                <w:color w:val="auto"/>
                <w:szCs w:val="21"/>
                <w:highlight w:val="none"/>
              </w:rPr>
              <w:t>更正公告（澄清公告）</w:t>
            </w:r>
            <w:r>
              <w:rPr>
                <w:rFonts w:ascii="宋体" w:hAnsi="宋体"/>
                <w:color w:val="auto"/>
                <w:szCs w:val="21"/>
                <w:highlight w:val="none"/>
              </w:rPr>
              <w:t>为准。按本款前述规定仍不能形成结论的，由</w:t>
            </w:r>
            <w:r>
              <w:rPr>
                <w:rFonts w:hint="eastAsia" w:ascii="宋体" w:hAnsi="宋体"/>
                <w:color w:val="auto"/>
                <w:szCs w:val="21"/>
                <w:highlight w:val="none"/>
              </w:rPr>
              <w:t>采购</w:t>
            </w:r>
            <w:r>
              <w:rPr>
                <w:rFonts w:ascii="宋体" w:hAnsi="宋体"/>
                <w:color w:val="auto"/>
                <w:szCs w:val="21"/>
                <w:highlight w:val="none"/>
              </w:rPr>
              <w:t>人</w:t>
            </w:r>
            <w:r>
              <w:rPr>
                <w:rFonts w:hint="eastAsia" w:ascii="宋体" w:hAnsi="宋体"/>
                <w:color w:val="auto"/>
                <w:szCs w:val="21"/>
                <w:highlight w:val="none"/>
              </w:rPr>
              <w:t>或者采购代理机构</w:t>
            </w:r>
            <w:r>
              <w:rPr>
                <w:rFonts w:ascii="宋体" w:hAnsi="宋体"/>
                <w:color w:val="auto"/>
                <w:szCs w:val="21"/>
                <w:highlight w:val="none"/>
              </w:rPr>
              <w:t>负责解释。</w:t>
            </w:r>
          </w:p>
        </w:tc>
      </w:tr>
      <w:tr w14:paraId="2D5E5C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122A3689">
            <w:pPr>
              <w:snapToGrid w:val="0"/>
              <w:spacing w:line="400" w:lineRule="exact"/>
              <w:jc w:val="center"/>
              <w:rPr>
                <w:rFonts w:hint="eastAsia" w:ascii="宋体" w:hAnsi="宋体"/>
                <w:color w:val="auto"/>
                <w:szCs w:val="21"/>
                <w:highlight w:val="none"/>
              </w:rPr>
            </w:pPr>
            <w:r>
              <w:rPr>
                <w:rFonts w:ascii="宋体" w:hAnsi="宋体"/>
                <w:color w:val="auto"/>
                <w:szCs w:val="21"/>
                <w:highlight w:val="none"/>
              </w:rPr>
              <w:t>40.2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568F8AA7">
            <w:pPr>
              <w:pStyle w:val="27"/>
              <w:snapToGrid w:val="0"/>
              <w:spacing w:line="400" w:lineRule="exact"/>
              <w:rPr>
                <w:rFonts w:hint="eastAsia" w:hAnsi="宋体" w:cs="宋体"/>
                <w:bCs/>
                <w:color w:val="auto"/>
                <w:sz w:val="21"/>
                <w:highlight w:val="none"/>
              </w:rPr>
            </w:pPr>
            <w:r>
              <w:rPr>
                <w:rFonts w:hint="eastAsia" w:hAnsi="宋体" w:cs="宋体"/>
                <w:bCs/>
                <w:color w:val="auto"/>
                <w:sz w:val="21"/>
                <w:highlight w:val="none"/>
              </w:rPr>
              <w:t>1、本招标文件中描述投标人的“公章”是指根据我国对公章的管理规定，用投标人法定主体行为名称制作的印章（含电子印章），除本招标文件有特殊规定外，投标人的财务章、部门章、分公司章、工会章、合同章、投标专用章、业务专用章及银行的转账章、现金收讫章、现金付讫章等其他形式印章均不能代替公章。</w:t>
            </w:r>
          </w:p>
          <w:p w14:paraId="75F31448">
            <w:pPr>
              <w:pStyle w:val="27"/>
              <w:snapToGrid w:val="0"/>
              <w:spacing w:line="400" w:lineRule="exact"/>
              <w:rPr>
                <w:rFonts w:hint="eastAsia" w:hAnsi="宋体" w:cs="宋体"/>
                <w:bCs/>
                <w:color w:val="auto"/>
                <w:sz w:val="21"/>
                <w:highlight w:val="none"/>
              </w:rPr>
            </w:pPr>
            <w:r>
              <w:rPr>
                <w:rFonts w:hint="eastAsia" w:hAnsi="宋体" w:cs="宋体"/>
                <w:bCs/>
                <w:color w:val="auto"/>
                <w:sz w:val="21"/>
                <w:highlight w:val="none"/>
              </w:rPr>
              <w:t>2、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7A366223">
            <w:pPr>
              <w:pStyle w:val="27"/>
              <w:snapToGrid w:val="0"/>
              <w:spacing w:line="400" w:lineRule="exact"/>
              <w:rPr>
                <w:rFonts w:hint="eastAsia" w:hAnsi="宋体" w:cs="宋体"/>
                <w:bCs/>
                <w:color w:val="auto"/>
                <w:sz w:val="21"/>
                <w:highlight w:val="none"/>
              </w:rPr>
            </w:pPr>
            <w:r>
              <w:rPr>
                <w:rFonts w:hint="eastAsia" w:hAnsi="宋体" w:cs="宋体"/>
                <w:bCs/>
                <w:color w:val="auto"/>
                <w:sz w:val="21"/>
                <w:highlight w:val="none"/>
              </w:rPr>
              <w:t>3、本招标文件中描述投标人的“签字”是指投标人的法定代表人或者委托代理人在文件规定签署处签名（含电子签名）的行为，私章、印鉴等其他形式均不能代替签字。</w:t>
            </w:r>
          </w:p>
          <w:p w14:paraId="2A9ADE67">
            <w:pPr>
              <w:pStyle w:val="27"/>
              <w:snapToGrid w:val="0"/>
              <w:spacing w:line="400" w:lineRule="exact"/>
              <w:rPr>
                <w:rFonts w:hint="eastAsia" w:hAnsi="宋体" w:cs="宋体"/>
                <w:bCs/>
                <w:color w:val="auto"/>
                <w:sz w:val="21"/>
                <w:highlight w:val="none"/>
              </w:rPr>
            </w:pPr>
            <w:r>
              <w:rPr>
                <w:rFonts w:hint="eastAsia" w:hAnsi="宋体" w:cs="宋体"/>
                <w:bCs/>
                <w:color w:val="auto"/>
                <w:sz w:val="21"/>
                <w:highlight w:val="none"/>
              </w:rPr>
              <w:t>4、自然人投标的，招标文件规定盖公章处由自然人摁手指指印。</w:t>
            </w:r>
          </w:p>
          <w:p w14:paraId="7B9F849C">
            <w:pPr>
              <w:spacing w:line="400" w:lineRule="exact"/>
              <w:jc w:val="left"/>
              <w:rPr>
                <w:rFonts w:hint="eastAsia" w:ascii="宋体" w:hAnsi="宋体"/>
                <w:color w:val="auto"/>
                <w:szCs w:val="21"/>
                <w:highlight w:val="none"/>
              </w:rPr>
            </w:pPr>
            <w:r>
              <w:rPr>
                <w:rFonts w:hint="eastAsia" w:ascii="宋体" w:hAnsi="宋体" w:cs="宋体"/>
                <w:bCs/>
                <w:color w:val="auto"/>
                <w:kern w:val="0"/>
                <w:szCs w:val="21"/>
                <w:highlight w:val="none"/>
              </w:rPr>
              <w:t>5、本招标文件所称的“以上”“以下”“以内”“届满”，包括本数；所称的“不满”“超过”“以外”，不包括本数。</w:t>
            </w:r>
          </w:p>
        </w:tc>
      </w:tr>
    </w:tbl>
    <w:p w14:paraId="671551F8">
      <w:pPr>
        <w:pStyle w:val="4"/>
        <w:keepNext w:val="0"/>
        <w:keepLines w:val="0"/>
        <w:jc w:val="center"/>
        <w:rPr>
          <w:rFonts w:hint="eastAsia"/>
          <w:color w:val="auto"/>
          <w:highlight w:val="none"/>
        </w:rPr>
      </w:pPr>
      <w:r>
        <w:rPr>
          <w:rFonts w:hint="eastAsia"/>
          <w:color w:val="auto"/>
          <w:highlight w:val="none"/>
        </w:rPr>
        <w:br w:type="page"/>
      </w:r>
      <w:r>
        <w:rPr>
          <w:rFonts w:hint="eastAsia"/>
          <w:color w:val="auto"/>
          <w:highlight w:val="none"/>
        </w:rPr>
        <w:t>投标人须知正文</w:t>
      </w:r>
    </w:p>
    <w:p w14:paraId="4A56426C">
      <w:pPr>
        <w:pStyle w:val="4"/>
        <w:keepNext w:val="0"/>
        <w:keepLines w:val="0"/>
        <w:jc w:val="center"/>
        <w:rPr>
          <w:rFonts w:hint="eastAsia"/>
          <w:color w:val="auto"/>
          <w:highlight w:val="none"/>
        </w:rPr>
      </w:pPr>
      <w:r>
        <w:rPr>
          <w:rFonts w:hint="eastAsia"/>
          <w:color w:val="auto"/>
          <w:highlight w:val="none"/>
        </w:rPr>
        <w:t>一、总  则</w:t>
      </w:r>
    </w:p>
    <w:p w14:paraId="3CF3C7F5">
      <w:pPr>
        <w:pStyle w:val="6"/>
        <w:keepNext w:val="0"/>
        <w:keepLines w:val="0"/>
        <w:spacing w:before="0" w:after="0" w:line="360" w:lineRule="auto"/>
        <w:ind w:left="420" w:leftChars="200"/>
        <w:rPr>
          <w:rFonts w:hint="eastAsia" w:ascii="黑体" w:hAnsi="黑体" w:eastAsia="黑体"/>
          <w:color w:val="auto"/>
          <w:sz w:val="24"/>
          <w:highlight w:val="none"/>
        </w:rPr>
      </w:pPr>
      <w:bookmarkStart w:id="75" w:name="_Toc254970668"/>
      <w:bookmarkStart w:id="76" w:name="_Toc254970527"/>
      <w:r>
        <w:rPr>
          <w:rFonts w:hint="eastAsia" w:ascii="黑体" w:hAnsi="黑体" w:eastAsia="黑体"/>
          <w:color w:val="auto"/>
          <w:sz w:val="24"/>
          <w:highlight w:val="none"/>
        </w:rPr>
        <w:t>1.适用范围</w:t>
      </w:r>
      <w:bookmarkEnd w:id="75"/>
      <w:bookmarkEnd w:id="76"/>
    </w:p>
    <w:p w14:paraId="0724C367">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7F6E6E6D">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59F0A8B7">
      <w:pPr>
        <w:pStyle w:val="6"/>
        <w:keepNext w:val="0"/>
        <w:keepLines w:val="0"/>
        <w:spacing w:before="0" w:after="0" w:line="360" w:lineRule="auto"/>
        <w:ind w:left="420" w:leftChars="200"/>
        <w:rPr>
          <w:rFonts w:hint="eastAsia" w:ascii="黑体" w:hAnsi="黑体" w:eastAsia="黑体"/>
          <w:color w:val="auto"/>
          <w:sz w:val="24"/>
          <w:highlight w:val="none"/>
        </w:rPr>
      </w:pPr>
      <w:bookmarkStart w:id="77" w:name="_Toc254970669"/>
      <w:bookmarkStart w:id="78" w:name="_Toc254970528"/>
      <w:r>
        <w:rPr>
          <w:rFonts w:hint="eastAsia" w:ascii="黑体" w:hAnsi="黑体" w:eastAsia="黑体"/>
          <w:color w:val="auto"/>
          <w:sz w:val="24"/>
          <w:highlight w:val="none"/>
        </w:rPr>
        <w:t>2.定义</w:t>
      </w:r>
      <w:bookmarkEnd w:id="77"/>
      <w:bookmarkEnd w:id="78"/>
    </w:p>
    <w:p w14:paraId="7F70415A">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2.1“采购人”是指依法进行政府采购的国家机关、事业单位、团体组织。</w:t>
      </w:r>
    </w:p>
    <w:p w14:paraId="23DD1A26">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2.2“采购代理机构”是指政府采购集中采购机构和集中采购机构以外的采购代理机构。</w:t>
      </w:r>
    </w:p>
    <w:p w14:paraId="4F5BD9C0">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2.3“投标人”是指向采购人提供货物、工程或者服务的法人、其他组织或者自然人。</w:t>
      </w:r>
    </w:p>
    <w:p w14:paraId="67C37A48">
      <w:pPr>
        <w:pStyle w:val="8"/>
        <w:spacing w:line="360" w:lineRule="auto"/>
        <w:rPr>
          <w:rFonts w:hint="eastAsia" w:ascii="宋体" w:hAnsi="宋体"/>
          <w:color w:val="auto"/>
          <w:szCs w:val="21"/>
          <w:highlight w:val="none"/>
        </w:rPr>
      </w:pPr>
      <w:r>
        <w:rPr>
          <w:rFonts w:hint="eastAsia" w:ascii="宋体" w:hAnsi="宋体"/>
          <w:color w:val="auto"/>
          <w:szCs w:val="21"/>
          <w:highlight w:val="none"/>
        </w:rPr>
        <w:t>2.4“投标人”是指响应招标、参加投标竞争的法人、其他组织或者自然人。</w:t>
      </w:r>
    </w:p>
    <w:p w14:paraId="68CA9F62">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2.5“货物”是指各种形态和种类的物品，包括原材料、燃料、设备、产品等；“服务”是指除货物和工程以外的其他政府采购对象。</w:t>
      </w:r>
    </w:p>
    <w:p w14:paraId="390DA5B1">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2.6“售后服务” 是指商品出售以后所提供的各种服务，包含但不限于投标人须承担的备品备件、包装、运输、装卸、保险、货到就位以及安装、调试、培训、保修以及其他各种服务。</w:t>
      </w:r>
    </w:p>
    <w:p w14:paraId="645387FE">
      <w:pPr>
        <w:pStyle w:val="6"/>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2.7“书面形式”是指合同书、信件和数据电文（包括电报、电传、传真、电子数据交换和电子邮件）等可以有形地表现所载内容的形式。</w:t>
      </w:r>
    </w:p>
    <w:p w14:paraId="2831712C">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2.8“实质性要求”是指招标文件中已经指明不满足则投标无效的条款，或者不能负偏离的条款，或者采购需求中带“▲”的条款。</w:t>
      </w:r>
    </w:p>
    <w:p w14:paraId="05523CE7">
      <w:pPr>
        <w:snapToGrid w:val="0"/>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 xml:space="preserve">2.9 </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28C5B3DB">
      <w:pPr>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2.10</w:t>
      </w:r>
      <w:r>
        <w:rPr>
          <w:rFonts w:hint="eastAsia" w:ascii="宋体" w:hAnsi="宋体" w:cs="宋体"/>
          <w:color w:val="auto"/>
          <w:szCs w:val="21"/>
          <w:highlight w:val="none"/>
        </w:rPr>
        <w:t>“负偏离”，是指投标文件对招标文件“采购需求”中有关条款作出的响应不满足条款要求，导致采购人要求不能得到满足的情形。</w:t>
      </w:r>
    </w:p>
    <w:p w14:paraId="51F1B6A6">
      <w:pPr>
        <w:snapToGrid w:val="0"/>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1</w:t>
      </w:r>
      <w:r>
        <w:rPr>
          <w:rFonts w:hint="eastAsia" w:ascii="宋体" w:hAnsi="宋体" w:cs="宋体"/>
          <w:color w:val="auto"/>
          <w:szCs w:val="21"/>
          <w:highlight w:val="none"/>
        </w:rPr>
        <w:t>“允许负偏离的条款”是指采购需求中的不属于“实质性要求”的条款。</w:t>
      </w:r>
      <w:bookmarkStart w:id="79" w:name="_Toc254970670"/>
      <w:bookmarkStart w:id="80" w:name="_Toc254970529"/>
    </w:p>
    <w:p w14:paraId="6D3E52F5">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w:t>
      </w:r>
      <w:bookmarkEnd w:id="79"/>
      <w:bookmarkEnd w:id="80"/>
      <w:r>
        <w:rPr>
          <w:rFonts w:hint="eastAsia" w:ascii="黑体" w:hAnsi="黑体" w:eastAsia="黑体"/>
          <w:color w:val="auto"/>
          <w:sz w:val="24"/>
          <w:highlight w:val="none"/>
        </w:rPr>
        <w:t>投标人的资格要求</w:t>
      </w:r>
    </w:p>
    <w:p w14:paraId="393CDF71">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投标人的资格要求详见“投标人须知前附表”。</w:t>
      </w:r>
    </w:p>
    <w:p w14:paraId="7AB17C57">
      <w:pPr>
        <w:pStyle w:val="6"/>
        <w:keepNext w:val="0"/>
        <w:keepLines w:val="0"/>
        <w:spacing w:before="0" w:after="0" w:line="360" w:lineRule="auto"/>
        <w:ind w:left="420" w:leftChars="200"/>
        <w:rPr>
          <w:rFonts w:hint="eastAsia" w:ascii="黑体" w:hAnsi="黑体" w:eastAsia="黑体"/>
          <w:color w:val="auto"/>
          <w:sz w:val="24"/>
          <w:highlight w:val="none"/>
        </w:rPr>
      </w:pPr>
      <w:bookmarkStart w:id="81" w:name="_Toc254970530"/>
      <w:bookmarkStart w:id="82" w:name="_Toc254970671"/>
      <w:r>
        <w:rPr>
          <w:rFonts w:hint="eastAsia" w:ascii="黑体" w:hAnsi="黑体" w:eastAsia="黑体"/>
          <w:color w:val="auto"/>
          <w:sz w:val="24"/>
          <w:highlight w:val="none"/>
        </w:rPr>
        <w:t>4.投标委托</w:t>
      </w:r>
      <w:bookmarkEnd w:id="81"/>
      <w:bookmarkEnd w:id="82"/>
    </w:p>
    <w:p w14:paraId="7C971EDA">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投标人代表参加投标活动过程中必须携带个人有效身份证件。如投标人代表不是法定代表人，须持有授权委托书（按第六章要求格式填写）。</w:t>
      </w:r>
    </w:p>
    <w:p w14:paraId="68981DB3">
      <w:pPr>
        <w:pStyle w:val="6"/>
        <w:keepNext w:val="0"/>
        <w:keepLines w:val="0"/>
        <w:spacing w:before="0" w:after="0" w:line="360" w:lineRule="auto"/>
        <w:ind w:left="420" w:leftChars="200"/>
        <w:rPr>
          <w:rFonts w:hint="eastAsia" w:ascii="黑体" w:hAnsi="黑体" w:eastAsia="黑体"/>
          <w:color w:val="auto"/>
          <w:sz w:val="24"/>
          <w:highlight w:val="none"/>
        </w:rPr>
      </w:pPr>
      <w:bookmarkStart w:id="83" w:name="_5.投标费用"/>
      <w:bookmarkEnd w:id="83"/>
      <w:bookmarkStart w:id="84" w:name="_Toc254970531"/>
      <w:bookmarkStart w:id="85" w:name="_Toc254970672"/>
      <w:r>
        <w:rPr>
          <w:rFonts w:hint="eastAsia" w:ascii="黑体" w:hAnsi="黑体" w:eastAsia="黑体"/>
          <w:color w:val="auto"/>
          <w:sz w:val="24"/>
          <w:highlight w:val="none"/>
        </w:rPr>
        <w:t>5.投标费用</w:t>
      </w:r>
      <w:bookmarkEnd w:id="84"/>
      <w:bookmarkEnd w:id="85"/>
    </w:p>
    <w:p w14:paraId="34654976">
      <w:pPr>
        <w:snapToGrid w:val="0"/>
        <w:spacing w:line="360" w:lineRule="auto"/>
        <w:ind w:firstLine="420" w:firstLineChars="200"/>
        <w:jc w:val="left"/>
        <w:rPr>
          <w:rFonts w:hint="eastAsia"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4B2AA4BA">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6.联合体投标</w:t>
      </w:r>
    </w:p>
    <w:p w14:paraId="5406AA65">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012EEAAC">
      <w:pPr>
        <w:snapToGrid w:val="0"/>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6.2如接受联合体投标，联合体投标要求详见“投标人须知前附表”。</w:t>
      </w:r>
    </w:p>
    <w:p w14:paraId="242D3716">
      <w:pPr>
        <w:pStyle w:val="6"/>
        <w:keepNext w:val="0"/>
        <w:keepLines w:val="0"/>
        <w:spacing w:before="0" w:after="0" w:line="360" w:lineRule="auto"/>
        <w:ind w:firstLine="424" w:firstLineChars="202"/>
        <w:rPr>
          <w:rFonts w:hint="eastAsia" w:ascii="黑体" w:hAnsi="黑体" w:eastAsia="黑体"/>
          <w:color w:val="auto"/>
          <w:sz w:val="24"/>
          <w:highlight w:val="none"/>
        </w:rPr>
      </w:pPr>
      <w:r>
        <w:rPr>
          <w:rFonts w:hint="eastAsia" w:ascii="宋体" w:hAnsi="宋体"/>
          <w:b w:val="0"/>
          <w:bCs/>
          <w:color w:val="auto"/>
          <w:sz w:val="21"/>
          <w:szCs w:val="21"/>
          <w:highlight w:val="none"/>
        </w:rPr>
        <w:t>6.3</w:t>
      </w:r>
      <w:r>
        <w:rPr>
          <w:rFonts w:ascii="宋体" w:hAnsi="宋体"/>
          <w:b w:val="0"/>
          <w:bCs/>
          <w:color w:val="auto"/>
          <w:sz w:val="21"/>
          <w:szCs w:val="21"/>
          <w:highlight w:val="none"/>
        </w:rPr>
        <w:t xml:space="preserve"> </w:t>
      </w:r>
      <w:bookmarkStart w:id="86" w:name="_Hlk65857072"/>
      <w:r>
        <w:rPr>
          <w:rFonts w:hint="eastAsia" w:ascii="宋体" w:hAnsi="宋体"/>
          <w:b w:val="0"/>
          <w:bCs/>
          <w:color w:val="auto"/>
          <w:sz w:val="21"/>
          <w:szCs w:val="21"/>
          <w:highlight w:val="none"/>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w:t>
      </w:r>
      <w:bookmarkEnd w:id="86"/>
    </w:p>
    <w:p w14:paraId="051EF000">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 xml:space="preserve">7.转包与分包             </w:t>
      </w:r>
    </w:p>
    <w:p w14:paraId="3ACB339E">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7.1本项目不允许转包。</w:t>
      </w:r>
    </w:p>
    <w:p w14:paraId="1298B2DD">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709776A9">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06F9848D">
      <w:pPr>
        <w:pStyle w:val="6"/>
        <w:keepNext w:val="0"/>
        <w:keepLines w:val="0"/>
        <w:spacing w:before="0" w:after="0" w:line="360" w:lineRule="auto"/>
        <w:ind w:left="420" w:leftChars="200"/>
        <w:rPr>
          <w:rFonts w:hint="eastAsia" w:ascii="黑体" w:hAnsi="黑体" w:eastAsia="黑体"/>
          <w:color w:val="auto"/>
          <w:sz w:val="24"/>
          <w:highlight w:val="none"/>
        </w:rPr>
      </w:pPr>
      <w:bookmarkStart w:id="87" w:name="_Toc254970532"/>
      <w:bookmarkStart w:id="88" w:name="_Toc254970673"/>
      <w:r>
        <w:rPr>
          <w:rFonts w:hint="eastAsia" w:ascii="黑体" w:hAnsi="黑体" w:eastAsia="黑体"/>
          <w:color w:val="auto"/>
          <w:sz w:val="24"/>
          <w:highlight w:val="none"/>
        </w:rPr>
        <w:t>8.特别说明</w:t>
      </w:r>
      <w:bookmarkEnd w:id="87"/>
      <w:bookmarkEnd w:id="88"/>
    </w:p>
    <w:p w14:paraId="4D791E10">
      <w:pPr>
        <w:pStyle w:val="6"/>
        <w:keepNext w:val="0"/>
        <w:keepLines w:val="0"/>
        <w:spacing w:before="0" w:after="0" w:line="360" w:lineRule="auto"/>
        <w:ind w:firstLine="315" w:firstLineChars="150"/>
        <w:rPr>
          <w:rFonts w:hint="eastAsia" w:ascii="宋体" w:hAnsi="宋体"/>
          <w:b w:val="0"/>
          <w:color w:val="auto"/>
          <w:sz w:val="21"/>
          <w:szCs w:val="21"/>
          <w:highlight w:val="none"/>
        </w:rPr>
      </w:pPr>
      <w:bookmarkStart w:id="89" w:name="_8.1提供相同品牌产品且通过资格审查、符合性审查的不同投标人参加同一合"/>
      <w:bookmarkEnd w:id="89"/>
      <w:r>
        <w:rPr>
          <w:rFonts w:hint="eastAsia" w:ascii="宋体" w:hAnsi="宋体"/>
          <w:b w:val="0"/>
          <w:color w:val="auto"/>
          <w:sz w:val="21"/>
          <w:szCs w:val="21"/>
          <w:highlight w:val="none"/>
        </w:rPr>
        <w:t>8.1如果本招标文件要求提供投标人或制造商的资格、信誉、荣誉、业绩与企业认证等材料的，资格、信誉、荣誉、业绩与企业认证等必须为投标人或者制造商所拥有或自身获得 。</w:t>
      </w:r>
    </w:p>
    <w:p w14:paraId="12CF9F0A">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8.2投标人应仔细阅读招标文件的所有内容，按照招标文件的要求提交投标文件，并对所提供的全部资料的真实性承担法律责任。</w:t>
      </w:r>
    </w:p>
    <w:p w14:paraId="089C5E84">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8.3投标人在投标活动中提供任何虚假材料，将报监管部门查处；中标后发现的，中标人须依法赔偿采购人，且民事赔偿并不免除违法投标人的行政与刑事责任。</w:t>
      </w:r>
    </w:p>
    <w:p w14:paraId="1098D45C">
      <w:pPr>
        <w:pStyle w:val="6"/>
        <w:keepNext w:val="0"/>
        <w:keepLines w:val="0"/>
        <w:spacing w:before="0" w:after="0" w:line="360" w:lineRule="auto"/>
        <w:ind w:left="420" w:leftChars="200"/>
        <w:rPr>
          <w:rFonts w:ascii="黑体" w:hAnsi="黑体" w:eastAsia="黑体"/>
          <w:color w:val="auto"/>
          <w:sz w:val="24"/>
          <w:highlight w:val="none"/>
        </w:rPr>
      </w:pPr>
      <w:r>
        <w:rPr>
          <w:rFonts w:ascii="黑体" w:hAnsi="黑体" w:eastAsia="黑体"/>
          <w:color w:val="auto"/>
          <w:sz w:val="24"/>
          <w:highlight w:val="none"/>
        </w:rPr>
        <w:t>9.</w:t>
      </w:r>
      <w:r>
        <w:rPr>
          <w:rFonts w:hint="eastAsia" w:ascii="黑体" w:hAnsi="黑体" w:eastAsia="黑体"/>
          <w:color w:val="auto"/>
          <w:sz w:val="24"/>
          <w:highlight w:val="none"/>
        </w:rPr>
        <w:t>回避与串通投标</w:t>
      </w:r>
    </w:p>
    <w:p w14:paraId="45A85A37">
      <w:pPr>
        <w:pStyle w:val="6"/>
        <w:keepNext w:val="0"/>
        <w:keepLines w:val="0"/>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9</w:t>
      </w:r>
      <w:r>
        <w:rPr>
          <w:rFonts w:ascii="宋体" w:hAnsi="宋体"/>
          <w:b w:val="0"/>
          <w:color w:val="auto"/>
          <w:sz w:val="21"/>
          <w:szCs w:val="21"/>
          <w:highlight w:val="none"/>
        </w:rPr>
        <w:t>.1在政府采购活动中，采购人员及相关人员与</w:t>
      </w:r>
      <w:r>
        <w:rPr>
          <w:rFonts w:hint="eastAsia" w:ascii="宋体" w:hAnsi="宋体"/>
          <w:b w:val="0"/>
          <w:color w:val="auto"/>
          <w:sz w:val="21"/>
          <w:szCs w:val="21"/>
          <w:highlight w:val="none"/>
        </w:rPr>
        <w:t>投标人</w:t>
      </w:r>
      <w:r>
        <w:rPr>
          <w:rFonts w:ascii="宋体" w:hAnsi="宋体"/>
          <w:b w:val="0"/>
          <w:color w:val="auto"/>
          <w:sz w:val="21"/>
          <w:szCs w:val="21"/>
          <w:highlight w:val="none"/>
        </w:rPr>
        <w:t>有下列利害关系之一的，应当回避：</w:t>
      </w:r>
    </w:p>
    <w:p w14:paraId="0192F3CA">
      <w:pPr>
        <w:pStyle w:val="27"/>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1</w:t>
      </w:r>
      <w:r>
        <w:rPr>
          <w:rFonts w:hAnsi="宋体"/>
          <w:color w:val="auto"/>
          <w:kern w:val="2"/>
          <w:sz w:val="21"/>
          <w:highlight w:val="none"/>
        </w:rPr>
        <w:t>）参加采购活动前3年内与</w:t>
      </w:r>
      <w:r>
        <w:rPr>
          <w:rFonts w:hint="eastAsia" w:hAnsi="宋体"/>
          <w:color w:val="auto"/>
          <w:kern w:val="2"/>
          <w:sz w:val="21"/>
          <w:highlight w:val="none"/>
        </w:rPr>
        <w:t>投标人</w:t>
      </w:r>
      <w:r>
        <w:rPr>
          <w:rFonts w:hAnsi="宋体"/>
          <w:color w:val="auto"/>
          <w:kern w:val="2"/>
          <w:sz w:val="21"/>
          <w:highlight w:val="none"/>
        </w:rPr>
        <w:t>存在劳动关系；</w:t>
      </w:r>
    </w:p>
    <w:p w14:paraId="0CEB520E">
      <w:pPr>
        <w:pStyle w:val="27"/>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2</w:t>
      </w:r>
      <w:r>
        <w:rPr>
          <w:rFonts w:hAnsi="宋体"/>
          <w:color w:val="auto"/>
          <w:kern w:val="2"/>
          <w:sz w:val="21"/>
          <w:highlight w:val="none"/>
        </w:rPr>
        <w:t>）参加采购活动前3年内担任</w:t>
      </w:r>
      <w:r>
        <w:rPr>
          <w:rFonts w:hint="eastAsia" w:hAnsi="宋体"/>
          <w:color w:val="auto"/>
          <w:kern w:val="2"/>
          <w:sz w:val="21"/>
          <w:highlight w:val="none"/>
        </w:rPr>
        <w:t>投标人</w:t>
      </w:r>
      <w:r>
        <w:rPr>
          <w:rFonts w:hAnsi="宋体"/>
          <w:color w:val="auto"/>
          <w:kern w:val="2"/>
          <w:sz w:val="21"/>
          <w:highlight w:val="none"/>
        </w:rPr>
        <w:t>的董事、监事；</w:t>
      </w:r>
    </w:p>
    <w:p w14:paraId="28E91640">
      <w:pPr>
        <w:pStyle w:val="27"/>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3</w:t>
      </w:r>
      <w:r>
        <w:rPr>
          <w:rFonts w:hAnsi="宋体"/>
          <w:color w:val="auto"/>
          <w:kern w:val="2"/>
          <w:sz w:val="21"/>
          <w:highlight w:val="none"/>
        </w:rPr>
        <w:t>）参加采购活动前3年内是</w:t>
      </w:r>
      <w:r>
        <w:rPr>
          <w:rFonts w:hint="eastAsia" w:hAnsi="宋体"/>
          <w:color w:val="auto"/>
          <w:kern w:val="2"/>
          <w:sz w:val="21"/>
          <w:highlight w:val="none"/>
        </w:rPr>
        <w:t>投标人</w:t>
      </w:r>
      <w:r>
        <w:rPr>
          <w:rFonts w:hAnsi="宋体"/>
          <w:color w:val="auto"/>
          <w:kern w:val="2"/>
          <w:sz w:val="21"/>
          <w:highlight w:val="none"/>
        </w:rPr>
        <w:t>的控股股东或者实际控制人；</w:t>
      </w:r>
    </w:p>
    <w:p w14:paraId="759132E4">
      <w:pPr>
        <w:pStyle w:val="27"/>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4</w:t>
      </w:r>
      <w:r>
        <w:rPr>
          <w:rFonts w:hAnsi="宋体"/>
          <w:color w:val="auto"/>
          <w:kern w:val="2"/>
          <w:sz w:val="21"/>
          <w:highlight w:val="none"/>
        </w:rPr>
        <w:t>）与</w:t>
      </w:r>
      <w:r>
        <w:rPr>
          <w:rFonts w:hint="eastAsia" w:hAnsi="宋体"/>
          <w:color w:val="auto"/>
          <w:kern w:val="2"/>
          <w:sz w:val="21"/>
          <w:highlight w:val="none"/>
        </w:rPr>
        <w:t>投标人</w:t>
      </w:r>
      <w:r>
        <w:rPr>
          <w:rFonts w:hAnsi="宋体"/>
          <w:color w:val="auto"/>
          <w:kern w:val="2"/>
          <w:sz w:val="21"/>
          <w:highlight w:val="none"/>
        </w:rPr>
        <w:t>的法定代表人或者负责人有夫妻、直系血亲、三代以内旁系血亲或者近姻亲关系；</w:t>
      </w:r>
    </w:p>
    <w:p w14:paraId="423A963A">
      <w:pPr>
        <w:pStyle w:val="27"/>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5</w:t>
      </w:r>
      <w:r>
        <w:rPr>
          <w:rFonts w:hAnsi="宋体"/>
          <w:color w:val="auto"/>
          <w:kern w:val="2"/>
          <w:sz w:val="21"/>
          <w:highlight w:val="none"/>
        </w:rPr>
        <w:t>）与</w:t>
      </w:r>
      <w:r>
        <w:rPr>
          <w:rFonts w:hint="eastAsia" w:hAnsi="宋体"/>
          <w:color w:val="auto"/>
          <w:kern w:val="2"/>
          <w:sz w:val="21"/>
          <w:highlight w:val="none"/>
        </w:rPr>
        <w:t>投标人</w:t>
      </w:r>
      <w:r>
        <w:rPr>
          <w:rFonts w:hAnsi="宋体"/>
          <w:color w:val="auto"/>
          <w:kern w:val="2"/>
          <w:sz w:val="21"/>
          <w:highlight w:val="none"/>
        </w:rPr>
        <w:t>有其他可能影响政府采购活动公平、公正进行的关系。</w:t>
      </w:r>
    </w:p>
    <w:p w14:paraId="53C67FF6">
      <w:pPr>
        <w:pStyle w:val="27"/>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投标人</w:t>
      </w:r>
      <w:r>
        <w:rPr>
          <w:rFonts w:hAnsi="宋体"/>
          <w:color w:val="auto"/>
          <w:kern w:val="2"/>
          <w:sz w:val="21"/>
          <w:highlight w:val="none"/>
        </w:rPr>
        <w:t>认为采购人员及相关人员与其他</w:t>
      </w:r>
      <w:r>
        <w:rPr>
          <w:rFonts w:hint="eastAsia" w:hAnsi="宋体"/>
          <w:color w:val="auto"/>
          <w:kern w:val="2"/>
          <w:sz w:val="21"/>
          <w:highlight w:val="none"/>
        </w:rPr>
        <w:t>投标人</w:t>
      </w:r>
      <w:r>
        <w:rPr>
          <w:rFonts w:hAnsi="宋体"/>
          <w:color w:val="auto"/>
          <w:kern w:val="2"/>
          <w:sz w:val="21"/>
          <w:highlight w:val="none"/>
        </w:rPr>
        <w:t>有利害关系的，可以向采购人或者采购代理机构书面提出回避申请，并说明理由。采购人或者采购代理机构应当及时询问被申请回避人员，有利害关系的被申请回避人员应当回避。</w:t>
      </w:r>
    </w:p>
    <w:p w14:paraId="2FE78F2A">
      <w:pPr>
        <w:pStyle w:val="6"/>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9.2</w:t>
      </w:r>
      <w:r>
        <w:rPr>
          <w:rFonts w:hint="eastAsia" w:ascii="宋体" w:hAnsi="宋体"/>
          <w:color w:val="auto"/>
          <w:sz w:val="21"/>
          <w:szCs w:val="21"/>
          <w:highlight w:val="none"/>
        </w:rPr>
        <w:t>有下列情形之一的视为投标人相互串通投标，投标文件将被视为无效：</w:t>
      </w:r>
    </w:p>
    <w:p w14:paraId="025E6162">
      <w:pPr>
        <w:pStyle w:val="27"/>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 xml:space="preserve">（1）不同投标人的投标文件由同一单位或者个人编制； </w:t>
      </w:r>
    </w:p>
    <w:p w14:paraId="604F1342">
      <w:pPr>
        <w:pStyle w:val="27"/>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（2）不同投标人委托同一单位或者个人办理投标事宜；</w:t>
      </w:r>
    </w:p>
    <w:p w14:paraId="55C3543F">
      <w:pPr>
        <w:pStyle w:val="27"/>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（3）不同的投标人的投标文件载明的项目管理员为同一个人；</w:t>
      </w:r>
    </w:p>
    <w:p w14:paraId="4F3E9127">
      <w:pPr>
        <w:pStyle w:val="27"/>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（4）不同投标人的投标文件异常一致或者投标报价呈规律性差异；</w:t>
      </w:r>
    </w:p>
    <w:p w14:paraId="62D7434D">
      <w:pPr>
        <w:pStyle w:val="27"/>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（5）不同投标人的投标文件相互混装；</w:t>
      </w:r>
    </w:p>
    <w:p w14:paraId="790CF988">
      <w:pPr>
        <w:pStyle w:val="27"/>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（6）不同投标人的投标保证金从同一单位或者个人账户转出。</w:t>
      </w:r>
    </w:p>
    <w:p w14:paraId="7325299A">
      <w:pPr>
        <w:pStyle w:val="6"/>
        <w:keepNext w:val="0"/>
        <w:keepLines w:val="0"/>
        <w:spacing w:before="0" w:after="0" w:line="360" w:lineRule="auto"/>
        <w:ind w:left="420" w:leftChars="200"/>
        <w:rPr>
          <w:rFonts w:hint="eastAsia" w:ascii="宋体" w:hAnsi="宋体"/>
          <w:b w:val="0"/>
          <w:color w:val="auto"/>
          <w:sz w:val="21"/>
          <w:szCs w:val="21"/>
          <w:highlight w:val="none"/>
        </w:rPr>
      </w:pPr>
      <w:r>
        <w:rPr>
          <w:rFonts w:ascii="宋体" w:hAnsi="宋体"/>
          <w:b w:val="0"/>
          <w:color w:val="auto"/>
          <w:sz w:val="21"/>
          <w:szCs w:val="21"/>
          <w:highlight w:val="none"/>
        </w:rPr>
        <w:t>9.3</w:t>
      </w:r>
      <w:r>
        <w:rPr>
          <w:rFonts w:hint="eastAsia" w:ascii="宋体" w:hAnsi="宋体"/>
          <w:b w:val="0"/>
          <w:color w:val="auto"/>
          <w:sz w:val="21"/>
          <w:szCs w:val="21"/>
          <w:highlight w:val="none"/>
        </w:rPr>
        <w:t>投标人有下列情形之一的，属于恶意串通行为，将报同级监督管理部门：</w:t>
      </w:r>
    </w:p>
    <w:p w14:paraId="05DB6DA4">
      <w:pPr>
        <w:pStyle w:val="27"/>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（1）投标人直接或者间接从采购人或者采购代理机构处获得其他投标人的相关信息并修改其投标文件或者响应文件；</w:t>
      </w:r>
    </w:p>
    <w:p w14:paraId="6703043D">
      <w:pPr>
        <w:pStyle w:val="27"/>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（2）投标人按照采购人或者采购代理机构的授意撤换、修改投标文件或者响应文件；</w:t>
      </w:r>
    </w:p>
    <w:p w14:paraId="77F7016F">
      <w:pPr>
        <w:pStyle w:val="27"/>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（3）投标人之间协商报价、技术方案等投标文件或者响应文件的实质性内容；</w:t>
      </w:r>
    </w:p>
    <w:p w14:paraId="63FCD44D">
      <w:pPr>
        <w:pStyle w:val="27"/>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（4）属于同一集团、协会、商会等组织成员的投标人按照该组织要求协同参加政府采购活动；</w:t>
      </w:r>
    </w:p>
    <w:p w14:paraId="6A5F9AB8">
      <w:pPr>
        <w:pStyle w:val="27"/>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（5）投标人之间事先约定一致抬高或者压低投标报价，或者在招标项目中事先约定轮流以高价位或者低价位中标，或者事先约定由某一特定投标人中标，然后再参加投标；</w:t>
      </w:r>
    </w:p>
    <w:p w14:paraId="7DC092FD">
      <w:pPr>
        <w:pStyle w:val="27"/>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（6）投标人之间商定部分投标人放弃参加政府采购活动或者放弃中标；</w:t>
      </w:r>
    </w:p>
    <w:p w14:paraId="718F4B8F">
      <w:pPr>
        <w:pStyle w:val="27"/>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（7）投标人与采购人或者采购代理机构之间、投标人相互之间，为谋求特定投标人中标或者排斥其他投标人的其他串通行为。</w:t>
      </w:r>
    </w:p>
    <w:p w14:paraId="3D70ED1A">
      <w:pPr>
        <w:pStyle w:val="27"/>
        <w:snapToGrid w:val="0"/>
        <w:spacing w:line="360" w:lineRule="auto"/>
        <w:ind w:left="2" w:leftChars="1" w:firstLine="422" w:firstLineChars="200"/>
        <w:rPr>
          <w:rFonts w:hint="eastAsia" w:hAnsi="宋体"/>
          <w:b/>
          <w:color w:val="auto"/>
          <w:kern w:val="2"/>
          <w:sz w:val="21"/>
          <w:highlight w:val="none"/>
        </w:rPr>
      </w:pPr>
    </w:p>
    <w:p w14:paraId="263EC809">
      <w:pPr>
        <w:pStyle w:val="4"/>
        <w:keepNext w:val="0"/>
        <w:keepLines w:val="0"/>
        <w:jc w:val="center"/>
        <w:rPr>
          <w:rFonts w:hint="eastAsia"/>
          <w:color w:val="auto"/>
          <w:highlight w:val="none"/>
        </w:rPr>
      </w:pPr>
      <w:bookmarkStart w:id="90" w:name="_Toc254970534"/>
      <w:bookmarkStart w:id="91" w:name="_Toc254970675"/>
      <w:r>
        <w:rPr>
          <w:rFonts w:hint="eastAsia"/>
          <w:color w:val="auto"/>
          <w:highlight w:val="none"/>
        </w:rPr>
        <w:t>二、招标文件</w:t>
      </w:r>
      <w:bookmarkEnd w:id="90"/>
      <w:bookmarkEnd w:id="91"/>
    </w:p>
    <w:p w14:paraId="04EB87D7">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10.招标文件的组成</w:t>
      </w:r>
    </w:p>
    <w:p w14:paraId="626954E2">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（1）招标公告；</w:t>
      </w:r>
    </w:p>
    <w:p w14:paraId="7C2F7008">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 xml:space="preserve">（2）采购需求； </w:t>
      </w:r>
    </w:p>
    <w:p w14:paraId="4501BCE0">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（3）投标人须知；</w:t>
      </w:r>
    </w:p>
    <w:p w14:paraId="5E30D8EF">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（4）评标方法及评标标准；</w:t>
      </w:r>
    </w:p>
    <w:p w14:paraId="7E27EF90">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（5）拟签订的合同文本；</w:t>
      </w:r>
    </w:p>
    <w:p w14:paraId="17CBA58B">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（6）投标文件格式。</w:t>
      </w:r>
    </w:p>
    <w:p w14:paraId="7EB5F2E9">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11.招标文件的澄清、修改 、现场考察和答疑会</w:t>
      </w:r>
    </w:p>
    <w:p w14:paraId="5A69D0AB">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11.1投标人应认真审阅本招标文件，如有疑问，或发现其中有误或有要求不合理的，应在招标公告公告期限届满之日起7个工作日内以纸质书面形式要求采购人或采购代理机构对招标文件予以澄清；否则，由此产生的后果由投标人自行负责。</w:t>
      </w:r>
    </w:p>
    <w:p w14:paraId="7014B5A4">
      <w:pPr>
        <w:pStyle w:val="6"/>
        <w:keepNext w:val="0"/>
        <w:keepLines w:val="0"/>
        <w:numPr>
          <w:ilvl w:val="0"/>
          <w:numId w:val="0"/>
        </w:numPr>
        <w:spacing w:before="0" w:after="0" w:line="360" w:lineRule="auto"/>
        <w:ind w:firstLine="420" w:firstLineChars="200"/>
        <w:rPr>
          <w:rFonts w:hint="eastAsia" w:ascii="宋体" w:hAnsi="宋体"/>
          <w:color w:val="auto"/>
          <w:highlight w:val="none"/>
        </w:rPr>
      </w:pPr>
      <w:r>
        <w:rPr>
          <w:rFonts w:hint="eastAsia" w:ascii="宋体" w:hAnsi="宋体"/>
          <w:b w:val="0"/>
          <w:color w:val="auto"/>
          <w:sz w:val="21"/>
          <w:szCs w:val="21"/>
          <w:highlight w:val="none"/>
        </w:rPr>
        <w:t>11.2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15日前，在原公告发布媒体上发布更正公告；不足15日的，采购人或者采购代理机构应当顺延提交投标文件的截止时间。</w:t>
      </w:r>
    </w:p>
    <w:p w14:paraId="7C03DE3E">
      <w:pPr>
        <w:spacing w:line="360" w:lineRule="auto"/>
        <w:ind w:firstLine="420" w:firstLineChars="200"/>
        <w:rPr>
          <w:rFonts w:hint="eastAsia" w:ascii="宋体" w:hAnsi="宋体"/>
          <w:color w:val="auto"/>
          <w:szCs w:val="21"/>
          <w:highlight w:val="none"/>
        </w:rPr>
      </w:pPr>
      <w:r>
        <w:rPr>
          <w:rFonts w:hint="eastAsia" w:ascii="宋体" w:hAnsi="宋体"/>
          <w:color w:val="auto"/>
          <w:highlight w:val="none"/>
        </w:rPr>
        <w:t>11.3采购人和采购代理机构可以视采购具体情况，变更投标截止时间和开标时间，并</w:t>
      </w:r>
      <w:r>
        <w:rPr>
          <w:rFonts w:hint="eastAsia" w:ascii="宋体" w:hAnsi="宋体"/>
          <w:color w:val="auto"/>
          <w:szCs w:val="21"/>
          <w:highlight w:val="none"/>
        </w:rPr>
        <w:t>在原公告发布媒体上发布更正公告。</w:t>
      </w:r>
    </w:p>
    <w:p w14:paraId="5DA87ED9">
      <w:pPr>
        <w:spacing w:line="360" w:lineRule="auto"/>
        <w:ind w:firstLine="420" w:firstLineChars="200"/>
        <w:rPr>
          <w:rFonts w:hint="eastAsia" w:hAnsi="宋体"/>
          <w:color w:val="auto"/>
          <w:highlight w:val="none"/>
        </w:rPr>
      </w:pPr>
      <w:r>
        <w:rPr>
          <w:rFonts w:hint="eastAsia" w:ascii="宋体" w:hAnsi="宋体"/>
          <w:color w:val="auto"/>
          <w:szCs w:val="21"/>
          <w:highlight w:val="none"/>
        </w:rPr>
        <w:t>11.4招标文件澄清、答复、修改、补充的内容为招标文件的组成部分。</w:t>
      </w:r>
      <w:r>
        <w:rPr>
          <w:rFonts w:hint="eastAsia" w:ascii="宋体" w:hAnsi="宋体"/>
          <w:b/>
          <w:color w:val="auto"/>
          <w:szCs w:val="21"/>
          <w:highlight w:val="none"/>
        </w:rPr>
        <w:t>当招标文件与招标文件的澄清、答复、修改、补充通知就同一内容的表述不一致时，以最后发出的文件为准。</w:t>
      </w:r>
    </w:p>
    <w:p w14:paraId="49DE80C6">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w:t>
      </w:r>
      <w:r>
        <w:rPr>
          <w:rFonts w:hAnsi="宋体"/>
          <w:color w:val="auto"/>
          <w:sz w:val="21"/>
          <w:highlight w:val="none"/>
        </w:rPr>
        <w:t>1.</w:t>
      </w:r>
      <w:bookmarkStart w:id="92" w:name="_Hlk53134511"/>
      <w:r>
        <w:rPr>
          <w:rFonts w:hint="eastAsia" w:hAnsi="宋体"/>
          <w:color w:val="auto"/>
          <w:sz w:val="21"/>
          <w:highlight w:val="none"/>
        </w:rPr>
        <w:t>5采购人或者采购代理机构可以在招标文件提供期限截止后，组织已获取招标文件的潜在投标人现场考察或者召开开标前答疑会，具体详见“投标人须知前附表”。</w:t>
      </w:r>
    </w:p>
    <w:p w14:paraId="33E29569">
      <w:pPr>
        <w:pStyle w:val="27"/>
        <w:snapToGrid w:val="0"/>
        <w:spacing w:line="360" w:lineRule="auto"/>
        <w:ind w:firstLine="420" w:firstLineChars="200"/>
        <w:rPr>
          <w:rFonts w:hint="eastAsia" w:hAnsi="宋体"/>
          <w:color w:val="auto"/>
          <w:sz w:val="21"/>
          <w:highlight w:val="none"/>
        </w:rPr>
      </w:pPr>
    </w:p>
    <w:bookmarkEnd w:id="92"/>
    <w:p w14:paraId="5F070B87">
      <w:pPr>
        <w:pStyle w:val="4"/>
        <w:keepNext w:val="0"/>
        <w:keepLines w:val="0"/>
        <w:jc w:val="center"/>
        <w:rPr>
          <w:rFonts w:hint="eastAsia"/>
          <w:color w:val="auto"/>
          <w:highlight w:val="none"/>
        </w:rPr>
      </w:pPr>
      <w:bookmarkStart w:id="93" w:name="_Toc254970676"/>
      <w:bookmarkStart w:id="94" w:name="_Toc254970535"/>
      <w:r>
        <w:rPr>
          <w:rFonts w:hint="eastAsia"/>
          <w:color w:val="auto"/>
          <w:highlight w:val="none"/>
        </w:rPr>
        <w:t>三、投标文件的编制</w:t>
      </w:r>
      <w:bookmarkEnd w:id="93"/>
      <w:bookmarkEnd w:id="94"/>
    </w:p>
    <w:p w14:paraId="0E107B4B">
      <w:pPr>
        <w:pStyle w:val="6"/>
        <w:keepNext w:val="0"/>
        <w:keepLines w:val="0"/>
        <w:spacing w:before="0" w:after="0" w:line="360" w:lineRule="auto"/>
        <w:ind w:left="420" w:leftChars="200"/>
        <w:rPr>
          <w:rFonts w:hint="eastAsia" w:ascii="黑体" w:hAnsi="黑体" w:eastAsia="黑体"/>
          <w:color w:val="auto"/>
          <w:sz w:val="24"/>
          <w:highlight w:val="none"/>
        </w:rPr>
      </w:pPr>
      <w:bookmarkStart w:id="95" w:name="_Toc254970536"/>
      <w:bookmarkStart w:id="96" w:name="_Toc254970677"/>
      <w:r>
        <w:rPr>
          <w:rFonts w:hint="eastAsia" w:ascii="黑体" w:hAnsi="黑体" w:eastAsia="黑体"/>
          <w:color w:val="auto"/>
          <w:sz w:val="24"/>
          <w:highlight w:val="none"/>
        </w:rPr>
        <w:t>12.投标文件的编制原则</w:t>
      </w:r>
    </w:p>
    <w:p w14:paraId="7197A9F2">
      <w:pPr>
        <w:snapToGrid w:val="0"/>
        <w:spacing w:line="360" w:lineRule="auto"/>
        <w:ind w:firstLine="420"/>
        <w:jc w:val="left"/>
        <w:rPr>
          <w:rFonts w:hint="eastAsia" w:ascii="宋体" w:hAnsi="宋体" w:cs="Courier New"/>
          <w:color w:val="auto"/>
          <w:szCs w:val="21"/>
          <w:highlight w:val="none"/>
        </w:rPr>
      </w:pPr>
      <w:r>
        <w:rPr>
          <w:rFonts w:ascii="宋体" w:hAnsi="宋体"/>
          <w:color w:val="auto"/>
          <w:szCs w:val="21"/>
          <w:highlight w:val="none"/>
        </w:rPr>
        <w:t>投标人必须按照招标文件的要求编制投标文件。投标文件必须对招标文件提出的要求和条件作出明确响应。</w:t>
      </w:r>
    </w:p>
    <w:p w14:paraId="4EA9FFD9">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13.投标文件的组成</w:t>
      </w:r>
      <w:bookmarkEnd w:id="95"/>
      <w:bookmarkEnd w:id="96"/>
    </w:p>
    <w:p w14:paraId="2B08602A">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3.1</w:t>
      </w:r>
      <w:r>
        <w:rPr>
          <w:rFonts w:hint="eastAsia" w:ascii="宋体" w:hAnsi="宋体"/>
          <w:color w:val="auto"/>
          <w:szCs w:val="21"/>
          <w:highlight w:val="none"/>
        </w:rPr>
        <w:t>投标文件由报价文件、资格证明文件、商务文件、技术文件四部分组成。</w:t>
      </w:r>
    </w:p>
    <w:p w14:paraId="2F1395E6">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97" w:name="_13.1报价文件:_具体材料见“投标人须知前附表”。"/>
      <w:bookmarkEnd w:id="97"/>
      <w:r>
        <w:rPr>
          <w:rFonts w:hint="eastAsia" w:ascii="宋体" w:hAnsi="宋体"/>
          <w:b w:val="0"/>
          <w:color w:val="auto"/>
          <w:sz w:val="21"/>
          <w:szCs w:val="21"/>
          <w:highlight w:val="none"/>
        </w:rPr>
        <w:t>（1）报价文件：</w:t>
      </w:r>
      <w:r>
        <w:rPr>
          <w:rFonts w:ascii="宋体" w:hAnsi="宋体"/>
          <w:b w:val="0"/>
          <w:color w:val="auto"/>
          <w:sz w:val="21"/>
          <w:szCs w:val="21"/>
          <w:highlight w:val="none"/>
        </w:rPr>
        <w:t xml:space="preserve"> 具体材料见“投标人须知前附表”</w:t>
      </w:r>
      <w:r>
        <w:rPr>
          <w:rFonts w:hint="eastAsia" w:ascii="宋体" w:hAnsi="宋体"/>
          <w:b w:val="0"/>
          <w:color w:val="auto"/>
          <w:sz w:val="21"/>
          <w:szCs w:val="21"/>
          <w:highlight w:val="none"/>
        </w:rPr>
        <w:t>。</w:t>
      </w:r>
    </w:p>
    <w:p w14:paraId="10F6542A">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98" w:name="_13.2资格证明文件：具体材料见“投标人须知前附表”。"/>
      <w:bookmarkEnd w:id="98"/>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）资格证明文件：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6999CBFE">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99" w:name="_13.3商务文件:_具体材料见“投标人须知前附表”。"/>
      <w:bookmarkEnd w:id="99"/>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）商务文件：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0E278A0F">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100" w:name="_13.4技术文件：具体材料见“投标人须知前附表”。"/>
      <w:bookmarkEnd w:id="100"/>
      <w:r>
        <w:rPr>
          <w:rFonts w:hint="eastAsia" w:ascii="宋体" w:hAnsi="宋体"/>
          <w:b w:val="0"/>
          <w:color w:val="auto"/>
          <w:sz w:val="21"/>
          <w:szCs w:val="21"/>
          <w:highlight w:val="none"/>
        </w:rPr>
        <w:t>（</w:t>
      </w:r>
      <w:r>
        <w:rPr>
          <w:rFonts w:ascii="宋体" w:hAnsi="宋体"/>
          <w:b w:val="0"/>
          <w:color w:val="auto"/>
          <w:sz w:val="21"/>
          <w:szCs w:val="21"/>
          <w:highlight w:val="none"/>
        </w:rPr>
        <w:t>4</w:t>
      </w:r>
      <w:r>
        <w:rPr>
          <w:rFonts w:hint="eastAsia" w:ascii="宋体" w:hAnsi="宋体"/>
          <w:b w:val="0"/>
          <w:color w:val="auto"/>
          <w:sz w:val="21"/>
          <w:szCs w:val="21"/>
          <w:highlight w:val="none"/>
        </w:rPr>
        <w:t>）技术文件：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bookmarkStart w:id="101" w:name="_13.5投标文件电子版：具体材料见“投标人须知前附表”。"/>
      <w:bookmarkEnd w:id="101"/>
    </w:p>
    <w:p w14:paraId="6E596E5E">
      <w:pPr>
        <w:pStyle w:val="6"/>
        <w:keepNext w:val="0"/>
        <w:keepLines w:val="0"/>
        <w:spacing w:before="0" w:after="0" w:line="360" w:lineRule="auto"/>
        <w:ind w:left="420" w:leftChars="200"/>
        <w:rPr>
          <w:rFonts w:hint="eastAsia" w:ascii="黑体" w:hAnsi="黑体" w:eastAsia="黑体"/>
          <w:color w:val="auto"/>
          <w:sz w:val="24"/>
          <w:highlight w:val="none"/>
        </w:rPr>
      </w:pPr>
      <w:bookmarkStart w:id="102" w:name="_Toc254970537"/>
      <w:bookmarkStart w:id="103" w:name="_Toc254970678"/>
      <w:r>
        <w:rPr>
          <w:rFonts w:hint="eastAsia" w:ascii="黑体" w:hAnsi="黑体" w:eastAsia="黑体"/>
          <w:color w:val="auto"/>
          <w:sz w:val="24"/>
          <w:highlight w:val="none"/>
        </w:rPr>
        <w:t>14.投标文件的语言及计量</w:t>
      </w:r>
      <w:bookmarkEnd w:id="102"/>
      <w:bookmarkEnd w:id="103"/>
    </w:p>
    <w:p w14:paraId="5547C052">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14.1语言文字</w:t>
      </w:r>
    </w:p>
    <w:p w14:paraId="0ECEABC3">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0FD2D53B">
      <w:pPr>
        <w:pStyle w:val="6"/>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14.2投标计量单位</w:t>
      </w:r>
    </w:p>
    <w:p w14:paraId="32AA47BC">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招标文件已有明确规定的，使用招标文件规定的计量单位；招标文件没有规定的，应采用中华人民共和国法定计量单位，货币种类为人民币，否则视同未响应。</w:t>
      </w:r>
    </w:p>
    <w:p w14:paraId="7B41945D">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15.投标的风险</w:t>
      </w:r>
    </w:p>
    <w:p w14:paraId="42066308">
      <w:pPr>
        <w:pStyle w:val="27"/>
        <w:snapToGrid w:val="0"/>
        <w:spacing w:line="360" w:lineRule="auto"/>
        <w:ind w:firstLine="420" w:firstLineChars="200"/>
        <w:jc w:val="left"/>
        <w:rPr>
          <w:rFonts w:hint="eastAsia" w:hAnsi="宋体"/>
          <w:color w:val="auto"/>
          <w:sz w:val="21"/>
          <w:highlight w:val="none"/>
        </w:rPr>
      </w:pPr>
      <w:r>
        <w:rPr>
          <w:rFonts w:hint="eastAsia" w:hAnsi="宋体"/>
          <w:color w:val="auto"/>
          <w:sz w:val="21"/>
          <w:highlight w:val="none"/>
        </w:rPr>
        <w:t>投标人没有按照招标文件要求提供全部资料，或者投标人没有对招标文件作出实质性响应是投标人的风险，并可能导致其投标被拒绝。</w:t>
      </w:r>
    </w:p>
    <w:p w14:paraId="4C2AC81E">
      <w:pPr>
        <w:pStyle w:val="6"/>
        <w:keepNext w:val="0"/>
        <w:keepLines w:val="0"/>
        <w:spacing w:before="0" w:after="0" w:line="360" w:lineRule="auto"/>
        <w:ind w:left="420" w:leftChars="200"/>
        <w:rPr>
          <w:rFonts w:hint="eastAsia" w:ascii="黑体" w:hAnsi="黑体" w:eastAsia="黑体"/>
          <w:color w:val="auto"/>
          <w:sz w:val="24"/>
          <w:highlight w:val="none"/>
        </w:rPr>
      </w:pPr>
      <w:bookmarkStart w:id="104" w:name="_Toc254970538"/>
      <w:bookmarkStart w:id="105" w:name="_Toc254970679"/>
      <w:r>
        <w:rPr>
          <w:rFonts w:hint="eastAsia" w:ascii="黑体" w:hAnsi="黑体" w:eastAsia="黑体"/>
          <w:color w:val="auto"/>
          <w:sz w:val="24"/>
          <w:highlight w:val="none"/>
        </w:rPr>
        <w:t>16.投标报价</w:t>
      </w:r>
      <w:bookmarkEnd w:id="104"/>
      <w:bookmarkEnd w:id="105"/>
    </w:p>
    <w:p w14:paraId="3CB46CB8">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16.1投标报价应按“第六章　投标文件格式”中“开标一览表”格式填写。</w:t>
      </w:r>
    </w:p>
    <w:p w14:paraId="2CE5B015">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106" w:name="_16.2投标报价具体定义见投标人须知前附表。"/>
      <w:bookmarkEnd w:id="106"/>
      <w:r>
        <w:rPr>
          <w:rFonts w:hint="eastAsia" w:ascii="宋体" w:hAnsi="宋体"/>
          <w:b w:val="0"/>
          <w:color w:val="auto"/>
          <w:sz w:val="21"/>
          <w:szCs w:val="21"/>
          <w:highlight w:val="none"/>
        </w:rPr>
        <w:t>16.2投标报价具体包括内容详见“投标人须知前附表”。</w:t>
      </w:r>
    </w:p>
    <w:p w14:paraId="740236FE">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16.3投标人必须就所投每个分标的全部内容分别作完整唯一总价报价，不得存在漏项报价；投标人必须就所投分标的单项内容作唯一报价。</w:t>
      </w:r>
    </w:p>
    <w:p w14:paraId="08E96714">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17.投标有效期</w:t>
      </w:r>
    </w:p>
    <w:p w14:paraId="6C35AA0E">
      <w:pPr>
        <w:pStyle w:val="6"/>
        <w:keepNext w:val="0"/>
        <w:keepLines w:val="0"/>
        <w:spacing w:before="0" w:after="0" w:line="360" w:lineRule="auto"/>
        <w:ind w:firstLine="420" w:firstLineChars="200"/>
        <w:rPr>
          <w:rFonts w:hint="eastAsia" w:ascii="宋体" w:hAnsi="宋体"/>
          <w:b w:val="0"/>
          <w:color w:val="auto"/>
          <w:sz w:val="21"/>
          <w:szCs w:val="21"/>
          <w:highlight w:val="none"/>
        </w:rPr>
      </w:pPr>
      <w:bookmarkStart w:id="107" w:name="_17.1投标有效期应按“投标人须知中的前附表”规定的期限。"/>
      <w:bookmarkEnd w:id="107"/>
      <w:r>
        <w:rPr>
          <w:rFonts w:hint="eastAsia" w:ascii="宋体" w:hAnsi="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02CFA646">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17.2</w:t>
      </w:r>
      <w:bookmarkStart w:id="108" w:name="_Toc254970540"/>
      <w:bookmarkStart w:id="109" w:name="_Toc254970681"/>
      <w:r>
        <w:rPr>
          <w:rFonts w:hint="eastAsia" w:ascii="宋体" w:hAnsi="宋体"/>
          <w:b w:val="0"/>
          <w:color w:val="auto"/>
          <w:sz w:val="21"/>
          <w:szCs w:val="21"/>
          <w:highlight w:val="none"/>
        </w:rPr>
        <w:t xml:space="preserve"> 投标有效期应按规定的期限作出承诺，具体详见“投标人须知前附表”。</w:t>
      </w:r>
    </w:p>
    <w:p w14:paraId="6FE5EEA5">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17.3投标人的投标文件在投标有效期内均保持有效。</w:t>
      </w:r>
      <w:bookmarkEnd w:id="108"/>
      <w:bookmarkEnd w:id="109"/>
    </w:p>
    <w:p w14:paraId="55B64325">
      <w:pPr>
        <w:pStyle w:val="6"/>
        <w:keepNext w:val="0"/>
        <w:keepLines w:val="0"/>
        <w:spacing w:before="0" w:after="0" w:line="360" w:lineRule="auto"/>
        <w:ind w:left="420" w:leftChars="200"/>
        <w:rPr>
          <w:rFonts w:hint="eastAsia" w:ascii="黑体" w:hAnsi="黑体" w:eastAsia="黑体"/>
          <w:color w:val="auto"/>
          <w:sz w:val="24"/>
          <w:highlight w:val="none"/>
        </w:rPr>
      </w:pPr>
      <w:bookmarkStart w:id="110" w:name="_18.投标保证金"/>
      <w:bookmarkEnd w:id="110"/>
      <w:bookmarkStart w:id="111" w:name="_Toc254970541"/>
      <w:bookmarkStart w:id="112" w:name="_Toc254970682"/>
      <w:r>
        <w:rPr>
          <w:rFonts w:hint="eastAsia" w:ascii="黑体" w:hAnsi="黑体" w:eastAsia="黑体"/>
          <w:color w:val="auto"/>
          <w:sz w:val="24"/>
          <w:highlight w:val="none"/>
        </w:rPr>
        <w:t>18.投标保证金</w:t>
      </w:r>
      <w:bookmarkEnd w:id="111"/>
      <w:bookmarkEnd w:id="112"/>
    </w:p>
    <w:p w14:paraId="7BCD087F">
      <w:pPr>
        <w:pStyle w:val="6"/>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18.1投标人须按“投标人须知前附表” 的规定提交投标保证金。</w:t>
      </w:r>
    </w:p>
    <w:p w14:paraId="53397FCD">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18.2投标保证金的退还</w:t>
      </w:r>
    </w:p>
    <w:p w14:paraId="2583D79A">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未中标人的投标保证金自中标通知书发出之日起4个工作日内退还；中标人的投标保证金自政府采购合同签订之日起4个工作日内退还。 </w:t>
      </w:r>
    </w:p>
    <w:p w14:paraId="7FDEBD6F">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18.3除逾期退还投标保证金和终止招标的情形以外，投标保证金不计息。</w:t>
      </w:r>
    </w:p>
    <w:p w14:paraId="62F2A6E6">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18.4投标人有下列情形之一的，投标保证金将不予退还： </w:t>
      </w:r>
    </w:p>
    <w:p w14:paraId="08508D4C">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（1）投标人在投标有效期内撤销投标文件的；</w:t>
      </w:r>
    </w:p>
    <w:p w14:paraId="5FE6142A">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（2）未按规定提交履约保证金的；</w:t>
      </w:r>
    </w:p>
    <w:p w14:paraId="7EAC00FA">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（3）投标人在投标过程中弄虚作假，提供虚假材料的；</w:t>
      </w:r>
    </w:p>
    <w:p w14:paraId="002D3053">
      <w:pPr>
        <w:snapToGrid w:val="0"/>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（4）中标人无正当理由不与采购人签订合同的；</w:t>
      </w:r>
    </w:p>
    <w:p w14:paraId="2138992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（5）投标人出现本章第9.2、9.3情形的；</w:t>
      </w:r>
    </w:p>
    <w:p w14:paraId="141B004E">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cs="宋体"/>
          <w:color w:val="auto"/>
          <w:szCs w:val="21"/>
          <w:highlight w:val="none"/>
        </w:rPr>
        <w:t>法律法规规定的其他情形</w:t>
      </w:r>
      <w:r>
        <w:rPr>
          <w:rFonts w:hint="eastAsia" w:ascii="宋体" w:hAnsi="宋体"/>
          <w:color w:val="auto"/>
          <w:szCs w:val="21"/>
          <w:highlight w:val="none"/>
        </w:rPr>
        <w:t>。</w:t>
      </w:r>
    </w:p>
    <w:p w14:paraId="427C9B55">
      <w:pPr>
        <w:pStyle w:val="6"/>
        <w:keepNext w:val="0"/>
        <w:keepLines w:val="0"/>
        <w:spacing w:before="0" w:after="0" w:line="360" w:lineRule="auto"/>
        <w:ind w:left="420" w:leftChars="200"/>
        <w:rPr>
          <w:rFonts w:hint="eastAsia" w:ascii="黑体" w:hAnsi="黑体" w:eastAsia="黑体"/>
          <w:color w:val="auto"/>
          <w:sz w:val="24"/>
          <w:highlight w:val="none"/>
        </w:rPr>
      </w:pPr>
      <w:bookmarkStart w:id="113" w:name="_Toc254970542"/>
      <w:bookmarkStart w:id="114" w:name="_Toc254970683"/>
      <w:r>
        <w:rPr>
          <w:rFonts w:hint="eastAsia" w:ascii="黑体" w:hAnsi="黑体" w:eastAsia="黑体"/>
          <w:color w:val="auto"/>
          <w:sz w:val="24"/>
          <w:highlight w:val="none"/>
        </w:rPr>
        <w:t>19.投标文件的</w:t>
      </w:r>
      <w:bookmarkEnd w:id="113"/>
      <w:bookmarkEnd w:id="114"/>
      <w:r>
        <w:rPr>
          <w:rFonts w:hint="eastAsia" w:ascii="黑体" w:hAnsi="黑体" w:eastAsia="黑体"/>
          <w:color w:val="auto"/>
          <w:sz w:val="24"/>
          <w:highlight w:val="none"/>
        </w:rPr>
        <w:t>编制</w:t>
      </w:r>
    </w:p>
    <w:p w14:paraId="5228CF57">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19.1投标人应按本招标文件规定的格式和顺序编制、装订投标文件并标注页码，投标文件内容不完整、编排混乱导致投标文件被误读、漏读或者查找不到相关内容的，由此引发的后果由投标人承担。</w:t>
      </w:r>
    </w:p>
    <w:p w14:paraId="123654DE">
      <w:pPr>
        <w:pStyle w:val="6"/>
        <w:keepNext w:val="0"/>
        <w:keepLines w:val="0"/>
        <w:numPr>
          <w:ilvl w:val="0"/>
          <w:numId w:val="0"/>
        </w:numPr>
        <w:spacing w:before="0" w:after="0" w:line="360" w:lineRule="auto"/>
        <w:ind w:firstLine="420" w:firstLineChars="200"/>
        <w:rPr>
          <w:rFonts w:hint="eastAsia" w:ascii="宋体" w:hAnsi="宋体"/>
          <w:b w:val="0"/>
          <w:color w:val="auto"/>
          <w:sz w:val="21"/>
          <w:szCs w:val="21"/>
          <w:highlight w:val="none"/>
        </w:rPr>
      </w:pPr>
      <w:bookmarkStart w:id="115" w:name="_19.2投标文件应按报价文件、资格证明文件、商务文件、技术文件分别编制"/>
      <w:bookmarkEnd w:id="115"/>
      <w:r>
        <w:rPr>
          <w:rFonts w:hint="eastAsia" w:ascii="宋体" w:hAnsi="宋体"/>
          <w:b w:val="0"/>
          <w:color w:val="auto"/>
          <w:sz w:val="21"/>
          <w:szCs w:val="21"/>
          <w:highlight w:val="none"/>
        </w:rPr>
        <w:t>19.2投标文件应按报价文件、资格证明文件、商务文件、技术文件分别编制电子文件，并按广西政府采购云平台的要求编制、加密、上传。</w:t>
      </w:r>
    </w:p>
    <w:p w14:paraId="38279CBF">
      <w:pPr>
        <w:pStyle w:val="6"/>
        <w:keepNext w:val="0"/>
        <w:keepLines w:val="0"/>
        <w:numPr>
          <w:ilvl w:val="0"/>
          <w:numId w:val="0"/>
        </w:numPr>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19.</w:t>
      </w:r>
      <w:bookmarkStart w:id="116" w:name="_Hlk65832616"/>
      <w:r>
        <w:rPr>
          <w:rFonts w:hint="eastAsia" w:ascii="宋体" w:hAnsi="宋体"/>
          <w:b w:val="0"/>
          <w:color w:val="auto"/>
          <w:sz w:val="21"/>
          <w:szCs w:val="21"/>
          <w:highlight w:val="none"/>
        </w:rPr>
        <w:t>3投标文件须由投标人在规定位置盖公章并签字</w:t>
      </w:r>
      <w:bookmarkStart w:id="117" w:name="_Hlk65832569"/>
      <w:r>
        <w:rPr>
          <w:rFonts w:hint="eastAsia" w:ascii="宋体" w:hAnsi="宋体"/>
          <w:b w:val="0"/>
          <w:color w:val="auto"/>
          <w:sz w:val="21"/>
          <w:szCs w:val="21"/>
          <w:highlight w:val="none"/>
        </w:rPr>
        <w:t>（具体以投标人须知前附表或投标文件格式规定为准）</w:t>
      </w:r>
      <w:bookmarkEnd w:id="116"/>
      <w:bookmarkEnd w:id="117"/>
      <w:r>
        <w:rPr>
          <w:rFonts w:hint="eastAsia" w:ascii="宋体" w:hAnsi="宋体"/>
          <w:b w:val="0"/>
          <w:color w:val="auto"/>
          <w:sz w:val="21"/>
          <w:szCs w:val="21"/>
          <w:highlight w:val="none"/>
        </w:rPr>
        <w:t>，</w:t>
      </w:r>
      <w:r>
        <w:rPr>
          <w:rFonts w:hint="eastAsia" w:ascii="宋体" w:hAnsi="宋体"/>
          <w:bCs/>
          <w:color w:val="auto"/>
          <w:sz w:val="21"/>
          <w:szCs w:val="21"/>
          <w:highlight w:val="none"/>
        </w:rPr>
        <w:t>否则按无效投标处理</w:t>
      </w:r>
      <w:r>
        <w:rPr>
          <w:rFonts w:hint="eastAsia" w:ascii="宋体" w:hAnsi="宋体"/>
          <w:b w:val="0"/>
          <w:color w:val="auto"/>
          <w:sz w:val="21"/>
          <w:szCs w:val="21"/>
          <w:highlight w:val="none"/>
        </w:rPr>
        <w:t>。</w:t>
      </w:r>
    </w:p>
    <w:p w14:paraId="6E252753">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19.4投标文件中标注的投标人名称应与主体资格证明（如营业执照、事业单位法人证书、执业许可证、自然人身份证等）及公章一致，</w:t>
      </w:r>
      <w:r>
        <w:rPr>
          <w:rFonts w:hint="eastAsia" w:ascii="宋体" w:hAnsi="宋体"/>
          <w:color w:val="auto"/>
          <w:sz w:val="21"/>
          <w:szCs w:val="21"/>
          <w:highlight w:val="none"/>
        </w:rPr>
        <w:t>否则按无效投标处理</w:t>
      </w:r>
      <w:r>
        <w:rPr>
          <w:rFonts w:hint="eastAsia" w:ascii="宋体" w:hAnsi="宋体"/>
          <w:b w:val="0"/>
          <w:color w:val="auto"/>
          <w:sz w:val="21"/>
          <w:szCs w:val="21"/>
          <w:highlight w:val="none"/>
        </w:rPr>
        <w:t>。</w:t>
      </w:r>
    </w:p>
    <w:p w14:paraId="4A7FC8F6">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19.5投标文件应尽量避免涂改、行间插字或者删除。如果出现上述情况，改动之处应由投标人的法定代表人或者其委托代理人签字或者加盖公章。投标文件因字迹潦草或者表达不清所引起的后果由投标人承担。</w:t>
      </w:r>
    </w:p>
    <w:p w14:paraId="314C2EC9">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20.投标文件的加密、解密</w:t>
      </w:r>
    </w:p>
    <w:p w14:paraId="1794B30C">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20.1电子投标文件编制完成后，投标人应按广西政府采购云平台的要求进行加密，并在规定时间内解密，否则，由此产生的后果由投标人自行负责。</w:t>
      </w:r>
    </w:p>
    <w:p w14:paraId="00D3A952">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21.投标文件的提交</w:t>
      </w:r>
    </w:p>
    <w:p w14:paraId="22D8FBB9">
      <w:pPr>
        <w:pStyle w:val="6"/>
        <w:keepNext w:val="0"/>
        <w:keepLines w:val="0"/>
        <w:numPr>
          <w:ilvl w:val="0"/>
          <w:numId w:val="0"/>
        </w:numPr>
        <w:spacing w:before="0" w:after="0" w:line="360" w:lineRule="auto"/>
        <w:ind w:firstLine="420" w:firstLineChars="200"/>
        <w:rPr>
          <w:rFonts w:hint="eastAsia" w:ascii="宋体" w:hAnsi="宋体"/>
          <w:b w:val="0"/>
          <w:color w:val="auto"/>
          <w:sz w:val="21"/>
          <w:szCs w:val="21"/>
          <w:highlight w:val="none"/>
        </w:rPr>
      </w:pPr>
      <w:bookmarkStart w:id="118" w:name="_21.1投标人必须在“投标人须知中的前附表”规定的投标文件接收时间和投"/>
      <w:bookmarkEnd w:id="118"/>
      <w:r>
        <w:rPr>
          <w:rFonts w:hint="eastAsia" w:ascii="宋体" w:hAnsi="宋体"/>
          <w:b w:val="0"/>
          <w:color w:val="auto"/>
          <w:sz w:val="21"/>
          <w:szCs w:val="21"/>
          <w:highlight w:val="none"/>
        </w:rPr>
        <w:t>21.1投标人必须在“投标人须知前附表”规定的投标文件接收时间和投标地点提交投标文件。</w:t>
      </w:r>
    </w:p>
    <w:p w14:paraId="29DFDED2">
      <w:pPr>
        <w:pStyle w:val="6"/>
        <w:keepNext w:val="0"/>
        <w:keepLines w:val="0"/>
        <w:numPr>
          <w:ilvl w:val="0"/>
          <w:numId w:val="0"/>
        </w:numPr>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21.2本项目为全流程电子化政府采购项目，通过广西政府采购云平台（https://www.gcy.zfcg.gxzf.gov.cn）实行在线电子投标。投标人必须在“投标人须知前附表”规定的投标文件接收时间内通过网络将电子投标文件上传至广西政府采购云平台，投标人在广西政府采购云平台提交电子版投标文件时，请填写参加远程开标活动经办人联系方式。</w:t>
      </w:r>
    </w:p>
    <w:p w14:paraId="5C9DBF8E">
      <w:pPr>
        <w:pStyle w:val="6"/>
        <w:keepNext w:val="0"/>
        <w:keepLines w:val="0"/>
        <w:numPr>
          <w:ilvl w:val="0"/>
          <w:numId w:val="0"/>
        </w:numPr>
        <w:spacing w:before="0" w:after="0" w:line="360" w:lineRule="auto"/>
        <w:ind w:firstLine="420" w:firstLineChars="200"/>
        <w:jc w:val="left"/>
        <w:rPr>
          <w:rFonts w:hint="eastAsia" w:ascii="宋体" w:hAnsi="宋体"/>
          <w:b w:val="0"/>
          <w:color w:val="auto"/>
          <w:sz w:val="21"/>
          <w:szCs w:val="21"/>
          <w:highlight w:val="none"/>
        </w:rPr>
      </w:pPr>
      <w:r>
        <w:rPr>
          <w:rFonts w:hint="eastAsia" w:ascii="宋体" w:hAnsi="宋体"/>
          <w:b w:val="0"/>
          <w:color w:val="auto"/>
          <w:sz w:val="21"/>
          <w:szCs w:val="21"/>
          <w:highlight w:val="none"/>
        </w:rPr>
        <w:t>21.3未在规定时间内上传或者未按广西政府采购云平台的要求编制、加密的电子投标文件，广西政府采购云平台将拒收。</w:t>
      </w:r>
    </w:p>
    <w:p w14:paraId="40023990">
      <w:pPr>
        <w:pStyle w:val="8"/>
        <w:rPr>
          <w:rFonts w:hint="eastAsia"/>
          <w:color w:val="auto"/>
          <w:highlight w:val="none"/>
        </w:rPr>
      </w:pPr>
      <w:r>
        <w:rPr>
          <w:rFonts w:hint="eastAsia" w:ascii="宋体" w:hAnsi="宋体"/>
          <w:color w:val="auto"/>
          <w:szCs w:val="21"/>
          <w:highlight w:val="none"/>
        </w:rPr>
        <w:t>21.4电子投标文件提交方式见“招标公告”中“四、提交投标文件截止时间、开标时间和地点”</w:t>
      </w:r>
    </w:p>
    <w:p w14:paraId="152E55A7">
      <w:pPr>
        <w:pStyle w:val="8"/>
        <w:rPr>
          <w:rFonts w:hint="eastAsia"/>
          <w:color w:val="auto"/>
          <w:highlight w:val="none"/>
        </w:rPr>
      </w:pPr>
    </w:p>
    <w:p w14:paraId="28F66B6B">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22. 投标文件的补充、修改、撤回与退回</w:t>
      </w:r>
    </w:p>
    <w:p w14:paraId="6DFF4133">
      <w:pPr>
        <w:snapToGrid w:val="0"/>
        <w:spacing w:line="360" w:lineRule="auto"/>
        <w:ind w:firstLine="420"/>
        <w:jc w:val="left"/>
        <w:rPr>
          <w:rFonts w:hint="eastAsia" w:ascii="宋体" w:hAnsi="宋体"/>
          <w:color w:val="auto"/>
          <w:szCs w:val="21"/>
          <w:highlight w:val="none"/>
        </w:rPr>
      </w:pPr>
      <w:bookmarkStart w:id="119" w:name="_Toc254970543"/>
      <w:bookmarkStart w:id="120" w:name="_Toc254970684"/>
      <w:r>
        <w:rPr>
          <w:rFonts w:hint="eastAsia" w:ascii="宋体" w:hAnsi="宋体"/>
          <w:color w:val="auto"/>
          <w:szCs w:val="21"/>
          <w:highlight w:val="none"/>
        </w:rPr>
        <w:t>2</w:t>
      </w:r>
      <w:r>
        <w:rPr>
          <w:rFonts w:ascii="宋体" w:hAnsi="宋体"/>
          <w:color w:val="auto"/>
          <w:szCs w:val="21"/>
          <w:highlight w:val="none"/>
        </w:rPr>
        <w:t>2.1</w:t>
      </w:r>
      <w:r>
        <w:rPr>
          <w:rFonts w:hint="eastAsia" w:ascii="宋体" w:hAnsi="宋体"/>
          <w:color w:val="auto"/>
          <w:szCs w:val="21"/>
          <w:highlight w:val="none"/>
        </w:rPr>
        <w:t>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bookmarkEnd w:id="119"/>
    <w:bookmarkEnd w:id="120"/>
    <w:p w14:paraId="013D30D1">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22.</w:t>
      </w:r>
      <w:r>
        <w:rPr>
          <w:rFonts w:ascii="宋体" w:hAnsi="宋体"/>
          <w:color w:val="auto"/>
          <w:szCs w:val="21"/>
          <w:highlight w:val="none"/>
        </w:rPr>
        <w:t>2</w:t>
      </w:r>
      <w:r>
        <w:rPr>
          <w:rFonts w:hint="eastAsia" w:ascii="宋体" w:hAnsi="宋体"/>
          <w:color w:val="auto"/>
          <w:szCs w:val="21"/>
          <w:highlight w:val="none"/>
        </w:rPr>
        <w:t>在投标截止时间止提交投标文件的投标人不足3家时，不得开标，采购代理机构将根据广西政府采购云平台的操作将电子版投标文件退回，除此之外采购人和采购代理机构对已提交的投标文件概不退回。</w:t>
      </w:r>
    </w:p>
    <w:p w14:paraId="090D738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2.3</w:t>
      </w:r>
      <w:r>
        <w:rPr>
          <w:rFonts w:hint="eastAsia" w:ascii="宋体" w:hAnsi="宋体" w:cs="宋体"/>
          <w:color w:val="auto"/>
          <w:szCs w:val="21"/>
          <w:highlight w:val="none"/>
        </w:rPr>
        <w:t xml:space="preserve"> 投标人在投标截止时间后书面通知采购人、采购代理机构撤销投标文件的，将根据本须知正文1</w:t>
      </w:r>
      <w:r>
        <w:rPr>
          <w:rFonts w:ascii="宋体" w:hAnsi="宋体" w:cs="宋体"/>
          <w:color w:val="auto"/>
          <w:szCs w:val="21"/>
          <w:highlight w:val="none"/>
        </w:rPr>
        <w:t>8</w:t>
      </w:r>
      <w:r>
        <w:rPr>
          <w:rFonts w:hint="eastAsia" w:ascii="宋体" w:hAnsi="宋体" w:cs="宋体"/>
          <w:color w:val="auto"/>
          <w:szCs w:val="21"/>
          <w:highlight w:val="none"/>
        </w:rPr>
        <w:t>.4的规定不予退还其投标保证金。</w:t>
      </w:r>
    </w:p>
    <w:p w14:paraId="4E7EF0EE">
      <w:pPr>
        <w:pStyle w:val="22"/>
        <w:snapToGrid w:val="0"/>
        <w:spacing w:line="360" w:lineRule="auto"/>
        <w:ind w:firstLine="739"/>
        <w:rPr>
          <w:rFonts w:hint="eastAsia" w:ascii="宋体" w:hAnsi="宋体" w:eastAsia="宋体"/>
          <w:snapToGrid w:val="0"/>
          <w:color w:val="auto"/>
          <w:sz w:val="21"/>
          <w:szCs w:val="21"/>
          <w:highlight w:val="none"/>
        </w:rPr>
      </w:pPr>
    </w:p>
    <w:p w14:paraId="7E4F7880">
      <w:pPr>
        <w:pStyle w:val="4"/>
        <w:keepNext w:val="0"/>
        <w:keepLines w:val="0"/>
        <w:jc w:val="center"/>
        <w:rPr>
          <w:rFonts w:hint="eastAsia"/>
          <w:color w:val="auto"/>
          <w:highlight w:val="none"/>
        </w:rPr>
      </w:pPr>
      <w:bookmarkStart w:id="121" w:name="_Toc254970544"/>
      <w:bookmarkStart w:id="122" w:name="_Toc254970685"/>
      <w:r>
        <w:rPr>
          <w:rFonts w:hint="eastAsia"/>
          <w:color w:val="auto"/>
          <w:highlight w:val="none"/>
        </w:rPr>
        <w:t>四、开    标</w:t>
      </w:r>
      <w:bookmarkEnd w:id="121"/>
      <w:bookmarkEnd w:id="122"/>
    </w:p>
    <w:p w14:paraId="40F3C5DA">
      <w:pPr>
        <w:pStyle w:val="6"/>
        <w:keepNext w:val="0"/>
        <w:keepLines w:val="0"/>
        <w:spacing w:before="0" w:after="0" w:line="360" w:lineRule="auto"/>
        <w:ind w:left="420" w:leftChars="200"/>
        <w:rPr>
          <w:rFonts w:hint="eastAsia" w:ascii="黑体" w:hAnsi="黑体" w:eastAsia="黑体"/>
          <w:color w:val="auto"/>
          <w:sz w:val="24"/>
          <w:highlight w:val="none"/>
        </w:rPr>
      </w:pPr>
      <w:bookmarkStart w:id="123" w:name="_23.开标时间和地点"/>
      <w:bookmarkEnd w:id="123"/>
      <w:r>
        <w:rPr>
          <w:rFonts w:hint="eastAsia" w:ascii="黑体" w:hAnsi="黑体" w:eastAsia="黑体"/>
          <w:color w:val="auto"/>
          <w:sz w:val="24"/>
          <w:highlight w:val="none"/>
        </w:rPr>
        <w:t>23.开标时间和地点</w:t>
      </w:r>
    </w:p>
    <w:p w14:paraId="34D72ED8">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23.1开标时间及地点详见“投标人须知前附表”</w:t>
      </w:r>
    </w:p>
    <w:p w14:paraId="6AE0E323">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23.2如投标人成功解密投标文件，但未在“政采云”电子开标大厅参加开标的，视同认可开标过程和结果，由此产生的后果由投标人自行负责。成功解密投标文件的投标人不足3家的，不得开标。</w:t>
      </w:r>
    </w:p>
    <w:p w14:paraId="5E8BE3AE">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24.开标程序</w:t>
      </w:r>
    </w:p>
    <w:p w14:paraId="02191A72">
      <w:pPr>
        <w:autoSpaceDE w:val="0"/>
        <w:autoSpaceDN w:val="0"/>
        <w:adjustRightInd w:val="0"/>
        <w:spacing w:line="440" w:lineRule="exact"/>
        <w:ind w:firstLine="420" w:firstLineChars="200"/>
        <w:rPr>
          <w:rFonts w:ascii="宋体" w:hAnsi="宋体"/>
          <w:color w:val="auto"/>
          <w:kern w:val="0"/>
          <w:szCs w:val="21"/>
          <w:highlight w:val="none"/>
        </w:rPr>
      </w:pPr>
      <w:r>
        <w:rPr>
          <w:rFonts w:hint="eastAsia" w:ascii="宋体" w:hAnsi="宋体"/>
          <w:bCs/>
          <w:color w:val="auto"/>
          <w:szCs w:val="21"/>
          <w:highlight w:val="none"/>
        </w:rPr>
        <w:t>24.1</w:t>
      </w:r>
      <w:r>
        <w:rPr>
          <w:rFonts w:hint="eastAsia" w:ascii="宋体" w:hAnsi="宋体"/>
          <w:color w:val="auto"/>
          <w:kern w:val="0"/>
          <w:szCs w:val="21"/>
          <w:highlight w:val="none"/>
        </w:rPr>
        <w:t>开标形式：</w:t>
      </w:r>
    </w:p>
    <w:p w14:paraId="7F5C40C7">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采购代理机构将按照招标文件规定的时间通过广西政府采购云平台组织线上开标活动、开启投标文件，所有投标人均应当准时在线参加。投标人</w:t>
      </w:r>
      <w:r>
        <w:rPr>
          <w:rFonts w:ascii="宋体" w:hAnsi="宋体"/>
          <w:bCs/>
          <w:color w:val="auto"/>
          <w:szCs w:val="21"/>
          <w:highlight w:val="none"/>
        </w:rPr>
        <w:t>如不</w:t>
      </w:r>
      <w:r>
        <w:rPr>
          <w:rFonts w:hint="eastAsia" w:ascii="宋体" w:hAnsi="宋体"/>
          <w:bCs/>
          <w:color w:val="auto"/>
          <w:szCs w:val="21"/>
          <w:highlight w:val="none"/>
        </w:rPr>
        <w:t>参加</w:t>
      </w:r>
      <w:r>
        <w:rPr>
          <w:rFonts w:ascii="宋体" w:hAnsi="宋体"/>
          <w:bCs/>
          <w:color w:val="auto"/>
          <w:szCs w:val="21"/>
          <w:highlight w:val="none"/>
        </w:rPr>
        <w:t>开标大会的，</w:t>
      </w:r>
      <w:r>
        <w:rPr>
          <w:rFonts w:hint="eastAsia" w:ascii="宋体" w:hAnsi="宋体"/>
          <w:bCs/>
          <w:color w:val="auto"/>
          <w:szCs w:val="21"/>
          <w:highlight w:val="none"/>
        </w:rPr>
        <w:t>视同认可开标结果，</w:t>
      </w:r>
      <w:r>
        <w:rPr>
          <w:rFonts w:ascii="宋体" w:hAnsi="宋体"/>
          <w:bCs/>
          <w:color w:val="auto"/>
          <w:szCs w:val="21"/>
          <w:highlight w:val="none"/>
        </w:rPr>
        <w:t>事后不得对采购相关人员、开标过程和开标结果提出异议</w:t>
      </w:r>
      <w:r>
        <w:rPr>
          <w:rFonts w:hint="eastAsia" w:ascii="宋体" w:hAnsi="宋体"/>
          <w:bCs/>
          <w:color w:val="auto"/>
          <w:szCs w:val="21"/>
          <w:highlight w:val="none"/>
        </w:rPr>
        <w:t>，同时投标人因未在线参加开标而导致投标文件无法按时解密等一切后果由投标人自己承担。</w:t>
      </w:r>
    </w:p>
    <w:p w14:paraId="16AC1725">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24.2</w:t>
      </w:r>
      <w:r>
        <w:rPr>
          <w:rFonts w:ascii="宋体" w:hAnsi="宋体"/>
          <w:bCs/>
          <w:color w:val="auto"/>
          <w:szCs w:val="21"/>
          <w:highlight w:val="none"/>
        </w:rPr>
        <w:t>开</w:t>
      </w:r>
      <w:r>
        <w:rPr>
          <w:rFonts w:hint="eastAsia" w:ascii="宋体" w:hAnsi="宋体"/>
          <w:bCs/>
          <w:color w:val="auto"/>
          <w:szCs w:val="21"/>
          <w:highlight w:val="none"/>
        </w:rPr>
        <w:t>标</w:t>
      </w:r>
      <w:r>
        <w:rPr>
          <w:rFonts w:ascii="宋体" w:hAnsi="宋体"/>
          <w:bCs/>
          <w:color w:val="auto"/>
          <w:szCs w:val="21"/>
          <w:highlight w:val="none"/>
        </w:rPr>
        <w:t>程序：</w:t>
      </w:r>
    </w:p>
    <w:p w14:paraId="664247ED">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（1）解密电子投标文件。广西政府采购云平台按开标时间自动提取所有投标文件。采购代理机构依托广西政府采购云平台向各投标人发出电子加密投标文件【开始解密】通知，由投标人进行投标文件解密。</w:t>
      </w:r>
      <w:r>
        <w:rPr>
          <w:rFonts w:hint="eastAsia" w:ascii="宋体" w:hAnsi="宋体"/>
          <w:b/>
          <w:bCs/>
          <w:color w:val="auto"/>
          <w:szCs w:val="21"/>
          <w:highlight w:val="none"/>
        </w:rPr>
        <w:t>投标人的法定代表人或其委托代理人须携带加密时所用的CA锁准时登录到广西政府采购云平台电子开标大厅签到</w:t>
      </w:r>
      <w:r>
        <w:rPr>
          <w:rFonts w:hint="eastAsia" w:ascii="宋体" w:hAnsi="宋体" w:cs="宋体"/>
          <w:b/>
          <w:color w:val="auto"/>
          <w:szCs w:val="21"/>
          <w:highlight w:val="none"/>
        </w:rPr>
        <w:t>并在发起解密</w:t>
      </w:r>
      <w:r>
        <w:rPr>
          <w:rFonts w:hint="eastAsia" w:ascii="宋体" w:hAnsi="宋体"/>
          <w:b/>
          <w:bCs/>
          <w:color w:val="auto"/>
          <w:szCs w:val="21"/>
          <w:highlight w:val="none"/>
        </w:rPr>
        <w:t>通知</w:t>
      </w:r>
      <w:r>
        <w:rPr>
          <w:rFonts w:hint="eastAsia" w:ascii="宋体" w:hAnsi="宋体" w:cs="宋体"/>
          <w:b/>
          <w:color w:val="auto"/>
          <w:szCs w:val="21"/>
          <w:highlight w:val="none"/>
        </w:rPr>
        <w:t>之时起30分钟内完成</w:t>
      </w:r>
      <w:r>
        <w:rPr>
          <w:rFonts w:hint="eastAsia" w:ascii="宋体" w:hAnsi="宋体"/>
          <w:b/>
          <w:bCs/>
          <w:color w:val="auto"/>
          <w:szCs w:val="21"/>
          <w:highlight w:val="none"/>
        </w:rPr>
        <w:t>对电子投标文件解密。投标文件未按时解密的，视为无效投标。</w:t>
      </w:r>
      <w:r>
        <w:rPr>
          <w:rFonts w:hint="eastAsia" w:ascii="宋体" w:hAnsi="宋体"/>
          <w:bCs/>
          <w:color w:val="auto"/>
          <w:szCs w:val="21"/>
          <w:highlight w:val="none"/>
        </w:rPr>
        <w:t>（解密异常情况处理：详见本章29.4 电子交易活动的中止）</w:t>
      </w:r>
    </w:p>
    <w:p w14:paraId="50EAFC0F">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（2）电子唱标。投标文件解密结束，各投标人报价均在广西政府采购云平台远程不见面开标大厅展示；</w:t>
      </w:r>
    </w:p>
    <w:p w14:paraId="79E88586">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（3）签署电子《政府采购活动现场确认声明书》。通过邮件形式在远程不见面开标大厅发送各投标人签署电子《政府采购活动现场确认声明书》。</w:t>
      </w:r>
    </w:p>
    <w:p w14:paraId="2DE7100C">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76604F2D">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285B668F">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（6）开标结束。</w:t>
      </w:r>
    </w:p>
    <w:p w14:paraId="5363DCC4">
      <w:pPr>
        <w:autoSpaceDE w:val="0"/>
        <w:autoSpaceDN w:val="0"/>
        <w:adjustRightInd w:val="0"/>
        <w:spacing w:line="44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特别说明：如遇广西政府采购云平台电子化开标或评审程序调整的，按调整后执行。</w:t>
      </w:r>
    </w:p>
    <w:p w14:paraId="78F98107">
      <w:pPr>
        <w:pStyle w:val="27"/>
        <w:snapToGrid w:val="0"/>
        <w:spacing w:line="360" w:lineRule="auto"/>
        <w:ind w:left="689" w:leftChars="228" w:hanging="210" w:hangingChars="100"/>
        <w:rPr>
          <w:rFonts w:hint="eastAsia" w:hAnsi="宋体"/>
          <w:color w:val="auto"/>
          <w:sz w:val="21"/>
          <w:highlight w:val="none"/>
        </w:rPr>
      </w:pPr>
    </w:p>
    <w:p w14:paraId="236E17CC">
      <w:pPr>
        <w:pStyle w:val="4"/>
        <w:keepNext w:val="0"/>
        <w:keepLines w:val="0"/>
        <w:jc w:val="center"/>
        <w:rPr>
          <w:rFonts w:hint="eastAsia"/>
          <w:color w:val="auto"/>
          <w:highlight w:val="none"/>
        </w:rPr>
      </w:pPr>
      <w:r>
        <w:rPr>
          <w:rFonts w:hint="eastAsia"/>
          <w:color w:val="auto"/>
          <w:highlight w:val="none"/>
        </w:rPr>
        <w:t>五、资格审查</w:t>
      </w:r>
    </w:p>
    <w:p w14:paraId="213FD864">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25.资格审查</w:t>
      </w:r>
    </w:p>
    <w:p w14:paraId="57E895D4">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25.1</w:t>
      </w:r>
      <w:r>
        <w:rPr>
          <w:rFonts w:ascii="宋体" w:hAnsi="宋体"/>
          <w:b w:val="0"/>
          <w:color w:val="auto"/>
          <w:sz w:val="21"/>
          <w:szCs w:val="21"/>
          <w:highlight w:val="none"/>
        </w:rPr>
        <w:t>开标结束后，</w:t>
      </w:r>
      <w:r>
        <w:rPr>
          <w:rFonts w:hint="eastAsia" w:ascii="宋体" w:hAnsi="宋体"/>
          <w:b w:val="0"/>
          <w:color w:val="auto"/>
          <w:sz w:val="21"/>
          <w:szCs w:val="21"/>
          <w:highlight w:val="none"/>
        </w:rPr>
        <w:t>采购人或者采购代理机构</w:t>
      </w:r>
      <w:r>
        <w:rPr>
          <w:rFonts w:ascii="宋体" w:hAnsi="宋体"/>
          <w:b w:val="0"/>
          <w:color w:val="auto"/>
          <w:sz w:val="21"/>
          <w:szCs w:val="21"/>
          <w:highlight w:val="none"/>
        </w:rPr>
        <w:t>依法对投标人的资格进行审查。</w:t>
      </w:r>
    </w:p>
    <w:p w14:paraId="52CED766">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4EDDCA2B">
      <w:pPr>
        <w:pStyle w:val="6"/>
        <w:keepNext w:val="0"/>
        <w:keepLines w:val="0"/>
        <w:numPr>
          <w:ilvl w:val="0"/>
          <w:numId w:val="0"/>
        </w:numPr>
        <w:spacing w:before="0" w:after="0" w:line="360" w:lineRule="auto"/>
        <w:ind w:firstLine="422" w:firstLineChars="200"/>
        <w:rPr>
          <w:rFonts w:hint="eastAsia" w:ascii="宋体" w:hAnsi="宋体"/>
          <w:color w:val="auto"/>
          <w:sz w:val="21"/>
          <w:szCs w:val="21"/>
          <w:highlight w:val="none"/>
        </w:rPr>
      </w:pPr>
      <w:bookmarkStart w:id="124" w:name="_25.3_投标人有下列情形之一的，资格审查不通过而导致其投标无效："/>
      <w:bookmarkEnd w:id="124"/>
      <w:r>
        <w:rPr>
          <w:rFonts w:hint="eastAsia" w:ascii="宋体" w:hAnsi="宋体"/>
          <w:color w:val="auto"/>
          <w:sz w:val="21"/>
          <w:szCs w:val="21"/>
          <w:highlight w:val="none"/>
        </w:rPr>
        <w:t>25.3 投标人有下列情形之一的，资格审查不通过，作无效投标处理：</w:t>
      </w:r>
    </w:p>
    <w:p w14:paraId="64176513">
      <w:pPr>
        <w:pStyle w:val="27"/>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（1）未按招标文件规定的方式获取本招标文件的投标人；</w:t>
      </w:r>
    </w:p>
    <w:p w14:paraId="783A4D81">
      <w:pPr>
        <w:pStyle w:val="27"/>
        <w:snapToGrid w:val="0"/>
        <w:spacing w:line="360" w:lineRule="auto"/>
        <w:ind w:firstLine="422" w:firstLineChars="200"/>
        <w:rPr>
          <w:rFonts w:hAnsi="宋体"/>
          <w:b/>
          <w:color w:val="auto"/>
          <w:sz w:val="21"/>
          <w:highlight w:val="none"/>
        </w:rPr>
      </w:pPr>
      <w:r>
        <w:rPr>
          <w:rFonts w:hint="eastAsia" w:hAnsi="宋体"/>
          <w:b/>
          <w:color w:val="auto"/>
          <w:sz w:val="21"/>
          <w:highlight w:val="none"/>
        </w:rPr>
        <w:t>（2）不具备招标文件中规定的资格要求的；</w:t>
      </w:r>
    </w:p>
    <w:p w14:paraId="3751CA63">
      <w:pPr>
        <w:pStyle w:val="27"/>
        <w:snapToGrid w:val="0"/>
        <w:spacing w:line="360" w:lineRule="auto"/>
        <w:ind w:firstLine="422" w:firstLineChars="200"/>
        <w:rPr>
          <w:rFonts w:hAnsi="宋体"/>
          <w:b/>
          <w:color w:val="auto"/>
          <w:sz w:val="21"/>
          <w:highlight w:val="none"/>
        </w:rPr>
      </w:pPr>
      <w:r>
        <w:rPr>
          <w:rFonts w:hint="eastAsia" w:hAnsi="宋体"/>
          <w:b/>
          <w:color w:val="auto"/>
          <w:sz w:val="21"/>
          <w:highlight w:val="none"/>
        </w:rPr>
        <w:t>（3）在“信用中国”网站（www.creditchina.gov.cn） 、中国政府采购网（www.ccgp.gov.cn）被列入失信被执行人、重大税收违法案件当事人名单、政府采购严重违法失信行为记录名单及其他不符合《中华人民共和国政府采购法》第二十二条规定条件的；（注：其中信用查询规则见“投标人须知前附表”）</w:t>
      </w:r>
    </w:p>
    <w:p w14:paraId="6BE7F225">
      <w:pPr>
        <w:pStyle w:val="27"/>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（4）同一合同项下的不同投标人，单位负责人为同一人或者存在直接控股、管理关系的；为本项目提供过整体设计、规范编制或者项目管理、监理、检测等服务的投标人，再参加该采购项目的其他采购活动的；</w:t>
      </w:r>
    </w:p>
    <w:p w14:paraId="46DB1A5F">
      <w:pPr>
        <w:pStyle w:val="27"/>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w:t>
      </w:r>
      <w:r>
        <w:rPr>
          <w:rFonts w:hAnsi="宋体"/>
          <w:b/>
          <w:color w:val="auto"/>
          <w:sz w:val="21"/>
          <w:highlight w:val="none"/>
        </w:rPr>
        <w:t>5</w:t>
      </w:r>
      <w:r>
        <w:rPr>
          <w:rFonts w:hint="eastAsia" w:hAnsi="宋体"/>
          <w:b/>
          <w:color w:val="auto"/>
          <w:sz w:val="21"/>
          <w:highlight w:val="none"/>
        </w:rPr>
        <w:t>）投标文件中的资格证明文件缺少任一项“投标人须知前附表”资格证明文件规定“必须提供”的文件资料的；</w:t>
      </w:r>
    </w:p>
    <w:p w14:paraId="66B26386">
      <w:pPr>
        <w:pStyle w:val="27"/>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w:t>
      </w:r>
      <w:r>
        <w:rPr>
          <w:rFonts w:hAnsi="宋体"/>
          <w:b/>
          <w:color w:val="auto"/>
          <w:sz w:val="21"/>
          <w:highlight w:val="none"/>
        </w:rPr>
        <w:t>6</w:t>
      </w:r>
      <w:r>
        <w:rPr>
          <w:rFonts w:hint="eastAsia" w:hAnsi="宋体"/>
          <w:b/>
          <w:color w:val="auto"/>
          <w:sz w:val="21"/>
          <w:highlight w:val="none"/>
        </w:rPr>
        <w:t>）投标文件中的资格证明文件出现任一项不符合“投标人须知前附表”资格证明文件规定“必须提供”的文件资料要求或者无效的。</w:t>
      </w:r>
    </w:p>
    <w:p w14:paraId="2B3FAC11">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color w:val="auto"/>
          <w:sz w:val="21"/>
          <w:szCs w:val="21"/>
          <w:highlight w:val="none"/>
        </w:rPr>
        <w:t>25.4</w:t>
      </w:r>
      <w:r>
        <w:rPr>
          <w:rFonts w:ascii="宋体" w:hAnsi="宋体"/>
          <w:color w:val="auto"/>
          <w:sz w:val="21"/>
          <w:szCs w:val="21"/>
          <w:highlight w:val="none"/>
        </w:rPr>
        <w:t>合格投标人不足3家的，不得评标。</w:t>
      </w:r>
    </w:p>
    <w:p w14:paraId="6B10C506">
      <w:pPr>
        <w:pStyle w:val="27"/>
        <w:snapToGrid w:val="0"/>
        <w:spacing w:line="360" w:lineRule="auto"/>
        <w:ind w:left="689" w:leftChars="228" w:hanging="210" w:hangingChars="100"/>
        <w:rPr>
          <w:rFonts w:hint="eastAsia" w:hAnsi="宋体"/>
          <w:color w:val="auto"/>
          <w:sz w:val="21"/>
          <w:highlight w:val="none"/>
        </w:rPr>
      </w:pPr>
    </w:p>
    <w:p w14:paraId="052CFC2A">
      <w:pPr>
        <w:pStyle w:val="4"/>
        <w:keepNext w:val="0"/>
        <w:keepLines w:val="0"/>
        <w:jc w:val="center"/>
        <w:rPr>
          <w:rFonts w:hint="eastAsia"/>
          <w:color w:val="auto"/>
          <w:highlight w:val="none"/>
        </w:rPr>
      </w:pPr>
      <w:r>
        <w:rPr>
          <w:rFonts w:hint="eastAsia"/>
          <w:color w:val="auto"/>
          <w:highlight w:val="none"/>
        </w:rPr>
        <w:t>六、评   标</w:t>
      </w:r>
    </w:p>
    <w:p w14:paraId="78369A66">
      <w:pPr>
        <w:pStyle w:val="6"/>
        <w:keepNext w:val="0"/>
        <w:keepLines w:val="0"/>
        <w:spacing w:before="0" w:after="0" w:line="360" w:lineRule="auto"/>
        <w:ind w:left="420" w:leftChars="200"/>
        <w:rPr>
          <w:rFonts w:hint="eastAsia" w:ascii="黑体" w:hAnsi="黑体" w:eastAsia="黑体"/>
          <w:color w:val="auto"/>
          <w:sz w:val="24"/>
          <w:highlight w:val="none"/>
        </w:rPr>
      </w:pPr>
      <w:bookmarkStart w:id="125" w:name="_26.组建评标委员会"/>
      <w:bookmarkEnd w:id="125"/>
      <w:r>
        <w:rPr>
          <w:rFonts w:hint="eastAsia" w:ascii="黑体" w:hAnsi="黑体" w:eastAsia="黑体"/>
          <w:color w:val="auto"/>
          <w:sz w:val="24"/>
          <w:highlight w:val="none"/>
        </w:rPr>
        <w:t>26.组建评标委员会</w:t>
      </w:r>
    </w:p>
    <w:p w14:paraId="59A3C654">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评标委员会由采购人代表和评审专家组成，具体人数详见“投标人须知前附表”，其中评审专家不得少于成员总数的三分之二。</w:t>
      </w:r>
    </w:p>
    <w:p w14:paraId="2D5E8D95">
      <w:pPr>
        <w:pStyle w:val="27"/>
        <w:snapToGrid w:val="0"/>
        <w:spacing w:line="360" w:lineRule="auto"/>
        <w:ind w:left="2" w:leftChars="1" w:firstLine="420" w:firstLineChars="200"/>
        <w:rPr>
          <w:rFonts w:hint="eastAsia" w:hAnsi="宋体"/>
          <w:color w:val="auto"/>
          <w:sz w:val="21"/>
          <w:highlight w:val="none"/>
        </w:rPr>
      </w:pPr>
      <w:r>
        <w:rPr>
          <w:rFonts w:hint="eastAsia" w:hAnsi="宋体"/>
          <w:color w:val="auto"/>
          <w:sz w:val="21"/>
          <w:highlight w:val="none"/>
        </w:rPr>
        <w:t>参加过采购项目前期咨询论证的专家，不得参加该采购项目的评审活动。</w:t>
      </w:r>
    </w:p>
    <w:p w14:paraId="1C1FCB28">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27.评标的依据</w:t>
      </w:r>
    </w:p>
    <w:p w14:paraId="58E14553">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评标委员会以</w:t>
      </w:r>
      <w:r>
        <w:rPr>
          <w:rFonts w:hint="eastAsia" w:hAnsi="宋体" w:cs="宋体"/>
          <w:color w:val="auto"/>
          <w:sz w:val="21"/>
          <w:highlight w:val="none"/>
        </w:rPr>
        <w:t>“第四章 评标方法和评标标准”</w:t>
      </w:r>
      <w:r>
        <w:rPr>
          <w:rFonts w:hint="eastAsia" w:hAnsi="宋体"/>
          <w:color w:val="auto"/>
          <w:sz w:val="21"/>
          <w:highlight w:val="none"/>
        </w:rPr>
        <w:t>为依据对投标文件进行评审，</w:t>
      </w:r>
      <w:r>
        <w:rPr>
          <w:rFonts w:hAnsi="宋体"/>
          <w:color w:val="auto"/>
          <w:sz w:val="21"/>
          <w:highlight w:val="none"/>
        </w:rPr>
        <w:t>没有规定的方法、评审因素和标准，不作为评标依据。</w:t>
      </w:r>
    </w:p>
    <w:p w14:paraId="6766FF73">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28.评标原则</w:t>
      </w:r>
    </w:p>
    <w:p w14:paraId="19C14511">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05FD7B3D">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28.2</w:t>
      </w:r>
      <w:bookmarkStart w:id="126" w:name="_28.3评标方法。本项目将按须知前附表规定的评标办法进行评标，具体评标"/>
      <w:bookmarkEnd w:id="126"/>
      <w:r>
        <w:rPr>
          <w:rFonts w:hint="eastAsia" w:hAnsi="宋体"/>
          <w:color w:val="auto"/>
          <w:sz w:val="21"/>
          <w:highlight w:val="none"/>
        </w:rPr>
        <w:t>评委表决。评标委员会成员对需要共同认定的事项存在争议的，应当按照少数服从多数的原则作出结论。</w:t>
      </w:r>
    </w:p>
    <w:p w14:paraId="22481BFC">
      <w:pPr>
        <w:pStyle w:val="27"/>
        <w:snapToGrid w:val="0"/>
        <w:spacing w:line="360" w:lineRule="auto"/>
        <w:ind w:firstLine="420" w:firstLineChars="200"/>
        <w:rPr>
          <w:rFonts w:hAnsi="宋体"/>
          <w:color w:val="auto"/>
          <w:sz w:val="21"/>
          <w:highlight w:val="none"/>
        </w:rPr>
      </w:pPr>
      <w:r>
        <w:rPr>
          <w:rFonts w:hint="eastAsia" w:hAnsi="宋体"/>
          <w:color w:val="auto"/>
          <w:sz w:val="21"/>
          <w:highlight w:val="none"/>
        </w:rPr>
        <w:t>28.</w:t>
      </w:r>
      <w:r>
        <w:rPr>
          <w:rFonts w:hAnsi="宋体"/>
          <w:color w:val="auto"/>
          <w:sz w:val="21"/>
          <w:highlight w:val="none"/>
        </w:rPr>
        <w:t>3</w:t>
      </w:r>
      <w:r>
        <w:rPr>
          <w:rFonts w:hint="eastAsia" w:hAnsi="宋体"/>
          <w:color w:val="auto"/>
          <w:sz w:val="21"/>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11C7E5E9">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8.4</w:t>
      </w:r>
      <w:r>
        <w:rPr>
          <w:rFonts w:hint="eastAsia" w:hAnsi="宋体"/>
          <w:color w:val="auto"/>
          <w:sz w:val="21"/>
          <w:highlight w:val="none"/>
        </w:rPr>
        <w:t>评标过程的监控。本项目评标过程实行全程录音、录像监控，</w:t>
      </w:r>
      <w:r>
        <w:rPr>
          <w:rFonts w:hint="eastAsia" w:hAnsi="宋体"/>
          <w:b/>
          <w:bCs/>
          <w:color w:val="auto"/>
          <w:sz w:val="21"/>
          <w:highlight w:val="none"/>
        </w:rPr>
        <w:t>投标人在评标过程中所进行的试图影响评标结果的不公正活动，可能导致其投标无效</w:t>
      </w:r>
      <w:r>
        <w:rPr>
          <w:rFonts w:hint="eastAsia" w:hAnsi="宋体"/>
          <w:color w:val="auto"/>
          <w:sz w:val="21"/>
          <w:highlight w:val="none"/>
        </w:rPr>
        <w:t>。</w:t>
      </w:r>
    </w:p>
    <w:p w14:paraId="0B343057">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29.评标方法及中标候选人推荐</w:t>
      </w:r>
    </w:p>
    <w:p w14:paraId="0102D379">
      <w:pPr>
        <w:pStyle w:val="27"/>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9.1</w:t>
      </w:r>
      <w:r>
        <w:rPr>
          <w:rFonts w:hint="eastAsia" w:hAnsi="宋体"/>
          <w:color w:val="auto"/>
          <w:sz w:val="21"/>
          <w:highlight w:val="none"/>
        </w:rPr>
        <w:t>本项目的评标方法详见“投标人须知前附表”。</w:t>
      </w:r>
    </w:p>
    <w:p w14:paraId="778CF8E4">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9.2</w:t>
      </w:r>
      <w:r>
        <w:rPr>
          <w:rFonts w:hAnsi="宋体" w:cs="宋体"/>
          <w:color w:val="auto"/>
          <w:sz w:val="21"/>
          <w:highlight w:val="none"/>
        </w:rPr>
        <w:t xml:space="preserve"> </w:t>
      </w:r>
      <w:r>
        <w:rPr>
          <w:rFonts w:hAnsi="宋体"/>
          <w:color w:val="auto"/>
          <w:sz w:val="21"/>
          <w:highlight w:val="none"/>
        </w:rPr>
        <w:t>中标候选人推荐数量详见</w:t>
      </w:r>
      <w:r>
        <w:rPr>
          <w:rFonts w:hint="eastAsia" w:hAnsi="宋体"/>
          <w:color w:val="auto"/>
          <w:sz w:val="21"/>
          <w:highlight w:val="none"/>
        </w:rPr>
        <w:t>“投标人须知前附表”。</w:t>
      </w:r>
    </w:p>
    <w:p w14:paraId="509D3F9B">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9.</w:t>
      </w:r>
      <w:r>
        <w:rPr>
          <w:rFonts w:hint="eastAsia" w:hAnsi="宋体"/>
          <w:color w:val="auto"/>
          <w:sz w:val="21"/>
          <w:highlight w:val="none"/>
        </w:rPr>
        <w:t>3</w:t>
      </w:r>
      <w:r>
        <w:rPr>
          <w:rFonts w:hAnsi="宋体"/>
          <w:color w:val="auto"/>
          <w:sz w:val="21"/>
          <w:highlight w:val="none"/>
        </w:rPr>
        <w:t>评标委员会</w:t>
      </w:r>
      <w:r>
        <w:rPr>
          <w:rFonts w:hint="eastAsia" w:hAnsi="宋体"/>
          <w:color w:val="auto"/>
          <w:sz w:val="21"/>
          <w:highlight w:val="none"/>
        </w:rPr>
        <w:t>将</w:t>
      </w:r>
      <w:r>
        <w:rPr>
          <w:rFonts w:hAnsi="宋体"/>
          <w:color w:val="auto"/>
          <w:sz w:val="21"/>
          <w:highlight w:val="none"/>
        </w:rPr>
        <w:t>按照</w:t>
      </w:r>
      <w:r>
        <w:rPr>
          <w:rFonts w:hint="eastAsia" w:hAnsi="宋体"/>
          <w:color w:val="auto"/>
          <w:sz w:val="21"/>
          <w:highlight w:val="none"/>
        </w:rPr>
        <w:t>“第四章 评标方法和评标标准”</w:t>
      </w:r>
      <w:r>
        <w:rPr>
          <w:rFonts w:hAnsi="宋体"/>
          <w:color w:val="auto"/>
          <w:sz w:val="21"/>
          <w:highlight w:val="none"/>
        </w:rPr>
        <w:t>规定的方法、评审因素、标准和程序对投标文件进行评审。</w:t>
      </w:r>
    </w:p>
    <w:p w14:paraId="1ABC13C1">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29.4电子交易活动的中止。采购过程中出现以下情形，导致电子交易平台无法正常运行，或者无法保证电子交易的公平、公正和安全时，采购代理机构可中止电子交易活动：</w:t>
      </w:r>
    </w:p>
    <w:p w14:paraId="24ED2A56">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 xml:space="preserve">（1）电子交易平台发生故障而无法登录访问的； </w:t>
      </w:r>
    </w:p>
    <w:p w14:paraId="227E7B26">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（2）电子交易平台应用或数据库出现错误，不能进行正常操作的；</w:t>
      </w:r>
    </w:p>
    <w:p w14:paraId="10DA4989">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（3）电子交易平台发现严重安全漏洞，有潜在泄密危险的；</w:t>
      </w:r>
    </w:p>
    <w:p w14:paraId="03821FFF">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 xml:space="preserve">（4）病毒发作导致不能进行正常操作的； </w:t>
      </w:r>
    </w:p>
    <w:p w14:paraId="4819867D">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（4）其他无法保证电子交易的公平、公正和安全的情况。</w:t>
      </w:r>
    </w:p>
    <w:p w14:paraId="3732C0A4">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29.5出现以上情形，不影响采购公平、公正性的，采购代理机构可以待上述情形消除后继续组织电子交易活动；影响或可能影响采购公平、公正性的，经采购代理机构确认后，应当重新采购。</w:t>
      </w:r>
    </w:p>
    <w:p w14:paraId="7D9AE179">
      <w:pPr>
        <w:pStyle w:val="27"/>
        <w:snapToGrid w:val="0"/>
        <w:spacing w:line="360" w:lineRule="auto"/>
        <w:rPr>
          <w:rFonts w:hint="eastAsia" w:hAnsi="宋体"/>
          <w:color w:val="auto"/>
          <w:sz w:val="21"/>
          <w:highlight w:val="none"/>
        </w:rPr>
      </w:pPr>
    </w:p>
    <w:p w14:paraId="041FDE8C">
      <w:pPr>
        <w:pStyle w:val="4"/>
        <w:keepNext w:val="0"/>
        <w:keepLines w:val="0"/>
        <w:jc w:val="center"/>
        <w:rPr>
          <w:rFonts w:hint="eastAsia"/>
          <w:color w:val="auto"/>
          <w:highlight w:val="none"/>
        </w:rPr>
      </w:pPr>
      <w:bookmarkStart w:id="127" w:name="_Toc254970546"/>
      <w:bookmarkStart w:id="128" w:name="_Toc254970687"/>
      <w:r>
        <w:rPr>
          <w:rFonts w:hint="eastAsia"/>
          <w:color w:val="auto"/>
          <w:highlight w:val="none"/>
        </w:rPr>
        <w:t>七、</w:t>
      </w:r>
      <w:bookmarkEnd w:id="127"/>
      <w:bookmarkEnd w:id="128"/>
      <w:r>
        <w:rPr>
          <w:rFonts w:hint="eastAsia"/>
          <w:color w:val="auto"/>
          <w:highlight w:val="none"/>
        </w:rPr>
        <w:t>中标和合同</w:t>
      </w:r>
    </w:p>
    <w:p w14:paraId="6B27DD5B">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30</w:t>
      </w:r>
      <w:r>
        <w:rPr>
          <w:rFonts w:ascii="黑体" w:hAnsi="黑体" w:eastAsia="黑体"/>
          <w:color w:val="auto"/>
          <w:sz w:val="24"/>
          <w:highlight w:val="none"/>
        </w:rPr>
        <w:t xml:space="preserve"> </w:t>
      </w:r>
      <w:r>
        <w:rPr>
          <w:rFonts w:hint="eastAsia" w:ascii="黑体" w:hAnsi="黑体" w:eastAsia="黑体"/>
          <w:color w:val="auto"/>
          <w:sz w:val="24"/>
          <w:highlight w:val="none"/>
        </w:rPr>
        <w:t>确定中标人</w:t>
      </w:r>
    </w:p>
    <w:p w14:paraId="283E69B0">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ascii="宋体" w:hAnsi="宋体"/>
          <w:b w:val="0"/>
          <w:color w:val="auto"/>
          <w:sz w:val="21"/>
          <w:szCs w:val="21"/>
          <w:highlight w:val="none"/>
        </w:rPr>
        <w:t>30.1</w:t>
      </w:r>
      <w:r>
        <w:rPr>
          <w:rFonts w:hint="eastAsia" w:ascii="宋体" w:hAnsi="宋体"/>
          <w:b w:val="0"/>
          <w:color w:val="auto"/>
          <w:sz w:val="21"/>
          <w:szCs w:val="21"/>
          <w:highlight w:val="none"/>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3C8A4034">
      <w:pPr>
        <w:snapToGrid w:val="0"/>
        <w:spacing w:line="360" w:lineRule="auto"/>
        <w:ind w:firstLine="420" w:firstLineChars="200"/>
        <w:rPr>
          <w:rFonts w:hint="eastAsia" w:ascii="宋体" w:hAnsi="宋体" w:cs="Courier New"/>
          <w:color w:val="auto"/>
          <w:szCs w:val="21"/>
          <w:highlight w:val="none"/>
        </w:rPr>
      </w:pPr>
      <w:r>
        <w:rPr>
          <w:rFonts w:ascii="宋体" w:hAnsi="宋体" w:cs="Courier New"/>
          <w:color w:val="auto"/>
          <w:szCs w:val="21"/>
          <w:highlight w:val="none"/>
        </w:rPr>
        <w:t>30.2</w:t>
      </w:r>
      <w:r>
        <w:rPr>
          <w:rFonts w:hint="eastAsia" w:ascii="宋体" w:hAnsi="宋体" w:cs="Courier New"/>
          <w:color w:val="auto"/>
          <w:szCs w:val="21"/>
          <w:highlight w:val="none"/>
        </w:rPr>
        <w:t>采购人在收到评标报告5个工作日内未按评标报告推荐的中标候选人顺序确定中标人，又不能说明合法理由的，视同按评标报告推荐的顺序确定排名第一的中标候选人为中标人。</w:t>
      </w:r>
    </w:p>
    <w:p w14:paraId="22EE160B">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30.3出现下列情形之一的，应予废标：</w:t>
      </w:r>
    </w:p>
    <w:p w14:paraId="2A23F36D">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（1）符合专业条件的投标人或者对招标文件作实质响应的投标人不足三家的；</w:t>
      </w:r>
    </w:p>
    <w:p w14:paraId="2C26927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（2）出现影响采购公正的违法、违规行为的；</w:t>
      </w:r>
    </w:p>
    <w:p w14:paraId="094DB9D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（3）投标人的报价均超过了采购预算，采购人不能支付的；</w:t>
      </w:r>
    </w:p>
    <w:p w14:paraId="6303D0B8">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（4）因重大变故，采购任务取消的。</w:t>
      </w:r>
    </w:p>
    <w:p w14:paraId="6A2825D5">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废标后，采购人应当将废标理由通知所有投标人。</w:t>
      </w:r>
    </w:p>
    <w:p w14:paraId="03C94494">
      <w:pPr>
        <w:snapToGrid w:val="0"/>
        <w:spacing w:line="360" w:lineRule="auto"/>
        <w:ind w:firstLine="420" w:firstLineChars="200"/>
        <w:rPr>
          <w:rFonts w:hint="eastAsia" w:ascii="宋体" w:hAnsi="宋体" w:cs="Courier New"/>
          <w:color w:val="auto"/>
          <w:szCs w:val="21"/>
          <w:highlight w:val="none"/>
        </w:rPr>
      </w:pPr>
      <w:r>
        <w:rPr>
          <w:rFonts w:ascii="宋体" w:hAnsi="宋体" w:cs="Courier New"/>
          <w:color w:val="auto"/>
          <w:szCs w:val="21"/>
          <w:highlight w:val="none"/>
        </w:rPr>
        <w:t>30.</w:t>
      </w:r>
      <w:r>
        <w:rPr>
          <w:rFonts w:hint="eastAsia" w:ascii="宋体" w:hAnsi="宋体" w:cs="Courier New"/>
          <w:color w:val="auto"/>
          <w:szCs w:val="21"/>
          <w:highlight w:val="none"/>
        </w:rPr>
        <w:t>4 中标人拒绝签订政府采购合同（包括但不限于放弃中标、因不可抗力不能履行合同而放弃签订合同），采购人可以按照评审报告推荐的中标候选人名单排序，确定下一候选人为中标投标人，也可以重新开展政府采购活动。</w:t>
      </w:r>
      <w:r>
        <w:rPr>
          <w:rFonts w:ascii="宋体" w:hAnsi="宋体" w:cs="Courier New"/>
          <w:color w:val="auto"/>
          <w:szCs w:val="21"/>
          <w:highlight w:val="none"/>
        </w:rPr>
        <w:t>拒绝签订政府采购合同的</w:t>
      </w:r>
      <w:r>
        <w:rPr>
          <w:rFonts w:hint="eastAsia" w:ascii="宋体" w:hAnsi="宋体" w:cs="Courier New"/>
          <w:color w:val="auto"/>
          <w:szCs w:val="21"/>
          <w:highlight w:val="none"/>
        </w:rPr>
        <w:t>中标人</w:t>
      </w:r>
      <w:r>
        <w:rPr>
          <w:rFonts w:ascii="宋体" w:hAnsi="宋体" w:cs="Courier New"/>
          <w:color w:val="auto"/>
          <w:szCs w:val="21"/>
          <w:highlight w:val="none"/>
        </w:rPr>
        <w:t>不得参加对该项目重新开展的采购活动。</w:t>
      </w:r>
    </w:p>
    <w:p w14:paraId="4EB40F4F">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31. 结果公告</w:t>
      </w:r>
    </w:p>
    <w:p w14:paraId="5FF3EAF9">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1.1</w:t>
      </w:r>
      <w:r>
        <w:rPr>
          <w:rFonts w:hint="eastAsia" w:ascii="宋体" w:hAnsi="宋体"/>
          <w:b w:val="0"/>
          <w:color w:val="auto"/>
          <w:sz w:val="21"/>
          <w:szCs w:val="21"/>
          <w:highlight w:val="none"/>
        </w:rPr>
        <w:t>采购人或者采购代理机构应当自中标人确定之日起2个工作日内，在省级以上财政部门指定的媒体上公告中标结果，招标文件应当随中标结果同时公告。</w:t>
      </w:r>
      <w:r>
        <w:rPr>
          <w:rFonts w:hint="eastAsia" w:ascii="宋体" w:hAnsi="宋体"/>
          <w:color w:val="auto"/>
          <w:sz w:val="21"/>
          <w:szCs w:val="21"/>
          <w:highlight w:val="none"/>
        </w:rPr>
        <w:t>采购人或者采购代理发出中标通知书前，应当对中标人信用进行查询，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Pr>
          <w:rFonts w:hint="eastAsia" w:ascii="宋体" w:hAnsi="宋体"/>
          <w:b w:val="0"/>
          <w:color w:val="auto"/>
          <w:sz w:val="21"/>
          <w:szCs w:val="21"/>
          <w:highlight w:val="none"/>
        </w:rPr>
        <w:t>排名第二的中标候选人因前款规定的同样原因被取消中标资格的，采购人可以确定排名第三的中标候选人为中标人，以此类推。以上信息查询记录及相关证据与采购文件一并保存。</w:t>
      </w:r>
    </w:p>
    <w:p w14:paraId="3355BD7A">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31.2中标投标人享受《政府采购促进中小企业发展管理办法》（财库〔2020〕46号）规定的中小企业扶持政策的，采购人、采购代理机构应当随中标结果公开中标投标人的《中小企业声明函》。</w:t>
      </w:r>
    </w:p>
    <w:p w14:paraId="4DD48AF8">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32.发出中标通知书</w:t>
      </w:r>
    </w:p>
    <w:p w14:paraId="1A4C12C8">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在公告中标结果的同时，采购代理机构向中标人发出中标通知书。对未通过资格审查的投标人，应当告知其未通过的原因；采用综合评分办法评审的，还应当告知未中标人本人的评审得分与排序。</w:t>
      </w:r>
    </w:p>
    <w:p w14:paraId="3ECD737B">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33. 无义务解释未中标原因</w:t>
      </w:r>
    </w:p>
    <w:p w14:paraId="72C46259">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采购代理机构无义务向未中标的投标人解释未中标原因和退还投标文件。</w:t>
      </w:r>
    </w:p>
    <w:p w14:paraId="71D79D5C">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34.合同授予标准</w:t>
      </w:r>
    </w:p>
    <w:p w14:paraId="20377AC5">
      <w:pPr>
        <w:snapToGrid w:val="0"/>
        <w:spacing w:line="360" w:lineRule="auto"/>
        <w:ind w:firstLine="420" w:firstLineChars="200"/>
        <w:rPr>
          <w:rFonts w:hint="eastAsia"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合同将授予被确定实质上响应招标文件要求，具备履行合同能力的中标人（招标文件另有约定多名中标人的除外）。</w:t>
      </w:r>
    </w:p>
    <w:p w14:paraId="6833950C">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35.履约保证金</w:t>
      </w:r>
    </w:p>
    <w:p w14:paraId="53B2C30C">
      <w:pPr>
        <w:pStyle w:val="6"/>
        <w:keepNext w:val="0"/>
        <w:keepLines w:val="0"/>
        <w:spacing w:before="0" w:after="0" w:line="360" w:lineRule="auto"/>
        <w:ind w:firstLine="315" w:firstLineChars="150"/>
        <w:rPr>
          <w:rFonts w:hint="eastAsia" w:ascii="宋体" w:hAnsi="宋体"/>
          <w:b w:val="0"/>
          <w:color w:val="auto"/>
          <w:sz w:val="21"/>
          <w:szCs w:val="21"/>
          <w:highlight w:val="none"/>
        </w:rPr>
      </w:pPr>
      <w:bookmarkStart w:id="129" w:name="_39.1中标人须于签订合同前按本须知前附表规定的金额转账或电汇到指定账"/>
      <w:bookmarkEnd w:id="129"/>
      <w:r>
        <w:rPr>
          <w:rFonts w:ascii="宋体" w:hAnsi="宋体"/>
          <w:b w:val="0"/>
          <w:color w:val="auto"/>
          <w:sz w:val="21"/>
          <w:szCs w:val="21"/>
          <w:highlight w:val="none"/>
        </w:rPr>
        <w:t xml:space="preserve"> </w:t>
      </w:r>
      <w:r>
        <w:rPr>
          <w:rFonts w:hint="eastAsia" w:ascii="宋体" w:hAnsi="宋体"/>
          <w:b w:val="0"/>
          <w:color w:val="auto"/>
          <w:sz w:val="21"/>
          <w:szCs w:val="21"/>
          <w:highlight w:val="none"/>
        </w:rPr>
        <w:t>3</w:t>
      </w:r>
      <w:r>
        <w:rPr>
          <w:rFonts w:ascii="宋体" w:hAnsi="宋体"/>
          <w:b w:val="0"/>
          <w:color w:val="auto"/>
          <w:sz w:val="21"/>
          <w:szCs w:val="21"/>
          <w:highlight w:val="none"/>
        </w:rPr>
        <w:t>5</w:t>
      </w:r>
      <w:r>
        <w:rPr>
          <w:rFonts w:hint="eastAsia" w:ascii="宋体" w:hAnsi="宋体"/>
          <w:b w:val="0"/>
          <w:color w:val="auto"/>
          <w:sz w:val="21"/>
          <w:szCs w:val="21"/>
          <w:highlight w:val="none"/>
        </w:rPr>
        <w:t>.1 履约保证金的金额、提交方式、退付的时间和条件详见 “投标人须知前附表”。中标人未按规定提交履约保证金的，视为拒绝与采购人签订合同。</w:t>
      </w:r>
    </w:p>
    <w:p w14:paraId="501B1629">
      <w:pPr>
        <w:pStyle w:val="6"/>
        <w:keepNext w:val="0"/>
        <w:keepLines w:val="0"/>
        <w:spacing w:before="0" w:after="0" w:line="360" w:lineRule="auto"/>
        <w:ind w:firstLine="316" w:firstLineChars="150"/>
        <w:rPr>
          <w:rFonts w:hint="eastAsia" w:ascii="宋体" w:hAnsi="宋体"/>
          <w:color w:val="auto"/>
          <w:sz w:val="21"/>
          <w:szCs w:val="21"/>
          <w:highlight w:val="none"/>
        </w:rPr>
      </w:pPr>
      <w:r>
        <w:rPr>
          <w:rFonts w:hint="eastAsia" w:ascii="宋体" w:hAnsi="宋体"/>
          <w:color w:val="auto"/>
          <w:sz w:val="21"/>
          <w:szCs w:val="21"/>
          <w:highlight w:val="none"/>
        </w:rPr>
        <w:t xml:space="preserve"> </w:t>
      </w:r>
      <w:r>
        <w:rPr>
          <w:rFonts w:hint="eastAsia" w:ascii="宋体" w:hAnsi="宋体"/>
          <w:b w:val="0"/>
          <w:bCs/>
          <w:color w:val="auto"/>
          <w:sz w:val="21"/>
          <w:szCs w:val="21"/>
          <w:highlight w:val="none"/>
        </w:rPr>
        <w:t>35.2在履约保证金退还日期前，若中标人的开户名称、开户银行、账号有变动的，请以书面形式通知履约保证金收取单位，否则由此产生的后果由中标人自行承担。</w:t>
      </w:r>
    </w:p>
    <w:p w14:paraId="405592BB">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36.签订合同</w:t>
      </w:r>
    </w:p>
    <w:p w14:paraId="0E80BBDB">
      <w:pPr>
        <w:pStyle w:val="6"/>
        <w:keepNext w:val="0"/>
        <w:keepLines w:val="0"/>
        <w:spacing w:before="0" w:after="0" w:line="360" w:lineRule="auto"/>
        <w:ind w:firstLine="315" w:firstLineChars="150"/>
        <w:rPr>
          <w:rFonts w:hint="eastAsia" w:ascii="宋体" w:hAnsi="宋体"/>
          <w:b w:val="0"/>
          <w:bCs/>
          <w:color w:val="auto"/>
          <w:sz w:val="21"/>
          <w:szCs w:val="21"/>
          <w:highlight w:val="none"/>
        </w:rPr>
      </w:pPr>
      <w:bookmarkStart w:id="130" w:name="_40.1投标人接到中标通知书后，按须知前附表规定向采购人出示相关资格证"/>
      <w:bookmarkEnd w:id="130"/>
      <w:r>
        <w:rPr>
          <w:rFonts w:hint="eastAsia" w:ascii="宋体" w:hAnsi="宋体"/>
          <w:b w:val="0"/>
          <w:color w:val="auto"/>
          <w:sz w:val="21"/>
          <w:szCs w:val="21"/>
          <w:highlight w:val="none"/>
        </w:rPr>
        <w:t xml:space="preserve"> 36.1投标人领取中标通知书（书面或电子）后，按“投标人须知前附表”规定向采购人出示相关证明材料，经采购人核验合格后方可签订采购合同（书面或电子）。</w:t>
      </w:r>
      <w:r>
        <w:rPr>
          <w:rFonts w:hint="eastAsia" w:ascii="宋体" w:hAnsi="宋体"/>
          <w:b w:val="0"/>
          <w:bCs/>
          <w:color w:val="auto"/>
          <w:sz w:val="21"/>
          <w:szCs w:val="21"/>
          <w:highlight w:val="none"/>
        </w:rPr>
        <w:t>如中标人为联合体的，</w:t>
      </w:r>
      <w:r>
        <w:rPr>
          <w:rFonts w:ascii="宋体" w:hAnsi="宋体"/>
          <w:b w:val="0"/>
          <w:bCs/>
          <w:color w:val="auto"/>
          <w:sz w:val="21"/>
          <w:szCs w:val="21"/>
          <w:highlight w:val="none"/>
        </w:rPr>
        <w:t>联合体各方应当共同与采购人签订采购合同，就采购合同约定的事项对采购人承担连带责任。</w:t>
      </w:r>
    </w:p>
    <w:p w14:paraId="75590581">
      <w:pPr>
        <w:pStyle w:val="6"/>
        <w:keepNext w:val="0"/>
        <w:keepLines w:val="0"/>
        <w:numPr>
          <w:ilvl w:val="0"/>
          <w:numId w:val="0"/>
        </w:numPr>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36.2签订合同时间：按中标通知书规定的时间与采购人签订合同（最长不能超过25日）。</w:t>
      </w:r>
    </w:p>
    <w:p w14:paraId="554591CE">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36.</w:t>
      </w:r>
      <w:r>
        <w:rPr>
          <w:rFonts w:ascii="宋体" w:hAnsi="宋体"/>
          <w:b w:val="0"/>
          <w:color w:val="auto"/>
          <w:sz w:val="21"/>
          <w:szCs w:val="21"/>
          <w:highlight w:val="none"/>
        </w:rPr>
        <w:t>3</w:t>
      </w:r>
      <w:r>
        <w:rPr>
          <w:rFonts w:hint="eastAsia" w:ascii="宋体" w:hAnsi="宋体"/>
          <w:b w:val="0"/>
          <w:color w:val="auto"/>
          <w:sz w:val="21"/>
          <w:szCs w:val="21"/>
          <w:highlight w:val="none"/>
        </w:rPr>
        <w:t>中标人拒绝与采购人签订合同的，按照本须知正文第3</w:t>
      </w:r>
      <w:r>
        <w:rPr>
          <w:rFonts w:ascii="宋体" w:hAnsi="宋体"/>
          <w:b w:val="0"/>
          <w:color w:val="auto"/>
          <w:sz w:val="21"/>
          <w:szCs w:val="21"/>
          <w:highlight w:val="none"/>
        </w:rPr>
        <w:t>0.4条</w:t>
      </w:r>
      <w:r>
        <w:rPr>
          <w:rFonts w:hint="eastAsia" w:ascii="宋体" w:hAnsi="宋体"/>
          <w:b w:val="0"/>
          <w:color w:val="auto"/>
          <w:sz w:val="21"/>
          <w:szCs w:val="21"/>
          <w:highlight w:val="none"/>
        </w:rPr>
        <w:t>的规定执行。</w:t>
      </w:r>
    </w:p>
    <w:p w14:paraId="4D3D7627">
      <w:pPr>
        <w:pStyle w:val="6"/>
        <w:keepNext w:val="0"/>
        <w:keepLines w:val="0"/>
        <w:spacing w:before="0" w:after="0" w:line="360" w:lineRule="auto"/>
        <w:ind w:left="420" w:leftChars="200"/>
        <w:rPr>
          <w:rFonts w:hint="eastAsia" w:ascii="黑体" w:hAnsi="黑体" w:eastAsia="黑体"/>
          <w:color w:val="auto"/>
          <w:sz w:val="24"/>
          <w:highlight w:val="none"/>
        </w:rPr>
      </w:pPr>
      <w:bookmarkStart w:id="131" w:name="_41.政府采购合同公告"/>
      <w:bookmarkEnd w:id="131"/>
      <w:r>
        <w:rPr>
          <w:rFonts w:hint="eastAsia" w:ascii="黑体" w:hAnsi="黑体" w:eastAsia="黑体"/>
          <w:color w:val="auto"/>
          <w:sz w:val="24"/>
          <w:highlight w:val="none"/>
        </w:rPr>
        <w:t>37.政府采购合同公告</w:t>
      </w:r>
    </w:p>
    <w:p w14:paraId="43D77BA8">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采购人或者受托采购代理机构应当自政府采购合同签订之日起2个工作日内，将政府采购合同在省级以上人民政府财政部门指定的媒体上公告，</w:t>
      </w:r>
      <w:r>
        <w:rPr>
          <w:rFonts w:hAnsi="宋体"/>
          <w:color w:val="auto"/>
          <w:sz w:val="21"/>
          <w:highlight w:val="none"/>
        </w:rPr>
        <w:t>但政府采购合同中涉及国家秘密、商业秘密的内容除外。</w:t>
      </w:r>
    </w:p>
    <w:p w14:paraId="02F9346D">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w:t>
      </w:r>
      <w:r>
        <w:rPr>
          <w:rFonts w:ascii="黑体" w:hAnsi="黑体" w:eastAsia="黑体"/>
          <w:color w:val="auto"/>
          <w:sz w:val="24"/>
          <w:highlight w:val="none"/>
        </w:rPr>
        <w:t>8.</w:t>
      </w:r>
      <w:r>
        <w:rPr>
          <w:rFonts w:hint="eastAsia" w:ascii="黑体" w:hAnsi="黑体" w:eastAsia="黑体"/>
          <w:color w:val="auto"/>
          <w:sz w:val="24"/>
          <w:highlight w:val="none"/>
        </w:rPr>
        <w:t xml:space="preserve"> 询问、质疑和投诉</w:t>
      </w:r>
    </w:p>
    <w:p w14:paraId="5CA370D1">
      <w:pPr>
        <w:pStyle w:val="8"/>
        <w:spacing w:line="360" w:lineRule="auto"/>
        <w:rPr>
          <w:rFonts w:hint="eastAsia" w:ascii="宋体" w:hAnsi="宋体"/>
          <w:color w:val="auto"/>
          <w:szCs w:val="21"/>
          <w:highlight w:val="none"/>
        </w:rPr>
      </w:pPr>
      <w:r>
        <w:rPr>
          <w:rFonts w:ascii="宋体" w:hAnsi="宋体"/>
          <w:color w:val="auto"/>
          <w:szCs w:val="21"/>
          <w:highlight w:val="none"/>
        </w:rPr>
        <w:t>38.1</w:t>
      </w:r>
      <w:r>
        <w:rPr>
          <w:rFonts w:hint="eastAsia" w:ascii="宋体" w:hAnsi="宋体"/>
          <w:color w:val="auto"/>
          <w:szCs w:val="21"/>
          <w:highlight w:val="none"/>
        </w:rPr>
        <w:t>投标人对政府采购活动事项有疑问的，可以向采购人提出询问，采购人或者采购代理机构应当在3个工作日内对投标人依法提出的询问作出答复，但答复的内容不得涉及商业秘密。</w:t>
      </w:r>
    </w:p>
    <w:p w14:paraId="4608B122">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 xml:space="preserve">投标人认为招标文件、采购过程或者中标结果使自己的合法权益受到损害的，必须在知道或者应知其权益受到损害之日起7个工作日内，以纸质书面形式向采购人、采购代理机构提出质疑。采购人、采购代理机构接收质疑函的方式、联系部门、联系电话和通讯地址等信息详见“投标人须知前附表”。具体质疑起算时间如下： </w:t>
      </w:r>
    </w:p>
    <w:p w14:paraId="5720F00D">
      <w:pPr>
        <w:pStyle w:val="27"/>
        <w:snapToGrid w:val="0"/>
        <w:spacing w:line="360" w:lineRule="auto"/>
        <w:ind w:firstLine="420" w:firstLineChars="200"/>
        <w:rPr>
          <w:rFonts w:hAnsi="宋体"/>
          <w:color w:val="auto"/>
          <w:sz w:val="21"/>
          <w:highlight w:val="none"/>
        </w:rPr>
      </w:pPr>
      <w:r>
        <w:rPr>
          <w:rFonts w:hAnsi="宋体"/>
          <w:color w:val="auto"/>
          <w:sz w:val="21"/>
          <w:highlight w:val="none"/>
        </w:rPr>
        <w:t>（</w:t>
      </w:r>
      <w:r>
        <w:rPr>
          <w:rFonts w:hint="eastAsia" w:hAnsi="宋体"/>
          <w:color w:val="auto"/>
          <w:sz w:val="21"/>
          <w:highlight w:val="none"/>
        </w:rPr>
        <w:t>1</w:t>
      </w:r>
      <w:r>
        <w:rPr>
          <w:rFonts w:hAnsi="宋体"/>
          <w:color w:val="auto"/>
          <w:sz w:val="21"/>
          <w:highlight w:val="none"/>
        </w:rPr>
        <w:t>）对可以质疑的</w:t>
      </w:r>
      <w:r>
        <w:rPr>
          <w:rFonts w:hint="eastAsia" w:hAnsi="宋体"/>
          <w:color w:val="auto"/>
          <w:sz w:val="21"/>
          <w:highlight w:val="none"/>
        </w:rPr>
        <w:t>招标</w:t>
      </w:r>
      <w:r>
        <w:rPr>
          <w:rFonts w:hAnsi="宋体"/>
          <w:color w:val="auto"/>
          <w:sz w:val="21"/>
          <w:highlight w:val="none"/>
        </w:rPr>
        <w:t>文件提出质疑的，为收到</w:t>
      </w:r>
      <w:r>
        <w:rPr>
          <w:rFonts w:hint="eastAsia" w:hAnsi="宋体"/>
          <w:color w:val="auto"/>
          <w:sz w:val="21"/>
          <w:highlight w:val="none"/>
        </w:rPr>
        <w:t>招标</w:t>
      </w:r>
      <w:r>
        <w:rPr>
          <w:rFonts w:hAnsi="宋体"/>
          <w:color w:val="auto"/>
          <w:sz w:val="21"/>
          <w:highlight w:val="none"/>
        </w:rPr>
        <w:t>文件之日</w:t>
      </w:r>
      <w:r>
        <w:rPr>
          <w:rFonts w:hint="eastAsia" w:hAnsi="宋体"/>
          <w:color w:val="auto"/>
          <w:sz w:val="21"/>
          <w:highlight w:val="none"/>
        </w:rPr>
        <w:t>或者招标文件公告期限届满之日</w:t>
      </w:r>
      <w:r>
        <w:rPr>
          <w:rFonts w:hAnsi="宋体"/>
          <w:color w:val="auto"/>
          <w:sz w:val="21"/>
          <w:highlight w:val="none"/>
        </w:rPr>
        <w:t>；</w:t>
      </w:r>
    </w:p>
    <w:p w14:paraId="763101D2">
      <w:pPr>
        <w:pStyle w:val="27"/>
        <w:snapToGrid w:val="0"/>
        <w:spacing w:line="360" w:lineRule="auto"/>
        <w:ind w:firstLine="420" w:firstLineChars="200"/>
        <w:rPr>
          <w:rFonts w:hint="eastAsia" w:hAnsi="宋体"/>
          <w:color w:val="auto"/>
          <w:sz w:val="21"/>
          <w:highlight w:val="none"/>
        </w:rPr>
      </w:pPr>
      <w:r>
        <w:rPr>
          <w:rFonts w:hAnsi="宋体"/>
          <w:color w:val="auto"/>
          <w:sz w:val="21"/>
          <w:highlight w:val="none"/>
        </w:rPr>
        <w:t>（</w:t>
      </w:r>
      <w:r>
        <w:rPr>
          <w:rFonts w:hint="eastAsia" w:hAnsi="宋体"/>
          <w:color w:val="auto"/>
          <w:sz w:val="21"/>
          <w:highlight w:val="none"/>
        </w:rPr>
        <w:t>2</w:t>
      </w:r>
      <w:r>
        <w:rPr>
          <w:rFonts w:hAnsi="宋体"/>
          <w:color w:val="auto"/>
          <w:sz w:val="21"/>
          <w:highlight w:val="none"/>
        </w:rPr>
        <w:t>）对</w:t>
      </w:r>
      <w:r>
        <w:rPr>
          <w:rFonts w:hint="eastAsia" w:hAnsi="宋体"/>
          <w:color w:val="auto"/>
          <w:sz w:val="21"/>
          <w:highlight w:val="none"/>
        </w:rPr>
        <w:t>采购</w:t>
      </w:r>
      <w:r>
        <w:rPr>
          <w:rFonts w:hAnsi="宋体"/>
          <w:color w:val="auto"/>
          <w:sz w:val="21"/>
          <w:highlight w:val="none"/>
        </w:rPr>
        <w:t>过程提出质疑的，为各采购程序环节结束之日；</w:t>
      </w:r>
    </w:p>
    <w:p w14:paraId="72763195">
      <w:pPr>
        <w:pStyle w:val="27"/>
        <w:snapToGrid w:val="0"/>
        <w:spacing w:line="360" w:lineRule="auto"/>
        <w:ind w:firstLine="420" w:firstLineChars="200"/>
        <w:rPr>
          <w:rFonts w:hint="eastAsia" w:hAnsi="宋体"/>
          <w:bCs/>
          <w:color w:val="auto"/>
          <w:sz w:val="21"/>
          <w:highlight w:val="none"/>
        </w:rPr>
      </w:pPr>
      <w:r>
        <w:rPr>
          <w:rFonts w:hAnsi="宋体"/>
          <w:color w:val="auto"/>
          <w:sz w:val="21"/>
          <w:highlight w:val="none"/>
        </w:rPr>
        <w:t>（</w:t>
      </w:r>
      <w:r>
        <w:rPr>
          <w:rFonts w:hint="eastAsia" w:hAnsi="宋体"/>
          <w:color w:val="auto"/>
          <w:sz w:val="21"/>
          <w:highlight w:val="none"/>
        </w:rPr>
        <w:t>3</w:t>
      </w:r>
      <w:r>
        <w:rPr>
          <w:rFonts w:hAnsi="宋体"/>
          <w:color w:val="auto"/>
          <w:sz w:val="21"/>
          <w:highlight w:val="none"/>
        </w:rPr>
        <w:t>）对中标结果提出质疑的，为中标结果公告期限届满之日。</w:t>
      </w:r>
    </w:p>
    <w:p w14:paraId="34ED7975">
      <w:pPr>
        <w:pStyle w:val="6"/>
        <w:keepNext w:val="0"/>
        <w:keepLines w:val="0"/>
        <w:spacing w:before="0" w:after="0" w:line="360" w:lineRule="auto"/>
        <w:ind w:firstLine="315" w:firstLineChars="150"/>
        <w:rPr>
          <w:rFonts w:ascii="宋体" w:hAnsi="宋体"/>
          <w:b w:val="0"/>
          <w:color w:val="auto"/>
          <w:sz w:val="21"/>
          <w:szCs w:val="21"/>
          <w:highlight w:val="none"/>
        </w:rPr>
      </w:pP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 xml:space="preserve"> </w:t>
      </w:r>
      <w:r>
        <w:rPr>
          <w:rFonts w:hint="eastAsia" w:hAnsi="宋体"/>
          <w:bCs/>
          <w:color w:val="auto"/>
          <w:sz w:val="21"/>
          <w:highlight w:val="none"/>
        </w:rPr>
        <w:t>投标人</w:t>
      </w:r>
      <w:r>
        <w:rPr>
          <w:rFonts w:hAnsi="宋体"/>
          <w:bCs/>
          <w:color w:val="auto"/>
          <w:sz w:val="21"/>
          <w:highlight w:val="none"/>
        </w:rPr>
        <w:t>提出质疑应当提交质疑函和必要的证明材料</w:t>
      </w:r>
      <w:r>
        <w:rPr>
          <w:rFonts w:hint="eastAsia" w:hAnsi="宋体"/>
          <w:bCs/>
          <w:color w:val="auto"/>
          <w:sz w:val="21"/>
          <w:highlight w:val="none"/>
        </w:rPr>
        <w:t>，</w:t>
      </w:r>
      <w:r>
        <w:rPr>
          <w:rFonts w:hAnsi="宋体"/>
          <w:bCs/>
          <w:color w:val="auto"/>
          <w:sz w:val="21"/>
          <w:highlight w:val="none"/>
        </w:rPr>
        <w:t>针对同一采购程序环节的质疑</w:t>
      </w:r>
      <w:r>
        <w:rPr>
          <w:rFonts w:hint="eastAsia" w:hAnsi="宋体"/>
          <w:bCs/>
          <w:color w:val="auto"/>
          <w:sz w:val="21"/>
          <w:highlight w:val="none"/>
        </w:rPr>
        <w:t>必须</w:t>
      </w:r>
      <w:r>
        <w:rPr>
          <w:rFonts w:hAnsi="宋体"/>
          <w:bCs/>
          <w:color w:val="auto"/>
          <w:sz w:val="21"/>
          <w:highlight w:val="none"/>
        </w:rPr>
        <w:t>在法定质疑期内一次性提出。质疑函应当包括下列内容</w:t>
      </w:r>
      <w:r>
        <w:rPr>
          <w:rFonts w:hint="eastAsia" w:hAnsi="宋体"/>
          <w:bCs/>
          <w:color w:val="auto"/>
          <w:sz w:val="21"/>
          <w:highlight w:val="none"/>
        </w:rPr>
        <w:t>（质疑函格式后附）</w:t>
      </w:r>
      <w:r>
        <w:rPr>
          <w:rFonts w:hAnsi="宋体"/>
          <w:bCs/>
          <w:color w:val="auto"/>
          <w:sz w:val="21"/>
          <w:highlight w:val="none"/>
        </w:rPr>
        <w:t>：</w:t>
      </w:r>
    </w:p>
    <w:p w14:paraId="0F1AE701">
      <w:pPr>
        <w:pStyle w:val="27"/>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1</w:t>
      </w:r>
      <w:r>
        <w:rPr>
          <w:rFonts w:hAnsi="宋体"/>
          <w:bCs/>
          <w:color w:val="auto"/>
          <w:sz w:val="21"/>
          <w:highlight w:val="none"/>
        </w:rPr>
        <w:t>）</w:t>
      </w:r>
      <w:r>
        <w:rPr>
          <w:rFonts w:hint="eastAsia" w:hAnsi="宋体"/>
          <w:bCs/>
          <w:color w:val="auto"/>
          <w:sz w:val="21"/>
          <w:highlight w:val="none"/>
        </w:rPr>
        <w:t>投标人</w:t>
      </w:r>
      <w:r>
        <w:rPr>
          <w:rFonts w:hAnsi="宋体"/>
          <w:bCs/>
          <w:color w:val="auto"/>
          <w:sz w:val="21"/>
          <w:highlight w:val="none"/>
        </w:rPr>
        <w:t>的姓名或者名称、地址、邮编、联系人及联系电话；</w:t>
      </w:r>
    </w:p>
    <w:p w14:paraId="30CE96E9">
      <w:pPr>
        <w:pStyle w:val="27"/>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2</w:t>
      </w:r>
      <w:r>
        <w:rPr>
          <w:rFonts w:hAnsi="宋体"/>
          <w:bCs/>
          <w:color w:val="auto"/>
          <w:sz w:val="21"/>
          <w:highlight w:val="none"/>
        </w:rPr>
        <w:t>）质疑项目的名称、编号；</w:t>
      </w:r>
    </w:p>
    <w:p w14:paraId="3E1F7313">
      <w:pPr>
        <w:pStyle w:val="27"/>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3</w:t>
      </w:r>
      <w:r>
        <w:rPr>
          <w:rFonts w:hAnsi="宋体"/>
          <w:bCs/>
          <w:color w:val="auto"/>
          <w:sz w:val="21"/>
          <w:highlight w:val="none"/>
        </w:rPr>
        <w:t>）具体、明确的质疑事项和与质疑事项相关的请求；</w:t>
      </w:r>
    </w:p>
    <w:p w14:paraId="52F76CD5">
      <w:pPr>
        <w:pStyle w:val="27"/>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4</w:t>
      </w:r>
      <w:r>
        <w:rPr>
          <w:rFonts w:hAnsi="宋体"/>
          <w:bCs/>
          <w:color w:val="auto"/>
          <w:sz w:val="21"/>
          <w:highlight w:val="none"/>
        </w:rPr>
        <w:t>）事实依据；</w:t>
      </w:r>
    </w:p>
    <w:p w14:paraId="793373AD">
      <w:pPr>
        <w:pStyle w:val="27"/>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5</w:t>
      </w:r>
      <w:r>
        <w:rPr>
          <w:rFonts w:hAnsi="宋体"/>
          <w:bCs/>
          <w:color w:val="auto"/>
          <w:sz w:val="21"/>
          <w:highlight w:val="none"/>
        </w:rPr>
        <w:t>）必要的法律依据；</w:t>
      </w:r>
    </w:p>
    <w:p w14:paraId="7304AE44">
      <w:pPr>
        <w:pStyle w:val="27"/>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6</w:t>
      </w:r>
      <w:r>
        <w:rPr>
          <w:rFonts w:hAnsi="宋体"/>
          <w:bCs/>
          <w:color w:val="auto"/>
          <w:sz w:val="21"/>
          <w:highlight w:val="none"/>
        </w:rPr>
        <w:t>）提出质疑的日期。</w:t>
      </w:r>
    </w:p>
    <w:p w14:paraId="2746D069">
      <w:pPr>
        <w:pStyle w:val="27"/>
        <w:snapToGrid w:val="0"/>
        <w:spacing w:line="360" w:lineRule="auto"/>
        <w:ind w:firstLine="420" w:firstLineChars="200"/>
        <w:rPr>
          <w:rFonts w:hint="eastAsia" w:hAnsi="宋体"/>
          <w:bCs/>
          <w:color w:val="auto"/>
          <w:sz w:val="21"/>
          <w:highlight w:val="none"/>
        </w:rPr>
      </w:pPr>
      <w:r>
        <w:rPr>
          <w:rFonts w:hint="eastAsia" w:hAnsi="宋体"/>
          <w:bCs/>
          <w:color w:val="auto"/>
          <w:sz w:val="21"/>
          <w:highlight w:val="none"/>
        </w:rPr>
        <w:t>投标人</w:t>
      </w:r>
      <w:r>
        <w:rPr>
          <w:rFonts w:hAnsi="宋体"/>
          <w:bCs/>
          <w:color w:val="auto"/>
          <w:sz w:val="21"/>
          <w:highlight w:val="none"/>
        </w:rPr>
        <w:t>为自然人的，应当由本人签字；</w:t>
      </w:r>
      <w:r>
        <w:rPr>
          <w:rFonts w:hint="eastAsia" w:hAnsi="宋体"/>
          <w:bCs/>
          <w:color w:val="auto"/>
          <w:sz w:val="21"/>
          <w:highlight w:val="none"/>
        </w:rPr>
        <w:t>投标人</w:t>
      </w:r>
      <w:r>
        <w:rPr>
          <w:rFonts w:hAnsi="宋体"/>
          <w:bCs/>
          <w:color w:val="auto"/>
          <w:sz w:val="21"/>
          <w:highlight w:val="none"/>
        </w:rPr>
        <w:t>为法人或者其他组织的，应当由法定代表人、主要负责人，或者其委托代理人签字或者盖章，并加盖公章</w:t>
      </w:r>
      <w:r>
        <w:rPr>
          <w:rFonts w:hint="eastAsia" w:hAnsi="宋体"/>
          <w:bCs/>
          <w:color w:val="auto"/>
          <w:sz w:val="21"/>
          <w:highlight w:val="none"/>
        </w:rPr>
        <w:t>。</w:t>
      </w:r>
    </w:p>
    <w:p w14:paraId="3D4ACE5E">
      <w:pPr>
        <w:pStyle w:val="6"/>
        <w:keepNext w:val="0"/>
        <w:keepLines w:val="0"/>
        <w:snapToGrid w:val="0"/>
        <w:spacing w:before="0" w:after="0" w:line="360" w:lineRule="auto"/>
        <w:ind w:firstLine="420" w:firstLineChars="200"/>
        <w:rPr>
          <w:rFonts w:hint="eastAsia" w:ascii="宋体" w:hAnsi="宋体"/>
          <w:b w:val="0"/>
          <w:bCs/>
          <w:color w:val="auto"/>
          <w:sz w:val="21"/>
          <w:szCs w:val="21"/>
          <w:highlight w:val="none"/>
        </w:rPr>
      </w:pPr>
      <w:r>
        <w:rPr>
          <w:rFonts w:ascii="宋体" w:hAnsi="宋体"/>
          <w:b w:val="0"/>
          <w:color w:val="auto"/>
          <w:sz w:val="21"/>
          <w:szCs w:val="21"/>
          <w:highlight w:val="none"/>
        </w:rPr>
        <w:t>3</w:t>
      </w:r>
      <w:r>
        <w:rPr>
          <w:rFonts w:ascii="宋体" w:hAnsi="宋体"/>
          <w:b w:val="0"/>
          <w:bCs/>
          <w:color w:val="auto"/>
          <w:sz w:val="21"/>
          <w:szCs w:val="21"/>
          <w:highlight w:val="none"/>
        </w:rPr>
        <w:t>8.4</w:t>
      </w:r>
      <w:r>
        <w:rPr>
          <w:rFonts w:hint="eastAsia" w:ascii="宋体" w:hAnsi="宋体"/>
          <w:b w:val="0"/>
          <w:bCs/>
          <w:color w:val="auto"/>
          <w:sz w:val="21"/>
          <w:szCs w:val="21"/>
          <w:highlight w:val="none"/>
        </w:rPr>
        <w:t>采购人、采购代理机构认为投标人质疑不成立，或者成立但未对中标结果构成影响的，继续开展采购活动；认为投标人质疑成立且影响或者可能影响中标结果的，按照下列情况处理：</w:t>
      </w:r>
    </w:p>
    <w:p w14:paraId="5C2D4032">
      <w:pPr>
        <w:pStyle w:val="27"/>
        <w:snapToGrid w:val="0"/>
        <w:spacing w:line="360" w:lineRule="auto"/>
        <w:rPr>
          <w:rFonts w:hint="eastAsia" w:hAnsi="宋体"/>
          <w:bCs/>
          <w:color w:val="auto"/>
          <w:sz w:val="21"/>
          <w:highlight w:val="none"/>
        </w:rPr>
      </w:pPr>
      <w:r>
        <w:rPr>
          <w:rFonts w:hint="eastAsia" w:hAnsi="宋体"/>
          <w:bCs/>
          <w:color w:val="auto"/>
          <w:sz w:val="21"/>
          <w:highlight w:val="none"/>
        </w:rPr>
        <w:t>　　（1）对招标文件提出的质疑，依法通过澄清或者修改可以继续开展采购活动的，澄清或者修改招标文件后继续开展采购活动；否则应当修改招标文件后重新开展采购活动。</w:t>
      </w:r>
    </w:p>
    <w:p w14:paraId="37ECFBE9">
      <w:pPr>
        <w:pStyle w:val="27"/>
        <w:snapToGrid w:val="0"/>
        <w:spacing w:line="360" w:lineRule="auto"/>
        <w:rPr>
          <w:rFonts w:hint="eastAsia" w:hAnsi="宋体"/>
          <w:bCs/>
          <w:color w:val="auto"/>
          <w:sz w:val="21"/>
          <w:highlight w:val="none"/>
        </w:rPr>
      </w:pPr>
      <w:r>
        <w:rPr>
          <w:rFonts w:hint="eastAsia" w:hAnsi="宋体"/>
          <w:bCs/>
          <w:color w:val="auto"/>
          <w:sz w:val="21"/>
          <w:highlight w:val="none"/>
        </w:rPr>
        <w:t>　　（2）对采购过程、中标结果提出的质疑，合格投标人符合法定数量时，可以从合格的中标候选人中另行确定中标投标人的，应当依法另行确定中标投标人；否则应当重新开展采购活动。</w:t>
      </w:r>
    </w:p>
    <w:p w14:paraId="129393AD">
      <w:pPr>
        <w:pStyle w:val="27"/>
        <w:snapToGrid w:val="0"/>
        <w:spacing w:line="360" w:lineRule="auto"/>
        <w:ind w:firstLine="420"/>
        <w:rPr>
          <w:rFonts w:hAnsi="宋体"/>
          <w:bCs/>
          <w:color w:val="auto"/>
          <w:sz w:val="21"/>
          <w:highlight w:val="none"/>
        </w:rPr>
      </w:pPr>
      <w:r>
        <w:rPr>
          <w:rFonts w:hint="eastAsia" w:hAnsi="宋体"/>
          <w:bCs/>
          <w:color w:val="auto"/>
          <w:sz w:val="21"/>
          <w:highlight w:val="none"/>
        </w:rPr>
        <w:t>质疑答复导致中标结果改变的，采购人或者采购代理机构应当将有关情况书面报告本级财政部门。</w:t>
      </w:r>
    </w:p>
    <w:p w14:paraId="27024993">
      <w:pPr>
        <w:pStyle w:val="27"/>
        <w:snapToGrid w:val="0"/>
        <w:spacing w:line="360" w:lineRule="auto"/>
        <w:ind w:firstLine="420" w:firstLineChars="200"/>
        <w:rPr>
          <w:rFonts w:hint="eastAsia" w:hAnsi="宋体"/>
          <w:color w:val="auto"/>
          <w:sz w:val="21"/>
          <w:highlight w:val="none"/>
        </w:rPr>
      </w:pPr>
      <w:r>
        <w:rPr>
          <w:rFonts w:hAnsi="宋体"/>
          <w:color w:val="auto"/>
          <w:sz w:val="21"/>
          <w:highlight w:val="none"/>
        </w:rPr>
        <w:t>38</w:t>
      </w:r>
      <w:r>
        <w:rPr>
          <w:rFonts w:hint="eastAsia" w:hAnsi="宋体"/>
          <w:color w:val="auto"/>
          <w:sz w:val="21"/>
          <w:highlight w:val="none"/>
        </w:rPr>
        <w:t>.</w:t>
      </w:r>
      <w:r>
        <w:rPr>
          <w:rFonts w:hAnsi="宋体"/>
          <w:color w:val="auto"/>
          <w:sz w:val="21"/>
          <w:highlight w:val="none"/>
        </w:rPr>
        <w:t>5</w:t>
      </w:r>
      <w:r>
        <w:rPr>
          <w:rFonts w:hint="eastAsia" w:hAnsi="宋体"/>
          <w:color w:val="auto"/>
          <w:sz w:val="21"/>
          <w:highlight w:val="none"/>
        </w:rPr>
        <w:t>质疑投标人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bookmarkStart w:id="132" w:name="_八、其他事项"/>
      <w:bookmarkEnd w:id="132"/>
    </w:p>
    <w:p w14:paraId="4ABD140D">
      <w:pPr>
        <w:pStyle w:val="27"/>
        <w:snapToGrid w:val="0"/>
        <w:spacing w:line="360" w:lineRule="auto"/>
        <w:ind w:firstLine="400" w:firstLineChars="200"/>
        <w:rPr>
          <w:rFonts w:hint="eastAsia"/>
          <w:color w:val="auto"/>
          <w:highlight w:val="none"/>
        </w:rPr>
      </w:pPr>
      <w:r>
        <w:rPr>
          <w:rFonts w:hint="eastAsia"/>
          <w:color w:val="auto"/>
          <w:highlight w:val="none"/>
        </w:rPr>
        <w:t xml:space="preserve"> </w:t>
      </w:r>
    </w:p>
    <w:p w14:paraId="24D5D348">
      <w:pPr>
        <w:pStyle w:val="4"/>
        <w:keepNext w:val="0"/>
        <w:keepLines w:val="0"/>
        <w:jc w:val="center"/>
        <w:rPr>
          <w:rFonts w:hint="eastAsia"/>
          <w:color w:val="auto"/>
          <w:highlight w:val="none"/>
        </w:rPr>
      </w:pPr>
      <w:r>
        <w:rPr>
          <w:rFonts w:hint="eastAsia"/>
          <w:color w:val="auto"/>
          <w:highlight w:val="none"/>
        </w:rPr>
        <w:t>八、其他事项</w:t>
      </w:r>
    </w:p>
    <w:p w14:paraId="05322782">
      <w:pPr>
        <w:pStyle w:val="6"/>
        <w:keepNext w:val="0"/>
        <w:keepLines w:val="0"/>
        <w:spacing w:before="0" w:after="0" w:line="360" w:lineRule="auto"/>
        <w:ind w:left="420" w:leftChars="200"/>
        <w:rPr>
          <w:rFonts w:hint="eastAsia" w:ascii="黑体" w:hAnsi="黑体" w:eastAsia="黑体"/>
          <w:color w:val="auto"/>
          <w:sz w:val="24"/>
          <w:highlight w:val="none"/>
        </w:rPr>
      </w:pPr>
      <w:bookmarkStart w:id="133" w:name="_42.代理服务费"/>
      <w:bookmarkEnd w:id="133"/>
      <w:r>
        <w:rPr>
          <w:rFonts w:hint="eastAsia" w:ascii="黑体" w:hAnsi="黑体" w:eastAsia="黑体"/>
          <w:color w:val="auto"/>
          <w:sz w:val="24"/>
          <w:highlight w:val="none"/>
        </w:rPr>
        <w:t>3</w:t>
      </w:r>
      <w:r>
        <w:rPr>
          <w:rFonts w:ascii="黑体" w:hAnsi="黑体" w:eastAsia="黑体"/>
          <w:color w:val="auto"/>
          <w:sz w:val="24"/>
          <w:highlight w:val="none"/>
        </w:rPr>
        <w:t>9</w:t>
      </w:r>
      <w:r>
        <w:rPr>
          <w:rFonts w:hint="eastAsia" w:ascii="黑体" w:hAnsi="黑体" w:eastAsia="黑体"/>
          <w:color w:val="auto"/>
          <w:sz w:val="24"/>
          <w:highlight w:val="none"/>
        </w:rPr>
        <w:t>.代理服务费</w:t>
      </w:r>
    </w:p>
    <w:p w14:paraId="2BAEB9D8">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3</w:t>
      </w:r>
      <w:r>
        <w:rPr>
          <w:rFonts w:hAnsi="宋体"/>
          <w:color w:val="auto"/>
          <w:sz w:val="21"/>
          <w:highlight w:val="none"/>
        </w:rPr>
        <w:t>9</w:t>
      </w:r>
      <w:r>
        <w:rPr>
          <w:rFonts w:hint="eastAsia" w:hAnsi="宋体"/>
          <w:color w:val="auto"/>
          <w:sz w:val="21"/>
          <w:highlight w:val="none"/>
        </w:rPr>
        <w:t>.1代理服务收取标准及缴费账户详见“投标人须知前附表”，投标人为联合体的，可以由联合体中的一方或者多方共同交纳代理服务费。</w:t>
      </w:r>
    </w:p>
    <w:p w14:paraId="00C1FD57">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3</w:t>
      </w:r>
      <w:r>
        <w:rPr>
          <w:rFonts w:hAnsi="宋体"/>
          <w:color w:val="auto"/>
          <w:sz w:val="21"/>
          <w:highlight w:val="none"/>
        </w:rPr>
        <w:t>9</w:t>
      </w:r>
      <w:r>
        <w:rPr>
          <w:rFonts w:hint="eastAsia" w:hAnsi="宋体"/>
          <w:color w:val="auto"/>
          <w:sz w:val="21"/>
          <w:highlight w:val="none"/>
        </w:rPr>
        <w:t>.2代理服务收费标准：</w:t>
      </w:r>
    </w:p>
    <w:p w14:paraId="1E26D8E0">
      <w:pPr>
        <w:pStyle w:val="27"/>
        <w:snapToGrid w:val="0"/>
        <w:spacing w:line="360" w:lineRule="auto"/>
        <w:ind w:firstLine="420" w:firstLineChars="200"/>
        <w:rPr>
          <w:rFonts w:hint="eastAsia" w:hAnsi="宋体"/>
          <w:color w:val="auto"/>
          <w:sz w:val="21"/>
          <w:highlight w:val="none"/>
        </w:rPr>
      </w:pPr>
    </w:p>
    <w:tbl>
      <w:tblPr>
        <w:tblStyle w:val="49"/>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0F662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72" w:type="dxa"/>
            <w:tcBorders>
              <w:tl2br w:val="single" w:color="auto" w:sz="4" w:space="0"/>
            </w:tcBorders>
            <w:noWrap w:val="0"/>
            <w:vAlign w:val="top"/>
          </w:tcPr>
          <w:p w14:paraId="2F1D663A">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费率</w:t>
            </w:r>
          </w:p>
          <w:p w14:paraId="01841D3A">
            <w:pPr>
              <w:spacing w:line="360" w:lineRule="auto"/>
              <w:rPr>
                <w:rFonts w:hint="eastAsia" w:ascii="宋体" w:hAnsi="宋体"/>
                <w:color w:val="auto"/>
                <w:szCs w:val="21"/>
                <w:highlight w:val="none"/>
              </w:rPr>
            </w:pPr>
            <w:r>
              <w:rPr>
                <w:rFonts w:hint="eastAsia" w:ascii="宋体" w:hAnsi="宋体"/>
                <w:color w:val="auto"/>
                <w:szCs w:val="21"/>
                <w:highlight w:val="none"/>
              </w:rPr>
              <w:t>中标金额</w:t>
            </w:r>
          </w:p>
        </w:tc>
        <w:tc>
          <w:tcPr>
            <w:tcW w:w="1659" w:type="dxa"/>
            <w:noWrap w:val="0"/>
            <w:vAlign w:val="center"/>
          </w:tcPr>
          <w:p w14:paraId="2E79F40C">
            <w:pPr>
              <w:spacing w:line="360" w:lineRule="auto"/>
              <w:ind w:firstLine="105" w:firstLineChars="50"/>
              <w:jc w:val="center"/>
              <w:rPr>
                <w:rFonts w:hint="eastAsia" w:ascii="宋体" w:hAnsi="宋体"/>
                <w:color w:val="auto"/>
                <w:szCs w:val="21"/>
                <w:highlight w:val="none"/>
              </w:rPr>
            </w:pPr>
            <w:r>
              <w:rPr>
                <w:rFonts w:hint="eastAsia" w:ascii="宋体" w:hAnsi="宋体"/>
                <w:color w:val="auto"/>
                <w:szCs w:val="21"/>
                <w:highlight w:val="none"/>
              </w:rPr>
              <w:t>货物招标</w:t>
            </w:r>
          </w:p>
        </w:tc>
        <w:tc>
          <w:tcPr>
            <w:tcW w:w="1687" w:type="dxa"/>
            <w:noWrap w:val="0"/>
            <w:vAlign w:val="center"/>
          </w:tcPr>
          <w:p w14:paraId="4B86940A">
            <w:pPr>
              <w:spacing w:line="360" w:lineRule="auto"/>
              <w:jc w:val="center"/>
              <w:rPr>
                <w:rFonts w:hint="eastAsia" w:ascii="宋体" w:hAnsi="宋体"/>
                <w:color w:val="auto"/>
                <w:szCs w:val="21"/>
                <w:highlight w:val="none"/>
              </w:rPr>
            </w:pPr>
            <w:r>
              <w:rPr>
                <w:rFonts w:hint="eastAsia" w:ascii="宋体" w:hAnsi="宋体"/>
                <w:color w:val="auto"/>
                <w:szCs w:val="21"/>
                <w:highlight w:val="none"/>
              </w:rPr>
              <w:t>服务招标</w:t>
            </w:r>
          </w:p>
        </w:tc>
        <w:tc>
          <w:tcPr>
            <w:tcW w:w="1659" w:type="dxa"/>
            <w:noWrap w:val="0"/>
            <w:vAlign w:val="center"/>
          </w:tcPr>
          <w:p w14:paraId="2E23F523">
            <w:pPr>
              <w:spacing w:line="360" w:lineRule="auto"/>
              <w:jc w:val="center"/>
              <w:rPr>
                <w:rFonts w:hint="eastAsia" w:ascii="宋体" w:hAnsi="宋体"/>
                <w:color w:val="auto"/>
                <w:szCs w:val="21"/>
                <w:highlight w:val="none"/>
              </w:rPr>
            </w:pPr>
            <w:r>
              <w:rPr>
                <w:rFonts w:hint="eastAsia" w:ascii="宋体" w:hAnsi="宋体"/>
                <w:color w:val="auto"/>
                <w:szCs w:val="21"/>
                <w:highlight w:val="none"/>
              </w:rPr>
              <w:t>工程招标</w:t>
            </w:r>
          </w:p>
        </w:tc>
      </w:tr>
      <w:tr w14:paraId="36E13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DB7F8A2">
            <w:pPr>
              <w:spacing w:line="360" w:lineRule="auto"/>
              <w:rPr>
                <w:rFonts w:hint="eastAsia" w:ascii="宋体" w:hAnsi="宋体"/>
                <w:color w:val="auto"/>
                <w:szCs w:val="21"/>
                <w:highlight w:val="none"/>
              </w:rPr>
            </w:pPr>
            <w:r>
              <w:rPr>
                <w:rFonts w:hint="eastAsia" w:ascii="宋体" w:hAnsi="宋体"/>
                <w:color w:val="auto"/>
                <w:szCs w:val="21"/>
                <w:highlight w:val="none"/>
              </w:rPr>
              <w:t>100万元以下</w:t>
            </w:r>
          </w:p>
        </w:tc>
        <w:tc>
          <w:tcPr>
            <w:tcW w:w="1659" w:type="dxa"/>
            <w:noWrap w:val="0"/>
            <w:vAlign w:val="top"/>
          </w:tcPr>
          <w:p w14:paraId="4EBC2E5E">
            <w:pPr>
              <w:spacing w:line="360" w:lineRule="auto"/>
              <w:rPr>
                <w:rFonts w:ascii="宋体" w:hAnsi="宋体"/>
                <w:color w:val="auto"/>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1.5%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p>
        </w:tc>
        <w:tc>
          <w:tcPr>
            <w:tcW w:w="1687" w:type="dxa"/>
            <w:noWrap w:val="0"/>
            <w:vAlign w:val="top"/>
          </w:tcPr>
          <w:p w14:paraId="5E23BEBD">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1.5%</w:t>
            </w:r>
          </w:p>
        </w:tc>
        <w:tc>
          <w:tcPr>
            <w:tcW w:w="1659" w:type="dxa"/>
            <w:noWrap w:val="0"/>
            <w:vAlign w:val="top"/>
          </w:tcPr>
          <w:p w14:paraId="0BAB27C8">
            <w:pPr>
              <w:spacing w:line="360" w:lineRule="auto"/>
              <w:ind w:firstLine="210" w:firstLineChars="100"/>
              <w:rPr>
                <w:rFonts w:hint="eastAsia" w:ascii="宋体" w:hAnsi="宋体"/>
                <w:color w:val="auto"/>
                <w:szCs w:val="21"/>
                <w:highlight w:val="none"/>
              </w:rPr>
            </w:pPr>
            <w:r>
              <w:rPr>
                <w:rFonts w:ascii="宋体" w:hAnsi="宋体" w:cs="宋体"/>
                <w:color w:val="auto"/>
                <w:kern w:val="0"/>
                <w:szCs w:val="21"/>
                <w:highlight w:val="none"/>
              </w:rPr>
              <w:t xml:space="preserve">1.0% </w:t>
            </w:r>
          </w:p>
        </w:tc>
      </w:tr>
      <w:tr w14:paraId="7C6CE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2991695">
            <w:pPr>
              <w:spacing w:line="360" w:lineRule="auto"/>
              <w:rPr>
                <w:rFonts w:hint="eastAsia" w:ascii="宋体" w:hAnsi="宋体"/>
                <w:color w:val="auto"/>
                <w:szCs w:val="21"/>
                <w:highlight w:val="none"/>
              </w:rPr>
            </w:pPr>
            <w:r>
              <w:rPr>
                <w:rFonts w:hint="eastAsia" w:ascii="宋体" w:hAnsi="宋体"/>
                <w:color w:val="auto"/>
                <w:szCs w:val="21"/>
                <w:highlight w:val="none"/>
              </w:rPr>
              <w:t>100～500万元</w:t>
            </w:r>
          </w:p>
        </w:tc>
        <w:tc>
          <w:tcPr>
            <w:tcW w:w="1659" w:type="dxa"/>
            <w:noWrap w:val="0"/>
            <w:vAlign w:val="top"/>
          </w:tcPr>
          <w:p w14:paraId="56C04F63">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1.1% </w:t>
            </w:r>
            <w:r>
              <w:rPr>
                <w:rFonts w:hint="eastAsia" w:ascii="宋体" w:hAnsi="宋体" w:cs="宋体"/>
                <w:color w:val="auto"/>
                <w:kern w:val="0"/>
                <w:szCs w:val="21"/>
                <w:highlight w:val="none"/>
              </w:rPr>
              <w:t xml:space="preserve">                </w:t>
            </w:r>
          </w:p>
        </w:tc>
        <w:tc>
          <w:tcPr>
            <w:tcW w:w="1687" w:type="dxa"/>
            <w:noWrap w:val="0"/>
            <w:vAlign w:val="top"/>
          </w:tcPr>
          <w:p w14:paraId="4DD1D291">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0.8%</w:t>
            </w:r>
          </w:p>
        </w:tc>
        <w:tc>
          <w:tcPr>
            <w:tcW w:w="1659" w:type="dxa"/>
            <w:noWrap w:val="0"/>
            <w:vAlign w:val="top"/>
          </w:tcPr>
          <w:p w14:paraId="1445318C">
            <w:pPr>
              <w:spacing w:line="360" w:lineRule="auto"/>
              <w:ind w:firstLine="210" w:firstLineChars="100"/>
              <w:rPr>
                <w:rFonts w:hint="eastAsia" w:ascii="宋体" w:hAnsi="宋体"/>
                <w:color w:val="auto"/>
                <w:szCs w:val="21"/>
                <w:highlight w:val="none"/>
              </w:rPr>
            </w:pPr>
            <w:r>
              <w:rPr>
                <w:rFonts w:ascii="宋体" w:hAnsi="宋体" w:cs="宋体"/>
                <w:color w:val="auto"/>
                <w:kern w:val="0"/>
                <w:szCs w:val="21"/>
                <w:highlight w:val="none"/>
              </w:rPr>
              <w:t xml:space="preserve">0.7% </w:t>
            </w:r>
          </w:p>
        </w:tc>
      </w:tr>
      <w:tr w14:paraId="267CD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C19114F">
            <w:pPr>
              <w:spacing w:line="360" w:lineRule="auto"/>
              <w:rPr>
                <w:rFonts w:hint="eastAsia" w:ascii="宋体" w:hAnsi="宋体"/>
                <w:color w:val="auto"/>
                <w:szCs w:val="21"/>
                <w:highlight w:val="none"/>
              </w:rPr>
            </w:pPr>
            <w:r>
              <w:rPr>
                <w:rFonts w:hint="eastAsia" w:ascii="宋体" w:hAnsi="宋体"/>
                <w:color w:val="auto"/>
                <w:szCs w:val="21"/>
                <w:highlight w:val="none"/>
              </w:rPr>
              <w:t>500～1000万元</w:t>
            </w:r>
          </w:p>
        </w:tc>
        <w:tc>
          <w:tcPr>
            <w:tcW w:w="1659" w:type="dxa"/>
            <w:noWrap w:val="0"/>
            <w:vAlign w:val="top"/>
          </w:tcPr>
          <w:p w14:paraId="1278975B">
            <w:pPr>
              <w:spacing w:line="360" w:lineRule="auto"/>
              <w:rPr>
                <w:rFonts w:ascii="宋体" w:hAnsi="宋体"/>
                <w:color w:val="auto"/>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0.8% </w:t>
            </w:r>
            <w:r>
              <w:rPr>
                <w:rFonts w:hint="eastAsia" w:ascii="宋体" w:hAnsi="宋体" w:cs="宋体"/>
                <w:color w:val="auto"/>
                <w:kern w:val="0"/>
                <w:szCs w:val="21"/>
                <w:highlight w:val="none"/>
              </w:rPr>
              <w:t xml:space="preserve">               </w:t>
            </w:r>
          </w:p>
        </w:tc>
        <w:tc>
          <w:tcPr>
            <w:tcW w:w="1687" w:type="dxa"/>
            <w:noWrap w:val="0"/>
            <w:vAlign w:val="top"/>
          </w:tcPr>
          <w:p w14:paraId="10E50325">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0.45%</w:t>
            </w:r>
          </w:p>
        </w:tc>
        <w:tc>
          <w:tcPr>
            <w:tcW w:w="1659" w:type="dxa"/>
            <w:noWrap w:val="0"/>
            <w:vAlign w:val="top"/>
          </w:tcPr>
          <w:p w14:paraId="3CB9FFB8">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0.55%</w:t>
            </w:r>
          </w:p>
        </w:tc>
      </w:tr>
      <w:tr w14:paraId="072C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0221D0F">
            <w:pPr>
              <w:spacing w:line="360" w:lineRule="auto"/>
              <w:rPr>
                <w:rFonts w:hint="eastAsia" w:ascii="宋体" w:hAnsi="宋体"/>
                <w:color w:val="auto"/>
                <w:szCs w:val="21"/>
                <w:highlight w:val="none"/>
              </w:rPr>
            </w:pPr>
            <w:r>
              <w:rPr>
                <w:rFonts w:hint="eastAsia" w:ascii="宋体" w:hAnsi="宋体"/>
                <w:color w:val="auto"/>
                <w:szCs w:val="21"/>
                <w:highlight w:val="none"/>
              </w:rPr>
              <w:t>1000～5000万元</w:t>
            </w:r>
          </w:p>
        </w:tc>
        <w:tc>
          <w:tcPr>
            <w:tcW w:w="1659" w:type="dxa"/>
            <w:noWrap w:val="0"/>
            <w:vAlign w:val="top"/>
          </w:tcPr>
          <w:p w14:paraId="32AFA910">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0.5% </w:t>
            </w:r>
            <w:r>
              <w:rPr>
                <w:rFonts w:hint="eastAsia" w:ascii="宋体" w:hAnsi="宋体" w:cs="宋体"/>
                <w:color w:val="auto"/>
                <w:kern w:val="0"/>
                <w:szCs w:val="21"/>
                <w:highlight w:val="none"/>
              </w:rPr>
              <w:t xml:space="preserve">               </w:t>
            </w:r>
          </w:p>
        </w:tc>
        <w:tc>
          <w:tcPr>
            <w:tcW w:w="1687" w:type="dxa"/>
            <w:noWrap w:val="0"/>
            <w:vAlign w:val="top"/>
          </w:tcPr>
          <w:p w14:paraId="5B398A81">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0.25%</w:t>
            </w:r>
          </w:p>
        </w:tc>
        <w:tc>
          <w:tcPr>
            <w:tcW w:w="1659" w:type="dxa"/>
            <w:noWrap w:val="0"/>
            <w:vAlign w:val="top"/>
          </w:tcPr>
          <w:p w14:paraId="70F8D254">
            <w:pPr>
              <w:spacing w:line="360" w:lineRule="auto"/>
              <w:ind w:firstLine="210" w:firstLineChars="100"/>
              <w:rPr>
                <w:rFonts w:hint="eastAsia" w:ascii="宋体" w:hAnsi="宋体"/>
                <w:color w:val="auto"/>
                <w:szCs w:val="21"/>
                <w:highlight w:val="none"/>
              </w:rPr>
            </w:pPr>
            <w:r>
              <w:rPr>
                <w:rFonts w:ascii="宋体" w:hAnsi="宋体" w:cs="宋体"/>
                <w:color w:val="auto"/>
                <w:kern w:val="0"/>
                <w:szCs w:val="21"/>
                <w:highlight w:val="none"/>
              </w:rPr>
              <w:t xml:space="preserve">0.35% </w:t>
            </w:r>
          </w:p>
        </w:tc>
      </w:tr>
      <w:tr w14:paraId="341B1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1847BCD">
            <w:pPr>
              <w:spacing w:line="360" w:lineRule="auto"/>
              <w:rPr>
                <w:rFonts w:hint="eastAsia" w:ascii="宋体" w:hAnsi="宋体"/>
                <w:color w:val="auto"/>
                <w:szCs w:val="21"/>
                <w:highlight w:val="none"/>
              </w:rPr>
            </w:pPr>
            <w:r>
              <w:rPr>
                <w:rFonts w:hint="eastAsia" w:ascii="宋体" w:hAnsi="宋体"/>
                <w:color w:val="auto"/>
                <w:szCs w:val="21"/>
                <w:highlight w:val="none"/>
              </w:rPr>
              <w:t>5000万元～1亿元</w:t>
            </w:r>
          </w:p>
        </w:tc>
        <w:tc>
          <w:tcPr>
            <w:tcW w:w="1659" w:type="dxa"/>
            <w:noWrap w:val="0"/>
            <w:vAlign w:val="top"/>
          </w:tcPr>
          <w:p w14:paraId="0C4F69E2">
            <w:pPr>
              <w:spacing w:line="360" w:lineRule="auto"/>
              <w:ind w:firstLine="210" w:firstLineChars="100"/>
              <w:rPr>
                <w:rFonts w:hint="eastAsia" w:ascii="宋体" w:hAnsi="宋体"/>
                <w:color w:val="auto"/>
                <w:szCs w:val="21"/>
                <w:highlight w:val="none"/>
              </w:rPr>
            </w:pPr>
            <w:r>
              <w:rPr>
                <w:rFonts w:ascii="宋体" w:hAnsi="宋体" w:cs="宋体"/>
                <w:color w:val="auto"/>
                <w:kern w:val="0"/>
                <w:szCs w:val="21"/>
                <w:highlight w:val="none"/>
              </w:rPr>
              <w:t xml:space="preserve">0.25%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p>
        </w:tc>
        <w:tc>
          <w:tcPr>
            <w:tcW w:w="1687" w:type="dxa"/>
            <w:noWrap w:val="0"/>
            <w:vAlign w:val="top"/>
          </w:tcPr>
          <w:p w14:paraId="456AE53D">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0.1%</w:t>
            </w:r>
          </w:p>
        </w:tc>
        <w:tc>
          <w:tcPr>
            <w:tcW w:w="1659" w:type="dxa"/>
            <w:noWrap w:val="0"/>
            <w:vAlign w:val="top"/>
          </w:tcPr>
          <w:p w14:paraId="216268CA">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0.2%</w:t>
            </w:r>
          </w:p>
        </w:tc>
      </w:tr>
      <w:tr w14:paraId="516E6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6F3806E">
            <w:pPr>
              <w:spacing w:line="360" w:lineRule="auto"/>
              <w:rPr>
                <w:rFonts w:hint="eastAsia" w:ascii="宋体" w:hAnsi="宋体"/>
                <w:color w:val="auto"/>
                <w:szCs w:val="21"/>
                <w:highlight w:val="none"/>
              </w:rPr>
            </w:pPr>
            <w:r>
              <w:rPr>
                <w:rFonts w:hint="eastAsia" w:ascii="宋体" w:hAnsi="宋体"/>
                <w:color w:val="auto"/>
                <w:szCs w:val="21"/>
                <w:highlight w:val="none"/>
              </w:rPr>
              <w:t>1～5亿元</w:t>
            </w:r>
          </w:p>
        </w:tc>
        <w:tc>
          <w:tcPr>
            <w:tcW w:w="1659" w:type="dxa"/>
            <w:noWrap w:val="0"/>
            <w:vAlign w:val="top"/>
          </w:tcPr>
          <w:p w14:paraId="276A321A">
            <w:pPr>
              <w:spacing w:line="360" w:lineRule="auto"/>
              <w:ind w:firstLine="210" w:firstLineChars="100"/>
              <w:rPr>
                <w:rFonts w:hint="eastAsia" w:ascii="宋体" w:hAnsi="宋体"/>
                <w:color w:val="auto"/>
                <w:szCs w:val="21"/>
                <w:highlight w:val="none"/>
              </w:rPr>
            </w:pPr>
            <w:r>
              <w:rPr>
                <w:rFonts w:hint="eastAsia" w:ascii="宋体" w:hAnsi="宋体"/>
                <w:color w:val="auto"/>
                <w:szCs w:val="21"/>
                <w:highlight w:val="none"/>
              </w:rPr>
              <w:t>0.05%</w:t>
            </w:r>
          </w:p>
        </w:tc>
        <w:tc>
          <w:tcPr>
            <w:tcW w:w="1687" w:type="dxa"/>
            <w:noWrap w:val="0"/>
            <w:vAlign w:val="top"/>
          </w:tcPr>
          <w:p w14:paraId="42DD975C">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0.05%</w:t>
            </w:r>
          </w:p>
        </w:tc>
        <w:tc>
          <w:tcPr>
            <w:tcW w:w="1659" w:type="dxa"/>
            <w:noWrap w:val="0"/>
            <w:vAlign w:val="top"/>
          </w:tcPr>
          <w:p w14:paraId="45489254">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0.05%</w:t>
            </w:r>
          </w:p>
        </w:tc>
      </w:tr>
      <w:tr w14:paraId="7CB1B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7E86AAA">
            <w:pPr>
              <w:spacing w:line="360" w:lineRule="auto"/>
              <w:rPr>
                <w:rFonts w:hint="eastAsia" w:ascii="宋体" w:hAnsi="宋体"/>
                <w:color w:val="auto"/>
                <w:szCs w:val="21"/>
                <w:highlight w:val="none"/>
              </w:rPr>
            </w:pPr>
            <w:r>
              <w:rPr>
                <w:rFonts w:hint="eastAsia" w:ascii="宋体" w:hAnsi="宋体"/>
                <w:color w:val="auto"/>
                <w:szCs w:val="21"/>
                <w:highlight w:val="none"/>
              </w:rPr>
              <w:t>5～10亿元</w:t>
            </w:r>
          </w:p>
        </w:tc>
        <w:tc>
          <w:tcPr>
            <w:tcW w:w="1659" w:type="dxa"/>
            <w:noWrap w:val="0"/>
            <w:vAlign w:val="top"/>
          </w:tcPr>
          <w:p w14:paraId="4816EB59">
            <w:pPr>
              <w:spacing w:line="360" w:lineRule="auto"/>
              <w:ind w:firstLine="105" w:firstLineChars="50"/>
              <w:rPr>
                <w:rFonts w:hint="eastAsia" w:ascii="宋体" w:hAnsi="宋体"/>
                <w:color w:val="auto"/>
                <w:szCs w:val="21"/>
                <w:highlight w:val="none"/>
              </w:rPr>
            </w:pPr>
            <w:r>
              <w:rPr>
                <w:rFonts w:hint="eastAsia" w:ascii="宋体" w:hAnsi="宋体"/>
                <w:color w:val="auto"/>
                <w:szCs w:val="21"/>
                <w:highlight w:val="none"/>
              </w:rPr>
              <w:t>0.035%</w:t>
            </w:r>
          </w:p>
        </w:tc>
        <w:tc>
          <w:tcPr>
            <w:tcW w:w="1687" w:type="dxa"/>
            <w:noWrap w:val="0"/>
            <w:vAlign w:val="top"/>
          </w:tcPr>
          <w:p w14:paraId="30D8E008">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0.035%</w:t>
            </w:r>
          </w:p>
        </w:tc>
        <w:tc>
          <w:tcPr>
            <w:tcW w:w="1659" w:type="dxa"/>
            <w:noWrap w:val="0"/>
            <w:vAlign w:val="top"/>
          </w:tcPr>
          <w:p w14:paraId="01C0F3F8">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0.035%</w:t>
            </w:r>
          </w:p>
        </w:tc>
      </w:tr>
      <w:tr w14:paraId="36F09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269C6EA">
            <w:pPr>
              <w:spacing w:line="360" w:lineRule="auto"/>
              <w:rPr>
                <w:rFonts w:hint="eastAsia" w:ascii="宋体" w:hAnsi="宋体"/>
                <w:color w:val="auto"/>
                <w:szCs w:val="21"/>
                <w:highlight w:val="none"/>
              </w:rPr>
            </w:pPr>
            <w:r>
              <w:rPr>
                <w:rFonts w:hint="eastAsia" w:ascii="宋体" w:hAnsi="宋体"/>
                <w:color w:val="auto"/>
                <w:szCs w:val="21"/>
                <w:highlight w:val="none"/>
              </w:rPr>
              <w:t>10～50亿元</w:t>
            </w:r>
          </w:p>
        </w:tc>
        <w:tc>
          <w:tcPr>
            <w:tcW w:w="1659" w:type="dxa"/>
            <w:noWrap w:val="0"/>
            <w:vAlign w:val="top"/>
          </w:tcPr>
          <w:p w14:paraId="6EC7CB9A">
            <w:pPr>
              <w:spacing w:line="360" w:lineRule="auto"/>
              <w:ind w:firstLine="105" w:firstLineChars="50"/>
              <w:rPr>
                <w:rFonts w:hint="eastAsia" w:ascii="宋体" w:hAnsi="宋体"/>
                <w:color w:val="auto"/>
                <w:szCs w:val="21"/>
                <w:highlight w:val="none"/>
              </w:rPr>
            </w:pPr>
            <w:r>
              <w:rPr>
                <w:rFonts w:hint="eastAsia" w:ascii="宋体" w:hAnsi="宋体"/>
                <w:color w:val="auto"/>
                <w:szCs w:val="21"/>
                <w:highlight w:val="none"/>
              </w:rPr>
              <w:t>0.008%</w:t>
            </w:r>
          </w:p>
        </w:tc>
        <w:tc>
          <w:tcPr>
            <w:tcW w:w="1687" w:type="dxa"/>
            <w:noWrap w:val="0"/>
            <w:vAlign w:val="top"/>
          </w:tcPr>
          <w:p w14:paraId="7967DDDE">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0.008%</w:t>
            </w:r>
          </w:p>
        </w:tc>
        <w:tc>
          <w:tcPr>
            <w:tcW w:w="1659" w:type="dxa"/>
            <w:noWrap w:val="0"/>
            <w:vAlign w:val="top"/>
          </w:tcPr>
          <w:p w14:paraId="02DDE0AB">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0.008%</w:t>
            </w:r>
          </w:p>
        </w:tc>
      </w:tr>
      <w:tr w14:paraId="608C1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4431C4C">
            <w:pPr>
              <w:spacing w:line="360" w:lineRule="auto"/>
              <w:rPr>
                <w:rFonts w:hint="eastAsia" w:ascii="宋体" w:hAnsi="宋体"/>
                <w:color w:val="auto"/>
                <w:szCs w:val="21"/>
                <w:highlight w:val="none"/>
              </w:rPr>
            </w:pPr>
            <w:r>
              <w:rPr>
                <w:rFonts w:hint="eastAsia" w:ascii="宋体" w:hAnsi="宋体"/>
                <w:color w:val="auto"/>
                <w:szCs w:val="21"/>
                <w:highlight w:val="none"/>
              </w:rPr>
              <w:t>50～100亿元</w:t>
            </w:r>
          </w:p>
        </w:tc>
        <w:tc>
          <w:tcPr>
            <w:tcW w:w="1659" w:type="dxa"/>
            <w:noWrap w:val="0"/>
            <w:vAlign w:val="top"/>
          </w:tcPr>
          <w:p w14:paraId="21C6EE63">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0.006%</w:t>
            </w:r>
          </w:p>
        </w:tc>
        <w:tc>
          <w:tcPr>
            <w:tcW w:w="1687" w:type="dxa"/>
            <w:noWrap w:val="0"/>
            <w:vAlign w:val="top"/>
          </w:tcPr>
          <w:p w14:paraId="0E1861A1">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0.006%</w:t>
            </w:r>
          </w:p>
        </w:tc>
        <w:tc>
          <w:tcPr>
            <w:tcW w:w="1659" w:type="dxa"/>
            <w:noWrap w:val="0"/>
            <w:vAlign w:val="top"/>
          </w:tcPr>
          <w:p w14:paraId="6131A16A">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0.006%</w:t>
            </w:r>
          </w:p>
        </w:tc>
      </w:tr>
      <w:tr w14:paraId="3A47E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C811CD9">
            <w:pPr>
              <w:spacing w:line="360" w:lineRule="auto"/>
              <w:rPr>
                <w:rFonts w:hint="eastAsia" w:ascii="宋体" w:hAnsi="宋体"/>
                <w:color w:val="auto"/>
                <w:szCs w:val="21"/>
                <w:highlight w:val="none"/>
              </w:rPr>
            </w:pPr>
            <w:r>
              <w:rPr>
                <w:rFonts w:hint="eastAsia" w:ascii="宋体" w:hAnsi="宋体"/>
                <w:color w:val="auto"/>
                <w:szCs w:val="21"/>
                <w:highlight w:val="none"/>
              </w:rPr>
              <w:t>100亿以上</w:t>
            </w:r>
          </w:p>
        </w:tc>
        <w:tc>
          <w:tcPr>
            <w:tcW w:w="1659" w:type="dxa"/>
            <w:noWrap w:val="0"/>
            <w:vAlign w:val="top"/>
          </w:tcPr>
          <w:p w14:paraId="19FDBAB5">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0.004%</w:t>
            </w:r>
          </w:p>
        </w:tc>
        <w:tc>
          <w:tcPr>
            <w:tcW w:w="1687" w:type="dxa"/>
            <w:noWrap w:val="0"/>
            <w:vAlign w:val="top"/>
          </w:tcPr>
          <w:p w14:paraId="0905A591">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0.004%</w:t>
            </w:r>
          </w:p>
        </w:tc>
        <w:tc>
          <w:tcPr>
            <w:tcW w:w="1659" w:type="dxa"/>
            <w:noWrap w:val="0"/>
            <w:vAlign w:val="top"/>
          </w:tcPr>
          <w:p w14:paraId="564002B9">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0.004%</w:t>
            </w:r>
          </w:p>
        </w:tc>
      </w:tr>
    </w:tbl>
    <w:p w14:paraId="7BDCA827">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注:</w:t>
      </w:r>
      <w:r>
        <w:rPr>
          <w:rFonts w:ascii="宋体" w:hAnsi="宋体" w:cs="宋体"/>
          <w:color w:val="auto"/>
          <w:szCs w:val="21"/>
          <w:highlight w:val="none"/>
        </w:rPr>
        <w:t xml:space="preserve"> </w:t>
      </w:r>
    </w:p>
    <w:p w14:paraId="7DBC4A7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按本表费率计算的收费为</w:t>
      </w:r>
      <w:r>
        <w:rPr>
          <w:rFonts w:hint="eastAsia" w:ascii="宋体" w:hAnsi="宋体" w:cs="宋体"/>
          <w:color w:val="auto"/>
          <w:szCs w:val="21"/>
          <w:highlight w:val="none"/>
        </w:rPr>
        <w:t>采购</w:t>
      </w:r>
      <w:r>
        <w:rPr>
          <w:rFonts w:ascii="宋体" w:hAnsi="宋体" w:cs="宋体"/>
          <w:color w:val="auto"/>
          <w:szCs w:val="21"/>
          <w:highlight w:val="none"/>
        </w:rPr>
        <w:t>代理的收费基准价格</w:t>
      </w:r>
      <w:r>
        <w:rPr>
          <w:rFonts w:hint="eastAsia" w:ascii="宋体" w:hAnsi="宋体" w:cs="宋体"/>
          <w:color w:val="auto"/>
          <w:szCs w:val="21"/>
          <w:highlight w:val="none"/>
        </w:rPr>
        <w:t>；</w:t>
      </w:r>
    </w:p>
    <w:p w14:paraId="55A286D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（2）采购</w:t>
      </w:r>
      <w:r>
        <w:rPr>
          <w:rFonts w:ascii="宋体" w:hAnsi="宋体" w:cs="宋体"/>
          <w:color w:val="auto"/>
          <w:szCs w:val="21"/>
          <w:highlight w:val="none"/>
        </w:rPr>
        <w:t>代理收费按差额定率累进法计算。</w:t>
      </w:r>
    </w:p>
    <w:p w14:paraId="4C99742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例如：某</w:t>
      </w:r>
      <w:r>
        <w:rPr>
          <w:rFonts w:hint="eastAsia" w:ascii="宋体" w:hAnsi="宋体" w:cs="宋体"/>
          <w:color w:val="auto"/>
          <w:szCs w:val="21"/>
          <w:highlight w:val="none"/>
        </w:rPr>
        <w:t>服务采购</w:t>
      </w:r>
      <w:r>
        <w:rPr>
          <w:rFonts w:ascii="宋体" w:hAnsi="宋体" w:cs="宋体"/>
          <w:color w:val="auto"/>
          <w:szCs w:val="21"/>
          <w:highlight w:val="none"/>
        </w:rPr>
        <w:t>代理业务</w:t>
      </w:r>
      <w:r>
        <w:rPr>
          <w:rFonts w:hint="eastAsia" w:ascii="宋体" w:hAnsi="宋体" w:cs="宋体"/>
          <w:color w:val="auto"/>
          <w:szCs w:val="21"/>
          <w:highlight w:val="none"/>
        </w:rPr>
        <w:t>中标</w:t>
      </w:r>
      <w:r>
        <w:rPr>
          <w:rFonts w:ascii="宋体" w:hAnsi="宋体" w:cs="宋体"/>
          <w:color w:val="auto"/>
          <w:szCs w:val="21"/>
          <w:highlight w:val="none"/>
        </w:rPr>
        <w:t>金额</w:t>
      </w:r>
      <w:r>
        <w:rPr>
          <w:rFonts w:hint="eastAsia" w:ascii="宋体" w:hAnsi="宋体" w:cs="宋体"/>
          <w:color w:val="auto"/>
          <w:szCs w:val="21"/>
          <w:highlight w:val="none"/>
        </w:rPr>
        <w:t>或者暂定价</w:t>
      </w:r>
      <w:r>
        <w:rPr>
          <w:rFonts w:ascii="宋体" w:hAnsi="宋体" w:cs="宋体"/>
          <w:color w:val="auto"/>
          <w:szCs w:val="21"/>
          <w:highlight w:val="none"/>
        </w:rPr>
        <w:t>为200万元，计算</w:t>
      </w:r>
      <w:r>
        <w:rPr>
          <w:rFonts w:hint="eastAsia" w:ascii="宋体" w:hAnsi="宋体" w:cs="宋体"/>
          <w:color w:val="auto"/>
          <w:szCs w:val="21"/>
          <w:highlight w:val="none"/>
        </w:rPr>
        <w:t>采购</w:t>
      </w:r>
      <w:r>
        <w:rPr>
          <w:rFonts w:ascii="宋体" w:hAnsi="宋体" w:cs="宋体"/>
          <w:color w:val="auto"/>
          <w:szCs w:val="21"/>
          <w:highlight w:val="none"/>
        </w:rPr>
        <w:t>代理收费额如下：</w:t>
      </w:r>
    </w:p>
    <w:p w14:paraId="7D45477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100 万元×l.5 %＝ 1.5 万元</w:t>
      </w:r>
    </w:p>
    <w:p w14:paraId="0218D71A">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 200 － 100 ）万元 ×0.8%＝0.8万元</w:t>
      </w:r>
    </w:p>
    <w:p w14:paraId="2D12AE9A">
      <w:pPr>
        <w:pStyle w:val="27"/>
        <w:snapToGrid w:val="0"/>
        <w:spacing w:line="360" w:lineRule="auto"/>
        <w:ind w:firstLine="420" w:firstLineChars="200"/>
        <w:rPr>
          <w:rFonts w:hAnsi="宋体" w:cs="宋体"/>
          <w:color w:val="auto"/>
          <w:sz w:val="21"/>
          <w:highlight w:val="none"/>
        </w:rPr>
      </w:pPr>
      <w:r>
        <w:rPr>
          <w:rFonts w:hAnsi="宋体" w:cs="宋体"/>
          <w:color w:val="auto"/>
          <w:sz w:val="21"/>
          <w:highlight w:val="none"/>
        </w:rPr>
        <w:t>合计收费＝ 1.5</w:t>
      </w:r>
      <w:r>
        <w:rPr>
          <w:rFonts w:hint="eastAsia" w:hAnsi="宋体" w:cs="宋体"/>
          <w:color w:val="auto"/>
          <w:sz w:val="21"/>
          <w:highlight w:val="none"/>
        </w:rPr>
        <w:t>+</w:t>
      </w:r>
      <w:r>
        <w:rPr>
          <w:rFonts w:hAnsi="宋体" w:cs="宋体"/>
          <w:color w:val="auto"/>
          <w:sz w:val="21"/>
          <w:highlight w:val="none"/>
        </w:rPr>
        <w:t>0.8＝ 2.3（万元）</w:t>
      </w:r>
    </w:p>
    <w:p w14:paraId="3419918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 xml:space="preserve">32.9 </w:t>
      </w:r>
      <w:r>
        <w:rPr>
          <w:rFonts w:hint="eastAsia" w:ascii="宋体" w:hAnsi="宋体" w:cs="宋体"/>
          <w:color w:val="auto"/>
          <w:szCs w:val="21"/>
          <w:highlight w:val="none"/>
        </w:rPr>
        <w:t>代理服务费交纳</w:t>
      </w:r>
      <w:r>
        <w:rPr>
          <w:rFonts w:ascii="宋体" w:hAnsi="宋体" w:cs="宋体"/>
          <w:color w:val="auto"/>
          <w:szCs w:val="21"/>
          <w:highlight w:val="none"/>
        </w:rPr>
        <w:t>银行</w:t>
      </w:r>
      <w:r>
        <w:rPr>
          <w:rFonts w:hint="eastAsia" w:ascii="宋体" w:hAnsi="宋体" w:cs="宋体"/>
          <w:color w:val="auto"/>
          <w:szCs w:val="21"/>
          <w:highlight w:val="none"/>
        </w:rPr>
        <w:t>账</w:t>
      </w:r>
      <w:r>
        <w:rPr>
          <w:rFonts w:ascii="宋体" w:hAnsi="宋体" w:cs="宋体"/>
          <w:color w:val="auto"/>
          <w:szCs w:val="21"/>
          <w:highlight w:val="none"/>
        </w:rPr>
        <w:t>号信息</w:t>
      </w:r>
    </w:p>
    <w:p w14:paraId="028E061B">
      <w:pPr>
        <w:pStyle w:val="6"/>
        <w:keepNext w:val="0"/>
        <w:keepLines w:val="0"/>
        <w:spacing w:before="0" w:after="0" w:line="360" w:lineRule="auto"/>
        <w:ind w:left="420" w:leftChars="200"/>
        <w:rPr>
          <w:rFonts w:hint="eastAsia" w:ascii="宋体" w:hAnsi="宋体" w:cs="宋体"/>
          <w:b w:val="0"/>
          <w:color w:val="auto"/>
          <w:kern w:val="0"/>
          <w:sz w:val="21"/>
          <w:szCs w:val="21"/>
          <w:highlight w:val="none"/>
        </w:rPr>
      </w:pPr>
      <w:r>
        <w:rPr>
          <w:rFonts w:hint="eastAsia" w:ascii="宋体" w:hAnsi="宋体" w:cs="宋体"/>
          <w:b w:val="0"/>
          <w:color w:val="auto"/>
          <w:kern w:val="0"/>
          <w:sz w:val="21"/>
          <w:szCs w:val="21"/>
          <w:highlight w:val="none"/>
        </w:rPr>
        <w:t>开户名称：广西科文招标有限公司南宁三分公司</w:t>
      </w:r>
    </w:p>
    <w:p w14:paraId="18E510F9">
      <w:pPr>
        <w:pStyle w:val="6"/>
        <w:keepNext w:val="0"/>
        <w:keepLines w:val="0"/>
        <w:spacing w:before="0" w:after="0" w:line="360" w:lineRule="auto"/>
        <w:ind w:left="420" w:leftChars="200"/>
        <w:rPr>
          <w:rFonts w:hint="eastAsia" w:ascii="宋体" w:hAnsi="宋体" w:cs="宋体"/>
          <w:b w:val="0"/>
          <w:color w:val="auto"/>
          <w:kern w:val="0"/>
          <w:sz w:val="21"/>
          <w:szCs w:val="21"/>
          <w:highlight w:val="none"/>
        </w:rPr>
      </w:pPr>
      <w:r>
        <w:rPr>
          <w:rFonts w:hint="eastAsia" w:ascii="宋体" w:hAnsi="宋体" w:cs="宋体"/>
          <w:b w:val="0"/>
          <w:color w:val="auto"/>
          <w:kern w:val="0"/>
          <w:sz w:val="21"/>
          <w:szCs w:val="21"/>
          <w:highlight w:val="none"/>
        </w:rPr>
        <w:t>开户银行：广西北部湾银行股份有限公司南宁市云景支行</w:t>
      </w:r>
    </w:p>
    <w:p w14:paraId="798A5ED0">
      <w:pPr>
        <w:pStyle w:val="6"/>
        <w:keepNext w:val="0"/>
        <w:keepLines w:val="0"/>
        <w:spacing w:before="0" w:after="0" w:line="360" w:lineRule="auto"/>
        <w:ind w:left="420" w:leftChars="200"/>
        <w:rPr>
          <w:rFonts w:hint="eastAsia" w:ascii="宋体" w:hAnsi="宋体" w:cs="宋体"/>
          <w:b w:val="0"/>
          <w:color w:val="auto"/>
          <w:kern w:val="0"/>
          <w:sz w:val="21"/>
          <w:szCs w:val="21"/>
          <w:highlight w:val="none"/>
        </w:rPr>
      </w:pPr>
      <w:r>
        <w:rPr>
          <w:rFonts w:hint="eastAsia" w:ascii="宋体" w:hAnsi="宋体" w:cs="宋体"/>
          <w:b w:val="0"/>
          <w:color w:val="auto"/>
          <w:kern w:val="0"/>
          <w:sz w:val="21"/>
          <w:szCs w:val="21"/>
          <w:highlight w:val="none"/>
        </w:rPr>
        <w:t>银行账号：805029874400001</w:t>
      </w:r>
    </w:p>
    <w:p w14:paraId="2EDF1A63">
      <w:pPr>
        <w:pStyle w:val="6"/>
        <w:keepNext w:val="0"/>
        <w:keepLines w:val="0"/>
        <w:spacing w:before="0" w:after="0" w:line="360" w:lineRule="auto"/>
        <w:ind w:left="420" w:leftChars="200"/>
        <w:rPr>
          <w:rFonts w:ascii="黑体" w:hAnsi="黑体" w:eastAsia="黑体"/>
          <w:color w:val="auto"/>
          <w:sz w:val="24"/>
          <w:highlight w:val="none"/>
        </w:rPr>
      </w:pPr>
      <w:r>
        <w:rPr>
          <w:rFonts w:ascii="黑体" w:hAnsi="黑体" w:eastAsia="黑体"/>
          <w:color w:val="auto"/>
          <w:sz w:val="24"/>
          <w:highlight w:val="none"/>
        </w:rPr>
        <w:t>40. 需要补充的其他内容</w:t>
      </w:r>
    </w:p>
    <w:p w14:paraId="1E9F5FEB">
      <w:pPr>
        <w:pStyle w:val="27"/>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40.1本招标文件解释规则详见“投标人须知前附表”。</w:t>
      </w:r>
    </w:p>
    <w:p w14:paraId="2DB88C06">
      <w:pPr>
        <w:pStyle w:val="27"/>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40.2 其他事项详见“投标人须知前附表”。</w:t>
      </w:r>
    </w:p>
    <w:p w14:paraId="661B2459">
      <w:pPr>
        <w:pStyle w:val="27"/>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40.3</w:t>
      </w:r>
      <w:bookmarkStart w:id="134" w:name="_Hlk65857140"/>
      <w:r>
        <w:rPr>
          <w:rFonts w:hint="eastAsia" w:hAnsi="宋体" w:cs="宋体"/>
          <w:color w:val="auto"/>
          <w:sz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投标人提供的货物、工程或者服务符合下列情形的，享受本招标文件规定的中小企业扶持政策：</w:t>
      </w:r>
    </w:p>
    <w:p w14:paraId="47BEC367">
      <w:pPr>
        <w:pStyle w:val="27"/>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6326B916">
      <w:pPr>
        <w:pStyle w:val="27"/>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2015D4DB">
      <w:pPr>
        <w:pStyle w:val="27"/>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21228C49">
      <w:pPr>
        <w:pStyle w:val="27"/>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在货物采购项目中，投标人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03B8FF57">
      <w:pPr>
        <w:pStyle w:val="27"/>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bookmarkEnd w:id="134"/>
    </w:p>
    <w:p w14:paraId="1B14A24C">
      <w:pPr>
        <w:pStyle w:val="27"/>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lang w:val="en-US" w:eastAsia="zh-CN"/>
        </w:rPr>
        <w:t>40.4</w:t>
      </w:r>
      <w:r>
        <w:rPr>
          <w:rFonts w:hint="eastAsia" w:hAnsi="宋体" w:cs="宋体"/>
          <w:color w:val="auto"/>
          <w:sz w:val="21"/>
          <w:highlight w:val="none"/>
        </w:rPr>
        <w:t>本国产品标准</w:t>
      </w:r>
    </w:p>
    <w:p w14:paraId="40F1FB4A">
      <w:pPr>
        <w:pStyle w:val="27"/>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本国产品应当符合以下条件：</w:t>
      </w:r>
    </w:p>
    <w:p w14:paraId="18F44AC0">
      <w:pPr>
        <w:pStyle w:val="27"/>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（一）在中国境内生产</w:t>
      </w:r>
    </w:p>
    <w:p w14:paraId="49C6F110">
      <w:pPr>
        <w:pStyle w:val="27"/>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产品应当在中国境内生产，即在中华人民共和国关境内实现从原材料、组件到产品的属性改变。</w:t>
      </w:r>
    </w:p>
    <w:p w14:paraId="110119FB">
      <w:pPr>
        <w:pStyle w:val="27"/>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属性改变是指经过制造、加工或者组装等工序，产生完全不同于原材料、组件的新产品，并具有新的名称和特征（用途）。属性改变不包括以下细微操作：</w:t>
      </w:r>
    </w:p>
    <w:p w14:paraId="4FDE908F">
      <w:pPr>
        <w:pStyle w:val="27"/>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1.为确保产品在运输或者储存期间保持某种状态而进行的操作；</w:t>
      </w:r>
    </w:p>
    <w:p w14:paraId="00F5A1D0">
      <w:pPr>
        <w:pStyle w:val="27"/>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2.为产品运输或者销售进行的包装或者展示；</w:t>
      </w:r>
    </w:p>
    <w:p w14:paraId="7BFD171B">
      <w:pPr>
        <w:pStyle w:val="27"/>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3.在产品或者其包装上粘贴或者印刷品牌、标志、标识以及其他用于区别的标记；</w:t>
      </w:r>
    </w:p>
    <w:p w14:paraId="15008AD7">
      <w:pPr>
        <w:pStyle w:val="27"/>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4.简单的上漆、磨光和分装；</w:t>
      </w:r>
    </w:p>
    <w:p w14:paraId="5F8537B2">
      <w:pPr>
        <w:pStyle w:val="27"/>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5.其他不属于属性改变的情形。</w:t>
      </w:r>
    </w:p>
    <w:p w14:paraId="75D5BBED">
      <w:pPr>
        <w:pStyle w:val="27"/>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（二）在中国境内生产的组件成本占比达到规定比例</w:t>
      </w:r>
    </w:p>
    <w:p w14:paraId="12CD5FE1">
      <w:pPr>
        <w:pStyle w:val="27"/>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产品在中国境内生产的组件成本占比应当达到规定比例，计算公式为：</w:t>
      </w:r>
    </w:p>
    <w:p w14:paraId="1CA41850">
      <w:pPr>
        <w:pStyle w:val="27"/>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drawing>
          <wp:inline distT="0" distB="0" distL="114300" distR="114300">
            <wp:extent cx="4829175" cy="762000"/>
            <wp:effectExtent l="0" t="0" r="9525" b="0"/>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14"/>
                    <a:stretch>
                      <a:fillRect/>
                    </a:stretch>
                  </pic:blipFill>
                  <pic:spPr>
                    <a:xfrm>
                      <a:off x="0" y="0"/>
                      <a:ext cx="4829175" cy="762000"/>
                    </a:xfrm>
                    <a:prstGeom prst="rect">
                      <a:avLst/>
                    </a:prstGeom>
                    <a:noFill/>
                    <a:ln w="9525">
                      <a:noFill/>
                    </a:ln>
                  </pic:spPr>
                </pic:pic>
              </a:graphicData>
            </a:graphic>
          </wp:inline>
        </w:drawing>
      </w:r>
    </w:p>
    <w:p w14:paraId="016E1C30">
      <w:pPr>
        <w:pStyle w:val="27"/>
        <w:spacing w:before="120" w:after="120" w:line="360" w:lineRule="auto"/>
        <w:ind w:firstLine="420" w:firstLineChars="200"/>
        <w:contextualSpacing/>
        <w:rPr>
          <w:rFonts w:hint="eastAsia" w:hAnsi="宋体" w:cs="宋体"/>
          <w:color w:val="auto"/>
          <w:sz w:val="21"/>
          <w:highlight w:val="none"/>
        </w:rPr>
      </w:pPr>
    </w:p>
    <w:p w14:paraId="6B5A8FF9">
      <w:pPr>
        <w:pStyle w:val="27"/>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761FCFBA">
      <w:pPr>
        <w:pStyle w:val="27"/>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（三）特定产品的关键组件、关键工序符合相关要求</w:t>
      </w:r>
    </w:p>
    <w:p w14:paraId="07A3F5C0">
      <w:pPr>
        <w:pStyle w:val="27"/>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对特定产品，在符合本通知第一条第（一）项和第（二）项条件的基础上，应当符合财政部会同有关行业主管部门确定的其关键组件、关键工序在中国境内生产、完成等要求。</w:t>
      </w:r>
    </w:p>
    <w:p w14:paraId="791B9EAA">
      <w:pPr>
        <w:pStyle w:val="27"/>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2B69F8E4">
      <w:pPr>
        <w:pStyle w:val="27"/>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40.5本国产品标准的适用范围</w:t>
      </w:r>
    </w:p>
    <w:p w14:paraId="2626CB2F">
      <w:pPr>
        <w:pStyle w:val="27"/>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1311CE0">
      <w:pPr>
        <w:pStyle w:val="27"/>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40.6对本国产品的支持政策</w:t>
      </w:r>
    </w:p>
    <w:p w14:paraId="16B22A44">
      <w:pPr>
        <w:pStyle w:val="27"/>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政府采购活动中既有本国产品又有非本国产品参与竞争的，依法对本国产品给予价格评审优惠，对本国产品的报价给予20%的价格扣除，用扣除后的价格参与评审。</w:t>
      </w:r>
    </w:p>
    <w:p w14:paraId="4B91AC94">
      <w:pPr>
        <w:pStyle w:val="27"/>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E3DD634">
      <w:pPr>
        <w:pStyle w:val="27"/>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40.7政府采购异常低价审查</w:t>
      </w:r>
    </w:p>
    <w:p w14:paraId="68D683C3">
      <w:pPr>
        <w:pStyle w:val="27"/>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（一）政府采购评审中出现下列情形之一的，评审委员会应当启动异常低价投标（响应）审查程序：</w:t>
      </w:r>
    </w:p>
    <w:p w14:paraId="6C7DF061">
      <w:pPr>
        <w:pStyle w:val="27"/>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1.投标（响应）报价低于全部通过符合性审查供应商投标（响应）报价平均值65%的，即投标（响应）报价&lt;全部通过符合性审查供应商投标（响应）报价平均值×65%；</w:t>
      </w:r>
    </w:p>
    <w:p w14:paraId="451313C1">
      <w:pPr>
        <w:pStyle w:val="27"/>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2.投标（响应）报价低于通过符合性审查的次低报价供应商投标（响应）报价65%的，即投标（响应）报价&lt;通过符合性审查的次低报价供应商投标（响应）报价×65%；</w:t>
      </w:r>
    </w:p>
    <w:p w14:paraId="496A785D">
      <w:pPr>
        <w:pStyle w:val="27"/>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3.投标（响应）报价低于采购项目最高限价65%的，即投标（响应）报价&lt;采购项目最高限价×65%；</w:t>
      </w:r>
    </w:p>
    <w:p w14:paraId="241C0493">
      <w:pPr>
        <w:pStyle w:val="27"/>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4.评审委员会基于专业判断，认为供应商报价过低，有可能影响产品质量或者不能诚信履约的其他情形。</w:t>
      </w:r>
    </w:p>
    <w:p w14:paraId="75927F5A">
      <w:pPr>
        <w:pStyle w:val="27"/>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相关法律法规对供应商报价有规定的，从其规定。</w:t>
      </w:r>
    </w:p>
    <w:p w14:paraId="71D7A91A">
      <w:pPr>
        <w:pStyle w:val="27"/>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E5B57F4">
      <w:pPr>
        <w:pStyle w:val="27"/>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FB11E4C">
      <w:pPr>
        <w:pStyle w:val="27"/>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3F6CE08">
      <w:pPr>
        <w:pStyle w:val="27"/>
        <w:spacing w:before="120" w:after="120" w:line="360" w:lineRule="auto"/>
        <w:ind w:firstLine="420" w:firstLineChars="200"/>
        <w:contextualSpacing/>
        <w:rPr>
          <w:rFonts w:hint="default" w:hAnsi="宋体" w:cs="宋体"/>
          <w:color w:val="auto"/>
          <w:sz w:val="21"/>
          <w:highlight w:val="none"/>
          <w:lang w:val="en-US" w:eastAsia="zh-CN"/>
        </w:rPr>
      </w:pPr>
      <w:r>
        <w:rPr>
          <w:rFonts w:hint="eastAsia" w:hAnsi="宋体" w:cs="宋体"/>
          <w:color w:val="auto"/>
          <w:sz w:val="21"/>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4488540C">
      <w:pPr>
        <w:pStyle w:val="27"/>
        <w:spacing w:before="120" w:after="120" w:line="360" w:lineRule="auto"/>
        <w:ind w:firstLine="420" w:firstLineChars="200"/>
        <w:contextualSpacing/>
        <w:rPr>
          <w:rFonts w:hint="default" w:hAnsi="宋体" w:cs="宋体"/>
          <w:color w:val="auto"/>
          <w:sz w:val="21"/>
          <w:highlight w:val="none"/>
          <w:lang w:val="en-US" w:eastAsia="zh-CN"/>
        </w:rPr>
      </w:pPr>
    </w:p>
    <w:p w14:paraId="07617C72">
      <w:pPr>
        <w:pStyle w:val="20"/>
        <w:ind w:left="479" w:leftChars="114" w:hanging="240" w:hangingChars="100"/>
        <w:rPr>
          <w:rFonts w:hAnsi="宋体"/>
          <w:color w:val="auto"/>
          <w:highlight w:val="none"/>
        </w:rPr>
      </w:pPr>
    </w:p>
    <w:p w14:paraId="362A6022">
      <w:pPr>
        <w:pStyle w:val="20"/>
        <w:ind w:left="479" w:leftChars="114" w:hanging="240" w:hangingChars="100"/>
        <w:rPr>
          <w:rFonts w:hAnsi="宋体"/>
          <w:color w:val="auto"/>
          <w:highlight w:val="none"/>
        </w:rPr>
      </w:pPr>
    </w:p>
    <w:p w14:paraId="7094AC43">
      <w:pPr>
        <w:pStyle w:val="20"/>
        <w:ind w:left="479" w:leftChars="114" w:hanging="240" w:hangingChars="100"/>
        <w:rPr>
          <w:rFonts w:hAnsi="宋体"/>
          <w:color w:val="auto"/>
          <w:highlight w:val="none"/>
        </w:rPr>
      </w:pPr>
    </w:p>
    <w:p w14:paraId="39B66B17">
      <w:pPr>
        <w:pStyle w:val="20"/>
        <w:ind w:left="479" w:leftChars="114" w:hanging="240" w:hangingChars="100"/>
        <w:rPr>
          <w:rFonts w:hint="eastAsia" w:hAnsi="宋体"/>
          <w:color w:val="auto"/>
          <w:highlight w:val="none"/>
        </w:rPr>
      </w:pPr>
    </w:p>
    <w:p w14:paraId="24451026">
      <w:pPr>
        <w:pStyle w:val="27"/>
        <w:snapToGrid w:val="0"/>
        <w:spacing w:before="120" w:after="120"/>
        <w:rPr>
          <w:rFonts w:hint="eastAsia" w:hAnsi="宋体"/>
          <w:color w:val="auto"/>
          <w:highlight w:val="none"/>
        </w:rPr>
      </w:pPr>
    </w:p>
    <w:p w14:paraId="62FF4D46">
      <w:pPr>
        <w:pStyle w:val="27"/>
        <w:snapToGrid w:val="0"/>
        <w:spacing w:before="120" w:after="120"/>
        <w:rPr>
          <w:rFonts w:hint="eastAsia" w:hAnsi="宋体"/>
          <w:color w:val="auto"/>
          <w:highlight w:val="none"/>
        </w:rPr>
      </w:pPr>
    </w:p>
    <w:p w14:paraId="28B1C3F9">
      <w:pPr>
        <w:pStyle w:val="27"/>
        <w:snapToGrid w:val="0"/>
        <w:spacing w:before="120" w:after="120"/>
        <w:rPr>
          <w:rFonts w:hint="eastAsia" w:hAnsi="宋体"/>
          <w:color w:val="auto"/>
          <w:highlight w:val="none"/>
        </w:rPr>
      </w:pPr>
    </w:p>
    <w:p w14:paraId="768BE7A8">
      <w:pPr>
        <w:pStyle w:val="27"/>
        <w:snapToGrid w:val="0"/>
        <w:spacing w:before="120" w:after="120"/>
        <w:rPr>
          <w:rFonts w:hint="eastAsia" w:hAnsi="宋体"/>
          <w:color w:val="auto"/>
          <w:highlight w:val="none"/>
        </w:rPr>
      </w:pPr>
    </w:p>
    <w:p w14:paraId="5AAEC9BC">
      <w:pPr>
        <w:pStyle w:val="27"/>
        <w:snapToGrid w:val="0"/>
        <w:spacing w:before="120" w:after="120"/>
        <w:rPr>
          <w:rFonts w:hint="eastAsia" w:hAnsi="宋体"/>
          <w:color w:val="auto"/>
          <w:highlight w:val="none"/>
        </w:rPr>
      </w:pPr>
    </w:p>
    <w:p w14:paraId="378FD702">
      <w:pPr>
        <w:pStyle w:val="27"/>
        <w:snapToGrid w:val="0"/>
        <w:spacing w:before="120" w:after="120"/>
        <w:rPr>
          <w:rFonts w:hint="eastAsia" w:hAnsi="宋体"/>
          <w:color w:val="auto"/>
          <w:highlight w:val="none"/>
        </w:rPr>
      </w:pPr>
    </w:p>
    <w:p w14:paraId="7D2B6AA7">
      <w:pPr>
        <w:pStyle w:val="2"/>
        <w:jc w:val="center"/>
        <w:rPr>
          <w:rFonts w:hint="eastAsia"/>
          <w:color w:val="auto"/>
          <w:highlight w:val="none"/>
        </w:rPr>
      </w:pPr>
      <w:bookmarkStart w:id="135" w:name="_Toc22041"/>
      <w:bookmarkStart w:id="136" w:name="_Toc330456896"/>
      <w:bookmarkStart w:id="137" w:name="_Toc254970689"/>
      <w:bookmarkStart w:id="138" w:name="_Toc254970548"/>
      <w:r>
        <w:rPr>
          <w:rFonts w:hint="eastAsia"/>
          <w:color w:val="auto"/>
          <w:highlight w:val="none"/>
        </w:rPr>
        <w:t>第四章  评标方法及评标标准</w:t>
      </w:r>
      <w:bookmarkEnd w:id="135"/>
      <w:bookmarkEnd w:id="136"/>
      <w:bookmarkEnd w:id="137"/>
      <w:bookmarkEnd w:id="138"/>
    </w:p>
    <w:p w14:paraId="48E3D566">
      <w:pPr>
        <w:pStyle w:val="27"/>
        <w:spacing w:before="120" w:after="120"/>
        <w:outlineLvl w:val="0"/>
        <w:rPr>
          <w:rFonts w:hint="eastAsia" w:hAnsi="宋体"/>
          <w:b/>
          <w:color w:val="auto"/>
          <w:highlight w:val="none"/>
        </w:rPr>
      </w:pPr>
      <w:bookmarkStart w:id="139" w:name="_Toc254970690"/>
      <w:bookmarkStart w:id="140" w:name="_Toc254970549"/>
    </w:p>
    <w:bookmarkEnd w:id="139"/>
    <w:bookmarkEnd w:id="140"/>
    <w:p w14:paraId="7C01C6C0">
      <w:pPr>
        <w:pStyle w:val="27"/>
        <w:spacing w:before="120" w:after="120"/>
        <w:outlineLvl w:val="0"/>
        <w:rPr>
          <w:rFonts w:hint="eastAsia" w:hAnsi="宋体"/>
          <w:bCs/>
          <w:color w:val="auto"/>
          <w:sz w:val="32"/>
          <w:szCs w:val="32"/>
          <w:highlight w:val="none"/>
        </w:rPr>
      </w:pPr>
    </w:p>
    <w:p w14:paraId="46A24610">
      <w:pPr>
        <w:pStyle w:val="27"/>
        <w:spacing w:before="120" w:after="120"/>
        <w:outlineLvl w:val="0"/>
        <w:rPr>
          <w:rFonts w:hint="eastAsia" w:hAnsi="宋体"/>
          <w:bCs/>
          <w:color w:val="auto"/>
          <w:sz w:val="32"/>
          <w:szCs w:val="32"/>
          <w:highlight w:val="none"/>
        </w:rPr>
      </w:pPr>
    </w:p>
    <w:p w14:paraId="27C42AAA">
      <w:pPr>
        <w:pStyle w:val="27"/>
        <w:spacing w:before="120" w:after="120"/>
        <w:outlineLvl w:val="0"/>
        <w:rPr>
          <w:rFonts w:hint="eastAsia" w:hAnsi="宋体"/>
          <w:bCs/>
          <w:color w:val="auto"/>
          <w:sz w:val="32"/>
          <w:szCs w:val="32"/>
          <w:highlight w:val="none"/>
        </w:rPr>
      </w:pPr>
    </w:p>
    <w:p w14:paraId="20AD120E">
      <w:pPr>
        <w:spacing w:before="120" w:beforeLines="50" w:after="120" w:afterLines="50" w:line="400" w:lineRule="exact"/>
        <w:rPr>
          <w:rFonts w:hint="eastAsia" w:ascii="宋体" w:hAnsi="宋体"/>
          <w:b/>
          <w:color w:val="auto"/>
          <w:sz w:val="24"/>
          <w:highlight w:val="none"/>
        </w:rPr>
      </w:pPr>
    </w:p>
    <w:p w14:paraId="71FB49AC">
      <w:pPr>
        <w:spacing w:before="120" w:beforeLines="50" w:after="120" w:afterLines="50" w:line="400" w:lineRule="exact"/>
        <w:rPr>
          <w:rFonts w:hint="eastAsia" w:ascii="宋体" w:hAnsi="宋体"/>
          <w:b/>
          <w:color w:val="auto"/>
          <w:sz w:val="24"/>
          <w:highlight w:val="none"/>
        </w:rPr>
      </w:pPr>
    </w:p>
    <w:p w14:paraId="429FF824">
      <w:pPr>
        <w:spacing w:before="120" w:beforeLines="50" w:after="120" w:afterLines="50" w:line="400" w:lineRule="exact"/>
        <w:rPr>
          <w:rFonts w:hint="eastAsia" w:ascii="宋体" w:hAnsi="宋体"/>
          <w:b/>
          <w:color w:val="auto"/>
          <w:sz w:val="24"/>
          <w:highlight w:val="none"/>
        </w:rPr>
      </w:pPr>
    </w:p>
    <w:p w14:paraId="286D8825">
      <w:pPr>
        <w:spacing w:before="120" w:beforeLines="50" w:after="120" w:afterLines="50" w:line="400" w:lineRule="exact"/>
        <w:rPr>
          <w:rFonts w:hint="eastAsia" w:ascii="宋体" w:hAnsi="宋体"/>
          <w:b/>
          <w:color w:val="auto"/>
          <w:sz w:val="24"/>
          <w:highlight w:val="none"/>
        </w:rPr>
      </w:pPr>
    </w:p>
    <w:p w14:paraId="161A9FF3">
      <w:pPr>
        <w:spacing w:before="120" w:beforeLines="50" w:after="120" w:afterLines="50" w:line="400" w:lineRule="exact"/>
        <w:rPr>
          <w:rFonts w:hint="eastAsia" w:ascii="宋体" w:hAnsi="宋体"/>
          <w:b/>
          <w:color w:val="auto"/>
          <w:sz w:val="24"/>
          <w:highlight w:val="none"/>
        </w:rPr>
      </w:pPr>
    </w:p>
    <w:p w14:paraId="479DBE10">
      <w:pPr>
        <w:spacing w:before="120" w:beforeLines="50" w:after="120" w:afterLines="50" w:line="400" w:lineRule="exact"/>
        <w:rPr>
          <w:rFonts w:hint="eastAsia" w:ascii="宋体" w:hAnsi="宋体"/>
          <w:b/>
          <w:color w:val="auto"/>
          <w:sz w:val="24"/>
          <w:highlight w:val="none"/>
        </w:rPr>
      </w:pPr>
    </w:p>
    <w:p w14:paraId="17D2F5E2">
      <w:pPr>
        <w:spacing w:before="120" w:beforeLines="50" w:after="120" w:afterLines="50" w:line="400" w:lineRule="exact"/>
        <w:rPr>
          <w:rFonts w:hint="eastAsia" w:ascii="宋体" w:hAnsi="宋体"/>
          <w:b/>
          <w:color w:val="auto"/>
          <w:sz w:val="24"/>
          <w:highlight w:val="none"/>
        </w:rPr>
      </w:pPr>
    </w:p>
    <w:p w14:paraId="5B2227D5">
      <w:pPr>
        <w:pStyle w:val="27"/>
        <w:spacing w:line="360" w:lineRule="exact"/>
        <w:rPr>
          <w:rFonts w:hint="eastAsia" w:hAnsi="宋体"/>
          <w:b/>
          <w:color w:val="auto"/>
          <w:sz w:val="24"/>
          <w:highlight w:val="none"/>
        </w:rPr>
      </w:pPr>
    </w:p>
    <w:p w14:paraId="38A470BA">
      <w:pPr>
        <w:pStyle w:val="4"/>
        <w:keepNext w:val="0"/>
        <w:keepLines w:val="0"/>
        <w:jc w:val="center"/>
        <w:rPr>
          <w:color w:val="auto"/>
          <w:sz w:val="30"/>
          <w:szCs w:val="30"/>
          <w:highlight w:val="none"/>
        </w:rPr>
      </w:pPr>
      <w:r>
        <w:rPr>
          <w:color w:val="auto"/>
          <w:sz w:val="30"/>
          <w:szCs w:val="30"/>
          <w:highlight w:val="none"/>
        </w:rPr>
        <w:br w:type="page"/>
      </w:r>
      <w:r>
        <w:rPr>
          <w:rFonts w:hint="eastAsia"/>
          <w:color w:val="auto"/>
          <w:sz w:val="30"/>
          <w:szCs w:val="30"/>
          <w:highlight w:val="none"/>
        </w:rPr>
        <w:t>一、评标方法</w:t>
      </w:r>
    </w:p>
    <w:p w14:paraId="57EA74A0">
      <w:pPr>
        <w:pStyle w:val="27"/>
        <w:spacing w:line="360" w:lineRule="auto"/>
        <w:ind w:firstLine="420"/>
        <w:rPr>
          <w:rFonts w:hAnsi="宋体"/>
          <w:color w:val="auto"/>
          <w:sz w:val="21"/>
          <w:highlight w:val="none"/>
        </w:rPr>
      </w:pPr>
      <w:r>
        <w:rPr>
          <w:rFonts w:hint="eastAsia" w:hAnsi="宋体"/>
          <w:color w:val="auto"/>
          <w:sz w:val="21"/>
          <w:highlight w:val="none"/>
        </w:rPr>
        <w:t>综合评分法，是指投标文件满足招标文件全部实质性要求，且按照评审因素的量化指标评审得分最高的投标人为中标候选人的评标方法。</w:t>
      </w:r>
    </w:p>
    <w:p w14:paraId="7D225C01">
      <w:pPr>
        <w:pStyle w:val="27"/>
        <w:spacing w:line="360" w:lineRule="auto"/>
        <w:ind w:firstLine="420"/>
        <w:rPr>
          <w:rFonts w:hAnsi="宋体"/>
          <w:color w:val="auto"/>
          <w:sz w:val="21"/>
          <w:highlight w:val="none"/>
        </w:rPr>
      </w:pPr>
      <w:r>
        <w:rPr>
          <w:rFonts w:hint="eastAsia" w:hAnsi="宋体"/>
          <w:color w:val="auto"/>
          <w:sz w:val="21"/>
          <w:highlight w:val="none"/>
        </w:rPr>
        <w:t>最低评标价法，是指投标文件满足招标文件全部实质性要求，且投标报价最低的投标人为中标候选人的评标方法。</w:t>
      </w:r>
    </w:p>
    <w:p w14:paraId="6F97E0B1">
      <w:pPr>
        <w:pStyle w:val="4"/>
        <w:keepNext w:val="0"/>
        <w:keepLines w:val="0"/>
        <w:jc w:val="center"/>
        <w:rPr>
          <w:rFonts w:hint="eastAsia"/>
          <w:color w:val="auto"/>
          <w:sz w:val="30"/>
          <w:szCs w:val="30"/>
          <w:highlight w:val="none"/>
        </w:rPr>
      </w:pPr>
      <w:r>
        <w:rPr>
          <w:rFonts w:hint="eastAsia"/>
          <w:color w:val="auto"/>
          <w:sz w:val="30"/>
          <w:szCs w:val="30"/>
          <w:highlight w:val="none"/>
        </w:rPr>
        <w:t>二、评标程序</w:t>
      </w:r>
    </w:p>
    <w:p w14:paraId="305434B2">
      <w:pPr>
        <w:pStyle w:val="6"/>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1.符合性审查</w:t>
      </w:r>
    </w:p>
    <w:p w14:paraId="0441516B">
      <w:pPr>
        <w:pStyle w:val="27"/>
        <w:snapToGrid w:val="0"/>
        <w:spacing w:line="360" w:lineRule="auto"/>
        <w:ind w:left="1" w:firstLine="420"/>
        <w:rPr>
          <w:rFonts w:hint="eastAsia" w:hAnsi="宋体"/>
          <w:b/>
          <w:color w:val="auto"/>
          <w:kern w:val="2"/>
          <w:sz w:val="21"/>
          <w:highlight w:val="none"/>
        </w:rPr>
      </w:pPr>
      <w:r>
        <w:rPr>
          <w:rFonts w:hint="eastAsia" w:hAnsi="宋体"/>
          <w:b/>
          <w:color w:val="auto"/>
          <w:kern w:val="2"/>
          <w:sz w:val="21"/>
          <w:highlight w:val="none"/>
        </w:rPr>
        <w:t>评标委员会应当对符合资格的投标人的投标文件进行投标报价、商务、技术等实质性内容符合性审查，以确定其是否满足招标文件的实质性要求。</w:t>
      </w:r>
    </w:p>
    <w:p w14:paraId="64E6BF7D">
      <w:pPr>
        <w:pStyle w:val="6"/>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符合性审查不通过而导致投标无效的情形</w:t>
      </w:r>
    </w:p>
    <w:p w14:paraId="23061CDB">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投标人的投标文件中存在对招标文件的任何实质性要求和条件的负偏离，将被视为投标无效。</w:t>
      </w:r>
    </w:p>
    <w:p w14:paraId="3356FE55">
      <w:pPr>
        <w:pStyle w:val="6"/>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2.1在报价评审时，如发现下列情形之一的，将被视为投标无效：</w:t>
      </w:r>
    </w:p>
    <w:p w14:paraId="1C728DD1">
      <w:pPr>
        <w:pStyle w:val="8"/>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未提供“投标人须知前附表”第13.1条规定中“必须提供”的文件资料的；</w:t>
      </w:r>
    </w:p>
    <w:p w14:paraId="1AA8A07F">
      <w:pPr>
        <w:pStyle w:val="8"/>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未采用人民币报价或者未按照招标文件标明的币种报价的；</w:t>
      </w:r>
    </w:p>
    <w:p w14:paraId="1E0D7F15">
      <w:pPr>
        <w:pStyle w:val="8"/>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各分标报价超出招标文件相应分标规定最高限价，或者超出相应分标采购预算金额的；</w:t>
      </w:r>
    </w:p>
    <w:p w14:paraId="2F9E0170">
      <w:pPr>
        <w:pStyle w:val="8"/>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3085442B">
      <w:pPr>
        <w:pStyle w:val="8"/>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修正后的报价，投标人不确认的；</w:t>
      </w:r>
    </w:p>
    <w:p w14:paraId="58520D39">
      <w:pPr>
        <w:pStyle w:val="8"/>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投标人属于本章第</w:t>
      </w:r>
      <w:r>
        <w:rPr>
          <w:rFonts w:ascii="宋体" w:hAnsi="宋体"/>
          <w:b/>
          <w:color w:val="auto"/>
          <w:szCs w:val="21"/>
          <w:highlight w:val="none"/>
        </w:rPr>
        <w:t>5.1</w:t>
      </w:r>
      <w:r>
        <w:rPr>
          <w:rFonts w:hint="eastAsia" w:ascii="宋体" w:hAnsi="宋体"/>
          <w:b/>
          <w:color w:val="auto"/>
          <w:szCs w:val="21"/>
          <w:highlight w:val="none"/>
        </w:rPr>
        <w:t>条（2）或者第5</w:t>
      </w:r>
      <w:r>
        <w:rPr>
          <w:rFonts w:ascii="宋体" w:hAnsi="宋体"/>
          <w:b/>
          <w:color w:val="auto"/>
          <w:szCs w:val="21"/>
          <w:highlight w:val="none"/>
        </w:rPr>
        <w:t>.2条</w:t>
      </w:r>
      <w:r>
        <w:rPr>
          <w:rFonts w:hint="eastAsia" w:ascii="宋体" w:hAnsi="宋体"/>
          <w:b/>
          <w:color w:val="auto"/>
          <w:szCs w:val="21"/>
          <w:highlight w:val="none"/>
        </w:rPr>
        <w:t>（2）项情形的；</w:t>
      </w:r>
    </w:p>
    <w:p w14:paraId="74EE82F9">
      <w:pPr>
        <w:pStyle w:val="8"/>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响应的标的数量及单位与招标文件要求实质性不一致的。</w:t>
      </w:r>
    </w:p>
    <w:p w14:paraId="052F3032">
      <w:pPr>
        <w:pStyle w:val="6"/>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2.2在商务评审时，如发现下列情形之一的，将被视为投标无效：</w:t>
      </w:r>
    </w:p>
    <w:p w14:paraId="3F5B48BC">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投标文件未按招标文件要求签署、盖章的；</w:t>
      </w:r>
    </w:p>
    <w:p w14:paraId="45EAC021">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委托代理人未能出具有效身份证或者出具的身份证与授权委托书中的信息不符的；</w:t>
      </w:r>
    </w:p>
    <w:p w14:paraId="6C377AAD">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为无效投标保证金的或者未按照招标文件的规定提交投标保证金的；</w:t>
      </w:r>
    </w:p>
    <w:p w14:paraId="3AC2158C">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投标文件未提供“投标人须知前附表”第13.</w:t>
      </w:r>
      <w:r>
        <w:rPr>
          <w:rFonts w:ascii="宋体" w:hAnsi="宋体"/>
          <w:b/>
          <w:color w:val="auto"/>
          <w:szCs w:val="21"/>
          <w:highlight w:val="none"/>
        </w:rPr>
        <w:t>1</w:t>
      </w:r>
      <w:r>
        <w:rPr>
          <w:rFonts w:hint="eastAsia" w:ascii="宋体" w:hAnsi="宋体"/>
          <w:b/>
          <w:color w:val="auto"/>
          <w:szCs w:val="21"/>
          <w:highlight w:val="none"/>
        </w:rPr>
        <w:t>条规定中“必须提供”或者“委托时必须提供”的文件资料的；</w:t>
      </w:r>
    </w:p>
    <w:p w14:paraId="7997F1C0">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商务要求评审允许负偏离的条款数超过“投标人须知前附表”规定项数的；</w:t>
      </w:r>
    </w:p>
    <w:p w14:paraId="73F709CD">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投标文件的实质性内容未使用中文表述、使用计量单位不符合招标文件要求的；</w:t>
      </w:r>
    </w:p>
    <w:p w14:paraId="32BC9271">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投标文件中的文件资料因填写不齐全或者内容虚假或者出现其他情形而导致被评标委员会认定无效的；</w:t>
      </w:r>
    </w:p>
    <w:p w14:paraId="4EB82FD0">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投标文件含有采购人不能接受的附加条件的；</w:t>
      </w:r>
    </w:p>
    <w:p w14:paraId="60687728">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属于投标人须知正文第</w:t>
      </w:r>
      <w:r>
        <w:rPr>
          <w:rFonts w:ascii="宋体" w:hAnsi="宋体"/>
          <w:b/>
          <w:color w:val="auto"/>
          <w:szCs w:val="21"/>
          <w:highlight w:val="none"/>
        </w:rPr>
        <w:t>9.2</w:t>
      </w:r>
      <w:r>
        <w:rPr>
          <w:rFonts w:hint="eastAsia" w:ascii="宋体" w:hAnsi="宋体"/>
          <w:b/>
          <w:color w:val="auto"/>
          <w:szCs w:val="21"/>
          <w:highlight w:val="none"/>
        </w:rPr>
        <w:t>条情形的；</w:t>
      </w:r>
    </w:p>
    <w:p w14:paraId="0AA30CA6">
      <w:pPr>
        <w:numPr>
          <w:ilvl w:val="0"/>
          <w:numId w:val="6"/>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投标文件标注的项目名称或者项目编号与招标文件标注的项目名称或者项目编号不一致的；</w:t>
      </w:r>
    </w:p>
    <w:p w14:paraId="6CBF36DE">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招标文件明确不允许分包，投标文件拟分包的；</w:t>
      </w:r>
    </w:p>
    <w:p w14:paraId="7AF7D1D2">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未响应招标文件实质性要求的；</w:t>
      </w:r>
    </w:p>
    <w:p w14:paraId="7097EBAE">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法律、法规和招标文件规定的其他无效情形。</w:t>
      </w:r>
    </w:p>
    <w:p w14:paraId="0CF7507D">
      <w:pPr>
        <w:pStyle w:val="6"/>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2.3在技术评审时，如发现下列情形之一的，将被视为投标无效：</w:t>
      </w:r>
    </w:p>
    <w:p w14:paraId="5C6BDDF9">
      <w:pPr>
        <w:pStyle w:val="22"/>
        <w:snapToGrid w:val="0"/>
        <w:spacing w:line="360" w:lineRule="auto"/>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（1）技术要求评审允许负偏离的条款数超过“投标人须知前附表”规定项数的；</w:t>
      </w:r>
    </w:p>
    <w:p w14:paraId="693580A8">
      <w:pPr>
        <w:pStyle w:val="22"/>
        <w:snapToGrid w:val="0"/>
        <w:spacing w:line="360" w:lineRule="auto"/>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（2）投标文件未提供“投标人须知前附表”第13.</w:t>
      </w:r>
      <w:r>
        <w:rPr>
          <w:rFonts w:ascii="宋体" w:hAnsi="宋体" w:eastAsia="宋体"/>
          <w:b/>
          <w:color w:val="auto"/>
          <w:kern w:val="2"/>
          <w:sz w:val="21"/>
          <w:szCs w:val="21"/>
          <w:highlight w:val="none"/>
        </w:rPr>
        <w:t>1</w:t>
      </w:r>
      <w:r>
        <w:rPr>
          <w:rFonts w:hint="eastAsia" w:ascii="宋体" w:hAnsi="宋体" w:eastAsia="宋体"/>
          <w:b/>
          <w:color w:val="auto"/>
          <w:kern w:val="2"/>
          <w:sz w:val="21"/>
          <w:szCs w:val="21"/>
          <w:highlight w:val="none"/>
        </w:rPr>
        <w:t>条规定中“必须提供”的文件资料的；</w:t>
      </w:r>
    </w:p>
    <w:p w14:paraId="001EC777">
      <w:pPr>
        <w:pStyle w:val="22"/>
        <w:snapToGrid w:val="0"/>
        <w:spacing w:line="360" w:lineRule="auto"/>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（3）虚假投标，或者出现其他情形而导致被评标委员会认定无效的；</w:t>
      </w:r>
    </w:p>
    <w:p w14:paraId="2E94B211">
      <w:pPr>
        <w:pStyle w:val="22"/>
        <w:snapToGrid w:val="0"/>
        <w:spacing w:line="360" w:lineRule="auto"/>
        <w:ind w:firstLine="413" w:firstLineChars="196"/>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（4）</w:t>
      </w:r>
      <w:bookmarkStart w:id="141" w:name="_Hlk71706244"/>
      <w:r>
        <w:rPr>
          <w:rFonts w:hint="eastAsia" w:ascii="宋体" w:hAnsi="宋体" w:eastAsia="宋体"/>
          <w:b/>
          <w:color w:val="auto"/>
          <w:kern w:val="2"/>
          <w:sz w:val="21"/>
          <w:szCs w:val="21"/>
          <w:highlight w:val="none"/>
        </w:rPr>
        <w:t>招标文件未载明允许提供备选（替代）投标方案或明确不允许提供备选（替代）投标方案时，投标人提供了备选（替代）投标方案的；</w:t>
      </w:r>
      <w:bookmarkEnd w:id="141"/>
    </w:p>
    <w:p w14:paraId="47C7ADBD">
      <w:pPr>
        <w:pStyle w:val="22"/>
        <w:snapToGrid w:val="0"/>
        <w:spacing w:line="360" w:lineRule="auto"/>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（5）未响应招标文件实质性要求的。</w:t>
      </w:r>
    </w:p>
    <w:p w14:paraId="70605ACA">
      <w:pPr>
        <w:pStyle w:val="22"/>
        <w:snapToGrid w:val="0"/>
        <w:spacing w:line="360" w:lineRule="auto"/>
        <w:ind w:firstLine="413" w:firstLineChars="196"/>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2.4通过符合性审查的投标人不足3家，评标委员会不得继续评标，并出具评标报告。</w:t>
      </w:r>
    </w:p>
    <w:p w14:paraId="260803F2">
      <w:pPr>
        <w:pStyle w:val="6"/>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澄清补正</w:t>
      </w:r>
    </w:p>
    <w:p w14:paraId="43A82EEB">
      <w:pPr>
        <w:snapToGrid w:val="0"/>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对投标文件中含义不明确、同类问题表述不一致或者有明显文字和计算错误的内容，评标委员会以</w:t>
      </w:r>
      <w:r>
        <w:rPr>
          <w:rFonts w:hint="eastAsia" w:ascii="宋体" w:hAnsi="宋体" w:cs="宋体"/>
          <w:color w:val="auto"/>
          <w:szCs w:val="21"/>
          <w:highlight w:val="none"/>
        </w:rPr>
        <w:t>电子澄清函形式</w:t>
      </w:r>
      <w:r>
        <w:rPr>
          <w:rFonts w:hint="eastAsia" w:ascii="宋体" w:hAnsi="宋体" w:cs="Courier New"/>
          <w:color w:val="auto"/>
          <w:szCs w:val="21"/>
          <w:highlight w:val="none"/>
        </w:rPr>
        <w:t>要求投标人在规定时间内作出必要的澄清、说明或者纠正。投标人的澄清、说明或者补正必须采用</w:t>
      </w:r>
      <w:r>
        <w:rPr>
          <w:rFonts w:hint="eastAsia" w:ascii="宋体" w:hAnsi="宋体" w:cs="宋体"/>
          <w:color w:val="auto"/>
          <w:szCs w:val="21"/>
          <w:highlight w:val="none"/>
        </w:rPr>
        <w:t>电子回函形式</w:t>
      </w:r>
      <w:r>
        <w:rPr>
          <w:rFonts w:hint="eastAsia" w:ascii="宋体" w:hAnsi="宋体" w:cs="Courier New"/>
          <w:color w:val="auto"/>
          <w:szCs w:val="21"/>
          <w:highlight w:val="none"/>
        </w:rPr>
        <w:t>，并加盖投标人公章，或者由法定代表人或者其授权的代表签字。投标人的澄清、说明或者补正不得超出投标文件的范围或者改变投标文件的实质性内容。</w:t>
      </w:r>
    </w:p>
    <w:p w14:paraId="0D0DA4F2">
      <w:pPr>
        <w:pStyle w:val="6"/>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投标文件修正</w:t>
      </w:r>
    </w:p>
    <w:p w14:paraId="43CFDF47">
      <w:pPr>
        <w:pStyle w:val="6"/>
        <w:keepNext w:val="0"/>
        <w:keepLines w:val="0"/>
        <w:spacing w:before="0" w:after="0" w:line="360" w:lineRule="auto"/>
        <w:ind w:left="420" w:leftChars="200"/>
        <w:rPr>
          <w:rFonts w:hint="eastAsia" w:ascii="宋体" w:hAnsi="宋体"/>
          <w:b w:val="0"/>
          <w:color w:val="auto"/>
          <w:sz w:val="21"/>
          <w:szCs w:val="21"/>
          <w:highlight w:val="none"/>
        </w:rPr>
      </w:pPr>
      <w:r>
        <w:rPr>
          <w:rFonts w:ascii="宋体" w:hAnsi="宋体"/>
          <w:b w:val="0"/>
          <w:color w:val="auto"/>
          <w:sz w:val="21"/>
          <w:szCs w:val="21"/>
          <w:highlight w:val="none"/>
        </w:rPr>
        <w:t>4</w:t>
      </w:r>
      <w:r>
        <w:rPr>
          <w:rFonts w:hint="eastAsia" w:ascii="宋体" w:hAnsi="宋体"/>
          <w:b w:val="0"/>
          <w:color w:val="auto"/>
          <w:sz w:val="21"/>
          <w:szCs w:val="21"/>
          <w:highlight w:val="none"/>
        </w:rPr>
        <w:t xml:space="preserve">.1投标文件报价出现前后不一致的，按照下列规定修正： </w:t>
      </w:r>
    </w:p>
    <w:p w14:paraId="19F297F4">
      <w:pPr>
        <w:pStyle w:val="27"/>
        <w:snapToGrid w:val="0"/>
        <w:spacing w:line="360" w:lineRule="auto"/>
        <w:ind w:firstLine="420" w:firstLineChars="200"/>
        <w:rPr>
          <w:rFonts w:hAnsi="宋体"/>
          <w:color w:val="auto"/>
          <w:sz w:val="21"/>
          <w:highlight w:val="none"/>
        </w:rPr>
      </w:pPr>
      <w:r>
        <w:rPr>
          <w:rFonts w:hint="eastAsia" w:hAnsi="宋体"/>
          <w:color w:val="auto"/>
          <w:sz w:val="21"/>
          <w:highlight w:val="none"/>
        </w:rPr>
        <w:t>（1）投标文件中开标一览表（报价表）内容与投标文件中相应内容不一致的，以开标一览表（报价表）为准；</w:t>
      </w:r>
    </w:p>
    <w:p w14:paraId="1CA3684F">
      <w:pPr>
        <w:pStyle w:val="27"/>
        <w:snapToGrid w:val="0"/>
        <w:spacing w:line="360" w:lineRule="auto"/>
        <w:ind w:firstLine="420" w:firstLineChars="200"/>
        <w:rPr>
          <w:rFonts w:hAnsi="宋体"/>
          <w:color w:val="auto"/>
          <w:sz w:val="21"/>
          <w:highlight w:val="none"/>
        </w:rPr>
      </w:pPr>
      <w:r>
        <w:rPr>
          <w:rFonts w:hint="eastAsia" w:hAnsi="宋体"/>
          <w:color w:val="auto"/>
          <w:sz w:val="21"/>
          <w:highlight w:val="none"/>
        </w:rPr>
        <w:t>（2）大写金额和小写金额不一致的，以大写金额为准；</w:t>
      </w:r>
    </w:p>
    <w:p w14:paraId="7F72E661">
      <w:pPr>
        <w:pStyle w:val="27"/>
        <w:snapToGrid w:val="0"/>
        <w:spacing w:line="360" w:lineRule="auto"/>
        <w:ind w:firstLine="420" w:firstLineChars="200"/>
        <w:rPr>
          <w:rFonts w:hAnsi="宋体"/>
          <w:color w:val="auto"/>
          <w:sz w:val="21"/>
          <w:highlight w:val="none"/>
        </w:rPr>
      </w:pPr>
      <w:r>
        <w:rPr>
          <w:rFonts w:hint="eastAsia" w:hAnsi="宋体"/>
          <w:color w:val="auto"/>
          <w:sz w:val="21"/>
          <w:highlight w:val="none"/>
        </w:rPr>
        <w:t>（3）单价金额小数点或者百分比有明显错位的，以开标一览表的总价为准，并修改单价；</w:t>
      </w:r>
    </w:p>
    <w:p w14:paraId="7AEF3A96">
      <w:pPr>
        <w:pStyle w:val="27"/>
        <w:snapToGrid w:val="0"/>
        <w:spacing w:line="360" w:lineRule="auto"/>
        <w:ind w:firstLine="420" w:firstLineChars="200"/>
        <w:rPr>
          <w:rFonts w:hAnsi="宋体"/>
          <w:color w:val="auto"/>
          <w:sz w:val="21"/>
          <w:highlight w:val="none"/>
        </w:rPr>
      </w:pPr>
      <w:r>
        <w:rPr>
          <w:rFonts w:hint="eastAsia" w:hAnsi="宋体"/>
          <w:color w:val="auto"/>
          <w:sz w:val="21"/>
          <w:highlight w:val="none"/>
        </w:rPr>
        <w:t>（4）总价金额与按单价汇总金额不一致的，以单价金额计算结果为准。</w:t>
      </w:r>
    </w:p>
    <w:p w14:paraId="18C84CCC">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同时出现两种以上不一致的，按照以上（1）-（4）规定的顺序修正。修正后的报价经投标人确认后产生约束力，投标人不确认的，</w:t>
      </w:r>
      <w:r>
        <w:rPr>
          <w:rFonts w:hint="eastAsia" w:hAnsi="宋体"/>
          <w:b/>
          <w:color w:val="auto"/>
          <w:kern w:val="2"/>
          <w:sz w:val="21"/>
          <w:highlight w:val="none"/>
        </w:rPr>
        <w:t>其投标无效</w:t>
      </w:r>
      <w:r>
        <w:rPr>
          <w:rFonts w:hint="eastAsia" w:hAnsi="宋体"/>
          <w:color w:val="auto"/>
          <w:sz w:val="21"/>
          <w:highlight w:val="none"/>
        </w:rPr>
        <w:t>。</w:t>
      </w:r>
    </w:p>
    <w:p w14:paraId="538B0896">
      <w:pPr>
        <w:pStyle w:val="6"/>
        <w:keepNext w:val="0"/>
        <w:keepLines w:val="0"/>
        <w:spacing w:before="0" w:after="0" w:line="360" w:lineRule="auto"/>
        <w:rPr>
          <w:rFonts w:hint="eastAsia" w:ascii="宋体" w:hAnsi="宋体"/>
          <w:b w:val="0"/>
          <w:color w:val="auto"/>
          <w:sz w:val="21"/>
          <w:szCs w:val="21"/>
          <w:highlight w:val="none"/>
        </w:rPr>
      </w:pPr>
      <w:r>
        <w:rPr>
          <w:rFonts w:ascii="宋体" w:hAnsi="宋体"/>
          <w:b w:val="0"/>
          <w:color w:val="auto"/>
          <w:sz w:val="21"/>
          <w:szCs w:val="21"/>
          <w:highlight w:val="none"/>
        </w:rPr>
        <w:t xml:space="preserve">    4</w:t>
      </w:r>
      <w:r>
        <w:rPr>
          <w:rFonts w:hint="eastAsia" w:ascii="宋体" w:hAnsi="宋体"/>
          <w:b w:val="0"/>
          <w:color w:val="auto"/>
          <w:sz w:val="21"/>
          <w:szCs w:val="21"/>
          <w:highlight w:val="none"/>
        </w:rPr>
        <w:t>.2经投标人确认修正后的报价若超过采购预算金额或者最高限价，</w:t>
      </w:r>
      <w:r>
        <w:rPr>
          <w:rFonts w:hint="eastAsia" w:ascii="宋体" w:hAnsi="宋体"/>
          <w:color w:val="auto"/>
          <w:sz w:val="21"/>
          <w:szCs w:val="21"/>
          <w:highlight w:val="none"/>
        </w:rPr>
        <w:t>投标人的投标文件作无效投标处理</w:t>
      </w:r>
      <w:r>
        <w:rPr>
          <w:rFonts w:hint="eastAsia" w:ascii="宋体" w:hAnsi="宋体"/>
          <w:b w:val="0"/>
          <w:color w:val="auto"/>
          <w:sz w:val="21"/>
          <w:szCs w:val="21"/>
          <w:highlight w:val="none"/>
        </w:rPr>
        <w:t>。</w:t>
      </w:r>
    </w:p>
    <w:p w14:paraId="4E15C541">
      <w:pPr>
        <w:snapToGrid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.3经投标人确认修正后的报价作为签订合同的依据，并以此报价计算价格分。</w:t>
      </w:r>
    </w:p>
    <w:p w14:paraId="2662F333">
      <w:pPr>
        <w:pStyle w:val="6"/>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1B4DC561">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5.1采用综合评分法的</w:t>
      </w:r>
    </w:p>
    <w:p w14:paraId="3EBD7DD8">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（1）评标委员会按照招标文件中规定的评标方法及评标标准，对符合性审查合格的投标文件进行商务和技术评估，综合比较与评价。</w:t>
      </w:r>
    </w:p>
    <w:p w14:paraId="4439EB7E">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（2）评标委员会独立对每个投标人的投标文件进行评价，并汇总每个投标人的得分。</w:t>
      </w:r>
    </w:p>
    <w:p w14:paraId="486100C3">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Cs/>
          <w:color w:val="auto"/>
          <w:szCs w:val="21"/>
          <w:highlight w:val="none"/>
        </w:rPr>
        <w:t>[详细的报价明细说明文件及测算表，包括项目的生产（材料、设备）、安装、运输、服务成本，人工成本包括项目人员的数量、工作时间及其工资和福利支出成本，以及服务项目实施过程中可能涉及的其他费用等]</w:t>
      </w:r>
      <w:r>
        <w:rPr>
          <w:rFonts w:hint="eastAsia" w:ascii="宋体" w:hAnsi="宋体"/>
          <w:color w:val="auto"/>
          <w:szCs w:val="21"/>
          <w:highlight w:val="none"/>
        </w:rPr>
        <w:t>；</w:t>
      </w:r>
      <w:r>
        <w:rPr>
          <w:rFonts w:hint="eastAsia" w:ascii="宋体" w:hAnsi="宋体"/>
          <w:b/>
          <w:color w:val="auto"/>
          <w:szCs w:val="21"/>
          <w:highlight w:val="none"/>
        </w:rPr>
        <w:t>投标人不能证明其报价合理性的，评标委员会将其作为无效投标处理</w:t>
      </w:r>
      <w:r>
        <w:rPr>
          <w:rFonts w:hint="eastAsia" w:ascii="宋体" w:hAnsi="宋体"/>
          <w:color w:val="auto"/>
          <w:szCs w:val="21"/>
          <w:highlight w:val="none"/>
        </w:rPr>
        <w:t>。</w:t>
      </w:r>
    </w:p>
    <w:p w14:paraId="6B58CE7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（3）评标委员会按照招标文件中规定的评标方法和标准计算各投标人的报价得分。在计算过程中，不得去掉最高报价或者最低报价。</w:t>
      </w:r>
    </w:p>
    <w:p w14:paraId="61A99F1C">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（4）各投标人的得分为所有评委的有效评分的算术平均数。</w:t>
      </w:r>
    </w:p>
    <w:p w14:paraId="3F48D36E">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（5）评标委员会按照招标文件中的规定推荐中标候选人。</w:t>
      </w:r>
    </w:p>
    <w:p w14:paraId="7208891C">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29564BB1">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5.2采用</w:t>
      </w:r>
      <w:r>
        <w:rPr>
          <w:rFonts w:hint="eastAsia" w:hAnsi="宋体"/>
          <w:color w:val="auto"/>
          <w:highlight w:val="none"/>
        </w:rPr>
        <w:t>最低评标价法</w:t>
      </w:r>
      <w:r>
        <w:rPr>
          <w:rFonts w:hint="eastAsia" w:ascii="宋体" w:hAnsi="宋体"/>
          <w:color w:val="auto"/>
          <w:szCs w:val="21"/>
          <w:highlight w:val="none"/>
        </w:rPr>
        <w:t>的</w:t>
      </w:r>
    </w:p>
    <w:p w14:paraId="21F8366D">
      <w:pPr>
        <w:snapToGrid w:val="0"/>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（1）评标委员会按照招标文件中规定的评标方法及评标标准，对符合性审查合格的投标文件报价进行比较。</w:t>
      </w:r>
    </w:p>
    <w:p w14:paraId="445C71E8">
      <w:pPr>
        <w:snapToGrid w:val="0"/>
        <w:spacing w:line="360" w:lineRule="auto"/>
        <w:ind w:firstLine="399" w:firstLineChars="202"/>
        <w:jc w:val="left"/>
        <w:rPr>
          <w:rFonts w:hint="eastAsia" w:ascii="宋体" w:hAnsi="宋体"/>
          <w:color w:val="auto"/>
          <w:spacing w:val="-6"/>
          <w:szCs w:val="21"/>
          <w:highlight w:val="none"/>
        </w:rPr>
      </w:pPr>
      <w:r>
        <w:rPr>
          <w:rFonts w:hint="eastAsia" w:ascii="宋体" w:hAnsi="宋体"/>
          <w:color w:val="auto"/>
          <w:spacing w:val="-6"/>
          <w:szCs w:val="21"/>
          <w:highlight w:val="none"/>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Cs/>
          <w:color w:val="auto"/>
          <w:szCs w:val="21"/>
          <w:highlight w:val="none"/>
        </w:rPr>
        <w:t>[详细的报价明细说明文件及测算表，包括项目的生产（材料、设备）、安装、运输、服务成本，人工成本包括项目人员的数量、工作时间及其工资和福利支出成本，以及服务项目实施过程中可能涉及的其他费用等</w:t>
      </w:r>
      <w:r>
        <w:rPr>
          <w:rFonts w:hint="eastAsia" w:ascii="宋体" w:hAnsi="宋体"/>
          <w:color w:val="auto"/>
          <w:spacing w:val="-6"/>
          <w:szCs w:val="21"/>
          <w:highlight w:val="none"/>
        </w:rPr>
        <w:t>；</w:t>
      </w:r>
      <w:r>
        <w:rPr>
          <w:rFonts w:hint="eastAsia" w:ascii="宋体" w:hAnsi="宋体"/>
          <w:b/>
          <w:color w:val="auto"/>
          <w:spacing w:val="-6"/>
          <w:szCs w:val="21"/>
          <w:highlight w:val="none"/>
        </w:rPr>
        <w:t>投标人不能证明其报价合理性的，评标委员会将其作为无效投标处理</w:t>
      </w:r>
      <w:r>
        <w:rPr>
          <w:rFonts w:hint="eastAsia" w:ascii="宋体" w:hAnsi="宋体"/>
          <w:color w:val="auto"/>
          <w:spacing w:val="-6"/>
          <w:szCs w:val="21"/>
          <w:highlight w:val="none"/>
        </w:rPr>
        <w:t>。</w:t>
      </w:r>
    </w:p>
    <w:p w14:paraId="14518B9A">
      <w:pPr>
        <w:snapToGrid w:val="0"/>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（3）评标委员会按照招标文件中的规定推荐中标候选人。</w:t>
      </w:r>
    </w:p>
    <w:p w14:paraId="6A8B00F3">
      <w:pPr>
        <w:snapToGrid w:val="0"/>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302F3DB2">
      <w:pPr>
        <w:snapToGrid w:val="0"/>
        <w:spacing w:line="360" w:lineRule="auto"/>
        <w:jc w:val="center"/>
        <w:rPr>
          <w:rFonts w:hint="eastAsia"/>
          <w:color w:val="auto"/>
          <w:highlight w:val="none"/>
        </w:rPr>
      </w:pPr>
      <w:r>
        <w:rPr>
          <w:color w:val="auto"/>
          <w:highlight w:val="none"/>
        </w:rPr>
        <w:br w:type="page"/>
      </w:r>
      <w:r>
        <w:rPr>
          <w:rFonts w:ascii="宋体" w:hAnsi="宋体" w:cs="宋体"/>
          <w:b/>
          <w:bCs/>
          <w:color w:val="auto"/>
          <w:sz w:val="32"/>
          <w:szCs w:val="32"/>
          <w:highlight w:val="none"/>
        </w:rPr>
        <w:t>三</w:t>
      </w:r>
      <w:r>
        <w:rPr>
          <w:rFonts w:hint="eastAsia" w:ascii="宋体" w:hAnsi="宋体" w:cs="宋体"/>
          <w:b/>
          <w:bCs/>
          <w:color w:val="auto"/>
          <w:sz w:val="32"/>
          <w:szCs w:val="32"/>
          <w:highlight w:val="none"/>
        </w:rPr>
        <w:t>、评标标准</w:t>
      </w:r>
    </w:p>
    <w:p w14:paraId="051B7C16">
      <w:pPr>
        <w:pStyle w:val="27"/>
        <w:spacing w:line="400" w:lineRule="exact"/>
        <w:ind w:firstLine="48" w:firstLineChars="20"/>
        <w:rPr>
          <w:rFonts w:hint="eastAsia" w:hAnsi="宋体" w:cs="宋体"/>
          <w:bCs/>
          <w:color w:val="auto"/>
          <w:sz w:val="24"/>
          <w:szCs w:val="24"/>
          <w:highlight w:val="none"/>
        </w:rPr>
      </w:pPr>
    </w:p>
    <w:p w14:paraId="5A9791A7">
      <w:pPr>
        <w:pStyle w:val="27"/>
        <w:spacing w:line="400" w:lineRule="exact"/>
        <w:ind w:firstLine="48" w:firstLineChars="20"/>
        <w:rPr>
          <w:rFonts w:hAnsi="宋体" w:cs="宋体"/>
          <w:bCs/>
          <w:color w:val="auto"/>
          <w:sz w:val="24"/>
          <w:szCs w:val="24"/>
          <w:highlight w:val="none"/>
        </w:rPr>
      </w:pPr>
      <w:r>
        <w:rPr>
          <w:rFonts w:hint="eastAsia" w:hAnsi="宋体" w:cs="宋体"/>
          <w:bCs/>
          <w:color w:val="auto"/>
          <w:sz w:val="24"/>
          <w:szCs w:val="24"/>
          <w:highlight w:val="none"/>
        </w:rPr>
        <w:t>本项目评标方法：综合评分法</w:t>
      </w:r>
    </w:p>
    <w:p w14:paraId="61202799">
      <w:pPr>
        <w:pStyle w:val="27"/>
        <w:spacing w:line="360" w:lineRule="auto"/>
        <w:rPr>
          <w:rFonts w:hint="eastAsia" w:hAnsi="宋体" w:cs="Courier New"/>
          <w:b/>
          <w:bCs/>
          <w:color w:val="auto"/>
          <w:kern w:val="2"/>
          <w:sz w:val="21"/>
          <w:highlight w:val="none"/>
        </w:rPr>
      </w:pPr>
    </w:p>
    <w:p w14:paraId="5EF75C29">
      <w:pPr>
        <w:pStyle w:val="27"/>
        <w:spacing w:line="400" w:lineRule="exact"/>
        <w:ind w:firstLine="42" w:firstLineChars="20"/>
        <w:rPr>
          <w:rFonts w:hAnsi="宋体" w:cs="宋体"/>
          <w:bCs/>
          <w:color w:val="auto"/>
          <w:sz w:val="21"/>
          <w:highlight w:val="none"/>
        </w:rPr>
      </w:pPr>
      <w:r>
        <w:rPr>
          <w:rFonts w:hint="eastAsia" w:hAnsi="宋体" w:cs="宋体"/>
          <w:bCs/>
          <w:color w:val="auto"/>
          <w:sz w:val="21"/>
          <w:highlight w:val="none"/>
        </w:rPr>
        <w:t>一、评标原则</w:t>
      </w:r>
    </w:p>
    <w:p w14:paraId="11C8C99A">
      <w:pPr>
        <w:pStyle w:val="27"/>
        <w:spacing w:line="400" w:lineRule="exact"/>
        <w:ind w:firstLine="420"/>
        <w:rPr>
          <w:rFonts w:hAnsi="宋体" w:cs="宋体"/>
          <w:bCs/>
          <w:color w:val="auto"/>
          <w:sz w:val="21"/>
          <w:highlight w:val="none"/>
        </w:rPr>
      </w:pPr>
      <w:r>
        <w:rPr>
          <w:rFonts w:hint="eastAsia" w:hAnsi="宋体" w:cs="宋体"/>
          <w:bCs/>
          <w:color w:val="auto"/>
          <w:sz w:val="21"/>
          <w:highlight w:val="none"/>
        </w:rPr>
        <w:t>（一）评委构成：评标委员会由采购人代表和评审专家组成，成员人数应当为5人以上单数，其中评审专家不得少于成员总数的三分之二。采购项目符合下列情形之一的，评标委员会成员人数应当为7人以上单数：1.采购预算金额在1000万元以上；2.技术复杂；3.社会影响较大。</w:t>
      </w:r>
    </w:p>
    <w:p w14:paraId="2B864811">
      <w:pPr>
        <w:pStyle w:val="27"/>
        <w:spacing w:line="400" w:lineRule="exact"/>
        <w:ind w:firstLine="420"/>
        <w:rPr>
          <w:rFonts w:hAnsi="宋体" w:cs="宋体"/>
          <w:bCs/>
          <w:color w:val="auto"/>
          <w:sz w:val="21"/>
          <w:highlight w:val="none"/>
        </w:rPr>
      </w:pPr>
      <w:r>
        <w:rPr>
          <w:rFonts w:hint="eastAsia" w:hAnsi="宋体" w:cs="宋体"/>
          <w:bCs/>
          <w:color w:val="auto"/>
          <w:sz w:val="21"/>
          <w:highlight w:val="none"/>
        </w:rPr>
        <w:t>（二）评标依据：评委将以招投标文件为评标依据，对投标人的投标报价、技术、</w:t>
      </w:r>
      <w:r>
        <w:rPr>
          <w:rFonts w:hint="eastAsia" w:hAnsi="宋体" w:cs="宋体"/>
          <w:bCs/>
          <w:color w:val="auto"/>
          <w:sz w:val="21"/>
          <w:highlight w:val="none"/>
          <w:lang w:val="en-US" w:eastAsia="zh-CN"/>
        </w:rPr>
        <w:t>商务</w:t>
      </w:r>
      <w:r>
        <w:rPr>
          <w:rFonts w:hint="eastAsia" w:hAnsi="宋体" w:cs="宋体"/>
          <w:bCs/>
          <w:color w:val="auto"/>
          <w:sz w:val="21"/>
          <w:highlight w:val="none"/>
        </w:rPr>
        <w:t>等方面内容打分。</w:t>
      </w:r>
    </w:p>
    <w:p w14:paraId="0DA0C645">
      <w:pPr>
        <w:pStyle w:val="27"/>
        <w:spacing w:line="400" w:lineRule="exact"/>
        <w:ind w:firstLine="420"/>
        <w:rPr>
          <w:rFonts w:hint="eastAsia" w:hAnsi="宋体" w:cs="宋体"/>
          <w:bCs/>
          <w:color w:val="auto"/>
          <w:sz w:val="21"/>
          <w:highlight w:val="none"/>
        </w:rPr>
      </w:pPr>
      <w:r>
        <w:rPr>
          <w:rFonts w:hint="eastAsia" w:hAnsi="宋体" w:cs="宋体"/>
          <w:bCs/>
          <w:color w:val="auto"/>
          <w:sz w:val="21"/>
          <w:highlight w:val="none"/>
        </w:rPr>
        <w:t>（三）评标方式：以封闭方式进行。</w:t>
      </w:r>
    </w:p>
    <w:p w14:paraId="2518C5F3">
      <w:pPr>
        <w:pStyle w:val="27"/>
        <w:spacing w:line="460" w:lineRule="exact"/>
        <w:rPr>
          <w:rFonts w:hint="eastAsia" w:hAnsi="宋体" w:cs="宋体"/>
          <w:bCs/>
          <w:color w:val="auto"/>
          <w:sz w:val="21"/>
          <w:highlight w:val="none"/>
        </w:rPr>
      </w:pPr>
      <w:r>
        <w:rPr>
          <w:rFonts w:hint="eastAsia" w:hAnsi="宋体" w:cs="宋体"/>
          <w:bCs/>
          <w:color w:val="auto"/>
          <w:sz w:val="21"/>
          <w:highlight w:val="none"/>
        </w:rPr>
        <w:t>二、评定方法</w:t>
      </w:r>
    </w:p>
    <w:p w14:paraId="136C9AC2">
      <w:pPr>
        <w:pStyle w:val="27"/>
        <w:spacing w:line="460" w:lineRule="exact"/>
        <w:ind w:firstLine="420"/>
        <w:rPr>
          <w:rFonts w:hint="eastAsia" w:hAnsi="宋体" w:cs="宋体"/>
          <w:bCs/>
          <w:color w:val="auto"/>
          <w:sz w:val="21"/>
          <w:highlight w:val="none"/>
        </w:rPr>
      </w:pPr>
      <w:r>
        <w:rPr>
          <w:rFonts w:hint="eastAsia" w:hAnsi="宋体" w:cs="宋体"/>
          <w:bCs/>
          <w:color w:val="auto"/>
          <w:sz w:val="21"/>
          <w:highlight w:val="none"/>
        </w:rPr>
        <w:t>（一）对进入详评的，采用百分制综合评分法。</w:t>
      </w:r>
    </w:p>
    <w:p w14:paraId="3780E36D">
      <w:pPr>
        <w:pStyle w:val="27"/>
        <w:spacing w:line="460" w:lineRule="exact"/>
        <w:ind w:firstLine="420"/>
        <w:rPr>
          <w:rFonts w:hint="eastAsia" w:hAnsi="宋体" w:cs="宋体"/>
          <w:bCs/>
          <w:color w:val="auto"/>
          <w:sz w:val="21"/>
          <w:highlight w:val="none"/>
        </w:rPr>
      </w:pPr>
      <w:r>
        <w:rPr>
          <w:rFonts w:hint="eastAsia" w:hAnsi="宋体" w:cs="宋体"/>
          <w:bCs/>
          <w:color w:val="auto"/>
          <w:sz w:val="21"/>
          <w:highlight w:val="none"/>
        </w:rPr>
        <w:t>（二）计分办法（按四舍五入取至百分位）：</w:t>
      </w:r>
    </w:p>
    <w:tbl>
      <w:tblPr>
        <w:tblStyle w:val="4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642"/>
        <w:gridCol w:w="1768"/>
        <w:gridCol w:w="5877"/>
      </w:tblGrid>
      <w:tr w14:paraId="44E8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21" w:type="pct"/>
            <w:gridSpan w:val="2"/>
            <w:noWrap w:val="0"/>
            <w:vAlign w:val="center"/>
          </w:tcPr>
          <w:p w14:paraId="6222E1B6">
            <w:pPr>
              <w:pageBreakBefore w:val="0"/>
              <w:kinsoku/>
              <w:wordWrap/>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897" w:type="pct"/>
            <w:noWrap w:val="0"/>
            <w:vAlign w:val="center"/>
          </w:tcPr>
          <w:p w14:paraId="4E8B626F">
            <w:pPr>
              <w:pageBreakBefore w:val="0"/>
              <w:kinsoku/>
              <w:wordWrap/>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评审因素</w:t>
            </w:r>
          </w:p>
        </w:tc>
        <w:tc>
          <w:tcPr>
            <w:tcW w:w="2981" w:type="pct"/>
            <w:noWrap w:val="0"/>
            <w:vAlign w:val="center"/>
          </w:tcPr>
          <w:p w14:paraId="03AAF6C2">
            <w:pPr>
              <w:pageBreakBefore w:val="0"/>
              <w:kinsoku/>
              <w:wordWrap/>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评标标准</w:t>
            </w:r>
          </w:p>
        </w:tc>
      </w:tr>
      <w:tr w14:paraId="7F75F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8" w:type="pct"/>
            <w:noWrap w:val="0"/>
            <w:vAlign w:val="center"/>
          </w:tcPr>
          <w:p w14:paraId="0F4CDFDF">
            <w:pPr>
              <w:pageBreakBefore w:val="0"/>
              <w:kinsoku/>
              <w:wordWrap/>
              <w:topLinePunct w:val="0"/>
              <w:autoSpaceDE/>
              <w:autoSpaceDN/>
              <w:bidi w:val="0"/>
              <w:adjustRightInd w:val="0"/>
              <w:spacing w:line="360" w:lineRule="exact"/>
              <w:jc w:val="center"/>
              <w:textAlignment w:val="baseline"/>
              <w:rPr>
                <w:rFonts w:hint="eastAsia" w:ascii="宋体" w:hAnsi="宋体" w:eastAsia="宋体" w:cs="宋体"/>
                <w:color w:val="auto"/>
                <w:sz w:val="21"/>
                <w:szCs w:val="21"/>
              </w:rPr>
            </w:pPr>
            <w:r>
              <w:rPr>
                <w:rFonts w:hint="eastAsia" w:ascii="宋体" w:hAnsi="宋体" w:eastAsia="宋体" w:cs="宋体"/>
                <w:b/>
                <w:color w:val="auto"/>
                <w:sz w:val="21"/>
                <w:szCs w:val="21"/>
              </w:rPr>
              <w:t>1</w:t>
            </w:r>
          </w:p>
        </w:tc>
        <w:tc>
          <w:tcPr>
            <w:tcW w:w="833" w:type="pct"/>
            <w:noWrap w:val="0"/>
            <w:vAlign w:val="center"/>
          </w:tcPr>
          <w:p w14:paraId="38C739BB">
            <w:pPr>
              <w:pageBreakBefore w:val="0"/>
              <w:kinsoku/>
              <w:wordWrap/>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价格分</w:t>
            </w:r>
          </w:p>
          <w:p w14:paraId="0B650E93">
            <w:pPr>
              <w:pageBreakBefore w:val="0"/>
              <w:kinsoku/>
              <w:wordWrap/>
              <w:topLinePunct w:val="0"/>
              <w:autoSpaceDE/>
              <w:autoSpaceDN/>
              <w:bidi w:val="0"/>
              <w:adjustRightInd w:val="0"/>
              <w:spacing w:line="360" w:lineRule="exact"/>
              <w:textAlignment w:val="baseline"/>
              <w:rPr>
                <w:rFonts w:hint="eastAsia" w:ascii="宋体" w:hAnsi="宋体" w:eastAsia="宋体" w:cs="宋体"/>
                <w:b/>
                <w:bCs/>
                <w:color w:val="auto"/>
                <w:sz w:val="21"/>
                <w:szCs w:val="21"/>
              </w:rPr>
            </w:pPr>
            <w:r>
              <w:rPr>
                <w:rFonts w:hint="eastAsia" w:ascii="宋体" w:hAnsi="宋体" w:eastAsia="宋体" w:cs="宋体"/>
                <w:b/>
                <w:bCs/>
                <w:color w:val="auto"/>
                <w:sz w:val="21"/>
                <w:szCs w:val="21"/>
              </w:rPr>
              <w:t>（满分</w:t>
            </w:r>
            <w:r>
              <w:rPr>
                <w:rFonts w:hint="eastAsia" w:ascii="宋体" w:hAnsi="宋体" w:eastAsia="宋体" w:cs="宋体"/>
                <w:b/>
                <w:bCs/>
                <w:color w:val="auto"/>
                <w:sz w:val="21"/>
                <w:szCs w:val="21"/>
                <w:lang w:val="en-US" w:eastAsia="zh-CN"/>
              </w:rPr>
              <w:t>20</w:t>
            </w:r>
            <w:r>
              <w:rPr>
                <w:rFonts w:hint="eastAsia" w:ascii="宋体" w:hAnsi="宋体" w:eastAsia="宋体" w:cs="宋体"/>
                <w:b/>
                <w:bCs/>
                <w:color w:val="auto"/>
                <w:sz w:val="21"/>
                <w:szCs w:val="21"/>
              </w:rPr>
              <w:t>分）</w:t>
            </w:r>
          </w:p>
        </w:tc>
        <w:tc>
          <w:tcPr>
            <w:tcW w:w="897" w:type="pct"/>
            <w:noWrap w:val="0"/>
            <w:vAlign w:val="center"/>
          </w:tcPr>
          <w:p w14:paraId="531B413B">
            <w:pPr>
              <w:pageBreakBefore w:val="0"/>
              <w:kinsoku/>
              <w:wordWrap/>
              <w:topLinePunct w:val="0"/>
              <w:autoSpaceDE/>
              <w:autoSpaceDN/>
              <w:bidi w:val="0"/>
              <w:adjustRightInd w:val="0"/>
              <w:spacing w:line="360" w:lineRule="exact"/>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投标报价</w:t>
            </w:r>
          </w:p>
          <w:p w14:paraId="6D391C34">
            <w:pPr>
              <w:pageBreakBefore w:val="0"/>
              <w:kinsoku/>
              <w:wordWrap/>
              <w:topLinePunct w:val="0"/>
              <w:autoSpaceDE/>
              <w:autoSpaceDN/>
              <w:bidi w:val="0"/>
              <w:adjustRightInd w:val="0"/>
              <w:spacing w:line="360" w:lineRule="exact"/>
              <w:jc w:val="center"/>
              <w:textAlignment w:val="baseline"/>
              <w:rPr>
                <w:rFonts w:hint="eastAsia" w:ascii="宋体" w:hAnsi="宋体" w:eastAsia="宋体" w:cs="宋体"/>
                <w:b/>
                <w:bCs/>
                <w:color w:val="auto"/>
                <w:sz w:val="21"/>
                <w:szCs w:val="21"/>
              </w:rPr>
            </w:pPr>
            <w:r>
              <w:rPr>
                <w:rFonts w:hint="eastAsia" w:ascii="宋体" w:hAnsi="宋体" w:eastAsia="宋体" w:cs="宋体"/>
                <w:color w:val="auto"/>
                <w:sz w:val="21"/>
                <w:szCs w:val="21"/>
              </w:rPr>
              <w:t>（满分</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分）</w:t>
            </w:r>
          </w:p>
        </w:tc>
        <w:tc>
          <w:tcPr>
            <w:tcW w:w="2981" w:type="pct"/>
            <w:noWrap w:val="0"/>
            <w:vAlign w:val="center"/>
          </w:tcPr>
          <w:p w14:paraId="1C78BC2B">
            <w:pPr>
              <w:pageBreakBefore w:val="0"/>
              <w:kinsoku/>
              <w:wordWrap/>
              <w:overflowPunct w:val="0"/>
              <w:topLinePunct w:val="0"/>
              <w:autoSpaceDE/>
              <w:autoSpaceDN/>
              <w:bidi w:val="0"/>
              <w:snapToGrid w:val="0"/>
              <w:spacing w:line="360" w:lineRule="exact"/>
              <w:ind w:firstLine="233" w:firstLineChars="11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（1）评标报价为投标人的投标报价进行政策性扣除后的价格，评标报价只是作为评标时使用。最终中标人的中标金额等于投标报价。</w:t>
            </w:r>
          </w:p>
          <w:p w14:paraId="0DCA0CD7">
            <w:pPr>
              <w:pageBreakBefore w:val="0"/>
              <w:kinsoku/>
              <w:wordWrap/>
              <w:overflowPunct w:val="0"/>
              <w:topLinePunct w:val="0"/>
              <w:autoSpaceDE/>
              <w:autoSpaceDN/>
              <w:bidi w:val="0"/>
              <w:snapToGrid w:val="0"/>
              <w:spacing w:line="360" w:lineRule="exact"/>
              <w:ind w:firstLine="233" w:firstLineChars="111"/>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（2）按照《政府采购促进中小企业发展管理办法》（财库〔2020〕46号）的规定，投标人在其投标文件中提供《中小企业声明函》，且其服务为小型和微型企业承接的，对其最后报价给予10%的扣除。</w:t>
            </w:r>
          </w:p>
          <w:p w14:paraId="126C5419">
            <w:pPr>
              <w:pageBreakBefore w:val="0"/>
              <w:kinsoku/>
              <w:wordWrap/>
              <w:overflowPunct w:val="0"/>
              <w:topLinePunct w:val="0"/>
              <w:autoSpaceDE/>
              <w:autoSpaceDN/>
              <w:bidi w:val="0"/>
              <w:snapToGrid w:val="0"/>
              <w:spacing w:line="360" w:lineRule="exact"/>
              <w:ind w:firstLine="233" w:firstLineChars="11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eastAsia="宋体" w:cs="宋体"/>
                <w:color w:val="auto"/>
                <w:sz w:val="21"/>
                <w:szCs w:val="21"/>
                <w:highlight w:val="none"/>
              </w:rPr>
              <w:t>监狱企业参加政府采购活动时，应当提供由省级以上监狱管理局、戒毒管理局(含新疆生产建设兵团)出具的属于监狱企业的证明文件。</w:t>
            </w:r>
            <w:r>
              <w:rPr>
                <w:rFonts w:hint="eastAsia" w:ascii="宋体" w:hAnsi="宋体" w:eastAsia="宋体" w:cs="宋体"/>
                <w:bCs/>
                <w:color w:val="auto"/>
                <w:sz w:val="21"/>
                <w:szCs w:val="21"/>
                <w:highlight w:val="none"/>
              </w:rPr>
              <w:t>不重复享受政策。</w:t>
            </w:r>
          </w:p>
          <w:p w14:paraId="48CCD727">
            <w:pPr>
              <w:pageBreakBefore w:val="0"/>
              <w:kinsoku/>
              <w:wordWrap/>
              <w:overflowPunct w:val="0"/>
              <w:topLinePunct w:val="0"/>
              <w:autoSpaceDE/>
              <w:autoSpaceDN/>
              <w:bidi w:val="0"/>
              <w:snapToGrid w:val="0"/>
              <w:spacing w:line="360" w:lineRule="exact"/>
              <w:ind w:firstLine="233" w:firstLineChars="111"/>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（4）按照</w:t>
            </w:r>
            <w:r>
              <w:rPr>
                <w:rFonts w:hint="eastAsia" w:ascii="宋体" w:hAnsi="宋体" w:eastAsia="宋体" w:cs="宋体"/>
                <w:bCs/>
                <w:color w:val="auto"/>
                <w:sz w:val="21"/>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eastAsia="宋体" w:cs="宋体"/>
                <w:color w:val="auto"/>
                <w:sz w:val="21"/>
                <w:szCs w:val="21"/>
                <w:highlight w:val="none"/>
              </w:rPr>
              <w:t>残疾人福利性单位参加政府采购活动时，应当提供该通知规定的《残疾人福利性单位声明函》，并对声明的真实性负责。</w:t>
            </w:r>
            <w:r>
              <w:rPr>
                <w:rFonts w:hint="eastAsia" w:ascii="宋体" w:hAnsi="宋体" w:eastAsia="宋体" w:cs="宋体"/>
                <w:bCs/>
                <w:color w:val="auto"/>
                <w:sz w:val="21"/>
                <w:szCs w:val="21"/>
                <w:highlight w:val="none"/>
              </w:rPr>
              <w:t>残疾人福利性单位属于小型、微型企业的，不重复享受政策。</w:t>
            </w:r>
          </w:p>
          <w:p w14:paraId="75241EFF">
            <w:pPr>
              <w:pageBreakBefore w:val="0"/>
              <w:kinsoku/>
              <w:wordWrap/>
              <w:overflowPunct w:val="0"/>
              <w:topLinePunct w:val="0"/>
              <w:autoSpaceDE/>
              <w:autoSpaceDN/>
              <w:bidi w:val="0"/>
              <w:snapToGrid w:val="0"/>
              <w:spacing w:line="360" w:lineRule="exact"/>
              <w:ind w:firstLine="233" w:firstLineChars="11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（5）政策性扣除计算方法。</w:t>
            </w:r>
          </w:p>
          <w:p w14:paraId="3E66DFCF">
            <w:pPr>
              <w:pageBreakBefore w:val="0"/>
              <w:kinsoku/>
              <w:wordWrap/>
              <w:overflowPunct w:val="0"/>
              <w:topLinePunct w:val="0"/>
              <w:autoSpaceDE/>
              <w:autoSpaceDN/>
              <w:bidi w:val="0"/>
              <w:snapToGrid w:val="0"/>
              <w:spacing w:line="360" w:lineRule="exact"/>
              <w:ind w:firstLine="443" w:firstLineChars="21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在服务采购项目中，服务由小微企业承接；对符合上述要求的投标人的投标报价给予10%的扣除，扣除后的价格为评标报价，即评标报价=投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eastAsia="宋体" w:cs="宋体"/>
                <w:bCs/>
                <w:color w:val="auto"/>
                <w:sz w:val="21"/>
                <w:szCs w:val="21"/>
                <w:highlight w:val="none"/>
                <w:u w:val="none"/>
              </w:rPr>
              <w:t>4%</w:t>
            </w:r>
            <w:r>
              <w:rPr>
                <w:rFonts w:hint="eastAsia" w:ascii="宋体" w:hAnsi="宋体" w:eastAsia="宋体" w:cs="宋体"/>
                <w:bCs/>
                <w:color w:val="auto"/>
                <w:sz w:val="21"/>
                <w:szCs w:val="21"/>
                <w:highlight w:val="none"/>
              </w:rPr>
              <w:t>的扣除，用扣除后的价格参加评审，扣除后的价格为评标报价，即评标报价=投标报价×（1- 4%）。除上述情况外，评标报价=投标报价。</w:t>
            </w:r>
          </w:p>
          <w:p w14:paraId="62D1F745">
            <w:pPr>
              <w:pageBreakBefore w:val="0"/>
              <w:kinsoku/>
              <w:wordWrap/>
              <w:topLinePunct w:val="0"/>
              <w:autoSpaceDE/>
              <w:autoSpaceDN/>
              <w:bidi w:val="0"/>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3F4E0B15">
            <w:pPr>
              <w:pageBreakBefore w:val="0"/>
              <w:kinsoku/>
              <w:wordWrap/>
              <w:overflowPunct w:val="0"/>
              <w:topLinePunct w:val="0"/>
              <w:autoSpaceDE/>
              <w:autoSpaceDN/>
              <w:bidi w:val="0"/>
              <w:snapToGrid w:val="0"/>
              <w:spacing w:line="360" w:lineRule="exact"/>
              <w:ind w:firstLine="443" w:firstLineChars="211"/>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4DB77C3">
            <w:pPr>
              <w:pageBreakBefore w:val="0"/>
              <w:kinsoku/>
              <w:wordWrap/>
              <w:overflowPunct w:val="0"/>
              <w:topLinePunct w:val="0"/>
              <w:autoSpaceDE/>
              <w:autoSpaceDN/>
              <w:bidi w:val="0"/>
              <w:snapToGrid w:val="0"/>
              <w:spacing w:line="360" w:lineRule="exact"/>
              <w:ind w:firstLine="233" w:firstLineChars="11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（6）满足招标文件要求且评标报价最低的评标报价为评标基准价，其价格分为满分。</w:t>
            </w:r>
          </w:p>
          <w:p w14:paraId="2A81A99C">
            <w:pPr>
              <w:pageBreakBefore w:val="0"/>
              <w:kinsoku/>
              <w:wordWrap/>
              <w:overflowPunct w:val="0"/>
              <w:topLinePunct w:val="0"/>
              <w:autoSpaceDE/>
              <w:autoSpaceDN/>
              <w:bidi w:val="0"/>
              <w:spacing w:line="360" w:lineRule="exact"/>
              <w:ind w:firstLine="233" w:firstLineChars="11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（7）价格分计算公式：        </w:t>
            </w:r>
          </w:p>
          <w:p w14:paraId="695A0BEC">
            <w:pPr>
              <w:pageBreakBefore w:val="0"/>
              <w:kinsoku/>
              <w:wordWrap/>
              <w:topLinePunct w:val="0"/>
              <w:autoSpaceDE/>
              <w:autoSpaceDN/>
              <w:bidi w:val="0"/>
              <w:spacing w:line="360" w:lineRule="exact"/>
              <w:ind w:firstLine="233" w:firstLineChars="111"/>
              <w:rPr>
                <w:rFonts w:hint="eastAsia" w:ascii="宋体" w:hAnsi="宋体" w:eastAsia="宋体" w:cs="宋体"/>
                <w:bCs/>
                <w:color w:val="auto"/>
                <w:sz w:val="21"/>
                <w:szCs w:val="21"/>
              </w:rPr>
            </w:pPr>
            <w:r>
              <w:rPr>
                <w:rFonts w:hint="eastAsia" w:ascii="宋体" w:hAnsi="宋体" w:eastAsia="宋体" w:cs="宋体"/>
                <w:bCs/>
                <w:color w:val="auto"/>
                <w:sz w:val="21"/>
                <w:szCs w:val="21"/>
                <w:highlight w:val="none"/>
              </w:rPr>
              <w:t>价格分=(评标基准价／评标报价)×</w:t>
            </w:r>
            <w:r>
              <w:rPr>
                <w:rFonts w:hint="eastAsia" w:ascii="宋体" w:hAnsi="宋体" w:eastAsia="宋体" w:cs="宋体"/>
                <w:bCs/>
                <w:color w:val="auto"/>
                <w:sz w:val="21"/>
                <w:szCs w:val="21"/>
                <w:highlight w:val="none"/>
                <w:lang w:val="en-US" w:eastAsia="zh-CN"/>
              </w:rPr>
              <w:t>20</w:t>
            </w:r>
            <w:r>
              <w:rPr>
                <w:rFonts w:hint="eastAsia" w:ascii="宋体" w:hAnsi="宋体" w:eastAsia="宋体" w:cs="宋体"/>
                <w:bCs/>
                <w:color w:val="auto"/>
                <w:sz w:val="21"/>
                <w:szCs w:val="21"/>
                <w:highlight w:val="none"/>
              </w:rPr>
              <w:t>分</w:t>
            </w:r>
          </w:p>
        </w:tc>
      </w:tr>
      <w:tr w14:paraId="148D2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8" w:type="pct"/>
            <w:vMerge w:val="restart"/>
            <w:noWrap w:val="0"/>
            <w:vAlign w:val="center"/>
          </w:tcPr>
          <w:p w14:paraId="1DE9DF27">
            <w:pPr>
              <w:pageBreakBefore w:val="0"/>
              <w:kinsoku/>
              <w:wordWrap/>
              <w:topLinePunct w:val="0"/>
              <w:autoSpaceDE/>
              <w:autoSpaceDN/>
              <w:bidi w:val="0"/>
              <w:adjustRightInd w:val="0"/>
              <w:spacing w:line="360" w:lineRule="exact"/>
              <w:jc w:val="center"/>
              <w:textAlignment w:val="baseline"/>
              <w:rPr>
                <w:rFonts w:hint="eastAsia" w:ascii="宋体" w:hAnsi="宋体" w:eastAsia="宋体" w:cs="宋体"/>
                <w:color w:val="auto"/>
                <w:sz w:val="21"/>
                <w:szCs w:val="21"/>
              </w:rPr>
            </w:pPr>
            <w:r>
              <w:rPr>
                <w:rFonts w:hint="eastAsia" w:ascii="宋体" w:hAnsi="宋体" w:eastAsia="宋体" w:cs="宋体"/>
                <w:b/>
                <w:color w:val="auto"/>
                <w:sz w:val="21"/>
                <w:szCs w:val="21"/>
              </w:rPr>
              <w:t>2</w:t>
            </w:r>
          </w:p>
        </w:tc>
        <w:tc>
          <w:tcPr>
            <w:tcW w:w="833" w:type="pct"/>
            <w:vMerge w:val="restart"/>
            <w:noWrap w:val="0"/>
            <w:vAlign w:val="center"/>
          </w:tcPr>
          <w:p w14:paraId="4E6783D2">
            <w:pPr>
              <w:pageBreakBefore w:val="0"/>
              <w:kinsoku/>
              <w:wordWrap/>
              <w:topLinePunct w:val="0"/>
              <w:autoSpaceDE/>
              <w:autoSpaceDN/>
              <w:bidi w:val="0"/>
              <w:adjustRightInd w:val="0"/>
              <w:spacing w:line="360" w:lineRule="exact"/>
              <w:ind w:left="-105" w:leftChars="-50" w:right="-105" w:rightChars="-50"/>
              <w:jc w:val="center"/>
              <w:textAlignment w:val="baseline"/>
              <w:rPr>
                <w:rFonts w:hint="eastAsia" w:ascii="宋体" w:hAnsi="宋体" w:eastAsia="宋体" w:cs="宋体"/>
                <w:color w:val="auto"/>
                <w:spacing w:val="-18"/>
                <w:sz w:val="21"/>
                <w:szCs w:val="21"/>
              </w:rPr>
            </w:pPr>
            <w:r>
              <w:rPr>
                <w:rFonts w:hint="eastAsia" w:ascii="宋体" w:hAnsi="宋体" w:eastAsia="宋体" w:cs="宋体"/>
                <w:b/>
                <w:bCs/>
                <w:color w:val="auto"/>
                <w:sz w:val="21"/>
                <w:szCs w:val="21"/>
              </w:rPr>
              <w:t>技术分（满分</w:t>
            </w:r>
            <w:r>
              <w:rPr>
                <w:rFonts w:hint="eastAsia" w:ascii="宋体" w:hAnsi="宋体" w:eastAsia="宋体" w:cs="宋体"/>
                <w:b/>
                <w:bCs/>
                <w:color w:val="auto"/>
                <w:sz w:val="21"/>
                <w:szCs w:val="21"/>
                <w:lang w:val="en-US" w:eastAsia="zh-CN"/>
              </w:rPr>
              <w:t>64</w:t>
            </w:r>
            <w:r>
              <w:rPr>
                <w:rFonts w:hint="eastAsia" w:ascii="宋体" w:hAnsi="宋体" w:eastAsia="宋体" w:cs="宋体"/>
                <w:b/>
                <w:bCs/>
                <w:color w:val="auto"/>
                <w:sz w:val="21"/>
                <w:szCs w:val="21"/>
              </w:rPr>
              <w:t>分）</w:t>
            </w:r>
          </w:p>
        </w:tc>
        <w:tc>
          <w:tcPr>
            <w:tcW w:w="897" w:type="pct"/>
            <w:noWrap w:val="0"/>
            <w:vAlign w:val="center"/>
          </w:tcPr>
          <w:p w14:paraId="369E489F">
            <w:pPr>
              <w:pageBreakBefore w:val="0"/>
              <w:widowControl/>
              <w:kinsoku/>
              <w:wordWrap/>
              <w:topLinePunct w:val="0"/>
              <w:autoSpaceDE/>
              <w:autoSpaceDN/>
              <w:bidi w:val="0"/>
              <w:snapToGrid w:val="0"/>
              <w:spacing w:line="360" w:lineRule="exact"/>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（1）实施方案（满分</w:t>
            </w:r>
            <w:r>
              <w:rPr>
                <w:rFonts w:hint="eastAsia" w:ascii="宋体" w:hAnsi="宋体" w:eastAsia="宋体" w:cs="宋体"/>
                <w:b/>
                <w:bCs/>
                <w:color w:val="auto"/>
                <w:sz w:val="21"/>
                <w:szCs w:val="21"/>
                <w:lang w:val="en-US"/>
              </w:rPr>
              <w:t>12</w:t>
            </w:r>
            <w:r>
              <w:rPr>
                <w:rFonts w:hint="eastAsia" w:ascii="宋体" w:hAnsi="宋体" w:eastAsia="宋体" w:cs="宋体"/>
                <w:b/>
                <w:bCs/>
                <w:color w:val="auto"/>
                <w:sz w:val="21"/>
                <w:szCs w:val="21"/>
              </w:rPr>
              <w:t>分）</w:t>
            </w:r>
          </w:p>
        </w:tc>
        <w:tc>
          <w:tcPr>
            <w:tcW w:w="2981" w:type="pct"/>
            <w:noWrap w:val="0"/>
            <w:vAlign w:val="center"/>
          </w:tcPr>
          <w:p w14:paraId="53F04CAE">
            <w:pPr>
              <w:pageBreakBefore w:val="0"/>
              <w:widowControl w:val="0"/>
              <w:kinsoku/>
              <w:wordWrap/>
              <w:topLinePunct w:val="0"/>
              <w:autoSpaceDE/>
              <w:autoSpaceDN/>
              <w:bidi w:val="0"/>
              <w:spacing w:line="36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未提供实施方案的，本项</w:t>
            </w:r>
            <w:r>
              <w:rPr>
                <w:rFonts w:hint="eastAsia" w:ascii="宋体" w:hAnsi="宋体" w:eastAsia="宋体" w:cs="宋体"/>
                <w:bCs/>
                <w:color w:val="auto"/>
                <w:kern w:val="0"/>
                <w:sz w:val="21"/>
                <w:szCs w:val="21"/>
                <w:lang w:val="en-US" w:eastAsia="zh-CN" w:bidi="ar-SA"/>
              </w:rPr>
              <w:t>得0分</w:t>
            </w:r>
            <w:r>
              <w:rPr>
                <w:rFonts w:hint="eastAsia" w:ascii="宋体" w:hAnsi="宋体" w:eastAsia="宋体" w:cs="宋体"/>
                <w:color w:val="auto"/>
                <w:kern w:val="2"/>
                <w:sz w:val="21"/>
                <w:szCs w:val="21"/>
                <w:lang w:val="en-US" w:eastAsia="zh-CN" w:bidi="ar-SA"/>
              </w:rPr>
              <w:t>。</w:t>
            </w:r>
          </w:p>
          <w:p w14:paraId="30D7706E">
            <w:pPr>
              <w:pageBreakBefore w:val="0"/>
              <w:widowControl w:val="0"/>
              <w:kinsoku/>
              <w:wordWrap/>
              <w:topLinePunct w:val="0"/>
              <w:autoSpaceDE/>
              <w:autoSpaceDN/>
              <w:bidi w:val="0"/>
              <w:spacing w:line="36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1、基础分：提供有简单的维保实施方案，服务计划及各项服务流程基本满足招标文件要求、具有可执行性的，得4分。</w:t>
            </w:r>
          </w:p>
          <w:p w14:paraId="6312C2ED">
            <w:pPr>
              <w:pageBreakBefore w:val="0"/>
              <w:widowControl w:val="0"/>
              <w:kinsoku/>
              <w:wordWrap/>
              <w:topLinePunct w:val="0"/>
              <w:autoSpaceDE/>
              <w:autoSpaceDN/>
              <w:bidi w:val="0"/>
              <w:spacing w:line="36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满足基础分的前提下，维保实施方案内容详细具体，内容包含但不限于：①远程服务方案、②质控检测技术支持、③定期维护保养方案、④、设备的系统软件及硬件的安全性改版升级和技术支持的具体措施；以上内容每提供一项加2分，满分8分。（各项内容中，存在前后矛盾、无可行性或有明显错误的，该项内容不得加分。）</w:t>
            </w:r>
          </w:p>
        </w:tc>
      </w:tr>
      <w:tr w14:paraId="6A6B9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8" w:type="pct"/>
            <w:vMerge w:val="continue"/>
            <w:noWrap w:val="0"/>
            <w:vAlign w:val="center"/>
          </w:tcPr>
          <w:p w14:paraId="22F1E73B">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833" w:type="pct"/>
            <w:vMerge w:val="continue"/>
            <w:noWrap w:val="0"/>
            <w:vAlign w:val="center"/>
          </w:tcPr>
          <w:p w14:paraId="7E1C4931">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897" w:type="pct"/>
            <w:noWrap w:val="0"/>
            <w:tcMar>
              <w:left w:w="57" w:type="dxa"/>
              <w:right w:w="57" w:type="dxa"/>
            </w:tcMar>
            <w:vAlign w:val="center"/>
          </w:tcPr>
          <w:p w14:paraId="6EBFA8CF">
            <w:pPr>
              <w:pageBreakBefore w:val="0"/>
              <w:widowControl/>
              <w:kinsoku/>
              <w:wordWrap/>
              <w:topLinePunct w:val="0"/>
              <w:autoSpaceDE/>
              <w:autoSpaceDN/>
              <w:bidi w:val="0"/>
              <w:snapToGrid w:val="0"/>
              <w:spacing w:line="36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（2）拟投入维护保养实施人员方案（满分</w:t>
            </w:r>
            <w:r>
              <w:rPr>
                <w:rFonts w:hint="eastAsia" w:ascii="宋体" w:hAnsi="宋体" w:eastAsia="宋体" w:cs="宋体"/>
                <w:b/>
                <w:bCs/>
                <w:color w:val="auto"/>
                <w:sz w:val="21"/>
                <w:szCs w:val="21"/>
                <w:lang w:val="en-US" w:eastAsia="zh-CN"/>
              </w:rPr>
              <w:t>18</w:t>
            </w:r>
            <w:r>
              <w:rPr>
                <w:rFonts w:hint="eastAsia" w:ascii="宋体" w:hAnsi="宋体" w:eastAsia="宋体" w:cs="宋体"/>
                <w:b/>
                <w:bCs/>
                <w:color w:val="auto"/>
                <w:sz w:val="21"/>
                <w:szCs w:val="21"/>
              </w:rPr>
              <w:t>分）</w:t>
            </w:r>
          </w:p>
          <w:p w14:paraId="2C60EED2">
            <w:pPr>
              <w:pageBreakBefore w:val="0"/>
              <w:widowControl/>
              <w:kinsoku/>
              <w:wordWrap/>
              <w:topLinePunct w:val="0"/>
              <w:autoSpaceDE/>
              <w:autoSpaceDN/>
              <w:bidi w:val="0"/>
              <w:snapToGrid w:val="0"/>
              <w:spacing w:line="360" w:lineRule="exact"/>
              <w:jc w:val="center"/>
              <w:rPr>
                <w:rFonts w:hint="eastAsia" w:ascii="宋体" w:hAnsi="宋体" w:eastAsia="宋体" w:cs="宋体"/>
                <w:color w:val="auto"/>
                <w:sz w:val="21"/>
                <w:szCs w:val="21"/>
              </w:rPr>
            </w:pPr>
          </w:p>
        </w:tc>
        <w:tc>
          <w:tcPr>
            <w:tcW w:w="2981" w:type="pct"/>
            <w:noWrap w:val="0"/>
            <w:vAlign w:val="center"/>
          </w:tcPr>
          <w:p w14:paraId="3DABAD7C">
            <w:pPr>
              <w:pageBreakBefore w:val="0"/>
              <w:widowControl/>
              <w:kinsoku/>
              <w:wordWrap/>
              <w:topLinePunct w:val="0"/>
              <w:autoSpaceDE/>
              <w:autoSpaceDN/>
              <w:bidi w:val="0"/>
              <w:snapToGrid w:val="0"/>
              <w:spacing w:line="360" w:lineRule="exact"/>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1、维护保养实施人员配置方案分（满分12分）</w:t>
            </w:r>
          </w:p>
          <w:p w14:paraId="3B06C697">
            <w:pPr>
              <w:pageBreakBefore w:val="0"/>
              <w:widowControl/>
              <w:kinsoku/>
              <w:wordWrap/>
              <w:topLinePunct w:val="0"/>
              <w:autoSpaceDE/>
              <w:autoSpaceDN/>
              <w:bidi w:val="0"/>
              <w:snapToGrid w:val="0"/>
              <w:spacing w:line="360" w:lineRule="exact"/>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未提供方案的，本项</w:t>
            </w:r>
            <w:r>
              <w:rPr>
                <w:rFonts w:hint="eastAsia" w:ascii="宋体" w:hAnsi="宋体" w:eastAsia="宋体" w:cs="宋体"/>
                <w:bCs/>
                <w:color w:val="auto"/>
                <w:kern w:val="0"/>
                <w:sz w:val="21"/>
                <w:szCs w:val="21"/>
                <w:highlight w:val="none"/>
                <w:lang w:val="en-US" w:eastAsia="zh-CN" w:bidi="ar-SA"/>
              </w:rPr>
              <w:t>得0分</w:t>
            </w:r>
            <w:r>
              <w:rPr>
                <w:rFonts w:hint="eastAsia" w:ascii="宋体" w:hAnsi="宋体" w:eastAsia="宋体" w:cs="宋体"/>
                <w:color w:val="auto"/>
                <w:kern w:val="2"/>
                <w:sz w:val="21"/>
                <w:szCs w:val="21"/>
                <w:highlight w:val="none"/>
                <w:lang w:val="en-US" w:eastAsia="zh-CN" w:bidi="ar-SA"/>
              </w:rPr>
              <w:t>。</w:t>
            </w:r>
          </w:p>
          <w:p w14:paraId="5C156765">
            <w:pPr>
              <w:pageBreakBefore w:val="0"/>
              <w:widowControl/>
              <w:kinsoku/>
              <w:wordWrap/>
              <w:topLinePunct w:val="0"/>
              <w:autoSpaceDE/>
              <w:autoSpaceDN/>
              <w:bidi w:val="0"/>
              <w:snapToGrid w:val="0"/>
              <w:spacing w:line="360" w:lineRule="exact"/>
              <w:ind w:firstLine="0" w:firstLineChars="0"/>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一档（4分）：提供有简单的维保服务实施人员配置方案，方案内容满足采购要求；</w:t>
            </w:r>
          </w:p>
          <w:p w14:paraId="7CB0232F">
            <w:pPr>
              <w:pageBreakBefore w:val="0"/>
              <w:widowControl/>
              <w:kinsoku/>
              <w:wordWrap/>
              <w:topLinePunct w:val="0"/>
              <w:autoSpaceDE/>
              <w:autoSpaceDN/>
              <w:bidi w:val="0"/>
              <w:snapToGrid w:val="0"/>
              <w:spacing w:line="360" w:lineRule="exact"/>
              <w:ind w:firstLine="0" w:firstLine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二档（8分）：满足一档的基础上，维保服务实施人员配置方案内容详细，有具体的实施人员管理组织架构；</w:t>
            </w:r>
          </w:p>
          <w:p w14:paraId="50F73A19">
            <w:pPr>
              <w:pageBreakBefore w:val="0"/>
              <w:widowControl/>
              <w:kinsoku/>
              <w:wordWrap/>
              <w:topLinePunct w:val="0"/>
              <w:autoSpaceDE/>
              <w:autoSpaceDN/>
              <w:bidi w:val="0"/>
              <w:snapToGrid w:val="0"/>
              <w:spacing w:line="360" w:lineRule="exact"/>
              <w:ind w:firstLine="0" w:firstLine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三档（12分）：</w:t>
            </w:r>
            <w:r>
              <w:rPr>
                <w:rFonts w:hint="eastAsia" w:ascii="宋体" w:hAnsi="宋体" w:eastAsia="宋体" w:cs="宋体"/>
                <w:bCs/>
                <w:color w:val="auto"/>
                <w:kern w:val="0"/>
                <w:sz w:val="21"/>
                <w:szCs w:val="21"/>
                <w:highlight w:val="none"/>
                <w:lang w:val="en-US" w:eastAsia="zh-CN" w:bidi="ar-SA"/>
              </w:rPr>
              <w:t>满足二档的基础上，有具体的人员分工、应急维护人员调配方案。</w:t>
            </w:r>
          </w:p>
          <w:p w14:paraId="58C30B33">
            <w:pPr>
              <w:pageBreakBefore w:val="0"/>
              <w:kinsoku/>
              <w:wordWrap/>
              <w:topLinePunct w:val="0"/>
              <w:autoSpaceDE/>
              <w:autoSpaceDN/>
              <w:bidi w:val="0"/>
              <w:snapToGrid w:val="0"/>
              <w:spacing w:line="36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投标人或授权机构提供远程支持保修服务的工程师具有da Vinci厂家技术培训资质证明的，在满足项目最低配置需求</w:t>
            </w:r>
            <w:r>
              <w:rPr>
                <w:rFonts w:hint="eastAsia" w:ascii="宋体" w:hAnsi="宋体" w:eastAsia="宋体" w:cs="宋体"/>
                <w:bCs/>
                <w:color w:val="auto"/>
                <w:sz w:val="21"/>
                <w:szCs w:val="21"/>
                <w:highlight w:val="none"/>
                <w:lang w:eastAsia="zh-CN"/>
              </w:rPr>
              <w:t>（2人）</w:t>
            </w:r>
            <w:r>
              <w:rPr>
                <w:rFonts w:hint="eastAsia" w:ascii="宋体" w:hAnsi="宋体" w:eastAsia="宋体" w:cs="宋体"/>
                <w:bCs/>
                <w:color w:val="auto"/>
                <w:sz w:val="21"/>
                <w:szCs w:val="21"/>
                <w:highlight w:val="none"/>
              </w:rPr>
              <w:t>的基础上，每增加一人得1分，最高不超过3分；（投标文件提供相应资质证书复印件并加盖公章）</w:t>
            </w:r>
          </w:p>
          <w:p w14:paraId="5BE99134">
            <w:pPr>
              <w:keepNext w:val="0"/>
              <w:keepLines w:val="0"/>
              <w:pageBreakBefore w:val="0"/>
              <w:widowControl/>
              <w:kinsoku/>
              <w:wordWrap/>
              <w:topLinePunct w:val="0"/>
              <w:autoSpaceDE/>
              <w:autoSpaceDN/>
              <w:bidi w:val="0"/>
              <w:snapToGrid w:val="0"/>
              <w:spacing w:before="0" w:after="0" w:line="360" w:lineRule="exact"/>
              <w:jc w:val="left"/>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3</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投标人或授权机构提供现场保修服务的工程师具有da Vinci厂家技术培训资质证明的，在满足项目最低配置需求</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eastAsia="zh-CN"/>
              </w:rPr>
              <w:t>人）</w:t>
            </w:r>
            <w:r>
              <w:rPr>
                <w:rFonts w:hint="eastAsia" w:ascii="宋体" w:hAnsi="宋体" w:eastAsia="宋体" w:cs="宋体"/>
                <w:bCs/>
                <w:color w:val="auto"/>
                <w:sz w:val="21"/>
                <w:szCs w:val="21"/>
                <w:highlight w:val="none"/>
              </w:rPr>
              <w:t>的基础上</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每增加一人得1分，最高不超过3分；（投标文件提供相应资质证书复印件并加盖公章）</w:t>
            </w:r>
          </w:p>
          <w:p w14:paraId="53C25661">
            <w:pPr>
              <w:keepNext w:val="0"/>
              <w:keepLines w:val="0"/>
              <w:pageBreakBefore w:val="0"/>
              <w:widowControl/>
              <w:kinsoku/>
              <w:wordWrap/>
              <w:topLinePunct w:val="0"/>
              <w:autoSpaceDE/>
              <w:autoSpaceDN/>
              <w:bidi w:val="0"/>
              <w:snapToGrid w:val="0"/>
              <w:spacing w:before="0" w:after="0" w:line="360" w:lineRule="exact"/>
              <w:jc w:val="left"/>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注：同一人2和3项不能重复加分。</w:t>
            </w:r>
          </w:p>
        </w:tc>
      </w:tr>
      <w:tr w14:paraId="3A0DB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8" w:type="pct"/>
            <w:vMerge w:val="continue"/>
            <w:noWrap w:val="0"/>
            <w:vAlign w:val="center"/>
          </w:tcPr>
          <w:p w14:paraId="644AA7B8">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833" w:type="pct"/>
            <w:vMerge w:val="continue"/>
            <w:noWrap w:val="0"/>
            <w:vAlign w:val="center"/>
          </w:tcPr>
          <w:p w14:paraId="13951C97">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897" w:type="pct"/>
            <w:noWrap w:val="0"/>
            <w:tcMar>
              <w:left w:w="57" w:type="dxa"/>
              <w:right w:w="57" w:type="dxa"/>
            </w:tcMar>
            <w:vAlign w:val="center"/>
          </w:tcPr>
          <w:p w14:paraId="1940EE20">
            <w:pPr>
              <w:pageBreakBefore w:val="0"/>
              <w:widowControl/>
              <w:kinsoku/>
              <w:wordWrap/>
              <w:topLinePunct w:val="0"/>
              <w:autoSpaceDE/>
              <w:autoSpaceDN/>
              <w:bidi w:val="0"/>
              <w:snapToGrid w:val="0"/>
              <w:spacing w:line="360" w:lineRule="exact"/>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（3）服务质量保证措施、服务承诺及合理化建议（满分</w:t>
            </w:r>
            <w:r>
              <w:rPr>
                <w:rFonts w:hint="eastAsia" w:ascii="宋体" w:hAnsi="宋体" w:eastAsia="宋体" w:cs="宋体"/>
                <w:b/>
                <w:bCs/>
                <w:color w:val="auto"/>
                <w:sz w:val="21"/>
                <w:szCs w:val="21"/>
                <w:lang w:val="en-US" w:eastAsia="zh-CN"/>
              </w:rPr>
              <w:t>12</w:t>
            </w:r>
            <w:r>
              <w:rPr>
                <w:rFonts w:hint="eastAsia" w:ascii="宋体" w:hAnsi="宋体" w:eastAsia="宋体" w:cs="宋体"/>
                <w:b/>
                <w:bCs/>
                <w:color w:val="auto"/>
                <w:sz w:val="21"/>
                <w:szCs w:val="21"/>
              </w:rPr>
              <w:t>分）</w:t>
            </w:r>
          </w:p>
        </w:tc>
        <w:tc>
          <w:tcPr>
            <w:tcW w:w="2981" w:type="pct"/>
            <w:noWrap w:val="0"/>
            <w:vAlign w:val="center"/>
          </w:tcPr>
          <w:p w14:paraId="63A60DE6">
            <w:pPr>
              <w:pageBreakBefore w:val="0"/>
              <w:widowControl w:val="0"/>
              <w:kinsoku/>
              <w:wordWrap/>
              <w:topLinePunct w:val="0"/>
              <w:autoSpaceDE/>
              <w:autoSpaceDN/>
              <w:bidi w:val="0"/>
              <w:spacing w:before="24" w:line="360" w:lineRule="exact"/>
              <w:ind w:right="106"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一档（4分）：提供简单的服务质量保证措施、服务承诺，合理化建议无可行性；</w:t>
            </w:r>
          </w:p>
          <w:p w14:paraId="13A0FF11">
            <w:pPr>
              <w:pageBreakBefore w:val="0"/>
              <w:widowControl w:val="0"/>
              <w:kinsoku/>
              <w:wordWrap/>
              <w:topLinePunct w:val="0"/>
              <w:autoSpaceDE/>
              <w:autoSpaceDN/>
              <w:bidi w:val="0"/>
              <w:spacing w:before="24" w:line="360" w:lineRule="exact"/>
              <w:ind w:right="106" w:firstLine="420" w:firstLineChars="200"/>
              <w:jc w:val="left"/>
              <w:rPr>
                <w:rFonts w:hint="eastAsia" w:ascii="宋体" w:hAnsi="宋体" w:eastAsia="宋体" w:cs="宋体"/>
                <w:b/>
                <w:bCs/>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二档（8分）：服务质量保证措施、服务承诺具体，基本可行，合理化建议有针对性；</w:t>
            </w:r>
          </w:p>
          <w:p w14:paraId="2FE8CECD">
            <w:pPr>
              <w:pageBreakBefore w:val="0"/>
              <w:widowControl w:val="0"/>
              <w:kinsoku/>
              <w:wordWrap/>
              <w:topLinePunct w:val="0"/>
              <w:autoSpaceDE/>
              <w:autoSpaceDN/>
              <w:bidi w:val="0"/>
              <w:spacing w:before="24" w:line="360" w:lineRule="exact"/>
              <w:ind w:right="106" w:firstLine="420" w:firstLineChars="200"/>
              <w:jc w:val="left"/>
              <w:rPr>
                <w:rFonts w:hint="eastAsia" w:ascii="宋体" w:hAnsi="宋体" w:eastAsia="宋体" w:cs="宋体"/>
                <w:bCs/>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三档（12分）：服务质量保证措施、服务承诺全面、具体、完整可行，合理化建议针对性强。</w:t>
            </w:r>
          </w:p>
        </w:tc>
      </w:tr>
      <w:tr w14:paraId="43833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8" w:type="pct"/>
            <w:vMerge w:val="continue"/>
            <w:noWrap w:val="0"/>
            <w:vAlign w:val="center"/>
          </w:tcPr>
          <w:p w14:paraId="3A9511B4">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833" w:type="pct"/>
            <w:vMerge w:val="continue"/>
            <w:noWrap w:val="0"/>
            <w:vAlign w:val="center"/>
          </w:tcPr>
          <w:p w14:paraId="1E4E9126">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897" w:type="pct"/>
            <w:noWrap w:val="0"/>
            <w:tcMar>
              <w:left w:w="57" w:type="dxa"/>
              <w:right w:w="57" w:type="dxa"/>
            </w:tcMar>
            <w:vAlign w:val="center"/>
          </w:tcPr>
          <w:p w14:paraId="4EA9027B">
            <w:pPr>
              <w:keepNext/>
              <w:keepLines/>
              <w:pageBreakBefore w:val="0"/>
              <w:widowControl w:val="0"/>
              <w:kinsoku/>
              <w:wordWrap/>
              <w:topLinePunct w:val="0"/>
              <w:autoSpaceDE/>
              <w:autoSpaceDN/>
              <w:bidi w:val="0"/>
              <w:spacing w:before="280" w:after="290" w:line="360" w:lineRule="exact"/>
              <w:jc w:val="both"/>
              <w:outlineLvl w:val="3"/>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（4）培训方案 （满分13分）</w:t>
            </w:r>
          </w:p>
        </w:tc>
        <w:tc>
          <w:tcPr>
            <w:tcW w:w="2981" w:type="pct"/>
            <w:noWrap w:val="0"/>
            <w:vAlign w:val="center"/>
          </w:tcPr>
          <w:p w14:paraId="39C3F720">
            <w:pPr>
              <w:pageBreakBefore w:val="0"/>
              <w:widowControl w:val="0"/>
              <w:kinsoku/>
              <w:wordWrap/>
              <w:topLinePunct w:val="0"/>
              <w:autoSpaceDE/>
              <w:autoSpaceDN/>
              <w:bidi w:val="0"/>
              <w:spacing w:line="360" w:lineRule="exact"/>
              <w:jc w:val="both"/>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1、培训方案 ：</w:t>
            </w:r>
          </w:p>
          <w:p w14:paraId="79F1B12A">
            <w:pPr>
              <w:pageBreakBefore w:val="0"/>
              <w:widowControl w:val="0"/>
              <w:kinsoku/>
              <w:wordWrap/>
              <w:topLinePunct w:val="0"/>
              <w:autoSpaceDE/>
              <w:autoSpaceDN/>
              <w:bidi w:val="0"/>
              <w:spacing w:line="360" w:lineRule="exact"/>
              <w:jc w:val="both"/>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未提供方案的，</w:t>
            </w:r>
            <w:r>
              <w:rPr>
                <w:rFonts w:hint="eastAsia" w:ascii="宋体" w:hAnsi="宋体" w:eastAsia="宋体" w:cs="宋体"/>
                <w:color w:val="auto"/>
                <w:kern w:val="2"/>
                <w:sz w:val="21"/>
                <w:szCs w:val="21"/>
                <w:lang w:val="en-US" w:eastAsia="zh-CN" w:bidi="ar-SA"/>
              </w:rPr>
              <w:t>本项</w:t>
            </w:r>
            <w:r>
              <w:rPr>
                <w:rFonts w:hint="eastAsia" w:ascii="宋体" w:hAnsi="宋体" w:eastAsia="宋体" w:cs="宋体"/>
                <w:bCs/>
                <w:color w:val="auto"/>
                <w:kern w:val="0"/>
                <w:sz w:val="21"/>
                <w:szCs w:val="21"/>
                <w:lang w:val="en-US" w:eastAsia="zh-CN" w:bidi="ar-SA"/>
              </w:rPr>
              <w:t>得0分。</w:t>
            </w:r>
          </w:p>
          <w:p w14:paraId="1FA74870">
            <w:pPr>
              <w:pageBreakBefore w:val="0"/>
              <w:widowControl w:val="0"/>
              <w:kinsoku/>
              <w:wordWrap/>
              <w:topLinePunct w:val="0"/>
              <w:autoSpaceDE/>
              <w:autoSpaceDN/>
              <w:bidi w:val="0"/>
              <w:spacing w:line="360" w:lineRule="exact"/>
              <w:jc w:val="both"/>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 xml:space="preserve">一档（3分）：提供有培训方案，方案内容基本满足招标文件要求。 </w:t>
            </w:r>
          </w:p>
          <w:p w14:paraId="03518FCB">
            <w:pPr>
              <w:pageBreakBefore w:val="0"/>
              <w:widowControl w:val="0"/>
              <w:kinsoku/>
              <w:wordWrap/>
              <w:topLinePunct w:val="0"/>
              <w:autoSpaceDE/>
              <w:autoSpaceDN/>
              <w:bidi w:val="0"/>
              <w:spacing w:line="360" w:lineRule="exact"/>
              <w:jc w:val="both"/>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二档（6分）：满足一档的前提下，培训方案详细，有可行性，方案内容包括培训时间安排，师资人员安排，培训内容安排，其中培训内容安排包括</w:t>
            </w:r>
            <w:r>
              <w:rPr>
                <w:rFonts w:hint="eastAsia" w:ascii="宋体" w:hAnsi="宋体" w:cs="宋体"/>
                <w:bCs/>
                <w:color w:val="auto"/>
                <w:kern w:val="0"/>
                <w:sz w:val="21"/>
                <w:szCs w:val="21"/>
                <w:lang w:val="en-US" w:eastAsia="zh-CN" w:bidi="ar-SA"/>
              </w:rPr>
              <w:t>对甲方相关人员</w:t>
            </w:r>
            <w:r>
              <w:rPr>
                <w:rFonts w:hint="eastAsia" w:ascii="宋体" w:hAnsi="宋体" w:eastAsia="宋体" w:cs="宋体"/>
                <w:bCs/>
                <w:color w:val="auto"/>
                <w:kern w:val="0"/>
                <w:sz w:val="21"/>
                <w:szCs w:val="21"/>
                <w:lang w:val="en-US" w:eastAsia="zh-CN" w:bidi="ar-SA"/>
              </w:rPr>
              <w:t>设备功能理论及设备应用培训计划。</w:t>
            </w:r>
          </w:p>
          <w:p w14:paraId="601B3620">
            <w:pPr>
              <w:pageBreakBefore w:val="0"/>
              <w:widowControl w:val="0"/>
              <w:kinsoku/>
              <w:wordWrap/>
              <w:topLinePunct w:val="0"/>
              <w:autoSpaceDE/>
              <w:autoSpaceDN/>
              <w:bidi w:val="0"/>
              <w:spacing w:line="360" w:lineRule="exact"/>
              <w:jc w:val="both"/>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三档（10分）：满足二档的前提下，培训方案详细具体，可行性强，方案内容包括培训时间安排，师资人员安排，培训内容安排，其中培训内容安排包括</w:t>
            </w:r>
            <w:r>
              <w:rPr>
                <w:rFonts w:hint="eastAsia" w:ascii="宋体" w:hAnsi="宋体" w:cs="宋体"/>
                <w:bCs/>
                <w:color w:val="auto"/>
                <w:kern w:val="0"/>
                <w:sz w:val="21"/>
                <w:szCs w:val="21"/>
                <w:lang w:val="en-US" w:eastAsia="zh-CN" w:bidi="ar-SA"/>
              </w:rPr>
              <w:t>对甲方相关人员</w:t>
            </w:r>
            <w:r>
              <w:rPr>
                <w:rFonts w:hint="eastAsia" w:ascii="宋体" w:hAnsi="宋体" w:eastAsia="宋体" w:cs="宋体"/>
                <w:bCs/>
                <w:color w:val="auto"/>
                <w:kern w:val="0"/>
                <w:sz w:val="21"/>
                <w:szCs w:val="21"/>
                <w:lang w:val="en-US" w:eastAsia="zh-CN" w:bidi="ar-SA"/>
              </w:rPr>
              <w:t>设备功能理论及设备应用培训计划、设备常见问题的基本维修及保养、操作培训计划。</w:t>
            </w:r>
          </w:p>
          <w:p w14:paraId="19D8D9C1">
            <w:pPr>
              <w:pageBreakBefore w:val="0"/>
              <w:widowControl w:val="0"/>
              <w:kinsoku/>
              <w:wordWrap/>
              <w:topLinePunct w:val="0"/>
              <w:autoSpaceDE/>
              <w:autoSpaceDN/>
              <w:bidi w:val="0"/>
              <w:spacing w:line="360" w:lineRule="exact"/>
              <w:jc w:val="both"/>
              <w:rPr>
                <w:rFonts w:hint="eastAsia" w:ascii="宋体" w:hAnsi="宋体" w:eastAsia="宋体" w:cs="宋体"/>
                <w:b/>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2、培训专家具有厂家授权培训证书的，每个得3分，满分3分。</w:t>
            </w:r>
          </w:p>
        </w:tc>
      </w:tr>
      <w:tr w14:paraId="4F8B6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8" w:type="pct"/>
            <w:vMerge w:val="continue"/>
            <w:noWrap w:val="0"/>
            <w:vAlign w:val="center"/>
          </w:tcPr>
          <w:p w14:paraId="70094632">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833" w:type="pct"/>
            <w:vMerge w:val="continue"/>
            <w:noWrap w:val="0"/>
            <w:vAlign w:val="center"/>
          </w:tcPr>
          <w:p w14:paraId="380EC399">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897" w:type="pct"/>
            <w:noWrap w:val="0"/>
            <w:tcMar>
              <w:left w:w="57" w:type="dxa"/>
              <w:right w:w="57" w:type="dxa"/>
            </w:tcMar>
            <w:vAlign w:val="center"/>
          </w:tcPr>
          <w:p w14:paraId="3CE8394E">
            <w:pPr>
              <w:pageBreakBefore w:val="0"/>
              <w:widowControl/>
              <w:kinsoku/>
              <w:wordWrap/>
              <w:topLinePunct w:val="0"/>
              <w:autoSpaceDE/>
              <w:autoSpaceDN/>
              <w:bidi w:val="0"/>
              <w:snapToGrid w:val="0"/>
              <w:spacing w:line="36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（5）备品备件方案分（满分</w:t>
            </w:r>
            <w:r>
              <w:rPr>
                <w:rFonts w:hint="eastAsia" w:ascii="宋体" w:hAnsi="宋体" w:eastAsia="宋体" w:cs="宋体"/>
                <w:b/>
                <w:bCs/>
                <w:color w:val="auto"/>
                <w:sz w:val="21"/>
                <w:szCs w:val="21"/>
                <w:lang w:val="en-US" w:eastAsia="zh-CN"/>
              </w:rPr>
              <w:t>9</w:t>
            </w:r>
            <w:r>
              <w:rPr>
                <w:rFonts w:hint="eastAsia" w:ascii="宋体" w:hAnsi="宋体" w:eastAsia="宋体" w:cs="宋体"/>
                <w:b/>
                <w:bCs/>
                <w:color w:val="auto"/>
                <w:sz w:val="21"/>
                <w:szCs w:val="21"/>
              </w:rPr>
              <w:t>分）</w:t>
            </w:r>
          </w:p>
          <w:p w14:paraId="5F69A11C">
            <w:pPr>
              <w:pageBreakBefore w:val="0"/>
              <w:widowControl/>
              <w:kinsoku/>
              <w:wordWrap/>
              <w:topLinePunct w:val="0"/>
              <w:autoSpaceDE/>
              <w:autoSpaceDN/>
              <w:bidi w:val="0"/>
              <w:snapToGrid w:val="0"/>
              <w:spacing w:line="360" w:lineRule="exact"/>
              <w:jc w:val="center"/>
              <w:rPr>
                <w:rFonts w:hint="eastAsia" w:ascii="宋体" w:hAnsi="宋体" w:eastAsia="宋体" w:cs="宋体"/>
                <w:color w:val="auto"/>
                <w:sz w:val="21"/>
                <w:szCs w:val="21"/>
              </w:rPr>
            </w:pPr>
          </w:p>
        </w:tc>
        <w:tc>
          <w:tcPr>
            <w:tcW w:w="2981" w:type="pct"/>
            <w:noWrap w:val="0"/>
            <w:vAlign w:val="center"/>
          </w:tcPr>
          <w:p w14:paraId="061FE17B">
            <w:pPr>
              <w:pageBreakBefore w:val="0"/>
              <w:widowControl w:val="0"/>
              <w:kinsoku/>
              <w:wordWrap/>
              <w:topLinePunct w:val="0"/>
              <w:autoSpaceDE/>
              <w:autoSpaceDN/>
              <w:bidi w:val="0"/>
              <w:spacing w:line="360" w:lineRule="exact"/>
              <w:jc w:val="both"/>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未提供方案的，</w:t>
            </w:r>
            <w:r>
              <w:rPr>
                <w:rFonts w:hint="eastAsia" w:ascii="宋体" w:hAnsi="宋体" w:eastAsia="宋体" w:cs="宋体"/>
                <w:color w:val="auto"/>
                <w:kern w:val="2"/>
                <w:sz w:val="21"/>
                <w:szCs w:val="21"/>
                <w:lang w:val="en-US" w:eastAsia="zh-CN" w:bidi="ar-SA"/>
              </w:rPr>
              <w:t>本项</w:t>
            </w:r>
            <w:r>
              <w:rPr>
                <w:rFonts w:hint="eastAsia" w:ascii="宋体" w:hAnsi="宋体" w:eastAsia="宋体" w:cs="宋体"/>
                <w:bCs/>
                <w:color w:val="auto"/>
                <w:kern w:val="0"/>
                <w:sz w:val="21"/>
                <w:szCs w:val="21"/>
                <w:lang w:val="en-US" w:eastAsia="zh-CN" w:bidi="ar-SA"/>
              </w:rPr>
              <w:t>得0分。</w:t>
            </w:r>
          </w:p>
          <w:p w14:paraId="629FE589">
            <w:pPr>
              <w:pageBreakBefore w:val="0"/>
              <w:widowControl w:val="0"/>
              <w:kinsoku/>
              <w:wordWrap/>
              <w:topLinePunct w:val="0"/>
              <w:autoSpaceDE/>
              <w:autoSpaceDN/>
              <w:bidi w:val="0"/>
              <w:spacing w:line="360" w:lineRule="exact"/>
              <w:ind w:firstLine="420" w:firstLineChars="200"/>
              <w:jc w:val="both"/>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一档（3分）：备品备件方案满足采购文件要求，并提供简单的备件调配流程；</w:t>
            </w:r>
          </w:p>
          <w:p w14:paraId="23963403">
            <w:pPr>
              <w:pageBreakBefore w:val="0"/>
              <w:widowControl w:val="0"/>
              <w:kinsoku/>
              <w:wordWrap/>
              <w:topLinePunct w:val="0"/>
              <w:autoSpaceDE/>
              <w:autoSpaceDN/>
              <w:bidi w:val="0"/>
              <w:spacing w:line="360" w:lineRule="exact"/>
              <w:ind w:firstLine="420" w:firstLineChars="200"/>
              <w:jc w:val="both"/>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二档（6分）：备品备件方案满足采购文件要求，供应商在国内具备1个备件仓库，备件品种齐全，并提供详细的备件调配流程，流程合理。</w:t>
            </w:r>
          </w:p>
          <w:p w14:paraId="3EE7CE32">
            <w:pPr>
              <w:pageBreakBefore w:val="0"/>
              <w:widowControl w:val="0"/>
              <w:kinsoku/>
              <w:wordWrap/>
              <w:topLinePunct w:val="0"/>
              <w:autoSpaceDE/>
              <w:autoSpaceDN/>
              <w:bidi w:val="0"/>
              <w:spacing w:line="360" w:lineRule="exact"/>
              <w:ind w:firstLine="420" w:firstLineChars="200"/>
              <w:jc w:val="both"/>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三档（9分）：备品备件方案满足采购文件要求，供应商在国内具备2个及以上（含2个）备件仓库，备件品种齐全，覆盖本项目设备的不易损备件，并提供详细的备件调配流程且提供紧急备品备件的时间少于24小时，流程科学合理且效率高。</w:t>
            </w:r>
          </w:p>
        </w:tc>
      </w:tr>
      <w:tr w14:paraId="51FF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8" w:type="pct"/>
            <w:vMerge w:val="restart"/>
            <w:noWrap w:val="0"/>
            <w:vAlign w:val="center"/>
          </w:tcPr>
          <w:p w14:paraId="0DED67A5">
            <w:pPr>
              <w:pageBreakBefore w:val="0"/>
              <w:kinsoku/>
              <w:wordWrap/>
              <w:topLinePunct w:val="0"/>
              <w:autoSpaceDE/>
              <w:autoSpaceDN/>
              <w:bidi w:val="0"/>
              <w:adjustRightInd w:val="0"/>
              <w:spacing w:line="360" w:lineRule="exact"/>
              <w:jc w:val="center"/>
              <w:textAlignment w:val="baseline"/>
              <w:rPr>
                <w:rFonts w:hint="eastAsia" w:ascii="宋体" w:hAnsi="宋体" w:eastAsia="宋体" w:cs="宋体"/>
                <w:color w:val="auto"/>
                <w:sz w:val="21"/>
                <w:szCs w:val="21"/>
              </w:rPr>
            </w:pPr>
            <w:r>
              <w:rPr>
                <w:rFonts w:hint="eastAsia" w:ascii="宋体" w:hAnsi="宋体" w:eastAsia="宋体" w:cs="宋体"/>
                <w:b/>
                <w:color w:val="auto"/>
                <w:sz w:val="21"/>
                <w:szCs w:val="21"/>
              </w:rPr>
              <w:t>3</w:t>
            </w:r>
          </w:p>
        </w:tc>
        <w:tc>
          <w:tcPr>
            <w:tcW w:w="833" w:type="pct"/>
            <w:vMerge w:val="restart"/>
            <w:noWrap w:val="0"/>
            <w:vAlign w:val="center"/>
          </w:tcPr>
          <w:p w14:paraId="0E69C61E">
            <w:pPr>
              <w:pageBreakBefore w:val="0"/>
              <w:kinsoku/>
              <w:wordWrap/>
              <w:topLinePunct w:val="0"/>
              <w:autoSpaceDE/>
              <w:autoSpaceDN/>
              <w:bidi w:val="0"/>
              <w:adjustRightInd w:val="0"/>
              <w:spacing w:line="360" w:lineRule="exact"/>
              <w:jc w:val="center"/>
              <w:textAlignment w:val="baseline"/>
              <w:rPr>
                <w:rFonts w:hint="eastAsia" w:ascii="宋体" w:hAnsi="宋体" w:eastAsia="宋体" w:cs="宋体"/>
                <w:color w:val="auto"/>
                <w:sz w:val="21"/>
                <w:szCs w:val="21"/>
              </w:rPr>
            </w:pPr>
            <w:r>
              <w:rPr>
                <w:rFonts w:hint="eastAsia" w:ascii="宋体" w:hAnsi="宋体" w:eastAsia="宋体" w:cs="宋体"/>
                <w:b/>
                <w:bCs/>
                <w:color w:val="auto"/>
                <w:sz w:val="21"/>
                <w:szCs w:val="21"/>
              </w:rPr>
              <w:t>商务分（</w:t>
            </w:r>
            <w:r>
              <w:rPr>
                <w:rFonts w:hint="eastAsia" w:ascii="宋体" w:hAnsi="宋体" w:eastAsia="宋体" w:cs="宋体"/>
                <w:b/>
                <w:color w:val="auto"/>
                <w:sz w:val="21"/>
                <w:szCs w:val="21"/>
              </w:rPr>
              <w:t>满分1</w:t>
            </w:r>
            <w:r>
              <w:rPr>
                <w:rFonts w:hint="eastAsia" w:ascii="宋体" w:hAnsi="宋体" w:eastAsia="宋体" w:cs="宋体"/>
                <w:b/>
                <w:color w:val="auto"/>
                <w:sz w:val="21"/>
                <w:szCs w:val="21"/>
                <w:lang w:val="en-US" w:eastAsia="zh-CN"/>
              </w:rPr>
              <w:t>6</w:t>
            </w:r>
            <w:r>
              <w:rPr>
                <w:rFonts w:hint="eastAsia" w:ascii="宋体" w:hAnsi="宋体" w:eastAsia="宋体" w:cs="宋体"/>
                <w:b/>
                <w:color w:val="auto"/>
                <w:sz w:val="21"/>
                <w:szCs w:val="21"/>
              </w:rPr>
              <w:t>分</w:t>
            </w:r>
            <w:r>
              <w:rPr>
                <w:rFonts w:hint="eastAsia" w:ascii="宋体" w:hAnsi="宋体" w:eastAsia="宋体" w:cs="宋体"/>
                <w:b/>
                <w:bCs/>
                <w:color w:val="auto"/>
                <w:sz w:val="21"/>
                <w:szCs w:val="21"/>
              </w:rPr>
              <w:t>）</w:t>
            </w:r>
          </w:p>
        </w:tc>
        <w:tc>
          <w:tcPr>
            <w:tcW w:w="897" w:type="pct"/>
            <w:noWrap w:val="0"/>
            <w:tcMar>
              <w:left w:w="57" w:type="dxa"/>
              <w:right w:w="57" w:type="dxa"/>
            </w:tcMar>
            <w:vAlign w:val="center"/>
          </w:tcPr>
          <w:p w14:paraId="3A4A1BE4">
            <w:pPr>
              <w:pageBreakBefore w:val="0"/>
              <w:kinsoku/>
              <w:wordWrap/>
              <w:topLinePunct w:val="0"/>
              <w:autoSpaceDE/>
              <w:autoSpaceDN/>
              <w:bidi w:val="0"/>
              <w:spacing w:line="360" w:lineRule="exact"/>
              <w:jc w:val="center"/>
              <w:rPr>
                <w:rFonts w:hint="eastAsia" w:ascii="宋体" w:hAnsi="宋体" w:eastAsia="宋体" w:cs="宋体"/>
                <w:color w:val="auto"/>
                <w:sz w:val="21"/>
                <w:szCs w:val="21"/>
              </w:rPr>
            </w:pPr>
            <w:r>
              <w:rPr>
                <w:rFonts w:hint="eastAsia" w:ascii="宋体" w:hAnsi="宋体" w:eastAsia="宋体" w:cs="宋体"/>
                <w:b/>
                <w:color w:val="auto"/>
                <w:sz w:val="21"/>
                <w:szCs w:val="21"/>
              </w:rPr>
              <w:t>业绩分（满分10分）</w:t>
            </w:r>
          </w:p>
        </w:tc>
        <w:tc>
          <w:tcPr>
            <w:tcW w:w="2981" w:type="pct"/>
            <w:noWrap w:val="0"/>
            <w:vAlign w:val="top"/>
          </w:tcPr>
          <w:p w14:paraId="48384751">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eastAsia" w:ascii="宋体" w:hAnsi="宋体" w:eastAsia="宋体" w:cs="宋体"/>
                <w:bCs/>
                <w:color w:val="auto"/>
                <w:kern w:val="0"/>
                <w:sz w:val="21"/>
                <w:szCs w:val="21"/>
              </w:rPr>
              <w:t>202</w:t>
            </w:r>
            <w:r>
              <w:rPr>
                <w:rFonts w:hint="eastAsia" w:ascii="宋体" w:hAnsi="宋体" w:eastAsia="宋体" w:cs="宋体"/>
                <w:bCs/>
                <w:color w:val="auto"/>
                <w:kern w:val="0"/>
                <w:sz w:val="21"/>
                <w:szCs w:val="21"/>
                <w:lang w:val="en-US" w:eastAsia="zh-CN"/>
              </w:rPr>
              <w:t>2</w:t>
            </w:r>
            <w:r>
              <w:rPr>
                <w:rFonts w:hint="eastAsia" w:ascii="宋体" w:hAnsi="宋体" w:eastAsia="宋体" w:cs="宋体"/>
                <w:bCs/>
                <w:color w:val="auto"/>
                <w:kern w:val="0"/>
                <w:sz w:val="21"/>
                <w:szCs w:val="21"/>
              </w:rPr>
              <w:t>年 1月 1 日以来至投标截止日期止，投标人同类设备维保的业绩，每项得2分，满分10分。（投标文件中提供中标通知书复印件或合同复印件并加盖投标人单位公章）</w:t>
            </w:r>
          </w:p>
        </w:tc>
      </w:tr>
      <w:tr w14:paraId="3AC4D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8" w:type="pct"/>
            <w:vMerge w:val="continue"/>
            <w:noWrap w:val="0"/>
            <w:vAlign w:val="center"/>
          </w:tcPr>
          <w:p w14:paraId="66615F18">
            <w:pPr>
              <w:pageBreakBefore w:val="0"/>
              <w:kinsoku/>
              <w:wordWrap/>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rPr>
            </w:pPr>
          </w:p>
        </w:tc>
        <w:tc>
          <w:tcPr>
            <w:tcW w:w="833" w:type="pct"/>
            <w:vMerge w:val="continue"/>
            <w:noWrap w:val="0"/>
            <w:vAlign w:val="center"/>
          </w:tcPr>
          <w:p w14:paraId="39AFA070">
            <w:pPr>
              <w:pageBreakBefore w:val="0"/>
              <w:kinsoku/>
              <w:wordWrap/>
              <w:topLinePunct w:val="0"/>
              <w:autoSpaceDE/>
              <w:autoSpaceDN/>
              <w:bidi w:val="0"/>
              <w:adjustRightInd w:val="0"/>
              <w:spacing w:line="360" w:lineRule="exact"/>
              <w:jc w:val="center"/>
              <w:textAlignment w:val="baseline"/>
              <w:rPr>
                <w:rFonts w:hint="eastAsia" w:ascii="宋体" w:hAnsi="宋体" w:eastAsia="宋体" w:cs="宋体"/>
                <w:b/>
                <w:bCs/>
                <w:color w:val="auto"/>
                <w:sz w:val="21"/>
                <w:szCs w:val="21"/>
              </w:rPr>
            </w:pPr>
          </w:p>
        </w:tc>
        <w:tc>
          <w:tcPr>
            <w:tcW w:w="897" w:type="pct"/>
            <w:noWrap w:val="0"/>
            <w:tcMar>
              <w:left w:w="57" w:type="dxa"/>
              <w:right w:w="57" w:type="dxa"/>
            </w:tcMar>
            <w:vAlign w:val="center"/>
          </w:tcPr>
          <w:p w14:paraId="74DD6A99">
            <w:pPr>
              <w:pageBreakBefore w:val="0"/>
              <w:kinsoku/>
              <w:wordWrap/>
              <w:topLinePunct w:val="0"/>
              <w:autoSpaceDE/>
              <w:autoSpaceDN/>
              <w:bidi w:val="0"/>
              <w:spacing w:line="36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信誉分（满分</w:t>
            </w:r>
            <w:r>
              <w:rPr>
                <w:rFonts w:hint="eastAsia" w:ascii="宋体" w:hAnsi="宋体" w:eastAsia="宋体" w:cs="宋体"/>
                <w:b/>
                <w:color w:val="auto"/>
                <w:sz w:val="21"/>
                <w:szCs w:val="21"/>
                <w:lang w:val="en-US" w:eastAsia="zh-CN"/>
              </w:rPr>
              <w:t>6</w:t>
            </w:r>
            <w:r>
              <w:rPr>
                <w:rFonts w:hint="eastAsia" w:ascii="宋体" w:hAnsi="宋体" w:eastAsia="宋体" w:cs="宋体"/>
                <w:b/>
                <w:color w:val="auto"/>
                <w:sz w:val="21"/>
                <w:szCs w:val="21"/>
              </w:rPr>
              <w:t>分）</w:t>
            </w:r>
          </w:p>
        </w:tc>
        <w:tc>
          <w:tcPr>
            <w:tcW w:w="2981" w:type="pct"/>
            <w:noWrap w:val="0"/>
            <w:vAlign w:val="top"/>
          </w:tcPr>
          <w:p w14:paraId="5A19127E">
            <w:pPr>
              <w:pageBreakBefore w:val="0"/>
              <w:kinsoku/>
              <w:wordWrap/>
              <w:topLinePunct w:val="0"/>
              <w:autoSpaceDE/>
              <w:autoSpaceDN/>
              <w:bidi w:val="0"/>
              <w:spacing w:line="360" w:lineRule="exac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投标人提供有效的ISO9001质量管理体系认证、ISO14001环境管理体系认证、ISO45001职业健康安全管理体系认证等证书的每一项得</w:t>
            </w:r>
            <w:r>
              <w:rPr>
                <w:rFonts w:hint="eastAsia" w:ascii="宋体" w:hAnsi="宋体" w:eastAsia="宋体" w:cs="宋体"/>
                <w:bCs/>
                <w:color w:val="auto"/>
                <w:kern w:val="0"/>
                <w:sz w:val="21"/>
                <w:szCs w:val="21"/>
                <w:lang w:val="en-US" w:eastAsia="zh-CN"/>
              </w:rPr>
              <w:t>2</w:t>
            </w:r>
            <w:r>
              <w:rPr>
                <w:rFonts w:hint="eastAsia" w:ascii="宋体" w:hAnsi="宋体" w:eastAsia="宋体" w:cs="宋体"/>
                <w:bCs/>
                <w:color w:val="auto"/>
                <w:kern w:val="0"/>
                <w:sz w:val="21"/>
                <w:szCs w:val="21"/>
              </w:rPr>
              <w:t>分，满分</w:t>
            </w:r>
            <w:r>
              <w:rPr>
                <w:rFonts w:hint="eastAsia" w:ascii="宋体" w:hAnsi="宋体" w:eastAsia="宋体" w:cs="宋体"/>
                <w:bCs/>
                <w:color w:val="auto"/>
                <w:kern w:val="0"/>
                <w:sz w:val="21"/>
                <w:szCs w:val="21"/>
                <w:lang w:val="en-US" w:eastAsia="zh-CN"/>
              </w:rPr>
              <w:t>6</w:t>
            </w:r>
            <w:r>
              <w:rPr>
                <w:rFonts w:hint="eastAsia" w:ascii="宋体" w:hAnsi="宋体" w:eastAsia="宋体" w:cs="宋体"/>
                <w:bCs/>
                <w:color w:val="auto"/>
                <w:kern w:val="0"/>
                <w:sz w:val="21"/>
                <w:szCs w:val="21"/>
              </w:rPr>
              <w:t>分。</w:t>
            </w:r>
          </w:p>
        </w:tc>
      </w:tr>
      <w:tr w14:paraId="4902B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4"/>
            <w:noWrap w:val="0"/>
            <w:vAlign w:val="center"/>
          </w:tcPr>
          <w:p w14:paraId="22CDB229">
            <w:pPr>
              <w:pageBreakBefore w:val="0"/>
              <w:widowControl w:val="0"/>
              <w:kinsoku/>
              <w:wordWrap/>
              <w:topLinePunct w:val="0"/>
              <w:autoSpaceDE/>
              <w:autoSpaceDN/>
              <w:bidi w:val="0"/>
              <w:snapToGrid w:val="0"/>
              <w:spacing w:line="360" w:lineRule="exact"/>
              <w:jc w:val="both"/>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总得分=1+2+3</w:t>
            </w:r>
          </w:p>
        </w:tc>
      </w:tr>
    </w:tbl>
    <w:p w14:paraId="3FB3A88B">
      <w:pPr>
        <w:pStyle w:val="27"/>
        <w:spacing w:line="460" w:lineRule="exact"/>
        <w:ind w:firstLine="420"/>
        <w:rPr>
          <w:rFonts w:hint="eastAsia" w:hAnsi="宋体" w:cs="宋体"/>
          <w:bCs/>
          <w:color w:val="auto"/>
          <w:sz w:val="21"/>
          <w:highlight w:val="none"/>
        </w:rPr>
      </w:pPr>
    </w:p>
    <w:p w14:paraId="588F05CE">
      <w:pPr>
        <w:pStyle w:val="4"/>
        <w:keepNext w:val="0"/>
        <w:keepLines w:val="0"/>
        <w:jc w:val="center"/>
        <w:rPr>
          <w:color w:val="auto"/>
          <w:sz w:val="30"/>
          <w:szCs w:val="30"/>
          <w:highlight w:val="none"/>
        </w:rPr>
      </w:pPr>
      <w:r>
        <w:rPr>
          <w:rFonts w:hint="eastAsia"/>
          <w:color w:val="auto"/>
          <w:sz w:val="30"/>
          <w:szCs w:val="30"/>
          <w:highlight w:val="none"/>
        </w:rPr>
        <w:t>四、中标候选人推荐原则</w:t>
      </w:r>
    </w:p>
    <w:p w14:paraId="28EC7DEF">
      <w:pPr>
        <w:pStyle w:val="27"/>
        <w:spacing w:line="360" w:lineRule="auto"/>
        <w:ind w:firstLine="420" w:firstLineChars="200"/>
        <w:contextualSpacing/>
        <w:rPr>
          <w:rFonts w:hint="eastAsia" w:ascii="宋体" w:hAnsi="宋体" w:eastAsia="宋体" w:cs="Times New Roman"/>
          <w:b/>
          <w:bCs/>
          <w:color w:val="auto"/>
          <w:sz w:val="21"/>
          <w:highlight w:val="yellow"/>
        </w:rPr>
      </w:pPr>
      <w:r>
        <w:rPr>
          <w:rFonts w:hint="eastAsia" w:hAnsi="宋体"/>
          <w:color w:val="auto"/>
          <w:sz w:val="21"/>
          <w:highlight w:val="none"/>
        </w:rPr>
        <w:t>评标委员会将根据总得分由高到低排列次序并推荐中标候选人。</w:t>
      </w:r>
      <w:r>
        <w:rPr>
          <w:rFonts w:hAnsi="宋体"/>
          <w:color w:val="auto"/>
          <w:sz w:val="21"/>
          <w:highlight w:val="none"/>
        </w:rPr>
        <w:t>得分相同的，按投标报价由低到高顺序排列。得分且投标报价相同的并列。投标文件满足招标文件全部实质性要求，且按照评审因素的量化指标评审得分最高的投标人为排名第一的中标候选人。</w:t>
      </w:r>
    </w:p>
    <w:p w14:paraId="0F0A402E">
      <w:pPr>
        <w:pStyle w:val="2"/>
        <w:jc w:val="center"/>
        <w:rPr>
          <w:rFonts w:hint="eastAsia"/>
          <w:color w:val="auto"/>
          <w:highlight w:val="none"/>
        </w:rPr>
      </w:pPr>
      <w:bookmarkStart w:id="142" w:name="_Toc12053"/>
      <w:r>
        <w:rPr>
          <w:rFonts w:hint="eastAsia"/>
          <w:color w:val="auto"/>
          <w:highlight w:val="none"/>
        </w:rPr>
        <w:br w:type="page"/>
      </w:r>
    </w:p>
    <w:p w14:paraId="6CA1E1A0">
      <w:pPr>
        <w:pStyle w:val="2"/>
        <w:jc w:val="center"/>
        <w:rPr>
          <w:rFonts w:hint="eastAsia"/>
          <w:color w:val="auto"/>
          <w:highlight w:val="none"/>
        </w:rPr>
      </w:pPr>
    </w:p>
    <w:p w14:paraId="28CB172E">
      <w:pPr>
        <w:pStyle w:val="2"/>
        <w:jc w:val="center"/>
        <w:rPr>
          <w:rFonts w:hint="eastAsia"/>
          <w:color w:val="auto"/>
          <w:highlight w:val="none"/>
        </w:rPr>
      </w:pPr>
    </w:p>
    <w:p w14:paraId="6041E594">
      <w:pPr>
        <w:pStyle w:val="2"/>
        <w:jc w:val="center"/>
        <w:rPr>
          <w:rFonts w:hint="eastAsia"/>
          <w:color w:val="auto"/>
          <w:highlight w:val="none"/>
        </w:rPr>
      </w:pPr>
      <w:r>
        <w:rPr>
          <w:rFonts w:hint="eastAsia"/>
          <w:color w:val="auto"/>
          <w:highlight w:val="none"/>
        </w:rPr>
        <w:t>第五章  拟签订的合同文本</w:t>
      </w:r>
      <w:bookmarkEnd w:id="142"/>
    </w:p>
    <w:p w14:paraId="134E46C6">
      <w:pPr>
        <w:snapToGrid w:val="0"/>
        <w:jc w:val="center"/>
        <w:rPr>
          <w:rFonts w:hint="eastAsia" w:ascii="宋体" w:hAnsi="宋体"/>
          <w:bCs/>
          <w:color w:val="auto"/>
          <w:sz w:val="32"/>
          <w:szCs w:val="32"/>
          <w:highlight w:val="none"/>
        </w:rPr>
      </w:pPr>
    </w:p>
    <w:p w14:paraId="066BA2B3">
      <w:pPr>
        <w:snapToGrid w:val="0"/>
        <w:jc w:val="center"/>
        <w:rPr>
          <w:rFonts w:hint="eastAsia" w:ascii="宋体" w:hAnsi="宋体"/>
          <w:bCs/>
          <w:color w:val="auto"/>
          <w:sz w:val="32"/>
          <w:szCs w:val="32"/>
          <w:highlight w:val="none"/>
        </w:rPr>
      </w:pPr>
    </w:p>
    <w:p w14:paraId="676F7A8E">
      <w:pPr>
        <w:snapToGrid w:val="0"/>
        <w:jc w:val="center"/>
        <w:rPr>
          <w:rFonts w:hint="eastAsia" w:ascii="宋体" w:hAnsi="宋体"/>
          <w:bCs/>
          <w:color w:val="auto"/>
          <w:sz w:val="32"/>
          <w:szCs w:val="32"/>
          <w:highlight w:val="none"/>
        </w:rPr>
      </w:pPr>
    </w:p>
    <w:p w14:paraId="616BE05D">
      <w:pPr>
        <w:snapToGrid w:val="0"/>
        <w:jc w:val="center"/>
        <w:rPr>
          <w:rFonts w:hint="eastAsia" w:ascii="宋体" w:hAnsi="宋体"/>
          <w:bCs/>
          <w:color w:val="auto"/>
          <w:sz w:val="32"/>
          <w:szCs w:val="32"/>
          <w:highlight w:val="none"/>
        </w:rPr>
      </w:pPr>
    </w:p>
    <w:p w14:paraId="6FB27FD8">
      <w:pPr>
        <w:snapToGrid w:val="0"/>
        <w:jc w:val="center"/>
        <w:rPr>
          <w:rFonts w:hint="eastAsia" w:ascii="宋体" w:hAnsi="宋体"/>
          <w:bCs/>
          <w:color w:val="auto"/>
          <w:sz w:val="32"/>
          <w:szCs w:val="32"/>
          <w:highlight w:val="none"/>
        </w:rPr>
      </w:pPr>
    </w:p>
    <w:p w14:paraId="6960DA5D">
      <w:pPr>
        <w:snapToGrid w:val="0"/>
        <w:jc w:val="center"/>
        <w:rPr>
          <w:rFonts w:hint="eastAsia" w:ascii="宋体" w:hAnsi="宋体"/>
          <w:bCs/>
          <w:color w:val="auto"/>
          <w:sz w:val="32"/>
          <w:szCs w:val="32"/>
          <w:highlight w:val="none"/>
        </w:rPr>
      </w:pPr>
    </w:p>
    <w:p w14:paraId="4D1F54AF">
      <w:pPr>
        <w:snapToGrid w:val="0"/>
        <w:jc w:val="center"/>
        <w:rPr>
          <w:rFonts w:hint="eastAsia" w:ascii="宋体" w:hAnsi="宋体"/>
          <w:bCs/>
          <w:color w:val="auto"/>
          <w:sz w:val="32"/>
          <w:szCs w:val="32"/>
          <w:highlight w:val="none"/>
        </w:rPr>
      </w:pPr>
    </w:p>
    <w:p w14:paraId="284E9B34">
      <w:pPr>
        <w:snapToGrid w:val="0"/>
        <w:jc w:val="center"/>
        <w:rPr>
          <w:rFonts w:hint="eastAsia" w:ascii="宋体" w:hAnsi="宋体"/>
          <w:bCs/>
          <w:color w:val="auto"/>
          <w:sz w:val="32"/>
          <w:szCs w:val="32"/>
          <w:highlight w:val="none"/>
        </w:rPr>
      </w:pPr>
    </w:p>
    <w:p w14:paraId="608B007F">
      <w:pPr>
        <w:snapToGrid w:val="0"/>
        <w:jc w:val="center"/>
        <w:rPr>
          <w:rFonts w:hint="eastAsia" w:ascii="宋体" w:hAnsi="宋体"/>
          <w:bCs/>
          <w:color w:val="auto"/>
          <w:sz w:val="32"/>
          <w:szCs w:val="32"/>
          <w:highlight w:val="none"/>
        </w:rPr>
      </w:pPr>
    </w:p>
    <w:p w14:paraId="62859EA5">
      <w:pPr>
        <w:snapToGrid w:val="0"/>
        <w:jc w:val="center"/>
        <w:rPr>
          <w:rFonts w:hint="eastAsia" w:ascii="宋体" w:hAnsi="宋体"/>
          <w:bCs/>
          <w:color w:val="auto"/>
          <w:sz w:val="32"/>
          <w:szCs w:val="32"/>
          <w:highlight w:val="none"/>
        </w:rPr>
      </w:pPr>
    </w:p>
    <w:p w14:paraId="2F0AFE84">
      <w:pPr>
        <w:snapToGrid w:val="0"/>
        <w:jc w:val="center"/>
        <w:rPr>
          <w:rFonts w:hint="eastAsia" w:ascii="宋体" w:hAnsi="宋体"/>
          <w:bCs/>
          <w:color w:val="auto"/>
          <w:sz w:val="32"/>
          <w:szCs w:val="32"/>
          <w:highlight w:val="none"/>
        </w:rPr>
      </w:pPr>
    </w:p>
    <w:p w14:paraId="75869001">
      <w:pPr>
        <w:snapToGrid w:val="0"/>
        <w:jc w:val="left"/>
        <w:rPr>
          <w:rFonts w:hint="eastAsia" w:ascii="仿宋_GB2312" w:hAnsi="华文中宋" w:eastAsia="仿宋_GB2312"/>
          <w:b/>
          <w:bCs/>
          <w:color w:val="auto"/>
          <w:sz w:val="32"/>
          <w:szCs w:val="32"/>
          <w:highlight w:val="none"/>
        </w:rPr>
      </w:pPr>
      <w:bookmarkStart w:id="143" w:name="_Hlk55381736"/>
      <w:r>
        <w:rPr>
          <w:rFonts w:hint="eastAsia" w:ascii="宋体" w:hAnsi="宋体"/>
          <w:color w:val="auto"/>
          <w:szCs w:val="21"/>
          <w:highlight w:val="none"/>
        </w:rPr>
        <w:br w:type="page"/>
      </w:r>
    </w:p>
    <w:bookmarkEnd w:id="143"/>
    <w:p w14:paraId="3D773916">
      <w:pPr>
        <w:spacing w:line="360" w:lineRule="auto"/>
        <w:jc w:val="center"/>
        <w:rPr>
          <w:rFonts w:hint="eastAsia" w:ascii="宋体" w:hAnsi="宋体" w:eastAsia="宋体" w:cs="宋体"/>
          <w:b/>
          <w:sz w:val="44"/>
          <w:szCs w:val="44"/>
          <w:lang w:eastAsia="zh-CN"/>
        </w:rPr>
      </w:pPr>
      <w:r>
        <w:rPr>
          <w:rFonts w:hint="eastAsia" w:ascii="宋体" w:hAnsi="宋体" w:eastAsia="宋体" w:cs="宋体"/>
          <w:b/>
          <w:sz w:val="44"/>
          <w:szCs w:val="44"/>
          <w:lang w:eastAsia="zh-CN"/>
        </w:rPr>
        <w:t>设备维保</w:t>
      </w:r>
      <w:r>
        <w:rPr>
          <w:rFonts w:hint="eastAsia" w:ascii="宋体" w:hAnsi="宋体" w:eastAsia="宋体" w:cs="宋体"/>
          <w:b/>
          <w:sz w:val="44"/>
          <w:szCs w:val="44"/>
        </w:rPr>
        <w:t>采购合同</w:t>
      </w:r>
    </w:p>
    <w:p w14:paraId="4B1D79DD">
      <w:pPr>
        <w:keepNext w:val="0"/>
        <w:keepLines w:val="0"/>
        <w:pageBreakBefore w:val="0"/>
        <w:widowControl w:val="0"/>
        <w:tabs>
          <w:tab w:val="left" w:pos="720"/>
        </w:tabs>
        <w:kinsoku/>
        <w:wordWrap/>
        <w:overflowPunct/>
        <w:topLinePunct w:val="0"/>
        <w:autoSpaceDE/>
        <w:autoSpaceDN/>
        <w:bidi w:val="0"/>
        <w:adjustRightInd/>
        <w:spacing w:line="400" w:lineRule="exact"/>
        <w:jc w:val="left"/>
        <w:textAlignment w:val="auto"/>
        <w:rPr>
          <w:rFonts w:hint="eastAsia" w:ascii="宋体" w:hAnsi="宋体" w:eastAsia="宋体" w:cs="宋体"/>
          <w:b/>
          <w:sz w:val="24"/>
          <w:szCs w:val="24"/>
        </w:rPr>
      </w:pPr>
      <w:r>
        <w:rPr>
          <w:rFonts w:hint="eastAsia" w:ascii="宋体" w:hAnsi="宋体" w:eastAsia="宋体" w:cs="宋体"/>
          <w:b/>
          <w:sz w:val="24"/>
          <w:szCs w:val="24"/>
        </w:rPr>
        <w:t>合同名称：</w:t>
      </w:r>
      <w:r>
        <w:rPr>
          <w:rFonts w:hint="eastAsia" w:ascii="宋体" w:hAnsi="宋体" w:eastAsia="宋体" w:cs="宋体"/>
          <w:b w:val="0"/>
          <w:bCs/>
          <w:sz w:val="24"/>
          <w:szCs w:val="24"/>
        </w:rPr>
        <w:t>达芬奇IS4000手术机器人三年维保服务</w:t>
      </w:r>
      <w:r>
        <w:rPr>
          <w:rFonts w:hint="eastAsia" w:ascii="宋体" w:hAnsi="宋体" w:eastAsia="宋体" w:cs="宋体"/>
          <w:b/>
          <w:sz w:val="24"/>
          <w:szCs w:val="24"/>
        </w:rPr>
        <w:t xml:space="preserve"> </w:t>
      </w:r>
    </w:p>
    <w:p w14:paraId="731E3333">
      <w:pPr>
        <w:keepNext w:val="0"/>
        <w:keepLines w:val="0"/>
        <w:pageBreakBefore w:val="0"/>
        <w:widowControl w:val="0"/>
        <w:tabs>
          <w:tab w:val="left" w:pos="720"/>
        </w:tabs>
        <w:kinsoku/>
        <w:wordWrap/>
        <w:overflowPunct/>
        <w:topLinePunct w:val="0"/>
        <w:autoSpaceDE/>
        <w:autoSpaceDN/>
        <w:bidi w:val="0"/>
        <w:adjustRightInd/>
        <w:spacing w:line="400" w:lineRule="exact"/>
        <w:jc w:val="left"/>
        <w:textAlignment w:val="auto"/>
        <w:rPr>
          <w:rFonts w:hint="eastAsia" w:ascii="宋体" w:hAnsi="宋体" w:eastAsia="宋体" w:cs="宋体"/>
          <w:b/>
          <w:sz w:val="24"/>
          <w:szCs w:val="24"/>
        </w:rPr>
      </w:pPr>
      <w:r>
        <w:rPr>
          <w:rFonts w:hint="eastAsia" w:ascii="宋体" w:hAnsi="宋体" w:eastAsia="宋体" w:cs="宋体"/>
          <w:b/>
          <w:sz w:val="24"/>
          <w:szCs w:val="24"/>
          <w:lang w:eastAsia="zh-CN"/>
        </w:rPr>
        <w:t>合同编号：</w:t>
      </w:r>
      <w:r>
        <w:rPr>
          <w:rFonts w:hint="eastAsia" w:ascii="宋体" w:hAnsi="宋体" w:eastAsia="宋体" w:cs="宋体"/>
          <w:b/>
          <w:sz w:val="24"/>
          <w:szCs w:val="24"/>
        </w:rPr>
        <w:t xml:space="preserve">                          </w:t>
      </w:r>
    </w:p>
    <w:p w14:paraId="0E8BF090">
      <w:pPr>
        <w:keepNext w:val="0"/>
        <w:keepLines w:val="0"/>
        <w:pageBreakBefore w:val="0"/>
        <w:widowControl w:val="0"/>
        <w:tabs>
          <w:tab w:val="left" w:pos="720"/>
        </w:tabs>
        <w:kinsoku/>
        <w:wordWrap/>
        <w:overflowPunct/>
        <w:topLinePunct w:val="0"/>
        <w:autoSpaceDE/>
        <w:autoSpaceDN/>
        <w:bidi w:val="0"/>
        <w:adjustRightInd/>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甲方（采购方）：</w:t>
      </w:r>
      <w:r>
        <w:rPr>
          <w:rFonts w:hint="eastAsia" w:ascii="宋体" w:hAnsi="宋体" w:eastAsia="宋体" w:cs="宋体"/>
          <w:sz w:val="24"/>
          <w:szCs w:val="24"/>
        </w:rPr>
        <w:t>广西医科大学第一附属医院</w:t>
      </w:r>
    </w:p>
    <w:p w14:paraId="35C79A6F">
      <w:pPr>
        <w:keepNext w:val="0"/>
        <w:keepLines w:val="0"/>
        <w:pageBreakBefore w:val="0"/>
        <w:widowControl w:val="0"/>
        <w:tabs>
          <w:tab w:val="left" w:pos="720"/>
        </w:tabs>
        <w:kinsoku/>
        <w:wordWrap/>
        <w:overflowPunct/>
        <w:topLinePunct w:val="0"/>
        <w:autoSpaceDE/>
        <w:autoSpaceDN/>
        <w:bidi w:val="0"/>
        <w:adjustRightInd/>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乙方（供应方）：</w:t>
      </w:r>
    </w:p>
    <w:p w14:paraId="4042C068">
      <w:pPr>
        <w:keepNext w:val="0"/>
        <w:keepLines w:val="0"/>
        <w:pageBreakBefore w:val="0"/>
        <w:widowControl w:val="0"/>
        <w:tabs>
          <w:tab w:val="left" w:pos="720"/>
        </w:tabs>
        <w:kinsoku/>
        <w:wordWrap/>
        <w:overflowPunct/>
        <w:topLinePunct w:val="0"/>
        <w:autoSpaceDE/>
        <w:autoSpaceDN/>
        <w:bidi w:val="0"/>
        <w:adjustRightInd/>
        <w:spacing w:line="400" w:lineRule="exact"/>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签订地点：</w:t>
      </w:r>
      <w:r>
        <w:rPr>
          <w:rFonts w:hint="eastAsia" w:ascii="宋体" w:hAnsi="宋体" w:eastAsia="宋体" w:cs="宋体"/>
          <w:b w:val="0"/>
          <w:bCs/>
          <w:sz w:val="24"/>
          <w:szCs w:val="24"/>
          <w:lang w:val="en-US" w:eastAsia="zh-CN"/>
        </w:rPr>
        <w:t xml:space="preserve">广西南宁市   </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lang w:eastAsia="zh-CN"/>
        </w:rPr>
        <w:t>签订时间：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日</w:t>
      </w:r>
    </w:p>
    <w:p w14:paraId="6CDD5898">
      <w:pPr>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kern w:val="2"/>
          <w:sz w:val="24"/>
          <w:szCs w:val="24"/>
          <w:lang w:val="en-US" w:eastAsia="zh-CN" w:bidi="ar-SA"/>
        </w:rPr>
      </w:pPr>
    </w:p>
    <w:p w14:paraId="1D98F57D">
      <w:pPr>
        <w:keepNext w:val="0"/>
        <w:keepLines w:val="0"/>
        <w:pageBreakBefore w:val="0"/>
        <w:widowControl w:val="0"/>
        <w:tabs>
          <w:tab w:val="left" w:pos="720"/>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根据《中华人民共和国</w:t>
      </w:r>
      <w:r>
        <w:rPr>
          <w:rFonts w:hint="eastAsia" w:ascii="宋体" w:hAnsi="宋体" w:eastAsia="宋体" w:cs="宋体"/>
          <w:sz w:val="24"/>
          <w:szCs w:val="24"/>
          <w:highlight w:val="none"/>
          <w:lang w:eastAsia="zh-CN"/>
        </w:rPr>
        <w:t>民法典</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w:t>
      </w:r>
      <w:r>
        <w:rPr>
          <w:rFonts w:hint="eastAsia" w:ascii="宋体" w:hAnsi="宋体" w:eastAsia="宋体" w:cs="宋体"/>
          <w:sz w:val="24"/>
          <w:szCs w:val="24"/>
          <w:highlight w:val="none"/>
          <w:lang w:eastAsia="zh-CN"/>
        </w:rPr>
        <w:t>政府采购</w:t>
      </w:r>
      <w:r>
        <w:rPr>
          <w:rFonts w:hint="eastAsia" w:ascii="宋体" w:hAnsi="宋体" w:eastAsia="宋体" w:cs="宋体"/>
          <w:sz w:val="24"/>
          <w:szCs w:val="24"/>
          <w:highlight w:val="none"/>
        </w:rPr>
        <w:t>法》及广西壮族自治区关于政府采购的相关文件等规范性文件的规定，按照</w:t>
      </w:r>
      <w:r>
        <w:rPr>
          <w:rFonts w:hint="eastAsia" w:ascii="宋体" w:hAnsi="宋体" w:eastAsia="宋体" w:cs="宋体"/>
          <w:sz w:val="24"/>
          <w:szCs w:val="24"/>
          <w:highlight w:val="none"/>
          <w:lang w:eastAsia="zh-CN"/>
        </w:rPr>
        <w:t>招投标文件/采购文件</w:t>
      </w:r>
      <w:r>
        <w:rPr>
          <w:rFonts w:hint="eastAsia" w:ascii="宋体" w:hAnsi="宋体" w:eastAsia="宋体" w:cs="宋体"/>
          <w:sz w:val="24"/>
          <w:szCs w:val="24"/>
          <w:highlight w:val="none"/>
        </w:rPr>
        <w:t>规定条款和</w:t>
      </w:r>
      <w:r>
        <w:rPr>
          <w:rFonts w:hint="eastAsia" w:ascii="宋体" w:hAnsi="宋体" w:eastAsia="宋体" w:cs="宋体"/>
          <w:sz w:val="24"/>
          <w:szCs w:val="24"/>
          <w:highlight w:val="none"/>
          <w:lang w:eastAsia="zh-CN"/>
        </w:rPr>
        <w:t>中标/成交</w:t>
      </w:r>
      <w:r>
        <w:rPr>
          <w:rFonts w:hint="eastAsia" w:ascii="宋体" w:hAnsi="宋体" w:eastAsia="宋体" w:cs="宋体"/>
          <w:sz w:val="24"/>
          <w:szCs w:val="24"/>
          <w:highlight w:val="none"/>
        </w:rPr>
        <w:t>供应商承诺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甲乙双方签订本合同</w:t>
      </w:r>
      <w:r>
        <w:rPr>
          <w:rFonts w:hint="eastAsia" w:ascii="宋体" w:hAnsi="宋体" w:eastAsia="宋体" w:cs="宋体"/>
          <w:sz w:val="24"/>
          <w:szCs w:val="24"/>
          <w:highlight w:val="none"/>
          <w:lang w:eastAsia="zh-CN"/>
        </w:rPr>
        <w:t>。</w:t>
      </w:r>
    </w:p>
    <w:p w14:paraId="17FD517C">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第一条　合同标的</w:t>
      </w:r>
    </w:p>
    <w:p w14:paraId="4B8E5BE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1、采购内容一览表</w:t>
      </w:r>
    </w:p>
    <w:tbl>
      <w:tblPr>
        <w:tblStyle w:val="49"/>
        <w:tblW w:w="9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546"/>
        <w:gridCol w:w="3167"/>
        <w:gridCol w:w="679"/>
        <w:gridCol w:w="1321"/>
        <w:gridCol w:w="1385"/>
        <w:gridCol w:w="939"/>
      </w:tblGrid>
      <w:tr w14:paraId="695F9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680" w:type="dxa"/>
            <w:tcBorders>
              <w:top w:val="single" w:color="auto" w:sz="4" w:space="0"/>
              <w:left w:val="single" w:color="auto" w:sz="4" w:space="0"/>
              <w:bottom w:val="single" w:color="auto" w:sz="4" w:space="0"/>
              <w:right w:val="single" w:color="auto" w:sz="4" w:space="0"/>
            </w:tcBorders>
            <w:noWrap w:val="0"/>
            <w:vAlign w:val="center"/>
          </w:tcPr>
          <w:p w14:paraId="280D81A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序号</w:t>
            </w:r>
          </w:p>
        </w:tc>
        <w:tc>
          <w:tcPr>
            <w:tcW w:w="1546" w:type="dxa"/>
            <w:tcBorders>
              <w:top w:val="single" w:color="auto" w:sz="4" w:space="0"/>
              <w:left w:val="single" w:color="auto" w:sz="4" w:space="0"/>
              <w:bottom w:val="single" w:color="auto" w:sz="4" w:space="0"/>
              <w:right w:val="single" w:color="auto" w:sz="4" w:space="0"/>
            </w:tcBorders>
            <w:noWrap w:val="0"/>
            <w:vAlign w:val="center"/>
          </w:tcPr>
          <w:p w14:paraId="1012EA0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服务名称</w:t>
            </w:r>
          </w:p>
        </w:tc>
        <w:tc>
          <w:tcPr>
            <w:tcW w:w="3167" w:type="dxa"/>
            <w:tcBorders>
              <w:top w:val="single" w:color="auto" w:sz="4" w:space="0"/>
              <w:left w:val="single" w:color="auto" w:sz="4" w:space="0"/>
              <w:bottom w:val="single" w:color="auto" w:sz="4" w:space="0"/>
              <w:right w:val="single" w:color="auto" w:sz="4" w:space="0"/>
            </w:tcBorders>
            <w:noWrap w:val="0"/>
            <w:vAlign w:val="center"/>
          </w:tcPr>
          <w:p w14:paraId="60BAFC3F">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详细内容</w:t>
            </w:r>
          </w:p>
        </w:tc>
        <w:tc>
          <w:tcPr>
            <w:tcW w:w="679" w:type="dxa"/>
            <w:tcBorders>
              <w:top w:val="single" w:color="auto" w:sz="4" w:space="0"/>
              <w:left w:val="single" w:color="auto" w:sz="4" w:space="0"/>
              <w:bottom w:val="single" w:color="auto" w:sz="4" w:space="0"/>
              <w:right w:val="single" w:color="auto" w:sz="4" w:space="0"/>
            </w:tcBorders>
            <w:noWrap w:val="0"/>
            <w:vAlign w:val="center"/>
          </w:tcPr>
          <w:p w14:paraId="593294F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数量</w:t>
            </w:r>
          </w:p>
        </w:tc>
        <w:tc>
          <w:tcPr>
            <w:tcW w:w="1321" w:type="dxa"/>
            <w:tcBorders>
              <w:top w:val="single" w:color="auto" w:sz="4" w:space="0"/>
              <w:left w:val="single" w:color="auto" w:sz="4" w:space="0"/>
              <w:bottom w:val="single" w:color="auto" w:sz="4" w:space="0"/>
              <w:right w:val="single" w:color="auto" w:sz="4" w:space="0"/>
            </w:tcBorders>
            <w:noWrap w:val="0"/>
            <w:vAlign w:val="center"/>
          </w:tcPr>
          <w:p w14:paraId="1B7C1F0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单价（元）</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7467C16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金额（元）</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5633CA8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服务要求（年限）</w:t>
            </w:r>
          </w:p>
        </w:tc>
      </w:tr>
      <w:tr w14:paraId="3988D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0" w:type="dxa"/>
            <w:tcBorders>
              <w:top w:val="single" w:color="auto" w:sz="4" w:space="0"/>
              <w:left w:val="single" w:color="auto" w:sz="4" w:space="0"/>
              <w:bottom w:val="single" w:color="auto" w:sz="4" w:space="0"/>
              <w:right w:val="single" w:color="auto" w:sz="4" w:space="0"/>
            </w:tcBorders>
            <w:noWrap w:val="0"/>
            <w:vAlign w:val="center"/>
          </w:tcPr>
          <w:p w14:paraId="22DB3AE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546" w:type="dxa"/>
            <w:tcBorders>
              <w:top w:val="single" w:color="auto" w:sz="4" w:space="0"/>
              <w:left w:val="single" w:color="auto" w:sz="4" w:space="0"/>
              <w:bottom w:val="single" w:color="auto" w:sz="4" w:space="0"/>
              <w:right w:val="single" w:color="auto" w:sz="4" w:space="0"/>
            </w:tcBorders>
            <w:noWrap w:val="0"/>
            <w:vAlign w:val="center"/>
          </w:tcPr>
          <w:p w14:paraId="04EC8D2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达芬奇IS4000手术机器人三年维保服务</w:t>
            </w:r>
          </w:p>
        </w:tc>
        <w:tc>
          <w:tcPr>
            <w:tcW w:w="3167" w:type="dxa"/>
            <w:tcBorders>
              <w:top w:val="single" w:color="auto" w:sz="4" w:space="0"/>
              <w:left w:val="single" w:color="auto" w:sz="4" w:space="0"/>
              <w:bottom w:val="single" w:color="auto" w:sz="4" w:space="0"/>
              <w:right w:val="single" w:color="auto" w:sz="4" w:space="0"/>
            </w:tcBorders>
            <w:noWrap w:val="0"/>
            <w:vAlign w:val="center"/>
          </w:tcPr>
          <w:p w14:paraId="11D49F3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 w:val="24"/>
                <w:szCs w:val="24"/>
                <w:lang w:val="en-US" w:eastAsia="zh-CN"/>
              </w:rPr>
            </w:pPr>
          </w:p>
        </w:tc>
        <w:tc>
          <w:tcPr>
            <w:tcW w:w="679" w:type="dxa"/>
            <w:tcBorders>
              <w:top w:val="single" w:color="auto" w:sz="4" w:space="0"/>
              <w:left w:val="single" w:color="auto" w:sz="4" w:space="0"/>
              <w:bottom w:val="single" w:color="auto" w:sz="4" w:space="0"/>
              <w:right w:val="single" w:color="auto" w:sz="4" w:space="0"/>
            </w:tcBorders>
            <w:noWrap w:val="0"/>
            <w:vAlign w:val="center"/>
          </w:tcPr>
          <w:p w14:paraId="7FD3499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1项</w:t>
            </w:r>
          </w:p>
        </w:tc>
        <w:tc>
          <w:tcPr>
            <w:tcW w:w="1321" w:type="dxa"/>
            <w:tcBorders>
              <w:top w:val="single" w:color="auto" w:sz="4" w:space="0"/>
              <w:left w:val="single" w:color="auto" w:sz="4" w:space="0"/>
              <w:bottom w:val="single" w:color="auto" w:sz="4" w:space="0"/>
              <w:right w:val="single" w:color="auto" w:sz="4" w:space="0"/>
            </w:tcBorders>
            <w:noWrap w:val="0"/>
            <w:vAlign w:val="center"/>
          </w:tcPr>
          <w:p w14:paraId="223D0DA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 w:val="24"/>
                <w:szCs w:val="24"/>
                <w:lang w:val="en-US" w:eastAsia="zh-CN"/>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60AEFD9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 w:val="24"/>
                <w:szCs w:val="24"/>
                <w:lang w:val="en-US" w:eastAsia="zh-CN"/>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464EDF9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3年</w:t>
            </w:r>
          </w:p>
        </w:tc>
      </w:tr>
      <w:tr w14:paraId="5400F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9717" w:type="dxa"/>
            <w:gridSpan w:val="7"/>
            <w:tcBorders>
              <w:top w:val="single" w:color="auto" w:sz="4" w:space="0"/>
              <w:left w:val="single" w:color="auto" w:sz="4" w:space="0"/>
              <w:bottom w:val="single" w:color="auto" w:sz="4" w:space="0"/>
              <w:right w:val="single" w:color="auto" w:sz="4" w:space="0"/>
            </w:tcBorders>
            <w:noWrap w:val="0"/>
            <w:vAlign w:val="center"/>
          </w:tcPr>
          <w:p w14:paraId="43455F19">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报价合计（包含税费等所有费用）：                （¥           ）</w:t>
            </w:r>
          </w:p>
        </w:tc>
      </w:tr>
    </w:tbl>
    <w:p w14:paraId="561BC79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合同合计金额包含完成本服务项目所需的相关费用，包括但不限于服务内容、所涉及的备品备件、工具、人工费、差旅费、材料、实施、调试、验收、技术培训及技术资料、软件升级、与软件升级功能对应的适配设备更换等各种费用和售后服务、税金、招标代理服务费及其它所有成本费用的总和。</w:t>
      </w:r>
    </w:p>
    <w:p w14:paraId="0E6AC678">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第二条　质量保证</w:t>
      </w:r>
    </w:p>
    <w:p w14:paraId="1EC99D3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乙方所提供的服务内容必须与</w:t>
      </w:r>
      <w:r>
        <w:rPr>
          <w:rFonts w:hint="eastAsia" w:ascii="宋体" w:hAnsi="宋体" w:eastAsia="宋体" w:cs="宋体"/>
          <w:sz w:val="24"/>
          <w:szCs w:val="24"/>
          <w:lang w:eastAsia="zh-CN"/>
        </w:rPr>
        <w:t>招投标文件/采购文件</w:t>
      </w:r>
      <w:r>
        <w:rPr>
          <w:rFonts w:hint="eastAsia" w:ascii="宋体" w:hAnsi="宋体" w:eastAsia="宋体" w:cs="宋体"/>
          <w:sz w:val="24"/>
          <w:szCs w:val="24"/>
        </w:rPr>
        <w:t>和承诺相一致。</w:t>
      </w:r>
    </w:p>
    <w:p w14:paraId="7AE5BA96">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第三条　权利保证</w:t>
      </w:r>
    </w:p>
    <w:p w14:paraId="5FC3732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1、乙方应保证所提供服务在使用时不会侵犯任何第三方的专利权、商标权、工业设计权或其他权利。</w:t>
      </w:r>
    </w:p>
    <w:p w14:paraId="4191EEA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2、乙方应按</w:t>
      </w:r>
      <w:r>
        <w:rPr>
          <w:rFonts w:hint="eastAsia" w:ascii="宋体" w:hAnsi="宋体" w:eastAsia="宋体" w:cs="宋体"/>
          <w:sz w:val="24"/>
          <w:szCs w:val="24"/>
          <w:lang w:eastAsia="zh-CN"/>
        </w:rPr>
        <w:t>招投标文件/采购文件</w:t>
      </w:r>
      <w:r>
        <w:rPr>
          <w:rFonts w:hint="eastAsia" w:ascii="宋体" w:hAnsi="宋体" w:eastAsia="宋体" w:cs="宋体"/>
          <w:sz w:val="24"/>
          <w:szCs w:val="24"/>
        </w:rPr>
        <w:t>规定的时间向甲方提供服务的有关技术资料。</w:t>
      </w:r>
    </w:p>
    <w:p w14:paraId="307F9DD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3、没有甲方事先书面同意，乙方不得将由甲方提供的有关合同或任何合同条文、规格、计划、图纸、样品或资料提供给与履行本合同无关的任何其他人。</w:t>
      </w:r>
      <w:r>
        <w:rPr>
          <w:rFonts w:hint="eastAsia" w:ascii="宋体" w:hAnsi="宋体" w:eastAsia="宋体" w:cs="宋体"/>
          <w:sz w:val="24"/>
          <w:szCs w:val="24"/>
          <w:lang w:val="en-US" w:eastAsia="zh-Hans"/>
        </w:rPr>
        <w:t>经甲方同意，乙方</w:t>
      </w:r>
      <w:r>
        <w:rPr>
          <w:rFonts w:hint="eastAsia" w:ascii="宋体" w:hAnsi="宋体" w:eastAsia="宋体" w:cs="宋体"/>
          <w:sz w:val="24"/>
          <w:szCs w:val="24"/>
        </w:rPr>
        <w:t>向履行本合同有关的人员提供，也应注意保密并限于履行合同的必需范围。如有泄漏，乙方需承担相应的法律责任。</w:t>
      </w:r>
    </w:p>
    <w:p w14:paraId="137B80A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4、乙方保证所交付的服务的所有权</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知识产权等相关权利</w:t>
      </w:r>
      <w:r>
        <w:rPr>
          <w:rFonts w:hint="eastAsia" w:ascii="宋体" w:hAnsi="宋体" w:eastAsia="宋体" w:cs="宋体"/>
          <w:sz w:val="24"/>
          <w:szCs w:val="24"/>
        </w:rPr>
        <w:t>完全属于乙方且无任何抵押、质押、查封等产权瑕疵。</w:t>
      </w:r>
    </w:p>
    <w:p w14:paraId="1306D519">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第四条　保修服务期限</w:t>
      </w:r>
    </w:p>
    <w:p w14:paraId="7A23CCD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rPr>
        <w:t>维保</w:t>
      </w:r>
      <w:r>
        <w:rPr>
          <w:rFonts w:hint="eastAsia" w:ascii="宋体" w:hAnsi="宋体" w:eastAsia="宋体" w:cs="宋体"/>
          <w:bCs/>
          <w:sz w:val="24"/>
          <w:szCs w:val="24"/>
        </w:rPr>
        <w:t>服务期限</w:t>
      </w:r>
      <w:r>
        <w:rPr>
          <w:rFonts w:hint="eastAsia" w:ascii="宋体" w:hAnsi="宋体" w:eastAsia="宋体" w:cs="宋体"/>
          <w:bCs/>
          <w:sz w:val="24"/>
          <w:szCs w:val="24"/>
          <w:u w:val="single"/>
          <w:lang w:val="en-US" w:eastAsia="zh-CN"/>
        </w:rPr>
        <w:t xml:space="preserve"> 3 </w:t>
      </w:r>
      <w:r>
        <w:rPr>
          <w:rFonts w:hint="eastAsia" w:ascii="宋体" w:hAnsi="宋体" w:eastAsia="宋体" w:cs="宋体"/>
          <w:bCs/>
          <w:sz w:val="24"/>
          <w:szCs w:val="24"/>
        </w:rPr>
        <w:t>年，</w:t>
      </w:r>
      <w:r>
        <w:rPr>
          <w:rFonts w:hint="eastAsia" w:ascii="宋体" w:hAnsi="宋体" w:eastAsia="宋体" w:cs="宋体"/>
          <w:bCs/>
          <w:sz w:val="24"/>
          <w:szCs w:val="24"/>
          <w:u w:val="single"/>
        </w:rPr>
        <w:t>从</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年</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月</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日开始至</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年</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月</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日终止</w:t>
      </w:r>
      <w:r>
        <w:rPr>
          <w:rFonts w:hint="eastAsia" w:ascii="宋体" w:hAnsi="宋体" w:eastAsia="宋体" w:cs="宋体"/>
          <w:bCs/>
          <w:sz w:val="24"/>
          <w:szCs w:val="24"/>
        </w:rPr>
        <w:t>。</w:t>
      </w:r>
    </w:p>
    <w:p w14:paraId="3621EDDF">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第五条　付款方式</w:t>
      </w:r>
    </w:p>
    <w:p w14:paraId="0B43278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1、资金性质：</w:t>
      </w:r>
      <w:r>
        <w:rPr>
          <w:rFonts w:hint="eastAsia" w:ascii="宋体" w:hAnsi="宋体" w:eastAsia="宋体" w:cs="宋体"/>
          <w:sz w:val="24"/>
          <w:szCs w:val="24"/>
          <w:u w:val="single"/>
        </w:rPr>
        <w:t>财政性资金</w:t>
      </w:r>
    </w:p>
    <w:p w14:paraId="334754F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2、付款方式：</w:t>
      </w:r>
    </w:p>
    <w:p w14:paraId="32A615F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（1）本合同全款额分为三次支付：</w:t>
      </w:r>
    </w:p>
    <w:p w14:paraId="51743D4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第一期：合同款的33%；第一年服务期满，</w:t>
      </w:r>
      <w:r>
        <w:rPr>
          <w:rFonts w:hint="eastAsia" w:ascii="宋体" w:hAnsi="宋体" w:cs="宋体"/>
          <w:sz w:val="24"/>
          <w:szCs w:val="24"/>
          <w:lang w:eastAsia="zh-CN"/>
        </w:rPr>
        <w:t>乙方</w:t>
      </w:r>
      <w:r>
        <w:rPr>
          <w:rFonts w:hint="eastAsia" w:ascii="宋体" w:hAnsi="宋体" w:eastAsia="宋体" w:cs="宋体"/>
          <w:sz w:val="24"/>
          <w:szCs w:val="24"/>
        </w:rPr>
        <w:t>向</w:t>
      </w:r>
      <w:r>
        <w:rPr>
          <w:rFonts w:hint="eastAsia" w:ascii="宋体" w:hAnsi="宋体" w:cs="宋体"/>
          <w:sz w:val="24"/>
          <w:szCs w:val="24"/>
          <w:lang w:eastAsia="zh-CN"/>
        </w:rPr>
        <w:t>甲方</w:t>
      </w:r>
      <w:r>
        <w:rPr>
          <w:rFonts w:hint="eastAsia" w:ascii="宋体" w:hAnsi="宋体" w:eastAsia="宋体" w:cs="宋体"/>
          <w:sz w:val="24"/>
          <w:szCs w:val="24"/>
        </w:rPr>
        <w:t>开具发票，</w:t>
      </w:r>
      <w:r>
        <w:rPr>
          <w:rFonts w:hint="eastAsia" w:ascii="宋体" w:hAnsi="宋体" w:cs="宋体"/>
          <w:sz w:val="24"/>
          <w:szCs w:val="24"/>
          <w:lang w:eastAsia="zh-CN"/>
        </w:rPr>
        <w:t>甲方</w:t>
      </w:r>
      <w:r>
        <w:rPr>
          <w:rFonts w:hint="eastAsia" w:ascii="宋体" w:hAnsi="宋体" w:eastAsia="宋体" w:cs="宋体"/>
          <w:sz w:val="24"/>
          <w:szCs w:val="24"/>
        </w:rPr>
        <w:t>自材料审核完成之日起10个工作日内支付；</w:t>
      </w:r>
    </w:p>
    <w:p w14:paraId="55CB92D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第二期：合同款的33%；第二年服务期满，</w:t>
      </w:r>
      <w:r>
        <w:rPr>
          <w:rFonts w:hint="eastAsia" w:ascii="宋体" w:hAnsi="宋体" w:cs="宋体"/>
          <w:sz w:val="24"/>
          <w:szCs w:val="24"/>
          <w:lang w:eastAsia="zh-CN"/>
        </w:rPr>
        <w:t>乙方</w:t>
      </w:r>
      <w:r>
        <w:rPr>
          <w:rFonts w:hint="eastAsia" w:ascii="宋体" w:hAnsi="宋体" w:eastAsia="宋体" w:cs="宋体"/>
          <w:sz w:val="24"/>
          <w:szCs w:val="24"/>
        </w:rPr>
        <w:t>向</w:t>
      </w:r>
      <w:r>
        <w:rPr>
          <w:rFonts w:hint="eastAsia" w:ascii="宋体" w:hAnsi="宋体" w:cs="宋体"/>
          <w:sz w:val="24"/>
          <w:szCs w:val="24"/>
          <w:lang w:eastAsia="zh-CN"/>
        </w:rPr>
        <w:t>甲方</w:t>
      </w:r>
      <w:r>
        <w:rPr>
          <w:rFonts w:hint="eastAsia" w:ascii="宋体" w:hAnsi="宋体" w:eastAsia="宋体" w:cs="宋体"/>
          <w:sz w:val="24"/>
          <w:szCs w:val="24"/>
        </w:rPr>
        <w:t>开具发票，</w:t>
      </w:r>
      <w:r>
        <w:rPr>
          <w:rFonts w:hint="eastAsia" w:ascii="宋体" w:hAnsi="宋体" w:cs="宋体"/>
          <w:sz w:val="24"/>
          <w:szCs w:val="24"/>
          <w:lang w:eastAsia="zh-CN"/>
        </w:rPr>
        <w:t>甲方</w:t>
      </w:r>
      <w:r>
        <w:rPr>
          <w:rFonts w:hint="eastAsia" w:ascii="宋体" w:hAnsi="宋体" w:eastAsia="宋体" w:cs="宋体"/>
          <w:sz w:val="24"/>
          <w:szCs w:val="24"/>
        </w:rPr>
        <w:t>自材料审核完成之日起10个工作日内支付。</w:t>
      </w:r>
    </w:p>
    <w:p w14:paraId="0442D5B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第三期：合同款的34%；第三年服务期满，</w:t>
      </w:r>
      <w:r>
        <w:rPr>
          <w:rFonts w:hint="eastAsia" w:ascii="宋体" w:hAnsi="宋体" w:cs="宋体"/>
          <w:sz w:val="24"/>
          <w:szCs w:val="24"/>
          <w:lang w:eastAsia="zh-CN"/>
        </w:rPr>
        <w:t>乙方</w:t>
      </w:r>
      <w:r>
        <w:rPr>
          <w:rFonts w:hint="eastAsia" w:ascii="宋体" w:hAnsi="宋体" w:eastAsia="宋体" w:cs="宋体"/>
          <w:sz w:val="24"/>
          <w:szCs w:val="24"/>
        </w:rPr>
        <w:t>向</w:t>
      </w:r>
      <w:r>
        <w:rPr>
          <w:rFonts w:hint="eastAsia" w:ascii="宋体" w:hAnsi="宋体" w:cs="宋体"/>
          <w:sz w:val="24"/>
          <w:szCs w:val="24"/>
          <w:lang w:eastAsia="zh-CN"/>
        </w:rPr>
        <w:t>甲方</w:t>
      </w:r>
      <w:r>
        <w:rPr>
          <w:rFonts w:hint="eastAsia" w:ascii="宋体" w:hAnsi="宋体" w:eastAsia="宋体" w:cs="宋体"/>
          <w:sz w:val="24"/>
          <w:szCs w:val="24"/>
        </w:rPr>
        <w:t>开具发票，</w:t>
      </w:r>
      <w:r>
        <w:rPr>
          <w:rFonts w:hint="eastAsia" w:ascii="宋体" w:hAnsi="宋体" w:cs="宋体"/>
          <w:sz w:val="24"/>
          <w:szCs w:val="24"/>
          <w:lang w:eastAsia="zh-CN"/>
        </w:rPr>
        <w:t>甲方</w:t>
      </w:r>
      <w:r>
        <w:rPr>
          <w:rFonts w:hint="eastAsia" w:ascii="宋体" w:hAnsi="宋体" w:eastAsia="宋体" w:cs="宋体"/>
          <w:sz w:val="24"/>
          <w:szCs w:val="24"/>
        </w:rPr>
        <w:t>自材料审核完成之日起10个工作日内支付。</w:t>
      </w:r>
    </w:p>
    <w:p w14:paraId="4C510EFB">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rPr>
        <w:t>如未按国家要求开具增值税发票，一旦发现</w:t>
      </w:r>
      <w:r>
        <w:rPr>
          <w:rFonts w:hint="eastAsia" w:ascii="宋体" w:hAnsi="宋体" w:eastAsia="宋体" w:cs="宋体"/>
          <w:sz w:val="24"/>
          <w:szCs w:val="24"/>
          <w:lang w:eastAsia="zh-CN"/>
        </w:rPr>
        <w:t>乙方</w:t>
      </w:r>
      <w:r>
        <w:rPr>
          <w:rFonts w:hint="eastAsia" w:ascii="宋体" w:hAnsi="宋体" w:eastAsia="宋体" w:cs="宋体"/>
          <w:sz w:val="24"/>
          <w:szCs w:val="24"/>
        </w:rPr>
        <w:t>提供虚假发票，除须向</w:t>
      </w:r>
      <w:r>
        <w:rPr>
          <w:rFonts w:hint="eastAsia" w:ascii="宋体" w:hAnsi="宋体" w:eastAsia="宋体" w:cs="宋体"/>
          <w:sz w:val="24"/>
          <w:szCs w:val="24"/>
          <w:lang w:eastAsia="zh-CN"/>
        </w:rPr>
        <w:t>甲方</w:t>
      </w:r>
      <w:r>
        <w:rPr>
          <w:rFonts w:hint="eastAsia" w:ascii="宋体" w:hAnsi="宋体" w:eastAsia="宋体" w:cs="宋体"/>
          <w:sz w:val="24"/>
          <w:szCs w:val="24"/>
        </w:rPr>
        <w:t>补开合法发票外，须赔偿</w:t>
      </w:r>
      <w:r>
        <w:rPr>
          <w:rFonts w:hint="eastAsia" w:ascii="宋体" w:hAnsi="宋体" w:eastAsia="宋体" w:cs="宋体"/>
          <w:sz w:val="24"/>
          <w:szCs w:val="24"/>
          <w:lang w:eastAsia="zh-CN"/>
        </w:rPr>
        <w:t>甲方</w:t>
      </w:r>
      <w:r>
        <w:rPr>
          <w:rFonts w:hint="eastAsia" w:ascii="宋体" w:hAnsi="宋体" w:eastAsia="宋体" w:cs="宋体"/>
          <w:sz w:val="24"/>
          <w:szCs w:val="24"/>
        </w:rPr>
        <w:t>发票票面金额一倍的违约金，且</w:t>
      </w:r>
      <w:r>
        <w:rPr>
          <w:rFonts w:hint="eastAsia" w:ascii="宋体" w:hAnsi="宋体" w:eastAsia="宋体" w:cs="宋体"/>
          <w:sz w:val="24"/>
          <w:szCs w:val="24"/>
          <w:lang w:eastAsia="zh-CN"/>
        </w:rPr>
        <w:t>甲方</w:t>
      </w:r>
      <w:r>
        <w:rPr>
          <w:rFonts w:hint="eastAsia" w:ascii="宋体" w:hAnsi="宋体" w:eastAsia="宋体" w:cs="宋体"/>
          <w:sz w:val="24"/>
          <w:szCs w:val="24"/>
        </w:rPr>
        <w:t>有权终止合同，</w:t>
      </w:r>
      <w:r>
        <w:rPr>
          <w:rFonts w:hint="eastAsia" w:ascii="宋体" w:hAnsi="宋体" w:eastAsia="宋体" w:cs="宋体"/>
          <w:sz w:val="24"/>
          <w:szCs w:val="24"/>
          <w:lang w:eastAsia="zh-CN"/>
        </w:rPr>
        <w:t>乙方</w:t>
      </w:r>
      <w:r>
        <w:rPr>
          <w:rFonts w:hint="eastAsia" w:ascii="宋体" w:hAnsi="宋体" w:eastAsia="宋体" w:cs="宋体"/>
          <w:sz w:val="24"/>
          <w:szCs w:val="24"/>
        </w:rPr>
        <w:t>不得提出异议，因终止合同而产生的一切损失均由</w:t>
      </w:r>
      <w:r>
        <w:rPr>
          <w:rFonts w:hint="eastAsia" w:ascii="宋体" w:hAnsi="宋体" w:eastAsia="宋体" w:cs="宋体"/>
          <w:sz w:val="24"/>
          <w:szCs w:val="24"/>
          <w:lang w:eastAsia="zh-CN"/>
        </w:rPr>
        <w:t>乙方</w:t>
      </w:r>
      <w:r>
        <w:rPr>
          <w:rFonts w:hint="eastAsia" w:ascii="宋体" w:hAnsi="宋体" w:eastAsia="宋体" w:cs="宋体"/>
          <w:sz w:val="24"/>
          <w:szCs w:val="24"/>
        </w:rPr>
        <w:t>承担。</w:t>
      </w:r>
    </w:p>
    <w:p w14:paraId="3D4DDB23">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维保期内，如因设备无法满足工作需求或甲方原因，需报废该设备，甲方需提前一个月向乙方书面告知。设备的服务费将按服务实际履行的天数结算</w:t>
      </w:r>
      <w:r>
        <w:rPr>
          <w:rFonts w:hint="eastAsia" w:ascii="宋体" w:hAnsi="宋体" w:eastAsia="宋体" w:cs="宋体"/>
          <w:sz w:val="24"/>
          <w:szCs w:val="24"/>
          <w:lang w:eastAsia="zh-CN"/>
        </w:rPr>
        <w:t>：</w:t>
      </w:r>
      <w:r>
        <w:rPr>
          <w:rFonts w:hint="eastAsia" w:ascii="宋体" w:hAnsi="宋体" w:eastAsia="宋体" w:cs="宋体"/>
          <w:sz w:val="24"/>
          <w:szCs w:val="24"/>
        </w:rPr>
        <w:t>（合同全款/合同维保天数）*实际履行天数。届时双方需另行签署</w:t>
      </w:r>
      <w:r>
        <w:rPr>
          <w:rFonts w:hint="eastAsia" w:ascii="宋体" w:hAnsi="宋体" w:eastAsia="宋体" w:cs="宋体"/>
          <w:sz w:val="24"/>
          <w:szCs w:val="24"/>
          <w:lang w:val="en-US" w:eastAsia="zh-CN"/>
        </w:rPr>
        <w:t>补</w:t>
      </w:r>
      <w:r>
        <w:rPr>
          <w:rFonts w:hint="eastAsia" w:ascii="宋体" w:hAnsi="宋体" w:eastAsia="宋体" w:cs="宋体"/>
          <w:sz w:val="24"/>
          <w:szCs w:val="24"/>
        </w:rPr>
        <w:t>充协议约定终止事宜。</w:t>
      </w:r>
    </w:p>
    <w:p w14:paraId="2E304F90">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第六条　本合同执行中相关的一切税费均由乙方负担。</w:t>
      </w:r>
    </w:p>
    <w:p w14:paraId="5FD1C82B">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第七条  验收标准</w:t>
      </w:r>
    </w:p>
    <w:p w14:paraId="3F62E57B">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乙方需承担项目验收时发生的一切费用。</w:t>
      </w:r>
    </w:p>
    <w:p w14:paraId="2D95BAC2">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验收工作由甲方组织，包括但不限于以下形式：乙方维修、保养完毕后，向甲方提供维修、保养报告单，甲方派人进行验收，并在维修工单上签字确认；其他技术服务的验收按照本采购文件、乙方的全保修方案、厂家标准及相应的质量标准要求执行。</w:t>
      </w:r>
    </w:p>
    <w:p w14:paraId="07186F83">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验收不通过的，根据甲方意见进行整改，直到验收通过为止，期间产生相关费用由乙方承担。</w:t>
      </w:r>
    </w:p>
    <w:p w14:paraId="52151D00">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w:t>
      </w:r>
      <w:r>
        <w:rPr>
          <w:rFonts w:hint="eastAsia" w:ascii="宋体" w:hAnsi="宋体" w:eastAsia="宋体" w:cs="宋体"/>
          <w:b/>
          <w:sz w:val="24"/>
          <w:szCs w:val="24"/>
          <w:lang w:val="en-US" w:eastAsia="zh-CN"/>
        </w:rPr>
        <w:t>八</w:t>
      </w:r>
      <w:r>
        <w:rPr>
          <w:rFonts w:hint="eastAsia" w:ascii="宋体" w:hAnsi="宋体" w:eastAsia="宋体" w:cs="宋体"/>
          <w:b/>
          <w:sz w:val="24"/>
          <w:szCs w:val="24"/>
        </w:rPr>
        <w:t>条　违约责任</w:t>
      </w:r>
    </w:p>
    <w:p w14:paraId="7425E21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1、乙方</w:t>
      </w:r>
      <w:r>
        <w:rPr>
          <w:rFonts w:hint="eastAsia" w:ascii="宋体" w:hAnsi="宋体" w:eastAsia="宋体" w:cs="宋体"/>
          <w:sz w:val="24"/>
          <w:szCs w:val="24"/>
          <w:lang w:eastAsia="zh-CN"/>
        </w:rPr>
        <w:t>应</w:t>
      </w:r>
      <w:r>
        <w:rPr>
          <w:rFonts w:hint="eastAsia" w:ascii="宋体" w:hAnsi="宋体" w:eastAsia="宋体" w:cs="宋体"/>
          <w:sz w:val="24"/>
          <w:szCs w:val="24"/>
        </w:rPr>
        <w:t>按本合同和响应文件中规定的服务承诺提供售后服务，开机率确</w:t>
      </w:r>
      <w:r>
        <w:rPr>
          <w:rFonts w:hint="eastAsia" w:ascii="宋体" w:hAnsi="宋体" w:eastAsia="宋体" w:cs="宋体"/>
          <w:sz w:val="24"/>
          <w:szCs w:val="24"/>
          <w:highlight w:val="none"/>
        </w:rPr>
        <w:t>保达到≥95%</w:t>
      </w:r>
      <w:r>
        <w:rPr>
          <w:rFonts w:hint="eastAsia" w:ascii="宋体" w:hAnsi="宋体" w:eastAsia="宋体" w:cs="宋体"/>
          <w:sz w:val="24"/>
          <w:szCs w:val="24"/>
        </w:rPr>
        <w:t>，按全年365天计算，即设备全年停机时间不高于18天。停机时间高于18天的，停机每超1天（不足1天的，按1天计算），维保时间顺延2天，维保顺延所产生的费用由</w:t>
      </w:r>
      <w:r>
        <w:rPr>
          <w:rFonts w:hint="eastAsia" w:ascii="宋体" w:hAnsi="宋体" w:eastAsia="宋体" w:cs="宋体"/>
          <w:sz w:val="24"/>
          <w:szCs w:val="24"/>
          <w:lang w:eastAsia="zh-CN"/>
        </w:rPr>
        <w:t>乙方</w:t>
      </w:r>
      <w:r>
        <w:rPr>
          <w:rFonts w:hint="eastAsia" w:ascii="宋体" w:hAnsi="宋体" w:eastAsia="宋体" w:cs="宋体"/>
          <w:sz w:val="24"/>
          <w:szCs w:val="24"/>
        </w:rPr>
        <w:t>自行承担，</w:t>
      </w:r>
      <w:r>
        <w:rPr>
          <w:rFonts w:hint="eastAsia" w:ascii="宋体" w:hAnsi="宋体" w:eastAsia="宋体" w:cs="宋体"/>
          <w:sz w:val="24"/>
          <w:szCs w:val="24"/>
          <w:lang w:eastAsia="zh-CN"/>
        </w:rPr>
        <w:t>甲方</w:t>
      </w:r>
      <w:r>
        <w:rPr>
          <w:rFonts w:hint="eastAsia" w:ascii="宋体" w:hAnsi="宋体" w:eastAsia="宋体" w:cs="宋体"/>
          <w:sz w:val="24"/>
          <w:szCs w:val="24"/>
        </w:rPr>
        <w:t>不再另行支付。</w:t>
      </w:r>
      <w:r>
        <w:rPr>
          <w:rFonts w:hint="eastAsia" w:ascii="宋体" w:hAnsi="宋体" w:eastAsia="宋体" w:cs="宋体"/>
          <w:sz w:val="24"/>
          <w:szCs w:val="24"/>
          <w:lang w:eastAsia="zh-CN"/>
        </w:rPr>
        <w:t>停机时间超过</w:t>
      </w:r>
      <w:r>
        <w:rPr>
          <w:rFonts w:hint="eastAsia" w:ascii="宋体" w:hAnsi="宋体" w:eastAsia="宋体" w:cs="宋体"/>
          <w:sz w:val="24"/>
          <w:szCs w:val="24"/>
          <w:lang w:val="en-US" w:eastAsia="zh-CN"/>
        </w:rPr>
        <w:t>30天，维保时间延长1年，维保延长所产生的费用由乙方自行承担，甲方不需另行支付。</w:t>
      </w:r>
    </w:p>
    <w:p w14:paraId="35C791A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2、由于乙方设备质量原因或服务原因给甲方造成直接经济损失，</w:t>
      </w:r>
      <w:r>
        <w:rPr>
          <w:rFonts w:hint="eastAsia" w:ascii="宋体" w:hAnsi="宋体" w:eastAsia="宋体" w:cs="宋体"/>
          <w:sz w:val="24"/>
          <w:szCs w:val="24"/>
          <w:lang w:eastAsia="zh-CN"/>
        </w:rPr>
        <w:t>乙方负责承担由此产生的一切赔偿责任。</w:t>
      </w:r>
    </w:p>
    <w:p w14:paraId="66C430B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rPr>
        <w:t>3</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发生以下情形之一，甲方可以单方解除合同，乙方除按合同标的的</w:t>
      </w:r>
      <w:r>
        <w:rPr>
          <w:rFonts w:hint="eastAsia" w:ascii="宋体" w:hAnsi="宋体" w:eastAsia="宋体" w:cs="宋体"/>
          <w:sz w:val="24"/>
          <w:szCs w:val="24"/>
          <w:lang w:eastAsia="zh-Hans"/>
        </w:rPr>
        <w:t>30%</w:t>
      </w:r>
      <w:r>
        <w:rPr>
          <w:rFonts w:hint="eastAsia" w:ascii="宋体" w:hAnsi="宋体" w:eastAsia="宋体" w:cs="宋体"/>
          <w:sz w:val="24"/>
          <w:szCs w:val="24"/>
          <w:lang w:val="en-US" w:eastAsia="zh-Hans"/>
        </w:rPr>
        <w:t>支付违约金外，还应向甲方赔偿损失；</w:t>
      </w:r>
    </w:p>
    <w:p w14:paraId="509B136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未能按投标文件/采购文件提供维保所需的全新配件时。</w:t>
      </w:r>
    </w:p>
    <w:p w14:paraId="78A6357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）所提供的服务不符合投标文件/采购文件、承诺；</w:t>
      </w:r>
    </w:p>
    <w:p w14:paraId="119568D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）乙方有严重违法违纪行为，被相关部门作出行政处罚时。</w:t>
      </w:r>
    </w:p>
    <w:p w14:paraId="6C0FB31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
          <w:sz w:val="24"/>
          <w:szCs w:val="24"/>
          <w:lang w:val="en-US"/>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乙方存在其他违约行为，经警告三次及以上拒不整改或不履行合同时。</w:t>
      </w:r>
    </w:p>
    <w:p w14:paraId="59DEC92F">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w:t>
      </w:r>
      <w:r>
        <w:rPr>
          <w:rFonts w:hint="eastAsia" w:ascii="宋体" w:hAnsi="宋体" w:eastAsia="宋体" w:cs="宋体"/>
          <w:b/>
          <w:sz w:val="24"/>
          <w:szCs w:val="24"/>
          <w:lang w:val="en-US" w:eastAsia="zh-CN"/>
        </w:rPr>
        <w:t>九</w:t>
      </w:r>
      <w:r>
        <w:rPr>
          <w:rFonts w:hint="eastAsia" w:ascii="宋体" w:hAnsi="宋体" w:eastAsia="宋体" w:cs="宋体"/>
          <w:b/>
          <w:sz w:val="24"/>
          <w:szCs w:val="24"/>
        </w:rPr>
        <w:t>条　不可抗力事件处理</w:t>
      </w:r>
    </w:p>
    <w:p w14:paraId="00BDBB5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1、在合同有效期内，任何一方因不可抗力事件导致不能履行合同，则合同履行期可延长，其延长期与不可抗力影响期相同。</w:t>
      </w:r>
    </w:p>
    <w:p w14:paraId="381336C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2、不可抗力事件发生后，应立即通知对方，并寄送有关权威机构出具的证明。</w:t>
      </w:r>
    </w:p>
    <w:p w14:paraId="1159C81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3、不可抗力事件延续120天以上，双方应通过友好协商，确定是否继续履行合同。</w:t>
      </w:r>
    </w:p>
    <w:p w14:paraId="48F7684F">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w:t>
      </w:r>
      <w:r>
        <w:rPr>
          <w:rFonts w:hint="eastAsia" w:ascii="宋体" w:hAnsi="宋体" w:eastAsia="宋体" w:cs="宋体"/>
          <w:b/>
          <w:sz w:val="24"/>
          <w:szCs w:val="24"/>
          <w:lang w:val="en-US" w:eastAsia="zh-CN"/>
        </w:rPr>
        <w:t>十</w:t>
      </w:r>
      <w:r>
        <w:rPr>
          <w:rFonts w:hint="eastAsia" w:ascii="宋体" w:hAnsi="宋体" w:eastAsia="宋体" w:cs="宋体"/>
          <w:b/>
          <w:sz w:val="24"/>
          <w:szCs w:val="24"/>
        </w:rPr>
        <w:t>条　合同争议解决</w:t>
      </w:r>
    </w:p>
    <w:p w14:paraId="207BC5F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因履行本合同引起的或与本合同有关的争议，甲乙双方应首先通过友好协商解决，如果协商不能解决，可向</w:t>
      </w:r>
      <w:r>
        <w:rPr>
          <w:rFonts w:hint="eastAsia" w:ascii="宋体" w:hAnsi="宋体" w:eastAsia="宋体" w:cs="宋体"/>
          <w:color w:val="auto"/>
          <w:sz w:val="24"/>
          <w:szCs w:val="24"/>
          <w:lang w:val="en-US" w:eastAsia="zh-Hans"/>
        </w:rPr>
        <w:t>甲方所在</w:t>
      </w:r>
      <w:r>
        <w:rPr>
          <w:rFonts w:hint="eastAsia" w:ascii="宋体" w:hAnsi="宋体" w:eastAsia="宋体" w:cs="宋体"/>
          <w:color w:val="auto"/>
          <w:sz w:val="24"/>
          <w:szCs w:val="24"/>
        </w:rPr>
        <w:t>地人民法院提起诉讼。</w:t>
      </w:r>
      <w:r>
        <w:rPr>
          <w:rFonts w:hint="eastAsia" w:ascii="宋体" w:hAnsi="宋体" w:eastAsia="宋体" w:cs="宋体"/>
          <w:color w:val="auto"/>
          <w:sz w:val="24"/>
          <w:szCs w:val="24"/>
          <w:lang w:val="en-US" w:eastAsia="zh-CN"/>
        </w:rPr>
        <w:t>诉讼费、诉讼保全费、</w:t>
      </w:r>
      <w:r>
        <w:rPr>
          <w:rFonts w:hint="eastAsia" w:ascii="宋体" w:hAnsi="宋体" w:eastAsia="宋体" w:cs="宋体"/>
          <w:color w:val="auto"/>
          <w:sz w:val="24"/>
          <w:szCs w:val="24"/>
          <w:lang w:val="en-US" w:eastAsia="zh-Hans"/>
        </w:rPr>
        <w:t>保险费、</w:t>
      </w:r>
      <w:r>
        <w:rPr>
          <w:rFonts w:hint="eastAsia" w:ascii="宋体" w:hAnsi="宋体" w:eastAsia="宋体" w:cs="宋体"/>
          <w:color w:val="auto"/>
          <w:sz w:val="24"/>
          <w:szCs w:val="24"/>
        </w:rPr>
        <w:t>律师费等</w:t>
      </w:r>
      <w:r>
        <w:rPr>
          <w:rFonts w:hint="eastAsia" w:ascii="宋体" w:hAnsi="宋体" w:eastAsia="宋体" w:cs="宋体"/>
          <w:color w:val="auto"/>
          <w:sz w:val="24"/>
          <w:szCs w:val="24"/>
          <w:lang w:val="en-US" w:eastAsia="zh-CN"/>
        </w:rPr>
        <w:t>追偿</w:t>
      </w:r>
      <w:r>
        <w:rPr>
          <w:rFonts w:hint="eastAsia" w:ascii="宋体" w:hAnsi="宋体" w:eastAsia="宋体" w:cs="宋体"/>
          <w:color w:val="auto"/>
          <w:sz w:val="24"/>
          <w:szCs w:val="24"/>
        </w:rPr>
        <w:t>费用</w:t>
      </w:r>
      <w:r>
        <w:rPr>
          <w:rFonts w:hint="eastAsia" w:ascii="宋体" w:hAnsi="宋体" w:eastAsia="宋体" w:cs="宋体"/>
          <w:color w:val="auto"/>
          <w:sz w:val="24"/>
          <w:szCs w:val="24"/>
          <w:lang w:val="en-US" w:eastAsia="zh-Hans"/>
        </w:rPr>
        <w:t>均</w:t>
      </w:r>
      <w:r>
        <w:rPr>
          <w:rFonts w:hint="eastAsia" w:ascii="宋体" w:hAnsi="宋体" w:eastAsia="宋体" w:cs="宋体"/>
          <w:color w:val="auto"/>
          <w:sz w:val="24"/>
          <w:szCs w:val="24"/>
        </w:rPr>
        <w:t>由</w:t>
      </w:r>
      <w:r>
        <w:rPr>
          <w:rFonts w:hint="eastAsia" w:ascii="宋体" w:hAnsi="宋体" w:eastAsia="宋体" w:cs="宋体"/>
          <w:color w:val="auto"/>
          <w:sz w:val="24"/>
          <w:szCs w:val="24"/>
          <w:lang w:val="en-US" w:eastAsia="zh-CN"/>
        </w:rPr>
        <w:t>违约</w:t>
      </w:r>
      <w:r>
        <w:rPr>
          <w:rFonts w:hint="eastAsia" w:ascii="宋体" w:hAnsi="宋体" w:eastAsia="宋体" w:cs="宋体"/>
          <w:color w:val="auto"/>
          <w:sz w:val="24"/>
          <w:szCs w:val="24"/>
        </w:rPr>
        <w:t>方承担。</w:t>
      </w:r>
    </w:p>
    <w:p w14:paraId="40CBFA86">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第十</w:t>
      </w:r>
      <w:r>
        <w:rPr>
          <w:rFonts w:hint="eastAsia" w:ascii="宋体" w:hAnsi="宋体" w:eastAsia="宋体" w:cs="宋体"/>
          <w:b/>
          <w:sz w:val="24"/>
          <w:szCs w:val="24"/>
          <w:lang w:val="en-US" w:eastAsia="zh-CN"/>
        </w:rPr>
        <w:t>一</w:t>
      </w:r>
      <w:r>
        <w:rPr>
          <w:rFonts w:hint="eastAsia" w:ascii="宋体" w:hAnsi="宋体" w:eastAsia="宋体" w:cs="宋体"/>
          <w:b/>
          <w:sz w:val="24"/>
          <w:szCs w:val="24"/>
        </w:rPr>
        <w:t>条　合同生效及其它</w:t>
      </w:r>
    </w:p>
    <w:p w14:paraId="12F4451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合同经双方法定代表人或授权代表签字</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或盖章</w:t>
      </w:r>
      <w:r>
        <w:rPr>
          <w:rFonts w:hint="eastAsia" w:ascii="宋体" w:hAnsi="宋体" w:eastAsia="宋体" w:cs="宋体"/>
          <w:sz w:val="24"/>
          <w:szCs w:val="24"/>
          <w:lang w:eastAsia="zh-CN"/>
        </w:rPr>
        <w:t>）</w:t>
      </w:r>
      <w:r>
        <w:rPr>
          <w:rFonts w:hint="eastAsia" w:ascii="宋体" w:hAnsi="宋体" w:eastAsia="宋体" w:cs="宋体"/>
          <w:sz w:val="24"/>
          <w:szCs w:val="24"/>
        </w:rPr>
        <w:t>并加盖单位公章后生效。</w:t>
      </w:r>
    </w:p>
    <w:p w14:paraId="0DDBFBE2">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第十</w:t>
      </w:r>
      <w:r>
        <w:rPr>
          <w:rFonts w:hint="eastAsia" w:ascii="宋体" w:hAnsi="宋体" w:eastAsia="宋体" w:cs="宋体"/>
          <w:b/>
          <w:sz w:val="24"/>
          <w:szCs w:val="24"/>
          <w:lang w:val="en-US" w:eastAsia="zh-CN"/>
        </w:rPr>
        <w:t>二</w:t>
      </w:r>
      <w:r>
        <w:rPr>
          <w:rFonts w:hint="eastAsia" w:ascii="宋体" w:hAnsi="宋体" w:eastAsia="宋体" w:cs="宋体"/>
          <w:b/>
          <w:sz w:val="24"/>
          <w:szCs w:val="24"/>
        </w:rPr>
        <w:t>条　合同的变更、终止与转让</w:t>
      </w:r>
    </w:p>
    <w:p w14:paraId="7FD5B56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1、除国家法律、法规规定的情形外，本合同一经签订，甲乙双方不得擅自变更、中止或终止。</w:t>
      </w:r>
    </w:p>
    <w:p w14:paraId="20C96161">
      <w:pPr>
        <w:keepNext w:val="0"/>
        <w:keepLines w:val="0"/>
        <w:pageBreakBefore w:val="0"/>
        <w:widowControl w:val="0"/>
        <w:kinsoku/>
        <w:wordWrap/>
        <w:overflowPunct/>
        <w:topLinePunct w:val="0"/>
        <w:autoSpaceDE/>
        <w:autoSpaceDN/>
        <w:bidi w:val="0"/>
        <w:adjustRightInd/>
        <w:snapToGrid w:val="0"/>
        <w:spacing w:line="400" w:lineRule="exact"/>
        <w:ind w:left="-61" w:firstLine="514"/>
        <w:textAlignment w:val="auto"/>
        <w:rPr>
          <w:rFonts w:hint="eastAsia" w:ascii="宋体" w:hAnsi="宋体" w:eastAsia="宋体" w:cs="宋体"/>
          <w:sz w:val="24"/>
          <w:szCs w:val="24"/>
        </w:rPr>
      </w:pPr>
      <w:r>
        <w:rPr>
          <w:rFonts w:hint="eastAsia" w:ascii="宋体" w:hAnsi="宋体" w:eastAsia="宋体" w:cs="宋体"/>
          <w:sz w:val="24"/>
          <w:szCs w:val="24"/>
        </w:rPr>
        <w:t>2、乙方不得擅自转让其应履行的合同义务。</w:t>
      </w:r>
    </w:p>
    <w:p w14:paraId="5B694C6F">
      <w:pPr>
        <w:keepNext w:val="0"/>
        <w:keepLines w:val="0"/>
        <w:pageBreakBefore w:val="0"/>
        <w:widowControl w:val="0"/>
        <w:kinsoku/>
        <w:wordWrap/>
        <w:overflowPunct/>
        <w:topLinePunct w:val="0"/>
        <w:autoSpaceDE/>
        <w:autoSpaceDN/>
        <w:bidi w:val="0"/>
        <w:adjustRightInd/>
        <w:snapToGrid w:val="0"/>
        <w:spacing w:line="400" w:lineRule="exact"/>
        <w:ind w:left="-61" w:firstLine="514"/>
        <w:textAlignment w:val="auto"/>
        <w:rPr>
          <w:rFonts w:hint="eastAsia" w:ascii="宋体" w:hAnsi="宋体" w:eastAsia="宋体" w:cs="宋体"/>
          <w:sz w:val="24"/>
          <w:szCs w:val="24"/>
        </w:rPr>
      </w:pPr>
      <w:r>
        <w:rPr>
          <w:rFonts w:hint="eastAsia" w:ascii="宋体" w:hAnsi="宋体" w:eastAsia="宋体" w:cs="宋体"/>
          <w:sz w:val="24"/>
          <w:szCs w:val="24"/>
        </w:rPr>
        <w:t>3、合同经甲乙双方法定代表人（负责人、自然人）或授权代表签字并加盖单位公章后生效。</w:t>
      </w:r>
    </w:p>
    <w:p w14:paraId="2319F2B3">
      <w:pPr>
        <w:keepNext w:val="0"/>
        <w:keepLines w:val="0"/>
        <w:pageBreakBefore w:val="0"/>
        <w:widowControl w:val="0"/>
        <w:kinsoku/>
        <w:wordWrap/>
        <w:overflowPunct/>
        <w:topLinePunct w:val="0"/>
        <w:autoSpaceDE/>
        <w:autoSpaceDN/>
        <w:bidi w:val="0"/>
        <w:adjustRightInd/>
        <w:snapToGrid w:val="0"/>
        <w:spacing w:line="400" w:lineRule="exact"/>
        <w:ind w:left="-61" w:firstLine="514"/>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color w:val="000000"/>
          <w:sz w:val="24"/>
          <w:szCs w:val="24"/>
        </w:rPr>
        <w:t>合同执行中涉及采购资金和采购内容修改或补充的，作为主合同不可分割的一部分。</w:t>
      </w:r>
    </w:p>
    <w:p w14:paraId="0682D805">
      <w:pPr>
        <w:keepNext w:val="0"/>
        <w:keepLines w:val="0"/>
        <w:pageBreakBefore w:val="0"/>
        <w:widowControl w:val="0"/>
        <w:kinsoku/>
        <w:wordWrap/>
        <w:overflowPunct/>
        <w:topLinePunct w:val="0"/>
        <w:autoSpaceDE/>
        <w:autoSpaceDN/>
        <w:bidi w:val="0"/>
        <w:adjustRightInd/>
        <w:snapToGrid w:val="0"/>
        <w:spacing w:line="400" w:lineRule="exact"/>
        <w:ind w:left="-61" w:firstLine="514"/>
        <w:textAlignment w:val="auto"/>
        <w:rPr>
          <w:rFonts w:hint="eastAsia" w:ascii="宋体" w:hAnsi="宋体" w:eastAsia="宋体" w:cs="宋体"/>
          <w:sz w:val="24"/>
          <w:szCs w:val="24"/>
        </w:rPr>
      </w:pPr>
      <w:r>
        <w:rPr>
          <w:rFonts w:hint="eastAsia" w:ascii="宋体" w:hAnsi="宋体" w:eastAsia="宋体" w:cs="宋体"/>
          <w:sz w:val="24"/>
          <w:szCs w:val="24"/>
        </w:rPr>
        <w:t>5、本合同未尽事宜，遵照《</w:t>
      </w:r>
      <w:r>
        <w:rPr>
          <w:rFonts w:hint="eastAsia" w:ascii="宋体" w:hAnsi="宋体" w:eastAsia="宋体" w:cs="宋体"/>
          <w:sz w:val="24"/>
          <w:szCs w:val="24"/>
          <w:shd w:val="clear" w:color="auto" w:fill="FFFFFF"/>
        </w:rPr>
        <w:t>中华人民共和国民法典</w:t>
      </w:r>
      <w:r>
        <w:rPr>
          <w:rFonts w:hint="eastAsia" w:ascii="宋体" w:hAnsi="宋体" w:eastAsia="宋体" w:cs="宋体"/>
          <w:sz w:val="24"/>
          <w:szCs w:val="24"/>
        </w:rPr>
        <w:t>》有关条文执行。</w:t>
      </w:r>
    </w:p>
    <w:p w14:paraId="1301CBE7">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b/>
          <w:sz w:val="24"/>
          <w:szCs w:val="24"/>
          <w:lang w:val="en-US" w:eastAsia="zh-Hans"/>
        </w:rPr>
      </w:pPr>
      <w:r>
        <w:rPr>
          <w:rFonts w:hint="eastAsia" w:ascii="宋体" w:hAnsi="宋体" w:eastAsia="宋体" w:cs="宋体"/>
          <w:b/>
          <w:sz w:val="24"/>
          <w:szCs w:val="24"/>
        </w:rPr>
        <w:t>第十三条　签订本合同依据</w:t>
      </w:r>
      <w:r>
        <w:rPr>
          <w:rFonts w:hint="eastAsia" w:ascii="宋体" w:hAnsi="宋体" w:eastAsia="宋体" w:cs="宋体"/>
          <w:b/>
          <w:sz w:val="24"/>
          <w:szCs w:val="24"/>
          <w:lang w:val="en-US" w:eastAsia="zh-Hans"/>
        </w:rPr>
        <w:t>及合同附件</w:t>
      </w:r>
    </w:p>
    <w:p w14:paraId="5B5BA3A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招投标文件/采购文件</w:t>
      </w:r>
      <w:r>
        <w:rPr>
          <w:rFonts w:hint="eastAsia" w:ascii="宋体" w:hAnsi="宋体" w:eastAsia="宋体" w:cs="宋体"/>
          <w:sz w:val="24"/>
          <w:szCs w:val="24"/>
        </w:rPr>
        <w:t>；</w:t>
      </w:r>
    </w:p>
    <w:p w14:paraId="61BC644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2、乙方提供的</w:t>
      </w:r>
      <w:bookmarkStart w:id="144" w:name="_Hlk69900059"/>
      <w:r>
        <w:rPr>
          <w:rFonts w:hint="eastAsia" w:ascii="宋体" w:hAnsi="宋体" w:eastAsia="宋体" w:cs="宋体"/>
          <w:sz w:val="24"/>
          <w:szCs w:val="24"/>
        </w:rPr>
        <w:t>采购投标文件</w:t>
      </w:r>
      <w:bookmarkEnd w:id="144"/>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响应文件、</w:t>
      </w:r>
      <w:r>
        <w:rPr>
          <w:rFonts w:hint="eastAsia" w:ascii="宋体" w:hAnsi="宋体" w:eastAsia="宋体" w:cs="宋体"/>
          <w:sz w:val="24"/>
          <w:szCs w:val="24"/>
          <w:lang w:val="en-US" w:eastAsia="zh-CN"/>
        </w:rPr>
        <w:t>承诺</w:t>
      </w:r>
      <w:r>
        <w:rPr>
          <w:rFonts w:hint="eastAsia" w:ascii="宋体" w:hAnsi="宋体" w:cs="宋体"/>
          <w:sz w:val="24"/>
          <w:szCs w:val="24"/>
          <w:lang w:val="en-US" w:eastAsia="zh-CN"/>
        </w:rPr>
        <w:t>、拟投入人员、实施方案等</w:t>
      </w:r>
      <w:r>
        <w:rPr>
          <w:rFonts w:hint="eastAsia" w:ascii="宋体" w:hAnsi="宋体" w:eastAsia="宋体" w:cs="宋体"/>
          <w:sz w:val="24"/>
          <w:szCs w:val="24"/>
        </w:rPr>
        <w:t>；</w:t>
      </w:r>
    </w:p>
    <w:p w14:paraId="434AC71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3、中标</w:t>
      </w:r>
      <w:r>
        <w:rPr>
          <w:rFonts w:hint="eastAsia" w:ascii="宋体" w:hAnsi="宋体" w:eastAsia="宋体" w:cs="宋体"/>
          <w:sz w:val="24"/>
          <w:szCs w:val="24"/>
          <w:lang w:val="en-US" w:eastAsia="zh-CN"/>
        </w:rPr>
        <w:t>/</w:t>
      </w:r>
      <w:r>
        <w:rPr>
          <w:rFonts w:hint="eastAsia" w:ascii="宋体" w:hAnsi="宋体" w:eastAsia="宋体" w:cs="宋体"/>
          <w:sz w:val="24"/>
          <w:szCs w:val="24"/>
        </w:rPr>
        <w:t>成交通知书。</w:t>
      </w:r>
    </w:p>
    <w:p w14:paraId="11EFF6D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上述合同附件均为本合同不可分割的部分，与本合同共同执行。</w:t>
      </w:r>
    </w:p>
    <w:p w14:paraId="52C564B2">
      <w:pPr>
        <w:keepNext w:val="0"/>
        <w:keepLines w:val="0"/>
        <w:pageBreakBefore w:val="0"/>
        <w:widowControl w:val="0"/>
        <w:numPr>
          <w:ilvl w:val="0"/>
          <w:numId w:val="7"/>
        </w:numPr>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rPr>
        <w:t>本合同</w:t>
      </w:r>
      <w:r>
        <w:rPr>
          <w:rFonts w:hint="eastAsia" w:ascii="宋体" w:hAnsi="宋体" w:eastAsia="宋体" w:cs="宋体"/>
          <w:sz w:val="24"/>
          <w:szCs w:val="24"/>
          <w:u w:val="none"/>
        </w:rPr>
        <w:t>一式</w:t>
      </w:r>
      <w:r>
        <w:rPr>
          <w:rFonts w:hint="eastAsia" w:ascii="宋体" w:hAnsi="宋体" w:eastAsia="宋体" w:cs="宋体"/>
          <w:sz w:val="24"/>
          <w:szCs w:val="24"/>
          <w:u w:val="none"/>
          <w:lang w:val="en-US" w:eastAsia="zh-CN"/>
        </w:rPr>
        <w:t>柒</w:t>
      </w:r>
      <w:r>
        <w:rPr>
          <w:rFonts w:hint="eastAsia" w:ascii="宋体" w:hAnsi="宋体" w:eastAsia="宋体" w:cs="宋体"/>
          <w:sz w:val="24"/>
          <w:szCs w:val="24"/>
          <w:u w:val="none"/>
        </w:rPr>
        <w:t>份，</w:t>
      </w:r>
      <w:r>
        <w:rPr>
          <w:rFonts w:hint="eastAsia" w:ascii="宋体" w:hAnsi="宋体" w:eastAsia="宋体" w:cs="宋体"/>
          <w:sz w:val="24"/>
          <w:szCs w:val="24"/>
        </w:rPr>
        <w:t>具有同等法律效力，甲方</w:t>
      </w:r>
      <w:r>
        <w:rPr>
          <w:rFonts w:hint="eastAsia" w:ascii="宋体" w:hAnsi="宋体" w:eastAsia="宋体" w:cs="宋体"/>
          <w:sz w:val="24"/>
          <w:szCs w:val="24"/>
          <w:lang w:val="en-US" w:eastAsia="zh-CN"/>
        </w:rPr>
        <w:t>叁</w:t>
      </w:r>
      <w:r>
        <w:rPr>
          <w:rFonts w:hint="eastAsia" w:ascii="宋体" w:hAnsi="宋体" w:eastAsia="宋体" w:cs="宋体"/>
          <w:sz w:val="24"/>
          <w:szCs w:val="24"/>
        </w:rPr>
        <w:t>份、乙方</w:t>
      </w:r>
      <w:r>
        <w:rPr>
          <w:rFonts w:hint="eastAsia" w:ascii="宋体" w:hAnsi="宋体" w:eastAsia="宋体" w:cs="宋体"/>
          <w:sz w:val="24"/>
          <w:szCs w:val="24"/>
          <w:lang w:val="en-US" w:eastAsia="zh-CN"/>
        </w:rPr>
        <w:t>贰</w:t>
      </w:r>
      <w:r>
        <w:rPr>
          <w:rFonts w:hint="eastAsia" w:ascii="宋体" w:hAnsi="宋体" w:eastAsia="宋体" w:cs="宋体"/>
          <w:sz w:val="24"/>
          <w:szCs w:val="24"/>
        </w:rPr>
        <w:t>份采购</w:t>
      </w:r>
      <w:r>
        <w:rPr>
          <w:rFonts w:hint="eastAsia" w:ascii="宋体" w:hAnsi="宋体" w:eastAsia="宋体" w:cs="宋体"/>
          <w:sz w:val="24"/>
          <w:szCs w:val="24"/>
          <w:lang w:eastAsia="zh-CN"/>
        </w:rPr>
        <w:t>、</w:t>
      </w:r>
      <w:r>
        <w:rPr>
          <w:rFonts w:hint="eastAsia" w:ascii="宋体" w:hAnsi="宋体" w:eastAsia="宋体" w:cs="宋体"/>
          <w:sz w:val="24"/>
          <w:szCs w:val="24"/>
        </w:rPr>
        <w:t>代理机构</w:t>
      </w:r>
      <w:r>
        <w:rPr>
          <w:rFonts w:hint="eastAsia" w:ascii="宋体" w:hAnsi="宋体" w:eastAsia="宋体" w:cs="宋体"/>
          <w:sz w:val="24"/>
          <w:szCs w:val="24"/>
          <w:lang w:val="en-US" w:eastAsia="zh-CN"/>
        </w:rPr>
        <w:t>贰</w:t>
      </w:r>
      <w:r>
        <w:rPr>
          <w:rFonts w:hint="eastAsia" w:ascii="宋体" w:hAnsi="宋体" w:eastAsia="宋体" w:cs="宋体"/>
          <w:sz w:val="24"/>
          <w:szCs w:val="24"/>
        </w:rPr>
        <w:t>份。</w:t>
      </w:r>
    </w:p>
    <w:p w14:paraId="181AB668">
      <w:pPr>
        <w:keepNext w:val="0"/>
        <w:keepLines w:val="0"/>
        <w:pageBreakBefore w:val="0"/>
        <w:widowControl w:val="0"/>
        <w:kinsoku/>
        <w:wordWrap/>
        <w:overflowPunct/>
        <w:topLinePunct w:val="0"/>
        <w:autoSpaceDE/>
        <w:autoSpaceDN/>
        <w:bidi w:val="0"/>
        <w:adjustRightInd/>
        <w:spacing w:line="40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（以下为签章页，无正文）</w:t>
      </w:r>
    </w:p>
    <w:p w14:paraId="324E1C79">
      <w:pPr>
        <w:widowControl w:val="0"/>
        <w:tabs>
          <w:tab w:val="center" w:pos="4153"/>
          <w:tab w:val="right" w:pos="8306"/>
        </w:tabs>
        <w:snapToGrid w:val="0"/>
        <w:jc w:val="left"/>
        <w:rPr>
          <w:rFonts w:hint="eastAsia" w:ascii="Times New Roman" w:hAnsi="Times New Roman" w:eastAsia="宋体" w:cs="Times New Roman"/>
          <w:kern w:val="2"/>
          <w:sz w:val="18"/>
          <w:szCs w:val="18"/>
          <w:lang w:val="en-US" w:eastAsia="zh-CN" w:bidi="ar-SA"/>
        </w:rPr>
      </w:pPr>
    </w:p>
    <w:tbl>
      <w:tblPr>
        <w:tblStyle w:val="49"/>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8"/>
        <w:gridCol w:w="4822"/>
      </w:tblGrid>
      <w:tr w14:paraId="3D95F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08D5FE5E">
            <w:pPr>
              <w:overflowPunct w:val="0"/>
              <w:snapToGrid w:val="0"/>
              <w:spacing w:before="120"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甲方（章） 广西医科大学第一附属医院     </w:t>
            </w:r>
            <w:r>
              <w:rPr>
                <w:rFonts w:hint="eastAsia" w:ascii="宋体" w:hAnsi="宋体" w:eastAsia="宋体" w:cs="宋体"/>
                <w:color w:val="auto"/>
                <w:sz w:val="24"/>
                <w:szCs w:val="24"/>
                <w:highlight w:val="none"/>
              </w:rPr>
              <w:t xml:space="preserve">   </w:t>
            </w:r>
          </w:p>
          <w:p w14:paraId="6B0F312D">
            <w:pPr>
              <w:overflowPunct w:val="0"/>
              <w:snapToGrid w:val="0"/>
              <w:spacing w:before="120" w:line="360" w:lineRule="auto"/>
              <w:ind w:firstLine="1080" w:firstLineChars="450"/>
              <w:jc w:val="right"/>
              <w:rPr>
                <w:rFonts w:hint="eastAsia" w:ascii="宋体" w:hAnsi="宋体" w:eastAsia="宋体" w:cs="宋体"/>
                <w:color w:val="auto"/>
                <w:sz w:val="24"/>
                <w:szCs w:val="24"/>
                <w:highlight w:val="none"/>
              </w:rPr>
            </w:pPr>
          </w:p>
          <w:p w14:paraId="2AFEA6FB">
            <w:pPr>
              <w:overflowPunct w:val="0"/>
              <w:snapToGrid w:val="0"/>
              <w:spacing w:before="120" w:line="360" w:lineRule="auto"/>
              <w:ind w:firstLine="1080" w:firstLineChars="45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tc>
        <w:tc>
          <w:tcPr>
            <w:tcW w:w="4822" w:type="dxa"/>
            <w:tcBorders>
              <w:top w:val="single" w:color="auto" w:sz="4" w:space="0"/>
              <w:left w:val="single" w:color="auto" w:sz="4" w:space="0"/>
              <w:bottom w:val="single" w:color="auto" w:sz="4" w:space="0"/>
              <w:right w:val="single" w:color="auto" w:sz="4" w:space="0"/>
            </w:tcBorders>
            <w:noWrap w:val="0"/>
            <w:vAlign w:val="top"/>
          </w:tcPr>
          <w:p w14:paraId="3ACCA2C6">
            <w:pPr>
              <w:overflowPunct w:val="0"/>
              <w:snapToGrid w:val="0"/>
              <w:spacing w:before="120" w:line="360" w:lineRule="auto"/>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乙方（章）</w:t>
            </w:r>
            <w:r>
              <w:rPr>
                <w:rFonts w:hint="eastAsia" w:ascii="宋体" w:hAnsi="宋体" w:eastAsia="宋体" w:cs="宋体"/>
                <w:color w:val="auto"/>
                <w:sz w:val="24"/>
                <w:szCs w:val="24"/>
                <w:highlight w:val="none"/>
              </w:rPr>
              <w:t xml:space="preserve">              </w:t>
            </w:r>
          </w:p>
          <w:p w14:paraId="3C78E8C0">
            <w:pPr>
              <w:overflowPunct w:val="0"/>
              <w:snapToGrid w:val="0"/>
              <w:spacing w:before="120"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45C60AD">
            <w:pPr>
              <w:overflowPunct w:val="0"/>
              <w:snapToGrid w:val="0"/>
              <w:spacing w:before="120"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tc>
      </w:tr>
      <w:tr w14:paraId="64EC8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5A017002">
            <w:pPr>
              <w:overflowPunct w:val="0"/>
              <w:snapToGrid w:val="0"/>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单位地址：广西南宁市双拥路6号</w:t>
            </w:r>
          </w:p>
        </w:tc>
        <w:tc>
          <w:tcPr>
            <w:tcW w:w="4822" w:type="dxa"/>
            <w:tcBorders>
              <w:top w:val="single" w:color="auto" w:sz="4" w:space="0"/>
              <w:left w:val="single" w:color="auto" w:sz="4" w:space="0"/>
              <w:bottom w:val="single" w:color="auto" w:sz="4" w:space="0"/>
              <w:right w:val="single" w:color="auto" w:sz="4" w:space="0"/>
            </w:tcBorders>
            <w:noWrap w:val="0"/>
            <w:vAlign w:val="top"/>
          </w:tcPr>
          <w:p w14:paraId="559136ED">
            <w:pPr>
              <w:overflowPunct w:val="0"/>
              <w:snapToGrid w:val="0"/>
              <w:spacing w:before="120"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p>
        </w:tc>
      </w:tr>
      <w:tr w14:paraId="279C9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2AACC5C3">
            <w:pPr>
              <w:overflowPunct w:val="0"/>
              <w:snapToGrid w:val="0"/>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签字或盖章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tc>
        <w:tc>
          <w:tcPr>
            <w:tcW w:w="4822" w:type="dxa"/>
            <w:tcBorders>
              <w:top w:val="single" w:color="auto" w:sz="4" w:space="0"/>
              <w:left w:val="single" w:color="auto" w:sz="4" w:space="0"/>
              <w:bottom w:val="single" w:color="auto" w:sz="4" w:space="0"/>
              <w:right w:val="single" w:color="auto" w:sz="4" w:space="0"/>
            </w:tcBorders>
            <w:noWrap w:val="0"/>
            <w:vAlign w:val="top"/>
          </w:tcPr>
          <w:p w14:paraId="10A07912">
            <w:pPr>
              <w:overflowPunct w:val="0"/>
              <w:snapToGrid w:val="0"/>
              <w:spacing w:before="120"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签字或盖章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tc>
      </w:tr>
      <w:tr w14:paraId="60B14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4AE92390">
            <w:pPr>
              <w:overflowPunct w:val="0"/>
              <w:snapToGrid w:val="0"/>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签字或盖章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tc>
        <w:tc>
          <w:tcPr>
            <w:tcW w:w="4822" w:type="dxa"/>
            <w:tcBorders>
              <w:top w:val="single" w:color="auto" w:sz="4" w:space="0"/>
              <w:left w:val="single" w:color="auto" w:sz="4" w:space="0"/>
              <w:bottom w:val="single" w:color="auto" w:sz="4" w:space="0"/>
              <w:right w:val="single" w:color="auto" w:sz="4" w:space="0"/>
            </w:tcBorders>
            <w:noWrap w:val="0"/>
            <w:vAlign w:val="top"/>
          </w:tcPr>
          <w:p w14:paraId="33D15238">
            <w:pPr>
              <w:overflowPunct w:val="0"/>
              <w:snapToGrid w:val="0"/>
              <w:spacing w:before="120"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签字或盖章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tc>
      </w:tr>
      <w:tr w14:paraId="72681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72EC4B3F">
            <w:pPr>
              <w:overflowPunct w:val="0"/>
              <w:snapToGrid w:val="0"/>
              <w:spacing w:before="12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lang w:eastAsia="zh-CN"/>
              </w:rPr>
              <w:t>0771-</w:t>
            </w:r>
            <w:r>
              <w:rPr>
                <w:rFonts w:hint="eastAsia" w:ascii="宋体" w:hAnsi="宋体" w:eastAsia="宋体" w:cs="Times New Roman"/>
                <w:color w:val="auto"/>
                <w:sz w:val="24"/>
                <w:szCs w:val="24"/>
                <w:highlight w:val="none"/>
                <w:lang w:val="en-US" w:eastAsia="zh-CN"/>
              </w:rPr>
              <w:t>5634385</w:t>
            </w:r>
          </w:p>
        </w:tc>
        <w:tc>
          <w:tcPr>
            <w:tcW w:w="4822" w:type="dxa"/>
            <w:tcBorders>
              <w:top w:val="single" w:color="auto" w:sz="4" w:space="0"/>
              <w:left w:val="single" w:color="auto" w:sz="4" w:space="0"/>
              <w:bottom w:val="single" w:color="auto" w:sz="4" w:space="0"/>
              <w:right w:val="single" w:color="auto" w:sz="4" w:space="0"/>
            </w:tcBorders>
            <w:noWrap w:val="0"/>
            <w:vAlign w:val="top"/>
          </w:tcPr>
          <w:p w14:paraId="7FA67DBD">
            <w:pPr>
              <w:overflowPunct w:val="0"/>
              <w:snapToGrid w:val="0"/>
              <w:spacing w:before="120" w:line="360" w:lineRule="auto"/>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电话：</w:t>
            </w:r>
          </w:p>
        </w:tc>
      </w:tr>
      <w:tr w14:paraId="08C53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29039D4F">
            <w:pPr>
              <w:overflowPunct w:val="0"/>
              <w:snapToGrid w:val="0"/>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4822" w:type="dxa"/>
            <w:tcBorders>
              <w:top w:val="single" w:color="auto" w:sz="4" w:space="0"/>
              <w:left w:val="single" w:color="auto" w:sz="4" w:space="0"/>
              <w:bottom w:val="single" w:color="auto" w:sz="4" w:space="0"/>
              <w:right w:val="single" w:color="auto" w:sz="4" w:space="0"/>
            </w:tcBorders>
            <w:noWrap w:val="0"/>
            <w:vAlign w:val="top"/>
          </w:tcPr>
          <w:p w14:paraId="758A8D0F">
            <w:pPr>
              <w:overflowPunct w:val="0"/>
              <w:snapToGrid w:val="0"/>
              <w:spacing w:before="120" w:line="360" w:lineRule="auto"/>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电子邮箱：</w:t>
            </w:r>
          </w:p>
        </w:tc>
      </w:tr>
      <w:tr w14:paraId="219D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3F52D501">
            <w:pPr>
              <w:overflowPunct w:val="0"/>
              <w:snapToGrid w:val="0"/>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开户银行：广西南宁建行医科大支行</w:t>
            </w:r>
          </w:p>
        </w:tc>
        <w:tc>
          <w:tcPr>
            <w:tcW w:w="4822" w:type="dxa"/>
            <w:tcBorders>
              <w:top w:val="single" w:color="auto" w:sz="4" w:space="0"/>
              <w:left w:val="single" w:color="auto" w:sz="4" w:space="0"/>
              <w:bottom w:val="single" w:color="auto" w:sz="4" w:space="0"/>
              <w:right w:val="single" w:color="auto" w:sz="4" w:space="0"/>
            </w:tcBorders>
            <w:noWrap w:val="0"/>
            <w:vAlign w:val="top"/>
          </w:tcPr>
          <w:p w14:paraId="5CE57C5F">
            <w:pPr>
              <w:overflowPunct w:val="0"/>
              <w:snapToGrid w:val="0"/>
              <w:spacing w:before="120" w:line="360" w:lineRule="auto"/>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开户银行：</w:t>
            </w:r>
          </w:p>
        </w:tc>
      </w:tr>
      <w:tr w14:paraId="1B991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4A9394C4">
            <w:pPr>
              <w:overflowPunct w:val="0"/>
              <w:snapToGrid w:val="0"/>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账号：4500 1604 5600 5050 1061</w:t>
            </w:r>
          </w:p>
        </w:tc>
        <w:tc>
          <w:tcPr>
            <w:tcW w:w="4822" w:type="dxa"/>
            <w:tcBorders>
              <w:top w:val="single" w:color="auto" w:sz="4" w:space="0"/>
              <w:left w:val="single" w:color="auto" w:sz="4" w:space="0"/>
              <w:bottom w:val="single" w:color="auto" w:sz="4" w:space="0"/>
              <w:right w:val="single" w:color="auto" w:sz="4" w:space="0"/>
            </w:tcBorders>
            <w:noWrap w:val="0"/>
            <w:vAlign w:val="top"/>
          </w:tcPr>
          <w:p w14:paraId="369DBE12">
            <w:pPr>
              <w:overflowPunct w:val="0"/>
              <w:snapToGrid w:val="0"/>
              <w:spacing w:before="120" w:line="360" w:lineRule="auto"/>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账号：</w:t>
            </w:r>
          </w:p>
        </w:tc>
      </w:tr>
      <w:tr w14:paraId="7255C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3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96586E">
            <w:pPr>
              <w:keepNext w:val="0"/>
              <w:keepLines w:val="0"/>
              <w:pageBreakBefore w:val="0"/>
              <w:kinsoku/>
              <w:wordWrap/>
              <w:topLinePunct w:val="0"/>
              <w:bidi w:val="0"/>
              <w:adjustRightInd/>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纳税人识别号或统一社会信用代码：</w:t>
            </w:r>
          </w:p>
          <w:p w14:paraId="48E52471">
            <w:pPr>
              <w:keepNext w:val="0"/>
              <w:keepLines w:val="0"/>
              <w:pageBreakBefore w:val="0"/>
              <w:kinsoku/>
              <w:wordWrap/>
              <w:topLinePunct w:val="0"/>
              <w:bidi w:val="0"/>
              <w:adjustRightInd/>
              <w:snapToGrid w:val="0"/>
              <w:spacing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124500004985004666</w:t>
            </w:r>
          </w:p>
        </w:tc>
        <w:tc>
          <w:tcPr>
            <w:tcW w:w="482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540376">
            <w:pPr>
              <w:keepNext w:val="0"/>
              <w:keepLines w:val="0"/>
              <w:pageBreakBefore w:val="0"/>
              <w:kinsoku/>
              <w:wordWrap/>
              <w:topLinePunct w:val="0"/>
              <w:bidi w:val="0"/>
              <w:adjustRightInd/>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纳税人识别号或统一社会信用代码：</w:t>
            </w:r>
          </w:p>
          <w:p w14:paraId="642DD6D0">
            <w:pPr>
              <w:keepNext w:val="0"/>
              <w:keepLines w:val="0"/>
              <w:pageBreakBefore w:val="0"/>
              <w:kinsoku/>
              <w:wordWrap/>
              <w:topLinePunct w:val="0"/>
              <w:bidi w:val="0"/>
              <w:adjustRightInd/>
              <w:snapToGrid w:val="0"/>
              <w:spacing w:line="400" w:lineRule="exact"/>
              <w:rPr>
                <w:rFonts w:hint="eastAsia" w:ascii="宋体" w:hAnsi="宋体" w:eastAsia="宋体" w:cs="宋体"/>
                <w:color w:val="auto"/>
                <w:kern w:val="2"/>
                <w:sz w:val="24"/>
                <w:szCs w:val="24"/>
                <w:highlight w:val="none"/>
                <w:lang w:val="en-US" w:eastAsia="zh-CN" w:bidi="ar-SA"/>
              </w:rPr>
            </w:pPr>
          </w:p>
        </w:tc>
      </w:tr>
      <w:tr w14:paraId="033F7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3DFA1F0F">
            <w:pPr>
              <w:overflowPunct w:val="0"/>
              <w:snapToGrid w:val="0"/>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4822" w:type="dxa"/>
            <w:tcBorders>
              <w:top w:val="single" w:color="auto" w:sz="4" w:space="0"/>
              <w:left w:val="single" w:color="auto" w:sz="4" w:space="0"/>
              <w:bottom w:val="single" w:color="auto" w:sz="4" w:space="0"/>
              <w:right w:val="single" w:color="auto" w:sz="4" w:space="0"/>
            </w:tcBorders>
            <w:noWrap w:val="0"/>
            <w:vAlign w:val="top"/>
          </w:tcPr>
          <w:p w14:paraId="3E0A51F9">
            <w:pPr>
              <w:overflowPunct w:val="0"/>
              <w:snapToGrid w:val="0"/>
              <w:spacing w:before="120"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r>
    </w:tbl>
    <w:p w14:paraId="648A3B83">
      <w:pPr>
        <w:snapToGrid w:val="0"/>
        <w:spacing w:line="360" w:lineRule="auto"/>
        <w:jc w:val="left"/>
        <w:rPr>
          <w:rFonts w:ascii="宋体" w:hAnsi="宋体" w:eastAsia="宋体" w:cs="Times New Roman"/>
          <w:color w:val="auto"/>
          <w:sz w:val="21"/>
          <w:szCs w:val="21"/>
          <w:highlight w:val="none"/>
        </w:rPr>
      </w:pPr>
    </w:p>
    <w:p w14:paraId="205669E2">
      <w:pPr>
        <w:keepNext w:val="0"/>
        <w:keepLines w:val="0"/>
        <w:pageBreakBefore w:val="0"/>
        <w:kinsoku/>
        <w:wordWrap/>
        <w:overflowPunct w:val="0"/>
        <w:topLinePunct w:val="0"/>
        <w:bidi w:val="0"/>
        <w:adjustRightInd/>
        <w:spacing w:line="400" w:lineRule="exact"/>
        <w:ind w:firstLine="470" w:firstLineChars="196"/>
        <w:rPr>
          <w:rFonts w:hint="eastAsia" w:ascii="宋体" w:hAnsi="宋体" w:eastAsia="宋体" w:cs="宋体"/>
          <w:color w:val="auto"/>
          <w:sz w:val="24"/>
          <w:szCs w:val="24"/>
          <w:highlight w:val="none"/>
        </w:rPr>
      </w:pPr>
    </w:p>
    <w:p w14:paraId="37A13582">
      <w:pPr>
        <w:rPr>
          <w:rFonts w:hint="eastAsia"/>
          <w:color w:val="auto"/>
          <w:highlight w:val="none"/>
        </w:rPr>
      </w:pPr>
      <w:r>
        <w:rPr>
          <w:rFonts w:hint="eastAsia" w:ascii="黑体" w:hAnsi="黑体" w:eastAsia="黑体" w:cs="Times New Roman"/>
          <w:b/>
          <w:color w:val="0000FF"/>
          <w:sz w:val="44"/>
          <w:szCs w:val="44"/>
          <w:highlight w:val="none"/>
          <w:lang w:eastAsia="zh-Hans"/>
        </w:rPr>
        <w:br w:type="page"/>
      </w:r>
      <w:bookmarkStart w:id="145" w:name="_Toc31786"/>
    </w:p>
    <w:p w14:paraId="264BC8C6">
      <w:pPr>
        <w:pStyle w:val="2"/>
        <w:jc w:val="center"/>
        <w:rPr>
          <w:rFonts w:hint="eastAsia"/>
          <w:color w:val="auto"/>
          <w:highlight w:val="none"/>
        </w:rPr>
      </w:pPr>
    </w:p>
    <w:p w14:paraId="4E302C96">
      <w:pPr>
        <w:pStyle w:val="2"/>
        <w:jc w:val="center"/>
        <w:rPr>
          <w:rFonts w:hint="eastAsia"/>
          <w:color w:val="auto"/>
          <w:highlight w:val="none"/>
        </w:rPr>
      </w:pPr>
    </w:p>
    <w:p w14:paraId="64E76689">
      <w:pPr>
        <w:pStyle w:val="2"/>
        <w:jc w:val="center"/>
        <w:rPr>
          <w:rFonts w:hint="eastAsia"/>
          <w:color w:val="auto"/>
          <w:highlight w:val="none"/>
        </w:rPr>
      </w:pPr>
    </w:p>
    <w:p w14:paraId="5DB4FB07">
      <w:pPr>
        <w:pStyle w:val="2"/>
        <w:jc w:val="center"/>
        <w:rPr>
          <w:rFonts w:hint="eastAsia"/>
          <w:color w:val="auto"/>
          <w:highlight w:val="none"/>
        </w:rPr>
      </w:pPr>
      <w:r>
        <w:rPr>
          <w:rFonts w:hint="eastAsia"/>
          <w:color w:val="auto"/>
          <w:highlight w:val="none"/>
        </w:rPr>
        <w:t>第六章　投标文件格式</w:t>
      </w:r>
      <w:bookmarkEnd w:id="145"/>
    </w:p>
    <w:p w14:paraId="3AABAE06">
      <w:pPr>
        <w:snapToGrid w:val="0"/>
        <w:spacing w:before="50" w:after="50"/>
        <w:outlineLvl w:val="1"/>
        <w:rPr>
          <w:rFonts w:hint="eastAsia" w:ascii="宋体" w:hAnsi="宋体"/>
          <w:color w:val="auto"/>
          <w:sz w:val="32"/>
          <w:szCs w:val="20"/>
          <w:highlight w:val="none"/>
        </w:rPr>
      </w:pPr>
    </w:p>
    <w:p w14:paraId="02753186">
      <w:pPr>
        <w:snapToGrid w:val="0"/>
        <w:spacing w:before="50" w:after="50"/>
        <w:outlineLvl w:val="1"/>
        <w:rPr>
          <w:rFonts w:hint="eastAsia" w:ascii="宋体" w:hAnsi="宋体"/>
          <w:color w:val="auto"/>
          <w:sz w:val="32"/>
          <w:szCs w:val="20"/>
          <w:highlight w:val="none"/>
        </w:rPr>
      </w:pPr>
    </w:p>
    <w:p w14:paraId="454C4433">
      <w:pPr>
        <w:snapToGrid w:val="0"/>
        <w:spacing w:before="50" w:after="50"/>
        <w:outlineLvl w:val="1"/>
        <w:rPr>
          <w:rFonts w:hint="eastAsia" w:ascii="宋体" w:hAnsi="宋体"/>
          <w:color w:val="auto"/>
          <w:sz w:val="32"/>
          <w:szCs w:val="20"/>
          <w:highlight w:val="none"/>
        </w:rPr>
      </w:pPr>
    </w:p>
    <w:p w14:paraId="7F6F3CD9">
      <w:pPr>
        <w:snapToGrid w:val="0"/>
        <w:spacing w:before="50" w:after="50"/>
        <w:outlineLvl w:val="1"/>
        <w:rPr>
          <w:rFonts w:hint="eastAsia" w:ascii="宋体" w:hAnsi="宋体"/>
          <w:color w:val="auto"/>
          <w:sz w:val="32"/>
          <w:szCs w:val="20"/>
          <w:highlight w:val="none"/>
        </w:rPr>
      </w:pPr>
    </w:p>
    <w:p w14:paraId="21407559">
      <w:pPr>
        <w:snapToGrid w:val="0"/>
        <w:spacing w:before="50" w:after="50"/>
        <w:outlineLvl w:val="1"/>
        <w:rPr>
          <w:rFonts w:hint="eastAsia" w:ascii="宋体" w:hAnsi="宋体"/>
          <w:color w:val="auto"/>
          <w:sz w:val="32"/>
          <w:szCs w:val="20"/>
          <w:highlight w:val="none"/>
        </w:rPr>
      </w:pPr>
    </w:p>
    <w:p w14:paraId="4636C6AD">
      <w:pPr>
        <w:snapToGrid w:val="0"/>
        <w:spacing w:before="50" w:after="50"/>
        <w:outlineLvl w:val="1"/>
        <w:rPr>
          <w:rFonts w:hint="eastAsia" w:ascii="宋体" w:hAnsi="宋体"/>
          <w:color w:val="auto"/>
          <w:sz w:val="32"/>
          <w:szCs w:val="20"/>
          <w:highlight w:val="none"/>
        </w:rPr>
      </w:pPr>
    </w:p>
    <w:p w14:paraId="0C190A7E">
      <w:pPr>
        <w:snapToGrid w:val="0"/>
        <w:spacing w:before="50" w:after="50"/>
        <w:outlineLvl w:val="1"/>
        <w:rPr>
          <w:rFonts w:hint="eastAsia" w:ascii="宋体" w:hAnsi="宋体"/>
          <w:color w:val="auto"/>
          <w:sz w:val="32"/>
          <w:szCs w:val="20"/>
          <w:highlight w:val="none"/>
        </w:rPr>
      </w:pPr>
    </w:p>
    <w:p w14:paraId="2FF96BC4">
      <w:pPr>
        <w:snapToGrid w:val="0"/>
        <w:spacing w:before="50" w:after="50"/>
        <w:outlineLvl w:val="1"/>
        <w:rPr>
          <w:rFonts w:hint="eastAsia" w:ascii="宋体" w:hAnsi="宋体"/>
          <w:color w:val="auto"/>
          <w:sz w:val="32"/>
          <w:szCs w:val="20"/>
          <w:highlight w:val="none"/>
        </w:rPr>
      </w:pPr>
    </w:p>
    <w:p w14:paraId="174F4EF2">
      <w:pPr>
        <w:snapToGrid w:val="0"/>
        <w:spacing w:before="50" w:after="50"/>
        <w:outlineLvl w:val="1"/>
        <w:rPr>
          <w:rFonts w:hint="eastAsia" w:ascii="宋体" w:hAnsi="宋体"/>
          <w:color w:val="auto"/>
          <w:sz w:val="32"/>
          <w:szCs w:val="20"/>
          <w:highlight w:val="none"/>
        </w:rPr>
      </w:pPr>
    </w:p>
    <w:p w14:paraId="33156A7E">
      <w:pPr>
        <w:snapToGrid w:val="0"/>
        <w:spacing w:before="50" w:after="50"/>
        <w:outlineLvl w:val="1"/>
        <w:rPr>
          <w:rFonts w:hint="eastAsia" w:ascii="宋体" w:hAnsi="宋体"/>
          <w:color w:val="auto"/>
          <w:sz w:val="32"/>
          <w:szCs w:val="20"/>
          <w:highlight w:val="none"/>
        </w:rPr>
      </w:pPr>
    </w:p>
    <w:p w14:paraId="5ED48EF6">
      <w:pPr>
        <w:snapToGrid w:val="0"/>
        <w:spacing w:before="50" w:after="50"/>
        <w:outlineLvl w:val="1"/>
        <w:rPr>
          <w:rFonts w:hint="eastAsia" w:ascii="宋体" w:hAnsi="宋体"/>
          <w:color w:val="auto"/>
          <w:sz w:val="32"/>
          <w:szCs w:val="20"/>
          <w:highlight w:val="none"/>
        </w:rPr>
      </w:pPr>
    </w:p>
    <w:p w14:paraId="0F16D5F8">
      <w:pPr>
        <w:snapToGrid w:val="0"/>
        <w:spacing w:before="120" w:beforeLines="50" w:after="50"/>
        <w:jc w:val="center"/>
        <w:outlineLvl w:val="1"/>
        <w:rPr>
          <w:rFonts w:hint="eastAsia" w:ascii="宋体" w:hAnsi="宋体"/>
          <w:color w:val="auto"/>
          <w:highlight w:val="none"/>
        </w:rPr>
      </w:pPr>
    </w:p>
    <w:p w14:paraId="55A17C91">
      <w:pPr>
        <w:rPr>
          <w:rFonts w:hint="eastAsia"/>
          <w:b/>
          <w:color w:val="auto"/>
          <w:sz w:val="28"/>
          <w:szCs w:val="28"/>
          <w:highlight w:val="none"/>
        </w:rPr>
      </w:pPr>
      <w:bookmarkStart w:id="146" w:name="_Toc19686836"/>
      <w:bookmarkStart w:id="147" w:name="_Toc254970698"/>
      <w:bookmarkStart w:id="148" w:name="_Toc254970557"/>
      <w:r>
        <w:rPr>
          <w:b/>
          <w:color w:val="auto"/>
          <w:sz w:val="28"/>
          <w:szCs w:val="28"/>
          <w:highlight w:val="none"/>
        </w:rPr>
        <w:br w:type="page"/>
      </w:r>
      <w:r>
        <w:rPr>
          <w:rFonts w:hint="eastAsia"/>
          <w:b/>
          <w:color w:val="auto"/>
          <w:sz w:val="28"/>
          <w:szCs w:val="28"/>
          <w:highlight w:val="none"/>
        </w:rPr>
        <w:t>一、报价文件格式</w:t>
      </w:r>
      <w:bookmarkEnd w:id="146"/>
    </w:p>
    <w:p w14:paraId="2DF43890">
      <w:pPr>
        <w:snapToGrid w:val="0"/>
        <w:spacing w:before="120" w:beforeLines="50" w:after="50" w:line="360" w:lineRule="auto"/>
        <w:ind w:left="142"/>
        <w:jc w:val="left"/>
        <w:rPr>
          <w:rFonts w:hint="eastAsia" w:ascii="宋体" w:hAnsi="宋体"/>
          <w:color w:val="auto"/>
          <w:sz w:val="24"/>
          <w:szCs w:val="20"/>
          <w:highlight w:val="none"/>
        </w:rPr>
      </w:pPr>
      <w:r>
        <w:rPr>
          <w:rFonts w:hint="eastAsia" w:ascii="宋体" w:hAnsi="宋体"/>
          <w:b/>
          <w:color w:val="auto"/>
          <w:sz w:val="24"/>
          <w:highlight w:val="none"/>
        </w:rPr>
        <w:t xml:space="preserve">1. 报价文件封面格式： </w:t>
      </w:r>
    </w:p>
    <w:p w14:paraId="511E4B00">
      <w:pPr>
        <w:snapToGrid w:val="0"/>
        <w:spacing w:before="120" w:beforeLines="50" w:after="50" w:line="400" w:lineRule="exact"/>
        <w:rPr>
          <w:rFonts w:hint="eastAsia" w:ascii="宋体" w:hAnsi="宋体"/>
          <w:bCs/>
          <w:color w:val="auto"/>
          <w:sz w:val="32"/>
          <w:szCs w:val="20"/>
          <w:highlight w:val="none"/>
        </w:rPr>
      </w:pPr>
      <w:r>
        <w:rPr>
          <w:rFonts w:hint="eastAsia" w:ascii="宋体" w:hAnsi="宋体"/>
          <w:color w:val="auto"/>
          <w:sz w:val="24"/>
          <w:highlight w:val="none"/>
        </w:rPr>
        <w:t xml:space="preserve">                                                   </w:t>
      </w:r>
    </w:p>
    <w:p w14:paraId="648B42C0">
      <w:pPr>
        <w:snapToGrid w:val="0"/>
        <w:spacing w:before="120" w:beforeLines="50" w:after="50" w:line="400" w:lineRule="exact"/>
        <w:jc w:val="center"/>
        <w:rPr>
          <w:rFonts w:hint="eastAsia" w:ascii="宋体" w:hAnsi="宋体"/>
          <w:bCs/>
          <w:color w:val="auto"/>
          <w:sz w:val="24"/>
          <w:szCs w:val="20"/>
          <w:highlight w:val="none"/>
        </w:rPr>
      </w:pPr>
    </w:p>
    <w:p w14:paraId="14E15A6E">
      <w:pPr>
        <w:snapToGrid w:val="0"/>
        <w:spacing w:before="120" w:beforeLines="50" w:after="50"/>
        <w:jc w:val="center"/>
        <w:rPr>
          <w:rFonts w:hint="eastAsia" w:ascii="仿宋" w:hAnsi="仿宋" w:eastAsia="仿宋" w:cs="仿宋"/>
          <w:color w:val="auto"/>
          <w:sz w:val="84"/>
          <w:szCs w:val="84"/>
          <w:highlight w:val="none"/>
        </w:rPr>
      </w:pPr>
      <w:r>
        <w:rPr>
          <w:rFonts w:hint="eastAsia" w:ascii="仿宋" w:hAnsi="仿宋" w:eastAsia="仿宋" w:cs="仿宋"/>
          <w:color w:val="auto"/>
          <w:sz w:val="84"/>
          <w:szCs w:val="84"/>
          <w:highlight w:val="none"/>
        </w:rPr>
        <w:t>投  标  文  件</w:t>
      </w:r>
    </w:p>
    <w:p w14:paraId="366388C6">
      <w:pPr>
        <w:snapToGrid w:val="0"/>
        <w:spacing w:before="120" w:beforeLines="50" w:after="50" w:line="400" w:lineRule="exact"/>
        <w:jc w:val="center"/>
        <w:rPr>
          <w:rFonts w:hint="eastAsia" w:ascii="宋体" w:hAnsi="宋体"/>
          <w:bCs/>
          <w:color w:val="auto"/>
          <w:sz w:val="32"/>
          <w:szCs w:val="32"/>
          <w:highlight w:val="none"/>
        </w:rPr>
      </w:pPr>
    </w:p>
    <w:p w14:paraId="23804B99">
      <w:pPr>
        <w:snapToGrid w:val="0"/>
        <w:spacing w:before="120" w:beforeLines="50" w:after="50" w:line="40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报  价  文  件</w:t>
      </w:r>
    </w:p>
    <w:p w14:paraId="75BC9BB3">
      <w:pPr>
        <w:snapToGrid w:val="0"/>
        <w:spacing w:before="120" w:beforeLines="50" w:after="50" w:line="400" w:lineRule="exact"/>
        <w:rPr>
          <w:rFonts w:hint="eastAsia" w:ascii="宋体" w:hAnsi="宋体"/>
          <w:bCs/>
          <w:color w:val="auto"/>
          <w:sz w:val="24"/>
          <w:szCs w:val="20"/>
          <w:highlight w:val="none"/>
        </w:rPr>
      </w:pPr>
    </w:p>
    <w:p w14:paraId="4279B2F9">
      <w:pPr>
        <w:snapToGrid w:val="0"/>
        <w:spacing w:before="120" w:beforeLines="50" w:after="50" w:line="400" w:lineRule="exact"/>
        <w:rPr>
          <w:rFonts w:hint="eastAsia" w:ascii="宋体" w:hAnsi="宋体"/>
          <w:bCs/>
          <w:color w:val="auto"/>
          <w:sz w:val="24"/>
          <w:szCs w:val="20"/>
          <w:highlight w:val="none"/>
        </w:rPr>
      </w:pPr>
    </w:p>
    <w:p w14:paraId="17250D4E">
      <w:pPr>
        <w:snapToGrid w:val="0"/>
        <w:spacing w:before="120" w:beforeLines="50" w:after="50" w:line="400" w:lineRule="exact"/>
        <w:rPr>
          <w:rFonts w:hint="eastAsia" w:ascii="宋体" w:hAnsi="宋体"/>
          <w:bCs/>
          <w:color w:val="auto"/>
          <w:sz w:val="24"/>
          <w:szCs w:val="20"/>
          <w:highlight w:val="none"/>
        </w:rPr>
      </w:pPr>
    </w:p>
    <w:p w14:paraId="2A0C4D92">
      <w:pPr>
        <w:snapToGrid w:val="0"/>
        <w:spacing w:before="120" w:beforeLines="50" w:after="50" w:line="400" w:lineRule="exact"/>
        <w:rPr>
          <w:rFonts w:hint="eastAsia" w:ascii="宋体" w:hAnsi="宋体"/>
          <w:bCs/>
          <w:color w:val="auto"/>
          <w:sz w:val="24"/>
          <w:szCs w:val="20"/>
          <w:highlight w:val="none"/>
        </w:rPr>
      </w:pPr>
    </w:p>
    <w:p w14:paraId="23E81C85">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项目名称： </w:t>
      </w:r>
    </w:p>
    <w:p w14:paraId="684EA4D7">
      <w:pPr>
        <w:snapToGrid w:val="0"/>
        <w:spacing w:before="120" w:beforeLines="50" w:after="50" w:line="400" w:lineRule="exact"/>
        <w:ind w:firstLine="360" w:firstLineChars="150"/>
        <w:rPr>
          <w:rFonts w:hint="eastAsia" w:ascii="宋体" w:hAnsi="宋体"/>
          <w:bCs/>
          <w:color w:val="auto"/>
          <w:sz w:val="24"/>
          <w:highlight w:val="none"/>
        </w:rPr>
      </w:pPr>
    </w:p>
    <w:p w14:paraId="344CF7BE">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项目编号： </w:t>
      </w:r>
    </w:p>
    <w:p w14:paraId="3CE9DD09">
      <w:pPr>
        <w:snapToGrid w:val="0"/>
        <w:spacing w:before="120" w:beforeLines="50" w:after="50" w:line="400" w:lineRule="exact"/>
        <w:ind w:firstLine="360" w:firstLineChars="150"/>
        <w:rPr>
          <w:rFonts w:hint="eastAsia" w:ascii="宋体" w:hAnsi="宋体"/>
          <w:bCs/>
          <w:color w:val="auto"/>
          <w:sz w:val="24"/>
          <w:highlight w:val="none"/>
        </w:rPr>
      </w:pPr>
    </w:p>
    <w:p w14:paraId="72579CC2">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所投分标：</w:t>
      </w:r>
    </w:p>
    <w:p w14:paraId="3ADE5C6E">
      <w:pPr>
        <w:snapToGrid w:val="0"/>
        <w:spacing w:before="120" w:beforeLines="50" w:after="50" w:line="400" w:lineRule="exact"/>
        <w:ind w:firstLine="360" w:firstLineChars="150"/>
        <w:rPr>
          <w:rFonts w:hint="eastAsia" w:ascii="宋体" w:hAnsi="宋体"/>
          <w:bCs/>
          <w:color w:val="auto"/>
          <w:sz w:val="24"/>
          <w:highlight w:val="none"/>
        </w:rPr>
      </w:pPr>
    </w:p>
    <w:p w14:paraId="2DC2428A">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投标人名称：</w:t>
      </w:r>
    </w:p>
    <w:p w14:paraId="0A657502">
      <w:pPr>
        <w:snapToGrid w:val="0"/>
        <w:spacing w:before="120" w:beforeLines="50" w:after="50" w:line="400" w:lineRule="exact"/>
        <w:ind w:firstLine="360" w:firstLineChars="150"/>
        <w:rPr>
          <w:rFonts w:hint="eastAsia" w:ascii="宋体" w:hAnsi="宋体"/>
          <w:bCs/>
          <w:color w:val="auto"/>
          <w:sz w:val="24"/>
          <w:highlight w:val="none"/>
        </w:rPr>
      </w:pPr>
    </w:p>
    <w:p w14:paraId="1CA30A96">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7DC114DF">
      <w:pPr>
        <w:pStyle w:val="8"/>
        <w:snapToGrid w:val="0"/>
        <w:spacing w:before="50" w:after="50" w:line="400" w:lineRule="exact"/>
        <w:ind w:firstLine="960" w:firstLineChars="400"/>
        <w:rPr>
          <w:rFonts w:hint="eastAsia" w:ascii="宋体" w:hAnsi="宋体"/>
          <w:bCs/>
          <w:color w:val="auto"/>
          <w:sz w:val="24"/>
          <w:szCs w:val="24"/>
          <w:highlight w:val="none"/>
        </w:rPr>
      </w:pPr>
    </w:p>
    <w:p w14:paraId="276A0A8B">
      <w:pPr>
        <w:snapToGrid w:val="0"/>
        <w:spacing w:before="120" w:beforeLines="50" w:after="50" w:line="400" w:lineRule="exact"/>
        <w:rPr>
          <w:rFonts w:hint="eastAsia" w:ascii="宋体" w:hAnsi="宋体"/>
          <w:color w:val="auto"/>
          <w:sz w:val="30"/>
          <w:szCs w:val="20"/>
          <w:highlight w:val="none"/>
        </w:rPr>
      </w:pPr>
      <w:r>
        <w:rPr>
          <w:rFonts w:hint="eastAsia" w:ascii="宋体" w:hAnsi="宋体"/>
          <w:color w:val="auto"/>
          <w:sz w:val="24"/>
          <w:highlight w:val="none"/>
        </w:rPr>
        <w:t xml:space="preserve">                                   年  月  日</w:t>
      </w:r>
    </w:p>
    <w:p w14:paraId="32884B5B">
      <w:pPr>
        <w:snapToGrid w:val="0"/>
        <w:spacing w:before="120" w:beforeLines="50" w:after="50" w:line="360" w:lineRule="auto"/>
        <w:jc w:val="left"/>
        <w:rPr>
          <w:rFonts w:hint="eastAsia" w:ascii="宋体" w:hAnsi="宋体"/>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2.</w:t>
      </w:r>
      <w:r>
        <w:rPr>
          <w:rFonts w:hint="eastAsia" w:ascii="宋体" w:hAnsi="宋体"/>
          <w:b/>
          <w:bCs/>
          <w:color w:val="auto"/>
          <w:sz w:val="24"/>
          <w:highlight w:val="none"/>
        </w:rPr>
        <w:t>报价文件目录</w:t>
      </w:r>
    </w:p>
    <w:p w14:paraId="22CF4394">
      <w:pPr>
        <w:snapToGrid w:val="0"/>
        <w:spacing w:before="50" w:after="120" w:afterLines="50" w:line="360" w:lineRule="auto"/>
        <w:jc w:val="left"/>
        <w:rPr>
          <w:color w:val="auto"/>
          <w:highlight w:val="none"/>
        </w:rPr>
      </w:pPr>
      <w:r>
        <w:rPr>
          <w:rFonts w:hint="eastAsia" w:ascii="宋体" w:hAnsi="宋体"/>
          <w:color w:val="auto"/>
          <w:szCs w:val="21"/>
          <w:highlight w:val="none"/>
        </w:rPr>
        <w:t>根据招标文件规定及投标人提供的材料自行编写目录。</w:t>
      </w:r>
    </w:p>
    <w:p w14:paraId="5AFEE3F1">
      <w:pPr>
        <w:tabs>
          <w:tab w:val="left" w:pos="459"/>
        </w:tabs>
        <w:snapToGrid w:val="0"/>
        <w:spacing w:line="400" w:lineRule="exact"/>
        <w:jc w:val="left"/>
        <w:rPr>
          <w:rFonts w:hint="eastAsia" w:ascii="宋体" w:hAnsi="宋体" w:eastAsia="宋体"/>
          <w:color w:val="auto"/>
          <w:szCs w:val="21"/>
          <w:highlight w:val="none"/>
          <w:lang w:val="en-US" w:eastAsia="zh-CN"/>
        </w:rPr>
      </w:pPr>
      <w:r>
        <w:rPr>
          <w:rFonts w:hint="eastAsia" w:ascii="宋体" w:hAnsi="宋体"/>
          <w:color w:val="auto"/>
          <w:szCs w:val="21"/>
          <w:highlight w:val="none"/>
        </w:rPr>
        <w:t>1、投标函</w:t>
      </w:r>
      <w:r>
        <w:rPr>
          <w:rFonts w:hint="default" w:ascii="Arial" w:hAnsi="Arial" w:cs="Arial"/>
          <w:color w:val="auto"/>
          <w:szCs w:val="21"/>
          <w:highlight w:val="none"/>
        </w:rPr>
        <w:t>………………………………………</w:t>
      </w:r>
      <w:r>
        <w:rPr>
          <w:rFonts w:hint="eastAsia" w:ascii="Arial" w:hAnsi="Arial" w:cs="Arial"/>
          <w:color w:val="auto"/>
          <w:szCs w:val="21"/>
          <w:highlight w:val="none"/>
          <w:lang w:val="en-US" w:eastAsia="zh-CN"/>
        </w:rPr>
        <w:t>页码</w:t>
      </w:r>
    </w:p>
    <w:p w14:paraId="13896FF5">
      <w:pPr>
        <w:tabs>
          <w:tab w:val="left" w:pos="459"/>
        </w:tabs>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2、开标一览表</w:t>
      </w:r>
      <w:r>
        <w:rPr>
          <w:rFonts w:hint="default" w:ascii="Arial" w:hAnsi="Arial" w:cs="Arial"/>
          <w:color w:val="auto"/>
          <w:szCs w:val="21"/>
          <w:highlight w:val="none"/>
        </w:rPr>
        <w:t>…………………………………</w:t>
      </w:r>
      <w:r>
        <w:rPr>
          <w:rFonts w:hint="eastAsia" w:ascii="Arial" w:hAnsi="Arial" w:cs="Arial"/>
          <w:color w:val="auto"/>
          <w:szCs w:val="21"/>
          <w:highlight w:val="none"/>
          <w:lang w:val="en-US" w:eastAsia="zh-CN"/>
        </w:rPr>
        <w:t>页码</w:t>
      </w:r>
    </w:p>
    <w:p w14:paraId="00804F7E">
      <w:pPr>
        <w:tabs>
          <w:tab w:val="left" w:pos="459"/>
        </w:tabs>
        <w:snapToGrid w:val="0"/>
        <w:spacing w:line="400" w:lineRule="exact"/>
        <w:jc w:val="left"/>
        <w:rPr>
          <w:rFonts w:hint="eastAsia" w:ascii="宋体" w:hAnsi="宋体"/>
          <w:color w:val="auto"/>
          <w:szCs w:val="21"/>
          <w:highlight w:val="none"/>
          <w:lang w:val="en-US" w:eastAsia="zh-CN"/>
        </w:rPr>
      </w:pPr>
      <w:r>
        <w:rPr>
          <w:rFonts w:hint="eastAsia" w:ascii="宋体" w:hAnsi="宋体"/>
          <w:color w:val="auto"/>
          <w:szCs w:val="21"/>
          <w:highlight w:val="none"/>
        </w:rPr>
        <w:t>3、中小企业声明函</w:t>
      </w:r>
      <w:r>
        <w:rPr>
          <w:rFonts w:hint="default" w:ascii="宋体" w:hAnsi="宋体"/>
          <w:color w:val="auto"/>
          <w:szCs w:val="21"/>
          <w:highlight w:val="none"/>
        </w:rPr>
        <w:t>……………………………</w:t>
      </w:r>
      <w:r>
        <w:rPr>
          <w:rFonts w:hint="eastAsia" w:ascii="宋体" w:hAnsi="宋体"/>
          <w:color w:val="auto"/>
          <w:szCs w:val="21"/>
          <w:highlight w:val="none"/>
          <w:lang w:val="en-US" w:eastAsia="zh-CN"/>
        </w:rPr>
        <w:t>页码</w:t>
      </w:r>
    </w:p>
    <w:p w14:paraId="513B71EC">
      <w:pPr>
        <w:tabs>
          <w:tab w:val="left" w:pos="459"/>
        </w:tabs>
        <w:snapToGrid w:val="0"/>
        <w:spacing w:line="400" w:lineRule="exact"/>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4、关于符合本国产品标准的声明函</w:t>
      </w:r>
      <w:r>
        <w:rPr>
          <w:rFonts w:hint="default" w:ascii="宋体" w:hAnsi="宋体"/>
          <w:color w:val="auto"/>
          <w:szCs w:val="21"/>
          <w:highlight w:val="none"/>
        </w:rPr>
        <w:t>…………</w:t>
      </w:r>
      <w:r>
        <w:rPr>
          <w:rFonts w:hint="eastAsia" w:ascii="宋体" w:hAnsi="宋体"/>
          <w:color w:val="auto"/>
          <w:szCs w:val="21"/>
          <w:highlight w:val="none"/>
          <w:lang w:val="en-US" w:eastAsia="zh-CN"/>
        </w:rPr>
        <w:t>页码</w:t>
      </w:r>
    </w:p>
    <w:p w14:paraId="7B2C4D47">
      <w:pPr>
        <w:tabs>
          <w:tab w:val="left" w:pos="459"/>
        </w:tabs>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、投标人针对报价需要说明的其他文件和说明</w:t>
      </w:r>
      <w:r>
        <w:rPr>
          <w:rFonts w:hint="default" w:ascii="宋体" w:hAnsi="宋体"/>
          <w:color w:val="auto"/>
          <w:szCs w:val="21"/>
          <w:highlight w:val="none"/>
        </w:rPr>
        <w:t>…………………………</w:t>
      </w:r>
      <w:r>
        <w:rPr>
          <w:rFonts w:hint="eastAsia" w:ascii="宋体" w:hAnsi="宋体"/>
          <w:color w:val="auto"/>
          <w:szCs w:val="21"/>
          <w:highlight w:val="none"/>
          <w:lang w:val="en-US" w:eastAsia="zh-CN"/>
        </w:rPr>
        <w:t>页码</w:t>
      </w:r>
    </w:p>
    <w:p w14:paraId="71890BD4">
      <w:pPr>
        <w:snapToGrid w:val="0"/>
        <w:spacing w:before="50" w:after="120" w:afterLines="50" w:line="360" w:lineRule="auto"/>
        <w:jc w:val="left"/>
        <w:rPr>
          <w:color w:val="auto"/>
          <w:highlight w:val="none"/>
        </w:rPr>
      </w:pPr>
    </w:p>
    <w:p w14:paraId="06103378">
      <w:pPr>
        <w:snapToGrid w:val="0"/>
        <w:spacing w:before="120" w:beforeLines="50" w:after="50"/>
        <w:rPr>
          <w:rFonts w:hint="eastAsia" w:ascii="宋体" w:hAnsi="宋体"/>
          <w:b/>
          <w:color w:val="auto"/>
          <w:sz w:val="24"/>
          <w:highlight w:val="none"/>
        </w:rPr>
      </w:pPr>
    </w:p>
    <w:p w14:paraId="72442EB7">
      <w:pPr>
        <w:snapToGrid w:val="0"/>
        <w:spacing w:before="120" w:beforeLines="50" w:after="50"/>
        <w:rPr>
          <w:rFonts w:hint="eastAsia" w:ascii="宋体" w:hAnsi="宋体"/>
          <w:b/>
          <w:color w:val="auto"/>
          <w:sz w:val="24"/>
          <w:highlight w:val="none"/>
        </w:rPr>
      </w:pPr>
    </w:p>
    <w:p w14:paraId="731C2FB0">
      <w:pPr>
        <w:snapToGrid w:val="0"/>
        <w:spacing w:before="120" w:beforeLines="50" w:after="50"/>
        <w:rPr>
          <w:rFonts w:hint="eastAsia" w:ascii="宋体" w:hAnsi="宋体"/>
          <w:b/>
          <w:color w:val="auto"/>
          <w:sz w:val="24"/>
          <w:highlight w:val="none"/>
        </w:rPr>
      </w:pPr>
    </w:p>
    <w:p w14:paraId="201F5F34">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 投标函格式：</w:t>
      </w:r>
    </w:p>
    <w:p w14:paraId="26193393">
      <w:pPr>
        <w:snapToGrid w:val="0"/>
        <w:spacing w:before="120" w:beforeLines="50" w:after="50" w:line="360" w:lineRule="auto"/>
        <w:jc w:val="center"/>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投 标 函</w:t>
      </w:r>
    </w:p>
    <w:p w14:paraId="28E0145E">
      <w:pPr>
        <w:spacing w:line="400" w:lineRule="exact"/>
        <w:contextualSpacing/>
        <w:rPr>
          <w:rFonts w:hint="eastAsia"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采购人名称</w:t>
      </w:r>
    </w:p>
    <w:p w14:paraId="52D7C5CA">
      <w:pPr>
        <w:spacing w:line="400" w:lineRule="exact"/>
        <w:ind w:firstLine="480"/>
        <w:contextualSpacing/>
        <w:rPr>
          <w:rFonts w:hint="eastAsia" w:ascii="宋体" w:hAnsi="宋体"/>
          <w:color w:val="auto"/>
          <w:sz w:val="24"/>
          <w:highlight w:val="none"/>
        </w:rPr>
      </w:pPr>
      <w:r>
        <w:rPr>
          <w:rFonts w:hint="eastAsia" w:ascii="宋体" w:hAnsi="宋体"/>
          <w:color w:val="auto"/>
          <w:sz w:val="24"/>
          <w:highlight w:val="none"/>
        </w:rPr>
        <w:t>根据贵方</w:t>
      </w:r>
      <w:r>
        <w:rPr>
          <w:rFonts w:hint="eastAsia" w:ascii="宋体" w:hAnsi="宋体"/>
          <w:color w:val="auto"/>
          <w:sz w:val="24"/>
          <w:highlight w:val="none"/>
          <w:u w:val="single"/>
        </w:rPr>
        <w:t xml:space="preserve"> 项目名称</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）的招标公告，签字代表______</w:t>
      </w:r>
      <w:r>
        <w:rPr>
          <w:rFonts w:hint="eastAsia" w:ascii="宋体" w:hAnsi="宋体"/>
          <w:color w:val="auto"/>
          <w:sz w:val="24"/>
          <w:highlight w:val="none"/>
          <w:u w:val="single"/>
        </w:rPr>
        <w:t xml:space="preserve">     </w:t>
      </w:r>
      <w:r>
        <w:rPr>
          <w:rFonts w:hint="eastAsia" w:ascii="宋体" w:hAnsi="宋体"/>
          <w:color w:val="auto"/>
          <w:sz w:val="24"/>
          <w:highlight w:val="none"/>
        </w:rPr>
        <w:t>（姓名）经正式授权并代表投标人</w:t>
      </w:r>
      <w:r>
        <w:rPr>
          <w:rFonts w:hint="eastAsia" w:ascii="宋体" w:hAnsi="宋体"/>
          <w:color w:val="auto"/>
          <w:sz w:val="24"/>
          <w:highlight w:val="none"/>
          <w:u w:val="single"/>
        </w:rPr>
        <w:t xml:space="preserve">                 </w:t>
      </w:r>
      <w:r>
        <w:rPr>
          <w:rFonts w:hint="eastAsia" w:ascii="宋体" w:hAnsi="宋体"/>
          <w:color w:val="auto"/>
          <w:sz w:val="24"/>
          <w:highlight w:val="none"/>
        </w:rPr>
        <w:t>（投标人名称）提交投标文件。</w:t>
      </w:r>
    </w:p>
    <w:p w14:paraId="7F5AE6B6">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据此函，我方宣布同意如下：</w:t>
      </w:r>
    </w:p>
    <w:p w14:paraId="31938F05">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24EC598D">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2.我方在投标之前已经完全理解并接受招标文件的各项规定和要求，对招标文件的合理性、合法性不再有异议。</w:t>
      </w:r>
    </w:p>
    <w:p w14:paraId="19531326">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3.本投标有效期自投标截止之日起</w:t>
      </w:r>
      <w:r>
        <w:rPr>
          <w:rFonts w:ascii="宋体" w:hAnsi="宋体"/>
          <w:color w:val="auto"/>
          <w:sz w:val="24"/>
          <w:highlight w:val="none"/>
          <w:u w:val="single"/>
        </w:rPr>
        <w:t xml:space="preserve">    </w:t>
      </w:r>
      <w:r>
        <w:rPr>
          <w:rFonts w:hint="eastAsia" w:ascii="宋体" w:hAnsi="宋体"/>
          <w:color w:val="auto"/>
          <w:sz w:val="24"/>
          <w:highlight w:val="none"/>
        </w:rPr>
        <w:t>日。</w:t>
      </w:r>
    </w:p>
    <w:p w14:paraId="2CAF99A9">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4.如中标，本投标文件至本项目合同履行完毕止均保持有效，我方将按“招标文件”及政府采购法律、法规的规定履行合同责任和义务。</w:t>
      </w:r>
    </w:p>
    <w:p w14:paraId="03B1D593">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5.我方同意按照贵方要求提供与投标有关的一切数据或者资料。</w:t>
      </w:r>
    </w:p>
    <w:p w14:paraId="6FB064F5">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6.我方向贵方提交的所有投标文件、资料都是准确的和真实的。</w:t>
      </w:r>
    </w:p>
    <w:p w14:paraId="4A17A384">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7.以上事项如有虚假或者隐瞒，我方愿意承担一切后果，并不再寻求任何旨在减轻或者免除法律责任的辩解。</w:t>
      </w:r>
    </w:p>
    <w:p w14:paraId="5C386D63">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8.根据</w:t>
      </w:r>
      <w:r>
        <w:rPr>
          <w:rFonts w:ascii="宋体" w:hAnsi="宋体"/>
          <w:color w:val="auto"/>
          <w:sz w:val="24"/>
          <w:highlight w:val="none"/>
        </w:rPr>
        <w:t>《中华人民共和国政府采购法实施条例》第五十条要求对政府采购合同进行公告</w:t>
      </w:r>
      <w:r>
        <w:rPr>
          <w:rFonts w:hint="eastAsia" w:ascii="宋体" w:hAnsi="宋体"/>
          <w:color w:val="auto"/>
          <w:sz w:val="24"/>
          <w:highlight w:val="none"/>
        </w:rPr>
        <w:t>，</w:t>
      </w:r>
      <w:r>
        <w:rPr>
          <w:rFonts w:ascii="宋体" w:hAnsi="宋体"/>
          <w:color w:val="auto"/>
          <w:sz w:val="24"/>
          <w:highlight w:val="none"/>
        </w:rPr>
        <w:t>但政府采购合同中涉及国家秘密、商业秘密的内容除外。</w:t>
      </w:r>
      <w:r>
        <w:rPr>
          <w:rFonts w:hint="eastAsia" w:ascii="宋体" w:hAnsi="宋体"/>
          <w:color w:val="auto"/>
          <w:sz w:val="24"/>
          <w:highlight w:val="none"/>
        </w:rPr>
        <w:t>我方就对本次投标文件进行注明如下：（两项内容中必须选择一项）</w:t>
      </w:r>
    </w:p>
    <w:p w14:paraId="1B5AF21B">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内容中</w:t>
      </w:r>
      <w:r>
        <w:rPr>
          <w:rFonts w:hint="eastAsia" w:ascii="宋体" w:hAnsi="宋体"/>
          <w:color w:val="auto"/>
          <w:sz w:val="24"/>
          <w:highlight w:val="none"/>
        </w:rPr>
        <w:t>未</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w:t>
      </w:r>
    </w:p>
    <w:p w14:paraId="40C99DFA">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的</w:t>
      </w:r>
      <w:r>
        <w:rPr>
          <w:rFonts w:ascii="宋体" w:hAnsi="宋体" w:cs="宋体"/>
          <w:color w:val="auto"/>
          <w:kern w:val="0"/>
          <w:sz w:val="24"/>
          <w:highlight w:val="none"/>
        </w:rPr>
        <w:t>内容</w:t>
      </w:r>
      <w:r>
        <w:rPr>
          <w:rFonts w:hint="eastAsia" w:ascii="宋体" w:hAnsi="宋体" w:cs="宋体"/>
          <w:color w:val="auto"/>
          <w:kern w:val="0"/>
          <w:sz w:val="24"/>
          <w:highlight w:val="none"/>
        </w:rPr>
        <w:t>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2F02CAA8">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9.与本投标有关的一切正式往来信函请寄：</w:t>
      </w:r>
    </w:p>
    <w:p w14:paraId="20D3E71A">
      <w:pPr>
        <w:spacing w:line="400" w:lineRule="exact"/>
        <w:ind w:firstLine="480" w:firstLineChars="200"/>
        <w:contextualSpacing/>
        <w:rPr>
          <w:rFonts w:hint="eastAsia" w:ascii="宋体" w:hAns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highlight w:val="none"/>
          <w:u w:val="single"/>
        </w:rPr>
        <w:t xml:space="preserve">          </w:t>
      </w:r>
      <w:r>
        <w:rPr>
          <w:rFonts w:hint="eastAsia" w:ascii="宋体" w:hAnsi="宋体"/>
          <w:color w:val="auto"/>
          <w:sz w:val="24"/>
          <w:highlight w:val="none"/>
        </w:rPr>
        <w:t>邮编：</w:t>
      </w:r>
      <w:r>
        <w:rPr>
          <w:rFonts w:hint="eastAsia" w:ascii="宋体" w:hAnsi="宋体"/>
          <w:color w:val="auto"/>
          <w:sz w:val="24"/>
          <w:highlight w:val="none"/>
          <w:u w:val="single"/>
        </w:rPr>
        <w:t xml:space="preserve">            </w:t>
      </w:r>
    </w:p>
    <w:p w14:paraId="4FEC9A94">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电话：</w:t>
      </w:r>
      <w:r>
        <w:rPr>
          <w:rFonts w:hint="eastAsia" w:ascii="宋体" w:hAnsi="宋体"/>
          <w:color w:val="auto"/>
          <w:sz w:val="24"/>
          <w:highlight w:val="none"/>
          <w:u w:val="single"/>
        </w:rPr>
        <w:t xml:space="preserve">        </w:t>
      </w:r>
      <w:r>
        <w:rPr>
          <w:rFonts w:hint="eastAsia" w:ascii="宋体" w:hAnsi="宋体"/>
          <w:color w:val="auto"/>
          <w:sz w:val="24"/>
          <w:highlight w:val="none"/>
        </w:rPr>
        <w:t>传真：</w:t>
      </w:r>
      <w:r>
        <w:rPr>
          <w:rFonts w:hint="eastAsia" w:ascii="宋体" w:hAnsi="宋体"/>
          <w:color w:val="auto"/>
          <w:sz w:val="24"/>
          <w:highlight w:val="none"/>
          <w:u w:val="single"/>
        </w:rPr>
        <w:t xml:space="preserve">          </w:t>
      </w:r>
    </w:p>
    <w:p w14:paraId="34481F08">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lang w:eastAsia="zh-CN"/>
        </w:rPr>
        <w:t>：</w:t>
      </w:r>
      <w:r>
        <w:rPr>
          <w:rFonts w:hint="eastAsia" w:ascii="宋体" w:hAnsi="宋体"/>
          <w:color w:val="auto"/>
          <w:sz w:val="24"/>
          <w:highlight w:val="none"/>
          <w:u w:val="single"/>
        </w:rPr>
        <w:t xml:space="preserve">                </w:t>
      </w:r>
    </w:p>
    <w:p w14:paraId="20C63452">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开户银行：</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银行账号：</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341AD70B">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法定代表人或者委托代理人签字</w:t>
      </w:r>
      <w:r>
        <w:rPr>
          <w:rFonts w:hint="eastAsia" w:ascii="宋体" w:hAnsi="宋体"/>
          <w:color w:val="auto"/>
          <w:sz w:val="24"/>
          <w:highlight w:val="none"/>
          <w:lang w:eastAsia="zh-CN"/>
        </w:rPr>
        <w:t>：</w:t>
      </w:r>
      <w:r>
        <w:rPr>
          <w:rFonts w:hint="eastAsia" w:ascii="宋体" w:hAnsi="宋体"/>
          <w:color w:val="auto"/>
          <w:sz w:val="24"/>
          <w:highlight w:val="none"/>
        </w:rPr>
        <w:t xml:space="preserve">___________ </w:t>
      </w:r>
    </w:p>
    <w:p w14:paraId="0277261A">
      <w:pPr>
        <w:pStyle w:val="27"/>
        <w:spacing w:line="400" w:lineRule="exact"/>
        <w:contextualSpacing/>
        <w:jc w:val="center"/>
        <w:rPr>
          <w:rFonts w:hint="eastAsia" w:hAnsi="宋体"/>
          <w:color w:val="auto"/>
          <w:sz w:val="24"/>
          <w:szCs w:val="24"/>
          <w:highlight w:val="none"/>
          <w:u w:val="single"/>
        </w:rPr>
      </w:pPr>
      <w:r>
        <w:rPr>
          <w:rFonts w:hint="eastAsia" w:hAnsi="宋体"/>
          <w:color w:val="auto"/>
          <w:sz w:val="24"/>
          <w:highlight w:val="none"/>
        </w:rPr>
        <w:t xml:space="preserve"> </w:t>
      </w:r>
      <w:r>
        <w:rPr>
          <w:rFonts w:hAnsi="宋体"/>
          <w:color w:val="auto"/>
          <w:sz w:val="24"/>
          <w:highlight w:val="none"/>
        </w:rPr>
        <w:t xml:space="preserve">                                   </w:t>
      </w:r>
      <w:r>
        <w:rPr>
          <w:rFonts w:hint="eastAsia" w:hAnsi="宋体"/>
          <w:color w:val="auto"/>
          <w:sz w:val="24"/>
          <w:highlight w:val="none"/>
        </w:rPr>
        <w:t>投标人（盖公章）：</w:t>
      </w:r>
    </w:p>
    <w:p w14:paraId="2FAEEC9B">
      <w:pPr>
        <w:pStyle w:val="27"/>
        <w:spacing w:line="400" w:lineRule="exact"/>
        <w:contextualSpacing/>
        <w:rPr>
          <w:rFonts w:hint="eastAsia" w:hAnsi="宋体"/>
          <w:color w:val="auto"/>
          <w:sz w:val="24"/>
          <w:highlight w:val="none"/>
        </w:rPr>
      </w:pPr>
      <w:r>
        <w:rPr>
          <w:rFonts w:hint="eastAsia" w:hAnsi="宋体"/>
          <w:color w:val="auto"/>
          <w:sz w:val="24"/>
          <w:szCs w:val="24"/>
          <w:highlight w:val="none"/>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p>
    <w:p w14:paraId="68870733">
      <w:pPr>
        <w:snapToGrid w:val="0"/>
        <w:spacing w:before="120" w:beforeLines="50" w:after="50" w:line="440" w:lineRule="exact"/>
        <w:jc w:val="left"/>
        <w:rPr>
          <w:rFonts w:hint="eastAsia" w:ascii="宋体" w:hAnsi="宋体"/>
          <w:b/>
          <w:color w:val="auto"/>
          <w:sz w:val="24"/>
          <w:szCs w:val="20"/>
          <w:highlight w:val="none"/>
        </w:rPr>
      </w:pPr>
      <w:r>
        <w:rPr>
          <w:rFonts w:hAnsi="宋体"/>
          <w:color w:val="auto"/>
          <w:highlight w:val="none"/>
          <w:u w:val="single"/>
        </w:rPr>
        <w:br w:type="page"/>
      </w:r>
      <w:r>
        <w:rPr>
          <w:rFonts w:hint="eastAsia" w:ascii="宋体" w:hAnsi="宋体"/>
          <w:b/>
          <w:color w:val="auto"/>
          <w:sz w:val="24"/>
          <w:highlight w:val="none"/>
        </w:rPr>
        <w:t>4. 开标一览表（服务类格式）</w:t>
      </w:r>
    </w:p>
    <w:p w14:paraId="14CD62E6">
      <w:pPr>
        <w:snapToGrid w:val="0"/>
        <w:spacing w:before="50" w:after="50"/>
        <w:jc w:val="center"/>
        <w:rPr>
          <w:rFonts w:hint="eastAsia" w:ascii="宋体" w:hAnsi="宋体"/>
          <w:b/>
          <w:color w:val="auto"/>
          <w:sz w:val="30"/>
          <w:highlight w:val="none"/>
        </w:rPr>
      </w:pPr>
      <w:r>
        <w:rPr>
          <w:rFonts w:hint="eastAsia" w:ascii="宋体" w:hAnsi="宋体"/>
          <w:b/>
          <w:color w:val="auto"/>
          <w:sz w:val="30"/>
          <w:highlight w:val="none"/>
        </w:rPr>
        <w:t>开标一览表</w:t>
      </w:r>
    </w:p>
    <w:p w14:paraId="63FA9E02">
      <w:pPr>
        <w:snapToGrid w:val="0"/>
        <w:spacing w:before="50" w:after="50"/>
        <w:jc w:val="center"/>
        <w:rPr>
          <w:rFonts w:hint="eastAsia" w:ascii="宋体" w:hAnsi="宋体"/>
          <w:b/>
          <w:color w:val="auto"/>
          <w:sz w:val="30"/>
          <w:szCs w:val="20"/>
          <w:highlight w:val="none"/>
        </w:rPr>
      </w:pPr>
    </w:p>
    <w:p w14:paraId="21B21344">
      <w:pPr>
        <w:keepNext w:val="0"/>
        <w:keepLines w:val="0"/>
        <w:pageBreakBefore w:val="0"/>
        <w:widowControl w:val="0"/>
        <w:kinsoku/>
        <w:wordWrap/>
        <w:overflowPunct/>
        <w:topLinePunct w:val="0"/>
        <w:autoSpaceDE/>
        <w:autoSpaceDN/>
        <w:bidi w:val="0"/>
        <w:adjustRightInd/>
        <w:snapToGrid w:val="0"/>
        <w:spacing w:before="50" w:after="50" w:line="240" w:lineRule="auto"/>
        <w:textAlignment w:val="auto"/>
        <w:rPr>
          <w:rFonts w:hint="eastAsia"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分标：</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p>
    <w:p w14:paraId="52350F08">
      <w:pPr>
        <w:keepNext w:val="0"/>
        <w:keepLines w:val="0"/>
        <w:pageBreakBefore w:val="0"/>
        <w:widowControl w:val="0"/>
        <w:kinsoku/>
        <w:wordWrap/>
        <w:overflowPunct/>
        <w:topLinePunct w:val="0"/>
        <w:autoSpaceDE/>
        <w:autoSpaceDN/>
        <w:bidi w:val="0"/>
        <w:adjustRightInd/>
        <w:snapToGrid w:val="0"/>
        <w:spacing w:before="50" w:after="50" w:line="240" w:lineRule="auto"/>
        <w:textAlignment w:val="auto"/>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tbl>
      <w:tblPr>
        <w:tblStyle w:val="49"/>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3457"/>
        <w:gridCol w:w="1767"/>
        <w:gridCol w:w="1511"/>
        <w:gridCol w:w="1697"/>
      </w:tblGrid>
      <w:tr w14:paraId="768F2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41FC8619">
            <w:pPr>
              <w:spacing w:line="312"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序号</w:t>
            </w:r>
          </w:p>
        </w:tc>
        <w:tc>
          <w:tcPr>
            <w:tcW w:w="3457" w:type="dxa"/>
            <w:vAlign w:val="center"/>
          </w:tcPr>
          <w:p w14:paraId="511916CC">
            <w:pPr>
              <w:spacing w:line="312"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标的名称</w:t>
            </w:r>
          </w:p>
        </w:tc>
        <w:tc>
          <w:tcPr>
            <w:tcW w:w="1767" w:type="dxa"/>
            <w:vAlign w:val="center"/>
          </w:tcPr>
          <w:p w14:paraId="02108860">
            <w:pPr>
              <w:spacing w:line="312"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数量及</w:t>
            </w:r>
          </w:p>
          <w:p w14:paraId="6B1A54BE">
            <w:pPr>
              <w:spacing w:line="312"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单位</w:t>
            </w:r>
          </w:p>
        </w:tc>
        <w:tc>
          <w:tcPr>
            <w:tcW w:w="1511" w:type="dxa"/>
            <w:vAlign w:val="center"/>
          </w:tcPr>
          <w:p w14:paraId="2D957C23">
            <w:pPr>
              <w:spacing w:line="312"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单价</w:t>
            </w:r>
          </w:p>
          <w:p w14:paraId="390A7B6D">
            <w:pPr>
              <w:spacing w:line="312"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（元）</w:t>
            </w:r>
          </w:p>
        </w:tc>
        <w:tc>
          <w:tcPr>
            <w:tcW w:w="1697" w:type="dxa"/>
            <w:vAlign w:val="center"/>
          </w:tcPr>
          <w:p w14:paraId="59413CCB">
            <w:pPr>
              <w:spacing w:line="312"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金额</w:t>
            </w:r>
          </w:p>
          <w:p w14:paraId="0071FA69">
            <w:pPr>
              <w:spacing w:line="312"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（元）</w:t>
            </w:r>
          </w:p>
        </w:tc>
      </w:tr>
      <w:tr w14:paraId="291B8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772" w:type="dxa"/>
            <w:vAlign w:val="center"/>
          </w:tcPr>
          <w:p w14:paraId="57408F5B">
            <w:pPr>
              <w:widowControl/>
              <w:spacing w:line="360" w:lineRule="exact"/>
              <w:jc w:val="center"/>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1</w:t>
            </w:r>
          </w:p>
        </w:tc>
        <w:tc>
          <w:tcPr>
            <w:tcW w:w="3457" w:type="dxa"/>
            <w:vAlign w:val="center"/>
          </w:tcPr>
          <w:p w14:paraId="2EF59994">
            <w:pPr>
              <w:widowControl/>
              <w:spacing w:line="360" w:lineRule="exact"/>
              <w:jc w:val="left"/>
              <w:rPr>
                <w:rFonts w:ascii="宋体" w:hAnsi="宋体" w:cs="宋体"/>
                <w:color w:val="auto"/>
                <w:kern w:val="0"/>
                <w:sz w:val="24"/>
                <w:highlight w:val="none"/>
                <w:shd w:val="clear" w:color="auto" w:fill="FFFFFF"/>
              </w:rPr>
            </w:pPr>
          </w:p>
        </w:tc>
        <w:tc>
          <w:tcPr>
            <w:tcW w:w="1767" w:type="dxa"/>
            <w:vAlign w:val="center"/>
          </w:tcPr>
          <w:p w14:paraId="45267D05">
            <w:pPr>
              <w:widowControl/>
              <w:spacing w:line="360" w:lineRule="exact"/>
              <w:jc w:val="center"/>
              <w:rPr>
                <w:rFonts w:ascii="宋体" w:hAnsi="宋体" w:cs="宋体"/>
                <w:color w:val="auto"/>
                <w:kern w:val="0"/>
                <w:sz w:val="24"/>
                <w:highlight w:val="none"/>
                <w:shd w:val="clear" w:color="auto" w:fill="FFFFFF"/>
              </w:rPr>
            </w:pPr>
          </w:p>
        </w:tc>
        <w:tc>
          <w:tcPr>
            <w:tcW w:w="1511" w:type="dxa"/>
            <w:vAlign w:val="center"/>
          </w:tcPr>
          <w:p w14:paraId="509134B0">
            <w:pPr>
              <w:spacing w:line="312" w:lineRule="auto"/>
              <w:jc w:val="center"/>
              <w:rPr>
                <w:rFonts w:ascii="宋体" w:hAnsi="宋体" w:cs="宋体"/>
                <w:color w:val="auto"/>
                <w:kern w:val="0"/>
                <w:sz w:val="24"/>
                <w:highlight w:val="none"/>
              </w:rPr>
            </w:pPr>
          </w:p>
        </w:tc>
        <w:tc>
          <w:tcPr>
            <w:tcW w:w="1697" w:type="dxa"/>
            <w:vAlign w:val="center"/>
          </w:tcPr>
          <w:p w14:paraId="5FA1AA03">
            <w:pPr>
              <w:spacing w:line="312" w:lineRule="auto"/>
              <w:jc w:val="center"/>
              <w:rPr>
                <w:rFonts w:ascii="宋体" w:hAnsi="宋体" w:cs="宋体"/>
                <w:color w:val="auto"/>
                <w:kern w:val="0"/>
                <w:sz w:val="24"/>
                <w:highlight w:val="none"/>
              </w:rPr>
            </w:pPr>
          </w:p>
        </w:tc>
      </w:tr>
      <w:tr w14:paraId="420AA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9204" w:type="dxa"/>
            <w:gridSpan w:val="5"/>
            <w:vAlign w:val="center"/>
          </w:tcPr>
          <w:p w14:paraId="14AED96B">
            <w:pPr>
              <w:spacing w:line="312" w:lineRule="auto"/>
              <w:rPr>
                <w:rFonts w:ascii="宋体" w:hAnsi="宋体" w:cs="宋体"/>
                <w:color w:val="auto"/>
                <w:sz w:val="24"/>
                <w:highlight w:val="none"/>
              </w:rPr>
            </w:pPr>
            <w:r>
              <w:rPr>
                <w:rFonts w:hint="eastAsia" w:ascii="宋体" w:hAnsi="宋体" w:cs="宋体"/>
                <w:color w:val="auto"/>
                <w:sz w:val="24"/>
                <w:highlight w:val="none"/>
              </w:rPr>
              <w:t>总报价（人民币大写）：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tc>
      </w:tr>
      <w:tr w14:paraId="148FD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9204" w:type="dxa"/>
            <w:gridSpan w:val="5"/>
            <w:vAlign w:val="center"/>
          </w:tcPr>
          <w:p w14:paraId="1CB674A3">
            <w:pPr>
              <w:snapToGrid w:val="0"/>
              <w:spacing w:line="360" w:lineRule="exact"/>
              <w:outlineLvl w:val="0"/>
              <w:rPr>
                <w:rFonts w:hint="eastAsia" w:ascii="宋体" w:hAnsi="宋体" w:cs="宋体"/>
                <w:color w:val="auto"/>
                <w:sz w:val="24"/>
                <w:highlight w:val="none"/>
              </w:rPr>
            </w:pPr>
            <w:r>
              <w:rPr>
                <w:rFonts w:hint="eastAsia" w:ascii="宋体" w:hAnsi="宋体" w:cs="宋体"/>
                <w:color w:val="auto"/>
                <w:sz w:val="24"/>
                <w:highlight w:val="none"/>
              </w:rPr>
              <w:t>1.服务期：自合同签订之日起3年。</w:t>
            </w:r>
          </w:p>
          <w:p w14:paraId="56CB4B4B">
            <w:pPr>
              <w:snapToGrid w:val="0"/>
              <w:spacing w:line="360" w:lineRule="exact"/>
              <w:outlineLvl w:val="0"/>
              <w:rPr>
                <w:rFonts w:ascii="宋体" w:hAnsi="宋体" w:cs="宋体"/>
                <w:color w:val="auto"/>
                <w:sz w:val="24"/>
                <w:highlight w:val="none"/>
              </w:rPr>
            </w:pPr>
            <w:r>
              <w:rPr>
                <w:rFonts w:hint="eastAsia" w:ascii="宋体" w:hAnsi="宋体" w:cs="宋体"/>
                <w:color w:val="auto"/>
                <w:sz w:val="24"/>
                <w:highlight w:val="none"/>
              </w:rPr>
              <w:t>2.服务地点：广西医科大学第一附属医院（南宁市）。</w:t>
            </w:r>
          </w:p>
        </w:tc>
      </w:tr>
    </w:tbl>
    <w:p w14:paraId="7AEEFE93">
      <w:pPr>
        <w:keepNext w:val="0"/>
        <w:keepLines w:val="0"/>
        <w:pageBreakBefore w:val="0"/>
        <w:widowControl w:val="0"/>
        <w:kinsoku/>
        <w:wordWrap/>
        <w:overflowPunct/>
        <w:topLinePunct w:val="0"/>
        <w:autoSpaceDE/>
        <w:autoSpaceDN/>
        <w:bidi w:val="0"/>
        <w:adjustRightInd/>
        <w:snapToGrid w:val="0"/>
        <w:spacing w:before="50" w:after="50" w:line="240" w:lineRule="auto"/>
        <w:textAlignment w:val="auto"/>
        <w:rPr>
          <w:rFonts w:hint="eastAsia" w:ascii="宋体" w:hAnsi="宋体" w:cs="仿宋_GB2312"/>
          <w:color w:val="auto"/>
          <w:sz w:val="24"/>
          <w:highlight w:val="none"/>
        </w:rPr>
      </w:pPr>
      <w:r>
        <w:rPr>
          <w:rFonts w:hint="eastAsia" w:ascii="宋体" w:hAnsi="宋体"/>
          <w:color w:val="auto"/>
          <w:sz w:val="24"/>
          <w:highlight w:val="none"/>
        </w:rPr>
        <w:t xml:space="preserve">                   </w:t>
      </w:r>
      <w:r>
        <w:rPr>
          <w:rFonts w:hint="eastAsia" w:ascii="宋体" w:hAnsi="宋体" w:cs="仿宋_GB2312"/>
          <w:color w:val="auto"/>
          <w:sz w:val="24"/>
          <w:highlight w:val="none"/>
        </w:rPr>
        <w:t xml:space="preserve">                                        </w:t>
      </w:r>
    </w:p>
    <w:p w14:paraId="22D25B91">
      <w:pPr>
        <w:keepNext w:val="0"/>
        <w:keepLines w:val="0"/>
        <w:pageBreakBefore w:val="0"/>
        <w:widowControl w:val="0"/>
        <w:kinsoku/>
        <w:wordWrap/>
        <w:overflowPunct/>
        <w:topLinePunct w:val="0"/>
        <w:autoSpaceDE/>
        <w:autoSpaceDN/>
        <w:bidi w:val="0"/>
        <w:adjustRightInd/>
        <w:snapToGrid w:val="0"/>
        <w:spacing w:before="50" w:after="50" w:line="240" w:lineRule="auto"/>
        <w:jc w:val="left"/>
        <w:textAlignment w:val="auto"/>
        <w:rPr>
          <w:rFonts w:hint="eastAsia" w:ascii="宋体" w:hAnsi="宋体"/>
          <w:color w:val="auto"/>
          <w:sz w:val="24"/>
          <w:highlight w:val="none"/>
        </w:rPr>
      </w:pPr>
      <w:r>
        <w:rPr>
          <w:rFonts w:hint="eastAsia" w:ascii="宋体" w:hAnsi="宋体"/>
          <w:color w:val="auto"/>
          <w:sz w:val="24"/>
          <w:highlight w:val="none"/>
        </w:rPr>
        <w:t xml:space="preserve">注: </w:t>
      </w:r>
    </w:p>
    <w:p w14:paraId="21BDE26D">
      <w:pPr>
        <w:keepNext w:val="0"/>
        <w:keepLines w:val="0"/>
        <w:pageBreakBefore w:val="0"/>
        <w:widowControl w:val="0"/>
        <w:kinsoku/>
        <w:wordWrap/>
        <w:overflowPunct/>
        <w:topLinePunct w:val="0"/>
        <w:autoSpaceDE/>
        <w:autoSpaceDN/>
        <w:bidi w:val="0"/>
        <w:adjustRightInd/>
        <w:snapToGrid w:val="0"/>
        <w:spacing w:before="50" w:after="50" w:line="240" w:lineRule="auto"/>
        <w:ind w:firstLine="480" w:firstLineChars="200"/>
        <w:jc w:val="left"/>
        <w:textAlignment w:val="auto"/>
        <w:rPr>
          <w:rFonts w:hint="eastAsia" w:ascii="宋体" w:hAnsi="宋体"/>
          <w:color w:val="auto"/>
          <w:sz w:val="24"/>
          <w:highlight w:val="none"/>
        </w:rPr>
      </w:pPr>
      <w:r>
        <w:rPr>
          <w:rFonts w:hint="eastAsia" w:ascii="宋体" w:hAnsi="宋体"/>
          <w:color w:val="auto"/>
          <w:sz w:val="24"/>
          <w:highlight w:val="none"/>
        </w:rPr>
        <w:t>1.投标人的开标一览表必须加盖投标人公章并由</w:t>
      </w:r>
      <w:r>
        <w:rPr>
          <w:rFonts w:ascii="宋体" w:hAnsi="宋体"/>
          <w:color w:val="auto"/>
          <w:sz w:val="24"/>
          <w:highlight w:val="none"/>
        </w:rPr>
        <w:t>法定代表人或者委托代理人</w:t>
      </w:r>
      <w:r>
        <w:rPr>
          <w:rFonts w:hint="eastAsia" w:ascii="宋体" w:hAnsi="宋体"/>
          <w:color w:val="auto"/>
          <w:sz w:val="24"/>
          <w:highlight w:val="none"/>
        </w:rPr>
        <w:t>签字，</w:t>
      </w:r>
      <w:r>
        <w:rPr>
          <w:rFonts w:hint="eastAsia" w:ascii="宋体" w:hAnsi="宋体"/>
          <w:b/>
          <w:color w:val="auto"/>
          <w:sz w:val="24"/>
          <w:highlight w:val="none"/>
        </w:rPr>
        <w:t>否则其投标作无效标处理</w:t>
      </w:r>
      <w:r>
        <w:rPr>
          <w:rFonts w:hint="eastAsia" w:ascii="宋体" w:hAnsi="宋体"/>
          <w:color w:val="auto"/>
          <w:sz w:val="24"/>
          <w:highlight w:val="none"/>
        </w:rPr>
        <w:t>。</w:t>
      </w:r>
    </w:p>
    <w:p w14:paraId="17AF6966">
      <w:pPr>
        <w:keepNext w:val="0"/>
        <w:keepLines w:val="0"/>
        <w:pageBreakBefore w:val="0"/>
        <w:widowControl w:val="0"/>
        <w:kinsoku/>
        <w:wordWrap/>
        <w:overflowPunct/>
        <w:topLinePunct w:val="0"/>
        <w:autoSpaceDE/>
        <w:autoSpaceDN/>
        <w:bidi w:val="0"/>
        <w:adjustRightInd/>
        <w:snapToGrid w:val="0"/>
        <w:spacing w:before="50" w:after="50" w:line="240" w:lineRule="auto"/>
        <w:ind w:firstLine="480" w:firstLineChars="200"/>
        <w:jc w:val="left"/>
        <w:textAlignment w:val="auto"/>
        <w:rPr>
          <w:rFonts w:hint="eastAsia" w:ascii="宋体" w:hAnsi="宋体"/>
          <w:b/>
          <w:color w:val="auto"/>
          <w:sz w:val="24"/>
          <w:highlight w:val="none"/>
        </w:rPr>
      </w:pPr>
      <w:r>
        <w:rPr>
          <w:rFonts w:hint="eastAsia" w:ascii="宋体" w:hAnsi="宋体"/>
          <w:bCs/>
          <w:color w:val="auto"/>
          <w:sz w:val="24"/>
          <w:highlight w:val="none"/>
        </w:rPr>
        <w:t>2.</w:t>
      </w:r>
      <w:r>
        <w:rPr>
          <w:rFonts w:hint="eastAsia" w:ascii="宋体" w:hAnsi="宋体"/>
          <w:color w:val="auto"/>
          <w:sz w:val="24"/>
          <w:highlight w:val="none"/>
        </w:rPr>
        <w:t>报价一经涂改，应在涂改处加盖投标人公章或者由法定代表人或者委托代理人签字或者盖章</w:t>
      </w:r>
      <w:r>
        <w:rPr>
          <w:rFonts w:hint="eastAsia" w:ascii="宋体" w:hAnsi="宋体"/>
          <w:b/>
          <w:color w:val="auto"/>
          <w:sz w:val="24"/>
          <w:highlight w:val="none"/>
        </w:rPr>
        <w:t>，否则其投标作无效标处理。</w:t>
      </w:r>
    </w:p>
    <w:p w14:paraId="3EDDF19B">
      <w:pPr>
        <w:keepNext w:val="0"/>
        <w:keepLines w:val="0"/>
        <w:pageBreakBefore w:val="0"/>
        <w:widowControl w:val="0"/>
        <w:kinsoku/>
        <w:wordWrap/>
        <w:overflowPunct/>
        <w:topLinePunct w:val="0"/>
        <w:autoSpaceDE/>
        <w:autoSpaceDN/>
        <w:bidi w:val="0"/>
        <w:adjustRightInd/>
        <w:snapToGrid w:val="0"/>
        <w:spacing w:before="50" w:after="50" w:line="240" w:lineRule="auto"/>
        <w:ind w:firstLine="480" w:firstLineChars="200"/>
        <w:jc w:val="left"/>
        <w:textAlignment w:val="auto"/>
        <w:rPr>
          <w:rFonts w:hint="eastAsia" w:ascii="宋体" w:hAnsi="宋体"/>
          <w:color w:val="auto"/>
          <w:sz w:val="24"/>
          <w:highlight w:val="none"/>
        </w:rPr>
      </w:pPr>
      <w:r>
        <w:rPr>
          <w:rFonts w:hint="eastAsia" w:ascii="宋体" w:hAnsi="宋体"/>
          <w:color w:val="auto"/>
          <w:sz w:val="24"/>
          <w:highlight w:val="none"/>
        </w:rPr>
        <w:t>3.如为联合体投标，“投标人名称”处必须列明联合体各方名称，并标注联合体牵头人名称，</w:t>
      </w:r>
      <w:r>
        <w:rPr>
          <w:rFonts w:hint="eastAsia" w:ascii="宋体" w:hAnsi="宋体"/>
          <w:b/>
          <w:color w:val="auto"/>
          <w:sz w:val="24"/>
          <w:highlight w:val="none"/>
        </w:rPr>
        <w:t>否则其投标作无效标处理。</w:t>
      </w:r>
    </w:p>
    <w:p w14:paraId="0167BE76">
      <w:pPr>
        <w:keepNext w:val="0"/>
        <w:keepLines w:val="0"/>
        <w:pageBreakBefore w:val="0"/>
        <w:widowControl w:val="0"/>
        <w:kinsoku/>
        <w:wordWrap/>
        <w:overflowPunct/>
        <w:topLinePunct w:val="0"/>
        <w:autoSpaceDE/>
        <w:autoSpaceDN/>
        <w:bidi w:val="0"/>
        <w:adjustRightInd/>
        <w:snapToGrid w:val="0"/>
        <w:spacing w:before="50" w:after="50" w:line="240" w:lineRule="auto"/>
        <w:ind w:firstLine="456" w:firstLineChars="200"/>
        <w:jc w:val="left"/>
        <w:textAlignment w:val="auto"/>
        <w:rPr>
          <w:rFonts w:hint="eastAsia" w:ascii="宋体" w:hAnsi="宋体"/>
          <w:color w:val="auto"/>
          <w:spacing w:val="-6"/>
          <w:sz w:val="24"/>
          <w:highlight w:val="none"/>
        </w:rPr>
      </w:pPr>
      <w:r>
        <w:rPr>
          <w:rFonts w:hint="eastAsia" w:ascii="宋体" w:hAnsi="宋体"/>
          <w:color w:val="auto"/>
          <w:spacing w:val="-6"/>
          <w:sz w:val="24"/>
          <w:highlight w:val="none"/>
        </w:rPr>
        <w:t>4.如为联合体投标，盖章处须加盖联合体各方公章，</w:t>
      </w:r>
      <w:r>
        <w:rPr>
          <w:rFonts w:hint="eastAsia" w:ascii="宋体" w:hAnsi="宋体"/>
          <w:b/>
          <w:color w:val="auto"/>
          <w:spacing w:val="-6"/>
          <w:sz w:val="24"/>
          <w:highlight w:val="none"/>
        </w:rPr>
        <w:t>否则其投标作无效标处理。</w:t>
      </w:r>
    </w:p>
    <w:p w14:paraId="5E1CACF4">
      <w:pPr>
        <w:keepNext w:val="0"/>
        <w:keepLines w:val="0"/>
        <w:pageBreakBefore w:val="0"/>
        <w:widowControl w:val="0"/>
        <w:kinsoku/>
        <w:wordWrap/>
        <w:overflowPunct/>
        <w:topLinePunct w:val="0"/>
        <w:autoSpaceDE/>
        <w:autoSpaceDN/>
        <w:bidi w:val="0"/>
        <w:adjustRightInd/>
        <w:snapToGrid w:val="0"/>
        <w:spacing w:before="50" w:after="50" w:line="240" w:lineRule="auto"/>
        <w:ind w:firstLine="480" w:firstLineChars="200"/>
        <w:textAlignment w:val="auto"/>
        <w:rPr>
          <w:rFonts w:hint="eastAsia" w:ascii="宋体" w:hAnsi="宋体"/>
          <w:b/>
          <w:color w:val="auto"/>
          <w:sz w:val="24"/>
          <w:highlight w:val="none"/>
        </w:rPr>
      </w:pPr>
      <w:r>
        <w:rPr>
          <w:rFonts w:hint="eastAsia" w:ascii="宋体" w:hAnsi="宋体"/>
          <w:color w:val="auto"/>
          <w:sz w:val="24"/>
          <w:highlight w:val="none"/>
        </w:rPr>
        <w:t>5.如有多分标，按分标分别提供开标一览表，</w:t>
      </w:r>
      <w:r>
        <w:rPr>
          <w:rFonts w:hint="eastAsia" w:ascii="宋体" w:hAnsi="宋体"/>
          <w:b/>
          <w:color w:val="auto"/>
          <w:sz w:val="24"/>
          <w:highlight w:val="none"/>
        </w:rPr>
        <w:t>否则投标无效。</w:t>
      </w:r>
    </w:p>
    <w:p w14:paraId="740EE0D2">
      <w:pPr>
        <w:keepNext w:val="0"/>
        <w:keepLines w:val="0"/>
        <w:pageBreakBefore w:val="0"/>
        <w:widowControl w:val="0"/>
        <w:kinsoku/>
        <w:wordWrap/>
        <w:overflowPunct/>
        <w:topLinePunct w:val="0"/>
        <w:autoSpaceDE/>
        <w:autoSpaceDN/>
        <w:bidi w:val="0"/>
        <w:adjustRightInd/>
        <w:snapToGrid w:val="0"/>
        <w:spacing w:before="50" w:after="50" w:line="240" w:lineRule="auto"/>
        <w:ind w:firstLine="482" w:firstLineChars="200"/>
        <w:textAlignment w:val="auto"/>
        <w:rPr>
          <w:rFonts w:hint="eastAsia" w:ascii="宋体" w:hAnsi="宋体"/>
          <w:b/>
          <w:color w:val="auto"/>
          <w:sz w:val="24"/>
          <w:highlight w:val="none"/>
        </w:rPr>
      </w:pPr>
    </w:p>
    <w:p w14:paraId="600AE999">
      <w:pPr>
        <w:keepNext w:val="0"/>
        <w:keepLines w:val="0"/>
        <w:pageBreakBefore w:val="0"/>
        <w:widowControl w:val="0"/>
        <w:kinsoku/>
        <w:wordWrap/>
        <w:overflowPunct/>
        <w:topLinePunct w:val="0"/>
        <w:autoSpaceDE/>
        <w:autoSpaceDN/>
        <w:bidi w:val="0"/>
        <w:adjustRightInd/>
        <w:snapToGrid w:val="0"/>
        <w:spacing w:before="50" w:after="50" w:line="240" w:lineRule="auto"/>
        <w:ind w:left="-2" w:leftChars="-1" w:right="-817" w:rightChars="-389"/>
        <w:textAlignment w:val="auto"/>
        <w:rPr>
          <w:rFonts w:hint="eastAsia" w:ascii="宋体" w:hAnsi="宋体"/>
          <w:color w:val="auto"/>
          <w:sz w:val="24"/>
          <w:highlight w:val="none"/>
        </w:rPr>
      </w:pPr>
      <w:r>
        <w:rPr>
          <w:rFonts w:hint="eastAsia" w:ascii="宋体" w:hAnsi="宋体"/>
          <w:color w:val="auto"/>
          <w:sz w:val="24"/>
          <w:highlight w:val="none"/>
        </w:rPr>
        <w:t xml:space="preserve">法定代表人或者委托代理人（签字）：                    </w:t>
      </w:r>
    </w:p>
    <w:p w14:paraId="76947A28">
      <w:pPr>
        <w:keepNext w:val="0"/>
        <w:keepLines w:val="0"/>
        <w:pageBreakBefore w:val="0"/>
        <w:widowControl w:val="0"/>
        <w:kinsoku/>
        <w:wordWrap/>
        <w:overflowPunct/>
        <w:topLinePunct w:val="0"/>
        <w:autoSpaceDE/>
        <w:autoSpaceDN/>
        <w:bidi w:val="0"/>
        <w:adjustRightInd/>
        <w:snapToGrid w:val="0"/>
        <w:spacing w:before="50" w:after="50" w:line="240" w:lineRule="auto"/>
        <w:ind w:left="-3" w:leftChars="-15" w:right="-817" w:rightChars="-389" w:hanging="28" w:hangingChars="12"/>
        <w:textAlignment w:val="auto"/>
        <w:rPr>
          <w:rFonts w:hint="eastAsia" w:ascii="宋体" w:hAnsi="宋体"/>
          <w:color w:val="auto"/>
          <w:sz w:val="24"/>
          <w:highlight w:val="none"/>
        </w:rPr>
      </w:pPr>
      <w:r>
        <w:rPr>
          <w:rFonts w:hint="eastAsia" w:ascii="宋体" w:hAnsi="宋体"/>
          <w:color w:val="auto"/>
          <w:sz w:val="24"/>
          <w:highlight w:val="none"/>
        </w:rPr>
        <w:t>投标人（盖公章）：                                 日期：    年   月   日</w:t>
      </w:r>
    </w:p>
    <w:p w14:paraId="5EE7A29A">
      <w:pPr>
        <w:snapToGrid w:val="0"/>
        <w:spacing w:before="50" w:after="50" w:line="360" w:lineRule="auto"/>
        <w:ind w:left="3" w:leftChars="-15" w:right="-817" w:rightChars="-389" w:hanging="34" w:hangingChars="12"/>
        <w:rPr>
          <w:rFonts w:hint="eastAsia"/>
          <w:b/>
          <w:color w:val="auto"/>
          <w:sz w:val="28"/>
          <w:szCs w:val="28"/>
          <w:highlight w:val="none"/>
        </w:rPr>
      </w:pPr>
      <w:bookmarkStart w:id="149" w:name="_Toc19686837"/>
      <w:r>
        <w:rPr>
          <w:rFonts w:hint="eastAsia"/>
          <w:b/>
          <w:color w:val="auto"/>
          <w:sz w:val="28"/>
          <w:szCs w:val="28"/>
          <w:highlight w:val="none"/>
        </w:rPr>
        <w:br w:type="page"/>
      </w:r>
      <w:r>
        <w:rPr>
          <w:rFonts w:hint="eastAsia"/>
          <w:b/>
          <w:color w:val="auto"/>
          <w:sz w:val="28"/>
          <w:szCs w:val="28"/>
          <w:highlight w:val="none"/>
        </w:rPr>
        <w:t>二、资格证明文件格式</w:t>
      </w:r>
      <w:bookmarkEnd w:id="147"/>
      <w:bookmarkEnd w:id="148"/>
      <w:bookmarkEnd w:id="149"/>
    </w:p>
    <w:p w14:paraId="5C31E96D">
      <w:pPr>
        <w:numPr>
          <w:ilvl w:val="2"/>
          <w:numId w:val="8"/>
        </w:numPr>
        <w:snapToGrid w:val="0"/>
        <w:spacing w:before="120" w:beforeLines="50" w:after="50" w:line="360" w:lineRule="auto"/>
        <w:ind w:left="0" w:firstLine="0"/>
        <w:jc w:val="left"/>
        <w:rPr>
          <w:rFonts w:hint="eastAsia" w:ascii="宋体" w:hAnsi="宋体"/>
          <w:b/>
          <w:color w:val="auto"/>
          <w:sz w:val="24"/>
          <w:highlight w:val="none"/>
        </w:rPr>
      </w:pPr>
      <w:r>
        <w:rPr>
          <w:rFonts w:hint="eastAsia" w:ascii="宋体" w:hAnsi="宋体"/>
          <w:b/>
          <w:color w:val="auto"/>
          <w:sz w:val="24"/>
          <w:highlight w:val="none"/>
        </w:rPr>
        <w:t xml:space="preserve">资格证明文件封面格式： </w:t>
      </w:r>
    </w:p>
    <w:p w14:paraId="45004F72">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2480AB34">
      <w:pPr>
        <w:snapToGrid w:val="0"/>
        <w:spacing w:before="120" w:beforeLines="50" w:after="50"/>
        <w:rPr>
          <w:rFonts w:hint="eastAsia" w:ascii="宋体" w:hAnsi="宋体"/>
          <w:color w:val="auto"/>
          <w:sz w:val="24"/>
          <w:szCs w:val="20"/>
          <w:highlight w:val="none"/>
        </w:rPr>
      </w:pPr>
    </w:p>
    <w:p w14:paraId="48D3653C">
      <w:pPr>
        <w:snapToGrid w:val="0"/>
        <w:spacing w:before="120" w:beforeLines="50" w:after="50"/>
        <w:rPr>
          <w:rFonts w:hint="eastAsia" w:ascii="宋体" w:hAnsi="宋体"/>
          <w:color w:val="auto"/>
          <w:sz w:val="24"/>
          <w:szCs w:val="20"/>
          <w:highlight w:val="none"/>
        </w:rPr>
      </w:pPr>
    </w:p>
    <w:p w14:paraId="08657330">
      <w:pPr>
        <w:snapToGrid w:val="0"/>
        <w:spacing w:before="120" w:beforeLines="50" w:after="50"/>
        <w:jc w:val="center"/>
        <w:rPr>
          <w:rFonts w:hint="eastAsia" w:ascii="仿宋" w:hAnsi="仿宋" w:eastAsia="仿宋" w:cs="仿宋"/>
          <w:color w:val="auto"/>
          <w:sz w:val="84"/>
          <w:szCs w:val="84"/>
          <w:highlight w:val="none"/>
        </w:rPr>
      </w:pPr>
      <w:r>
        <w:rPr>
          <w:rFonts w:hint="eastAsia" w:ascii="仿宋" w:hAnsi="仿宋" w:eastAsia="仿宋" w:cs="仿宋"/>
          <w:color w:val="auto"/>
          <w:sz w:val="84"/>
          <w:szCs w:val="84"/>
          <w:highlight w:val="none"/>
        </w:rPr>
        <w:t>投  标  文  件</w:t>
      </w:r>
    </w:p>
    <w:p w14:paraId="5A12820C">
      <w:pPr>
        <w:snapToGrid w:val="0"/>
        <w:spacing w:before="120" w:beforeLines="50" w:after="50"/>
        <w:rPr>
          <w:rFonts w:hint="eastAsia" w:ascii="宋体" w:hAnsi="宋体"/>
          <w:color w:val="auto"/>
          <w:sz w:val="24"/>
          <w:szCs w:val="20"/>
          <w:highlight w:val="none"/>
        </w:rPr>
      </w:pPr>
    </w:p>
    <w:p w14:paraId="3AD8E9A1">
      <w:pPr>
        <w:snapToGrid w:val="0"/>
        <w:spacing w:before="120" w:beforeLines="50" w:after="50"/>
        <w:rPr>
          <w:rFonts w:hint="eastAsia" w:ascii="宋体" w:hAnsi="宋体"/>
          <w:color w:val="auto"/>
          <w:sz w:val="24"/>
          <w:szCs w:val="20"/>
          <w:highlight w:val="none"/>
        </w:rPr>
      </w:pPr>
    </w:p>
    <w:p w14:paraId="19831397">
      <w:pPr>
        <w:snapToGrid w:val="0"/>
        <w:spacing w:before="120"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资 格 证 明 文 件</w:t>
      </w:r>
    </w:p>
    <w:p w14:paraId="1ADE417C">
      <w:pPr>
        <w:snapToGrid w:val="0"/>
        <w:spacing w:before="120" w:beforeLines="50" w:after="50"/>
        <w:rPr>
          <w:rFonts w:ascii="宋体" w:hAnsi="宋体"/>
          <w:bCs/>
          <w:color w:val="auto"/>
          <w:sz w:val="24"/>
          <w:szCs w:val="20"/>
          <w:highlight w:val="none"/>
        </w:rPr>
      </w:pPr>
    </w:p>
    <w:p w14:paraId="0BA52EAB">
      <w:pPr>
        <w:snapToGrid w:val="0"/>
        <w:spacing w:before="120" w:beforeLines="50" w:after="50"/>
        <w:rPr>
          <w:rFonts w:ascii="宋体" w:hAnsi="宋体"/>
          <w:bCs/>
          <w:color w:val="auto"/>
          <w:sz w:val="24"/>
          <w:szCs w:val="20"/>
          <w:highlight w:val="none"/>
        </w:rPr>
      </w:pPr>
    </w:p>
    <w:p w14:paraId="4A8E846A">
      <w:pPr>
        <w:snapToGrid w:val="0"/>
        <w:spacing w:before="120" w:beforeLines="50" w:after="50"/>
        <w:rPr>
          <w:rFonts w:ascii="宋体" w:hAnsi="宋体"/>
          <w:bCs/>
          <w:color w:val="auto"/>
          <w:sz w:val="24"/>
          <w:szCs w:val="20"/>
          <w:highlight w:val="none"/>
        </w:rPr>
      </w:pPr>
    </w:p>
    <w:p w14:paraId="59B5EA5F">
      <w:pPr>
        <w:snapToGrid w:val="0"/>
        <w:spacing w:before="120" w:beforeLines="50" w:after="50"/>
        <w:rPr>
          <w:rFonts w:ascii="宋体" w:hAnsi="宋体"/>
          <w:bCs/>
          <w:color w:val="auto"/>
          <w:sz w:val="24"/>
          <w:szCs w:val="20"/>
          <w:highlight w:val="none"/>
        </w:rPr>
      </w:pPr>
    </w:p>
    <w:p w14:paraId="2E13792F">
      <w:pPr>
        <w:snapToGrid w:val="0"/>
        <w:spacing w:before="120" w:beforeLines="50" w:after="50"/>
        <w:rPr>
          <w:rFonts w:hint="eastAsia" w:ascii="宋体" w:hAnsi="宋体"/>
          <w:bCs/>
          <w:color w:val="auto"/>
          <w:sz w:val="24"/>
          <w:szCs w:val="20"/>
          <w:highlight w:val="none"/>
        </w:rPr>
      </w:pPr>
    </w:p>
    <w:p w14:paraId="0170A96D">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p>
    <w:p w14:paraId="5933ED43">
      <w:pPr>
        <w:snapToGrid w:val="0"/>
        <w:spacing w:before="120" w:beforeLines="50" w:after="50"/>
        <w:ind w:firstLine="540" w:firstLineChars="225"/>
        <w:rPr>
          <w:rFonts w:hint="eastAsia" w:ascii="宋体" w:hAnsi="宋体"/>
          <w:bCs/>
          <w:color w:val="auto"/>
          <w:sz w:val="24"/>
          <w:szCs w:val="20"/>
          <w:highlight w:val="none"/>
        </w:rPr>
      </w:pPr>
    </w:p>
    <w:p w14:paraId="6309564C">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6766D787">
      <w:pPr>
        <w:snapToGrid w:val="0"/>
        <w:spacing w:before="120"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4CD2C286">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所投分标：如有</w:t>
      </w:r>
    </w:p>
    <w:p w14:paraId="4B1B7325">
      <w:pPr>
        <w:pStyle w:val="8"/>
        <w:snapToGrid w:val="0"/>
        <w:spacing w:before="50" w:after="50"/>
        <w:ind w:firstLine="540" w:firstLineChars="225"/>
        <w:rPr>
          <w:rFonts w:hint="eastAsia" w:ascii="宋体" w:hAnsi="宋体"/>
          <w:bCs/>
          <w:color w:val="auto"/>
          <w:sz w:val="24"/>
          <w:szCs w:val="24"/>
          <w:highlight w:val="none"/>
        </w:rPr>
      </w:pPr>
    </w:p>
    <w:p w14:paraId="07A64180">
      <w:pPr>
        <w:pStyle w:val="8"/>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33A782DF">
      <w:pPr>
        <w:pStyle w:val="8"/>
        <w:snapToGrid w:val="0"/>
        <w:spacing w:before="50" w:after="50"/>
        <w:ind w:firstLine="540" w:firstLineChars="225"/>
        <w:rPr>
          <w:rFonts w:hint="eastAsia" w:ascii="宋体" w:hAnsi="宋体"/>
          <w:bCs/>
          <w:color w:val="auto"/>
          <w:sz w:val="24"/>
          <w:szCs w:val="24"/>
          <w:highlight w:val="none"/>
        </w:rPr>
      </w:pPr>
    </w:p>
    <w:p w14:paraId="249B7E1F">
      <w:pPr>
        <w:pStyle w:val="8"/>
        <w:snapToGrid w:val="0"/>
        <w:spacing w:before="50" w:after="50"/>
        <w:ind w:firstLine="960" w:firstLineChars="400"/>
        <w:rPr>
          <w:rFonts w:hint="eastAsia" w:ascii="宋体" w:hAnsi="宋体"/>
          <w:bCs/>
          <w:color w:val="auto"/>
          <w:sz w:val="24"/>
          <w:szCs w:val="24"/>
          <w:highlight w:val="none"/>
        </w:rPr>
      </w:pPr>
    </w:p>
    <w:p w14:paraId="471ACB16">
      <w:pPr>
        <w:snapToGrid w:val="0"/>
        <w:spacing w:before="120" w:beforeLines="50" w:after="50"/>
        <w:ind w:firstLine="645"/>
        <w:jc w:val="center"/>
        <w:rPr>
          <w:rFonts w:ascii="宋体" w:hAnsi="宋体"/>
          <w:color w:val="auto"/>
          <w:sz w:val="24"/>
          <w:highlight w:val="none"/>
        </w:rPr>
      </w:pPr>
      <w:r>
        <w:rPr>
          <w:rFonts w:hint="eastAsia" w:ascii="宋体" w:hAnsi="宋体"/>
          <w:color w:val="auto"/>
          <w:sz w:val="24"/>
          <w:highlight w:val="none"/>
        </w:rPr>
        <w:t>年  月  日</w:t>
      </w:r>
    </w:p>
    <w:p w14:paraId="57EFE506">
      <w:pPr>
        <w:snapToGrid w:val="0"/>
        <w:spacing w:before="120"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62627AD0">
      <w:pPr>
        <w:snapToGrid w:val="0"/>
        <w:spacing w:before="120" w:beforeLines="50" w:after="50"/>
        <w:rPr>
          <w:rFonts w:hint="eastAsia" w:ascii="宋体" w:hAnsi="宋体"/>
          <w:color w:val="auto"/>
          <w:sz w:val="24"/>
          <w:szCs w:val="20"/>
          <w:highlight w:val="none"/>
        </w:rPr>
      </w:pPr>
    </w:p>
    <w:p w14:paraId="10F610F0">
      <w:pPr>
        <w:numPr>
          <w:ilvl w:val="2"/>
          <w:numId w:val="8"/>
        </w:numPr>
        <w:snapToGrid w:val="0"/>
        <w:spacing w:before="120" w:beforeLines="50" w:after="50" w:line="360" w:lineRule="auto"/>
        <w:ind w:left="0" w:firstLine="0"/>
        <w:jc w:val="left"/>
        <w:rPr>
          <w:rFonts w:hint="eastAsia" w:ascii="宋体" w:hAnsi="宋体"/>
          <w:color w:val="auto"/>
          <w:sz w:val="24"/>
          <w:szCs w:val="20"/>
          <w:highlight w:val="none"/>
        </w:rPr>
      </w:pPr>
      <w:r>
        <w:rPr>
          <w:rFonts w:ascii="宋体" w:hAnsi="宋体"/>
          <w:b/>
          <w:bCs/>
          <w:color w:val="auto"/>
          <w:sz w:val="24"/>
          <w:highlight w:val="none"/>
        </w:rPr>
        <w:br w:type="page"/>
      </w:r>
      <w:r>
        <w:rPr>
          <w:rFonts w:hint="eastAsia" w:ascii="宋体" w:hAnsi="宋体"/>
          <w:b/>
          <w:bCs/>
          <w:color w:val="auto"/>
          <w:sz w:val="24"/>
          <w:highlight w:val="none"/>
        </w:rPr>
        <w:t>资格证明文件目录</w:t>
      </w:r>
    </w:p>
    <w:p w14:paraId="4A30E612">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根据招标文件规定及投标人提供的材料自行编写目录。</w:t>
      </w:r>
    </w:p>
    <w:p w14:paraId="181974F9">
      <w:pPr>
        <w:autoSpaceDE w:val="0"/>
        <w:autoSpaceDN w:val="0"/>
        <w:snapToGrid w:val="0"/>
        <w:spacing w:line="400" w:lineRule="exact"/>
        <w:textAlignment w:val="bottom"/>
        <w:rPr>
          <w:rFonts w:hint="eastAsia" w:ascii="宋体" w:hAnsi="宋体" w:eastAsia="宋体"/>
          <w:b/>
          <w:color w:val="auto"/>
          <w:szCs w:val="21"/>
          <w:highlight w:val="none"/>
          <w:lang w:val="en-US" w:eastAsia="zh-CN"/>
        </w:rPr>
      </w:pPr>
      <w:r>
        <w:rPr>
          <w:rFonts w:hint="eastAsia" w:ascii="宋体" w:hAnsi="宋体" w:cs="宋体"/>
          <w:color w:val="auto"/>
          <w:szCs w:val="21"/>
          <w:highlight w:val="none"/>
        </w:rPr>
        <w:t>1、投标人为法人或者其他组织的，</w:t>
      </w:r>
      <w:r>
        <w:rPr>
          <w:rFonts w:hint="eastAsia" w:ascii="宋体" w:hAnsi="宋体"/>
          <w:color w:val="auto"/>
          <w:szCs w:val="21"/>
          <w:highlight w:val="none"/>
        </w:rPr>
        <w:t>证明文件为其营业执照复印件（如营业执照或者事业单位法人证书或者执业许可证等）；投标人为自然人的，证明文件为其身份证复印件；</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1DCE32F2">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2、投标人依法缴纳税收的相关材料</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5D329FF0">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3、投标人依法缴纳社会保障资金的相关材料</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6A278B08">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4、投标人财务状况报告</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6EE24774">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5、投标人直接控股、管理关系信息表</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19AFC5E7">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6、投标声明</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7F7332FC">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7、联合体协议书</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3B985A44">
      <w:pPr>
        <w:pStyle w:val="85"/>
        <w:rPr>
          <w:rFonts w:hint="eastAsia" w:ascii="宋体" w:hAnsi="宋体"/>
          <w:b/>
          <w:bCs w:val="0"/>
          <w:color w:val="auto"/>
          <w:szCs w:val="21"/>
          <w:highlight w:val="none"/>
        </w:rPr>
      </w:pPr>
      <w:r>
        <w:rPr>
          <w:rFonts w:hint="eastAsia" w:ascii="宋体" w:hAnsi="宋体" w:cs="宋体"/>
          <w:bCs w:val="0"/>
          <w:color w:val="auto"/>
          <w:spacing w:val="0"/>
          <w:kern w:val="2"/>
          <w:sz w:val="21"/>
          <w:szCs w:val="21"/>
          <w:highlight w:val="none"/>
          <w:lang w:val="en-US" w:eastAsia="zh-CN"/>
        </w:rPr>
        <w:t>8</w:t>
      </w:r>
      <w:r>
        <w:rPr>
          <w:rFonts w:hint="eastAsia" w:ascii="宋体" w:hAnsi="宋体" w:cs="宋体"/>
          <w:bCs w:val="0"/>
          <w:color w:val="auto"/>
          <w:spacing w:val="0"/>
          <w:kern w:val="2"/>
          <w:sz w:val="21"/>
          <w:szCs w:val="21"/>
          <w:highlight w:val="none"/>
        </w:rPr>
        <w:t>、除招标文件规定必须提供以外，投标人认为需要提供的其他证明材料。</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21760222">
      <w:pPr>
        <w:snapToGrid w:val="0"/>
        <w:spacing w:before="50" w:after="120" w:afterLines="50"/>
        <w:jc w:val="left"/>
        <w:rPr>
          <w:rFonts w:hint="eastAsia" w:ascii="宋体" w:hAnsi="宋体"/>
          <w:color w:val="auto"/>
          <w:sz w:val="24"/>
          <w:highlight w:val="none"/>
        </w:rPr>
      </w:pPr>
    </w:p>
    <w:p w14:paraId="7BAA7E56">
      <w:pPr>
        <w:snapToGrid w:val="0"/>
        <w:spacing w:before="50" w:after="120" w:afterLines="50"/>
        <w:jc w:val="left"/>
        <w:rPr>
          <w:rFonts w:hint="eastAsia" w:ascii="宋体" w:hAnsi="宋体"/>
          <w:color w:val="auto"/>
          <w:sz w:val="24"/>
          <w:highlight w:val="none"/>
        </w:rPr>
      </w:pPr>
    </w:p>
    <w:p w14:paraId="301273E6">
      <w:pPr>
        <w:numPr>
          <w:ilvl w:val="2"/>
          <w:numId w:val="8"/>
        </w:numPr>
        <w:snapToGrid w:val="0"/>
        <w:spacing w:before="120" w:beforeLines="50" w:after="50"/>
        <w:ind w:left="0" w:firstLine="0"/>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8"/>
          <w:szCs w:val="28"/>
          <w:highlight w:val="none"/>
        </w:rPr>
        <w:t>投标人直接控股、管理关系信息表</w:t>
      </w:r>
    </w:p>
    <w:p w14:paraId="4D094E56">
      <w:pPr>
        <w:snapToGrid w:val="0"/>
        <w:spacing w:before="50" w:after="120" w:afterLines="50"/>
        <w:jc w:val="center"/>
        <w:rPr>
          <w:rFonts w:hint="eastAsia" w:ascii="宋体" w:hAnsi="宋体"/>
          <w:b/>
          <w:color w:val="auto"/>
          <w:sz w:val="28"/>
          <w:szCs w:val="28"/>
          <w:highlight w:val="none"/>
        </w:rPr>
      </w:pPr>
    </w:p>
    <w:p w14:paraId="18A79947">
      <w:pPr>
        <w:snapToGrid w:val="0"/>
        <w:spacing w:before="50" w:after="120" w:afterLines="50"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投标人直接控股股东信息表</w:t>
      </w:r>
    </w:p>
    <w:tbl>
      <w:tblPr>
        <w:tblStyle w:val="49"/>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3C069803">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2F2A49">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4236BE">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07B6E7">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FE09C0">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EB3ABF">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47B60D1">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9B8EE25">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90BA413">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8250B56">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7BEA19">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01112A2">
            <w:pPr>
              <w:spacing w:line="360" w:lineRule="auto"/>
              <w:jc w:val="center"/>
              <w:rPr>
                <w:rFonts w:ascii="宋体" w:hAnsi="宋体" w:cs="宋体"/>
                <w:color w:val="auto"/>
                <w:kern w:val="0"/>
                <w:sz w:val="24"/>
                <w:highlight w:val="none"/>
              </w:rPr>
            </w:pPr>
          </w:p>
        </w:tc>
      </w:tr>
      <w:tr w14:paraId="0F99ACE9">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E6DA9EF">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A10F0C0">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423E355">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C5F7543">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2379938">
            <w:pPr>
              <w:spacing w:line="360" w:lineRule="auto"/>
              <w:jc w:val="center"/>
              <w:rPr>
                <w:rFonts w:ascii="宋体" w:hAnsi="宋体" w:cs="宋体"/>
                <w:color w:val="auto"/>
                <w:kern w:val="0"/>
                <w:sz w:val="24"/>
                <w:highlight w:val="none"/>
              </w:rPr>
            </w:pPr>
          </w:p>
        </w:tc>
      </w:tr>
      <w:tr w14:paraId="584A2B57">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4AB1AEC">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D663007">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086BEEB">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7FD0E23">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1B74D4">
            <w:pPr>
              <w:spacing w:line="360" w:lineRule="auto"/>
              <w:jc w:val="center"/>
              <w:rPr>
                <w:rFonts w:ascii="宋体" w:hAnsi="宋体" w:cs="宋体"/>
                <w:color w:val="auto"/>
                <w:kern w:val="0"/>
                <w:sz w:val="24"/>
                <w:highlight w:val="none"/>
              </w:rPr>
            </w:pPr>
          </w:p>
        </w:tc>
      </w:tr>
      <w:tr w14:paraId="47F94443">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F92A6CD">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6FEC055">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8FF5694">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AB08CAF">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43574A5">
            <w:pPr>
              <w:spacing w:line="360" w:lineRule="auto"/>
              <w:jc w:val="center"/>
              <w:rPr>
                <w:rFonts w:ascii="宋体" w:hAnsi="宋体" w:cs="宋体"/>
                <w:color w:val="auto"/>
                <w:kern w:val="0"/>
                <w:sz w:val="24"/>
                <w:highlight w:val="none"/>
              </w:rPr>
            </w:pPr>
          </w:p>
        </w:tc>
      </w:tr>
    </w:tbl>
    <w:p w14:paraId="28CB8BE8">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5358952F">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1AEDAB6">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5CBFA4E2">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3.投标人不存在直接控股股东的，则填“无”。</w:t>
      </w:r>
    </w:p>
    <w:p w14:paraId="6BBB3DC8">
      <w:pPr>
        <w:snapToGrid w:val="0"/>
        <w:spacing w:line="360" w:lineRule="auto"/>
        <w:jc w:val="left"/>
        <w:rPr>
          <w:rFonts w:hint="eastAsia" w:ascii="宋体" w:hAnsi="宋体"/>
          <w:color w:val="auto"/>
          <w:sz w:val="24"/>
          <w:highlight w:val="none"/>
        </w:rPr>
      </w:pPr>
    </w:p>
    <w:p w14:paraId="155B68B0">
      <w:pPr>
        <w:snapToGrid w:val="0"/>
        <w:spacing w:line="360" w:lineRule="auto"/>
        <w:jc w:val="left"/>
        <w:rPr>
          <w:rFonts w:hint="eastAsia" w:ascii="宋体" w:hAnsi="宋体"/>
          <w:color w:val="auto"/>
          <w:sz w:val="24"/>
          <w:highlight w:val="none"/>
        </w:rPr>
      </w:pPr>
    </w:p>
    <w:p w14:paraId="57DB950B">
      <w:pPr>
        <w:snapToGrid w:val="0"/>
        <w:spacing w:line="360" w:lineRule="auto"/>
        <w:jc w:val="left"/>
        <w:rPr>
          <w:rFonts w:hint="eastAsia" w:ascii="宋体" w:hAnsi="宋体"/>
          <w:color w:val="auto"/>
          <w:sz w:val="24"/>
          <w:highlight w:val="none"/>
        </w:rPr>
      </w:pPr>
    </w:p>
    <w:p w14:paraId="70F6373F">
      <w:pPr>
        <w:snapToGrid w:val="0"/>
        <w:spacing w:line="360" w:lineRule="auto"/>
        <w:jc w:val="left"/>
        <w:rPr>
          <w:rFonts w:hint="eastAsia" w:ascii="宋体" w:hAnsi="宋体"/>
          <w:color w:val="auto"/>
          <w:sz w:val="24"/>
          <w:highlight w:val="none"/>
        </w:rPr>
      </w:pPr>
    </w:p>
    <w:p w14:paraId="7D2FFE00">
      <w:pPr>
        <w:snapToGrid w:val="0"/>
        <w:spacing w:line="360" w:lineRule="auto"/>
        <w:jc w:val="left"/>
        <w:rPr>
          <w:rFonts w:hint="eastAsia" w:ascii="宋体" w:hAnsi="宋体"/>
          <w:color w:val="auto"/>
          <w:sz w:val="24"/>
          <w:highlight w:val="none"/>
        </w:rPr>
      </w:pPr>
    </w:p>
    <w:p w14:paraId="3C2DBA3B">
      <w:pPr>
        <w:snapToGrid w:val="0"/>
        <w:spacing w:before="120" w:beforeLines="50" w:line="360" w:lineRule="auto"/>
        <w:ind w:right="480" w:firstLine="3967" w:firstLineChars="1653"/>
        <w:rPr>
          <w:rFonts w:hint="eastAsia" w:ascii="宋体" w:hAnsi="宋体"/>
          <w:color w:val="auto"/>
          <w:sz w:val="24"/>
          <w:highlight w:val="none"/>
          <w:u w:val="single"/>
        </w:rPr>
      </w:pPr>
      <w:r>
        <w:rPr>
          <w:rFonts w:hint="eastAsia" w:ascii="宋体" w:hAnsi="宋体"/>
          <w:color w:val="auto"/>
          <w:sz w:val="24"/>
          <w:highlight w:val="none"/>
        </w:rPr>
        <w:t>法定代表人或者委托代理人（签字）：</w:t>
      </w:r>
      <w:r>
        <w:rPr>
          <w:rFonts w:hint="eastAsia" w:ascii="宋体" w:hAnsi="宋体"/>
          <w:color w:val="auto"/>
          <w:sz w:val="24"/>
          <w:highlight w:val="none"/>
          <w:u w:val="single"/>
        </w:rPr>
        <w:t xml:space="preserve">             </w:t>
      </w:r>
    </w:p>
    <w:p w14:paraId="0709BA02">
      <w:pPr>
        <w:snapToGrid w:val="0"/>
        <w:spacing w:before="120" w:beforeLines="50" w:after="50" w:line="360" w:lineRule="auto"/>
        <w:ind w:right="480" w:firstLine="5520" w:firstLineChars="2300"/>
        <w:rPr>
          <w:rFonts w:hint="eastAsia" w:ascii="宋体" w:hAnsi="宋体"/>
          <w:color w:val="auto"/>
          <w:sz w:val="24"/>
          <w:highlight w:val="none"/>
          <w:u w:val="single"/>
        </w:rPr>
      </w:pPr>
      <w:r>
        <w:rPr>
          <w:rFonts w:hint="eastAsia" w:ascii="宋体" w:hAnsi="宋体"/>
          <w:color w:val="auto"/>
          <w:sz w:val="24"/>
          <w:highlight w:val="none"/>
        </w:rPr>
        <w:t>投标人（盖公章）：</w:t>
      </w:r>
      <w:r>
        <w:rPr>
          <w:rFonts w:hint="eastAsia" w:ascii="宋体" w:hAnsi="宋体"/>
          <w:color w:val="auto"/>
          <w:sz w:val="24"/>
          <w:highlight w:val="none"/>
          <w:u w:val="single"/>
        </w:rPr>
        <w:t xml:space="preserve">                 </w:t>
      </w:r>
    </w:p>
    <w:p w14:paraId="673E4BAC">
      <w:pPr>
        <w:snapToGrid w:val="0"/>
        <w:spacing w:before="120" w:beforeLines="50" w:after="50" w:line="360" w:lineRule="auto"/>
        <w:ind w:right="480" w:firstLine="5520" w:firstLineChars="2300"/>
        <w:rPr>
          <w:rFonts w:hint="eastAsia" w:ascii="宋体" w:hAnsi="宋体"/>
          <w:color w:val="auto"/>
          <w:szCs w:val="21"/>
          <w:highlight w:val="none"/>
        </w:rPr>
      </w:pPr>
      <w:r>
        <w:rPr>
          <w:rFonts w:hint="eastAsia" w:ascii="宋体" w:hAnsi="宋体"/>
          <w:color w:val="auto"/>
          <w:sz w:val="24"/>
          <w:highlight w:val="none"/>
        </w:rPr>
        <w:t>年    月    日</w:t>
      </w:r>
    </w:p>
    <w:p w14:paraId="7D3220FC">
      <w:pPr>
        <w:snapToGrid w:val="0"/>
        <w:jc w:val="center"/>
        <w:rPr>
          <w:rFonts w:hint="eastAsia" w:ascii="宋体" w:hAnsi="宋体"/>
          <w:b/>
          <w:color w:val="auto"/>
          <w:sz w:val="28"/>
          <w:szCs w:val="28"/>
          <w:highlight w:val="none"/>
        </w:rPr>
      </w:pPr>
    </w:p>
    <w:p w14:paraId="30835164">
      <w:pPr>
        <w:snapToGrid w:val="0"/>
        <w:spacing w:line="360" w:lineRule="auto"/>
        <w:jc w:val="center"/>
        <w:rPr>
          <w:rFonts w:hint="eastAsia" w:ascii="宋体" w:hAnsi="宋体"/>
          <w:color w:val="auto"/>
          <w:sz w:val="32"/>
          <w:szCs w:val="32"/>
          <w:highlight w:val="none"/>
        </w:rPr>
      </w:pPr>
      <w:r>
        <w:rPr>
          <w:rFonts w:hint="eastAsia" w:ascii="宋体" w:hAnsi="宋体"/>
          <w:b/>
          <w:color w:val="auto"/>
          <w:sz w:val="32"/>
          <w:szCs w:val="32"/>
          <w:highlight w:val="none"/>
        </w:rPr>
        <w:t>投标人直接管理关系信息表</w:t>
      </w:r>
    </w:p>
    <w:tbl>
      <w:tblPr>
        <w:tblStyle w:val="49"/>
        <w:tblW w:w="0" w:type="auto"/>
        <w:tblInd w:w="0" w:type="dxa"/>
        <w:tblLayout w:type="fixed"/>
        <w:tblCellMar>
          <w:top w:w="0" w:type="dxa"/>
          <w:left w:w="0" w:type="dxa"/>
          <w:bottom w:w="0" w:type="dxa"/>
          <w:right w:w="0" w:type="dxa"/>
        </w:tblCellMar>
      </w:tblPr>
      <w:tblGrid>
        <w:gridCol w:w="1005"/>
        <w:gridCol w:w="2659"/>
        <w:gridCol w:w="3924"/>
        <w:gridCol w:w="2064"/>
      </w:tblGrid>
      <w:tr w14:paraId="26A741B8">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CA09608">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D62BCAD">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E4F2300">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B020925">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5B9794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B5CBE23">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5A822B0">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EFD7AFA">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55F5FC0">
            <w:pPr>
              <w:spacing w:line="360" w:lineRule="auto"/>
              <w:jc w:val="center"/>
              <w:rPr>
                <w:rFonts w:ascii="宋体" w:hAnsi="宋体" w:cs="宋体"/>
                <w:color w:val="auto"/>
                <w:kern w:val="0"/>
                <w:sz w:val="24"/>
                <w:highlight w:val="none"/>
              </w:rPr>
            </w:pPr>
          </w:p>
        </w:tc>
      </w:tr>
      <w:tr w14:paraId="443A343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9A8BFA8">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A792950">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996F3E8">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BC745BC">
            <w:pPr>
              <w:spacing w:line="360" w:lineRule="auto"/>
              <w:jc w:val="center"/>
              <w:rPr>
                <w:rFonts w:ascii="宋体" w:hAnsi="宋体" w:cs="宋体"/>
                <w:color w:val="auto"/>
                <w:kern w:val="0"/>
                <w:sz w:val="24"/>
                <w:highlight w:val="none"/>
              </w:rPr>
            </w:pPr>
          </w:p>
        </w:tc>
      </w:tr>
      <w:tr w14:paraId="07EE5F0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97B421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9CFFA1E">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41F1EE7">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0F635E8">
            <w:pPr>
              <w:spacing w:line="360" w:lineRule="auto"/>
              <w:jc w:val="center"/>
              <w:rPr>
                <w:rFonts w:ascii="宋体" w:hAnsi="宋体" w:cs="宋体"/>
                <w:color w:val="auto"/>
                <w:kern w:val="0"/>
                <w:sz w:val="24"/>
                <w:highlight w:val="none"/>
              </w:rPr>
            </w:pPr>
          </w:p>
        </w:tc>
      </w:tr>
      <w:tr w14:paraId="5EF1D78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5328FD5">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A1CD0BA">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19A91F3">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5E600E4">
            <w:pPr>
              <w:spacing w:line="360" w:lineRule="auto"/>
              <w:jc w:val="center"/>
              <w:rPr>
                <w:rFonts w:ascii="宋体" w:hAnsi="宋体" w:cs="宋体"/>
                <w:color w:val="auto"/>
                <w:kern w:val="0"/>
                <w:sz w:val="24"/>
                <w:highlight w:val="none"/>
              </w:rPr>
            </w:pPr>
          </w:p>
        </w:tc>
      </w:tr>
    </w:tbl>
    <w:p w14:paraId="17881C02">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60EF6721">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6CC84E95">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42B629C5">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3.投标人不存在直接管理关系的，则填“无”。</w:t>
      </w:r>
    </w:p>
    <w:p w14:paraId="405EA3F2">
      <w:pPr>
        <w:snapToGrid w:val="0"/>
        <w:spacing w:line="360" w:lineRule="auto"/>
        <w:jc w:val="left"/>
        <w:rPr>
          <w:rFonts w:hint="eastAsia" w:ascii="宋体" w:hAnsi="宋体"/>
          <w:color w:val="auto"/>
          <w:sz w:val="24"/>
          <w:highlight w:val="none"/>
        </w:rPr>
      </w:pPr>
    </w:p>
    <w:p w14:paraId="13974998">
      <w:pPr>
        <w:snapToGrid w:val="0"/>
        <w:spacing w:line="360" w:lineRule="auto"/>
        <w:jc w:val="left"/>
        <w:rPr>
          <w:rFonts w:hint="eastAsia" w:ascii="宋体" w:hAnsi="宋体"/>
          <w:color w:val="auto"/>
          <w:sz w:val="24"/>
          <w:highlight w:val="none"/>
        </w:rPr>
      </w:pPr>
    </w:p>
    <w:p w14:paraId="7AFE72D1">
      <w:pPr>
        <w:snapToGrid w:val="0"/>
        <w:spacing w:line="360" w:lineRule="auto"/>
        <w:jc w:val="left"/>
        <w:rPr>
          <w:rFonts w:hint="eastAsia" w:ascii="宋体" w:hAnsi="宋体"/>
          <w:color w:val="auto"/>
          <w:sz w:val="24"/>
          <w:highlight w:val="none"/>
        </w:rPr>
      </w:pPr>
    </w:p>
    <w:p w14:paraId="23BD5B76">
      <w:pPr>
        <w:snapToGrid w:val="0"/>
        <w:spacing w:line="360" w:lineRule="auto"/>
        <w:jc w:val="left"/>
        <w:rPr>
          <w:rFonts w:hint="eastAsia"/>
          <w:color w:val="auto"/>
          <w:sz w:val="24"/>
          <w:highlight w:val="none"/>
        </w:rPr>
      </w:pPr>
    </w:p>
    <w:p w14:paraId="45A15EF9">
      <w:pPr>
        <w:snapToGrid w:val="0"/>
        <w:spacing w:line="360" w:lineRule="auto"/>
        <w:jc w:val="left"/>
        <w:rPr>
          <w:rFonts w:hint="eastAsia"/>
          <w:color w:val="auto"/>
          <w:sz w:val="24"/>
          <w:highlight w:val="none"/>
        </w:rPr>
      </w:pPr>
    </w:p>
    <w:p w14:paraId="1DCA1EDC">
      <w:pPr>
        <w:snapToGrid w:val="0"/>
        <w:spacing w:line="360" w:lineRule="auto"/>
        <w:jc w:val="left"/>
        <w:rPr>
          <w:rFonts w:hint="eastAsia"/>
          <w:color w:val="auto"/>
          <w:sz w:val="24"/>
          <w:highlight w:val="none"/>
        </w:rPr>
      </w:pPr>
    </w:p>
    <w:p w14:paraId="65E425D3">
      <w:pPr>
        <w:snapToGrid w:val="0"/>
        <w:spacing w:line="360" w:lineRule="auto"/>
        <w:jc w:val="left"/>
        <w:rPr>
          <w:rFonts w:hint="eastAsia" w:ascii="宋体" w:hAnsi="宋体"/>
          <w:color w:val="auto"/>
          <w:sz w:val="24"/>
          <w:highlight w:val="none"/>
        </w:rPr>
      </w:pPr>
    </w:p>
    <w:p w14:paraId="0286FDE1">
      <w:pPr>
        <w:snapToGrid w:val="0"/>
        <w:spacing w:before="120" w:beforeLines="50" w:line="360" w:lineRule="auto"/>
        <w:ind w:right="480" w:firstLine="3967" w:firstLineChars="1653"/>
        <w:rPr>
          <w:rFonts w:hint="eastAsia" w:ascii="宋体" w:hAnsi="宋体"/>
          <w:color w:val="auto"/>
          <w:sz w:val="24"/>
          <w:highlight w:val="none"/>
          <w:u w:val="single"/>
        </w:rPr>
      </w:pPr>
      <w:r>
        <w:rPr>
          <w:rFonts w:hint="eastAsia" w:ascii="宋体" w:hAnsi="宋体"/>
          <w:color w:val="auto"/>
          <w:sz w:val="24"/>
          <w:highlight w:val="none"/>
        </w:rPr>
        <w:t>法定代表人或者委托代理人（签字）：</w:t>
      </w:r>
      <w:r>
        <w:rPr>
          <w:rFonts w:hint="eastAsia" w:ascii="宋体" w:hAnsi="宋体"/>
          <w:color w:val="auto"/>
          <w:sz w:val="24"/>
          <w:highlight w:val="none"/>
          <w:u w:val="single"/>
        </w:rPr>
        <w:t xml:space="preserve">             </w:t>
      </w:r>
    </w:p>
    <w:p w14:paraId="584B056A">
      <w:pPr>
        <w:snapToGrid w:val="0"/>
        <w:spacing w:before="120" w:beforeLines="50" w:after="50" w:line="360" w:lineRule="auto"/>
        <w:ind w:right="480" w:firstLine="5520" w:firstLineChars="2300"/>
        <w:rPr>
          <w:rFonts w:hint="eastAsia" w:ascii="宋体" w:hAnsi="宋体"/>
          <w:color w:val="auto"/>
          <w:sz w:val="24"/>
          <w:highlight w:val="none"/>
        </w:rPr>
      </w:pPr>
      <w:r>
        <w:rPr>
          <w:rFonts w:hint="eastAsia" w:ascii="宋体" w:hAnsi="宋体"/>
          <w:color w:val="auto"/>
          <w:sz w:val="24"/>
          <w:highlight w:val="none"/>
        </w:rPr>
        <w:t>投标人（盖公章）：</w:t>
      </w:r>
      <w:r>
        <w:rPr>
          <w:rFonts w:hint="eastAsia" w:ascii="宋体" w:hAnsi="宋体"/>
          <w:color w:val="auto"/>
          <w:sz w:val="24"/>
          <w:highlight w:val="none"/>
          <w:u w:val="single"/>
        </w:rPr>
        <w:t xml:space="preserve">                 </w:t>
      </w:r>
    </w:p>
    <w:p w14:paraId="3E1095A4">
      <w:pPr>
        <w:snapToGrid w:val="0"/>
        <w:spacing w:before="120" w:beforeLines="50" w:after="50" w:line="360" w:lineRule="auto"/>
        <w:ind w:right="480" w:firstLine="240" w:firstLineChars="100"/>
        <w:jc w:val="right"/>
        <w:rPr>
          <w:rFonts w:hint="eastAsia" w:ascii="宋体" w:hAnsi="宋体"/>
          <w:color w:val="auto"/>
          <w:sz w:val="24"/>
          <w:highlight w:val="none"/>
        </w:rPr>
      </w:pPr>
      <w:r>
        <w:rPr>
          <w:rFonts w:hint="eastAsia" w:ascii="宋体" w:hAnsi="宋体"/>
          <w:color w:val="auto"/>
          <w:sz w:val="24"/>
          <w:highlight w:val="none"/>
        </w:rPr>
        <w:t xml:space="preserve"> 年    月    日</w:t>
      </w:r>
    </w:p>
    <w:p w14:paraId="300F0846">
      <w:pPr>
        <w:snapToGrid w:val="0"/>
        <w:spacing w:before="50" w:after="120" w:afterLines="50"/>
        <w:jc w:val="left"/>
        <w:rPr>
          <w:rFonts w:hint="eastAsia" w:ascii="宋体" w:hAnsi="宋体"/>
          <w:color w:val="auto"/>
          <w:szCs w:val="21"/>
          <w:highlight w:val="none"/>
        </w:rPr>
      </w:pPr>
    </w:p>
    <w:p w14:paraId="4F803DC9">
      <w:pPr>
        <w:snapToGrid w:val="0"/>
        <w:spacing w:before="120" w:beforeLines="50" w:after="50"/>
        <w:jc w:val="left"/>
        <w:rPr>
          <w:rFonts w:hint="eastAsia" w:ascii="宋体" w:hAnsi="宋体"/>
          <w:b/>
          <w:color w:val="auto"/>
          <w:sz w:val="24"/>
          <w:szCs w:val="20"/>
          <w:highlight w:val="none"/>
        </w:rPr>
      </w:pPr>
    </w:p>
    <w:p w14:paraId="5F2D22FB">
      <w:pPr>
        <w:numPr>
          <w:ilvl w:val="2"/>
          <w:numId w:val="8"/>
        </w:numPr>
        <w:snapToGrid w:val="0"/>
        <w:spacing w:before="120" w:beforeLines="50" w:after="50"/>
        <w:ind w:left="0" w:firstLine="0"/>
        <w:jc w:val="left"/>
        <w:rPr>
          <w:rFonts w:hint="eastAsia"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投标声明格式</w:t>
      </w:r>
    </w:p>
    <w:p w14:paraId="2B43CCC2">
      <w:pPr>
        <w:snapToGrid w:val="0"/>
        <w:spacing w:before="50" w:after="120" w:afterLines="50"/>
        <w:jc w:val="left"/>
        <w:rPr>
          <w:rFonts w:hint="eastAsia" w:ascii="宋体" w:hAnsi="宋体"/>
          <w:color w:val="auto"/>
          <w:highlight w:val="none"/>
        </w:rPr>
      </w:pPr>
    </w:p>
    <w:p w14:paraId="7960AD2A">
      <w:pPr>
        <w:snapToGrid w:val="0"/>
        <w:spacing w:before="50" w:after="120" w:afterLines="50"/>
        <w:jc w:val="center"/>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投标声明</w:t>
      </w:r>
    </w:p>
    <w:p w14:paraId="7C4CA169">
      <w:pPr>
        <w:snapToGrid w:val="0"/>
        <w:spacing w:before="50" w:after="120" w:afterLines="50"/>
        <w:jc w:val="center"/>
        <w:rPr>
          <w:rFonts w:hint="eastAsia" w:ascii="仿宋" w:hAnsi="仿宋" w:eastAsia="仿宋" w:cs="仿宋"/>
          <w:bCs/>
          <w:color w:val="auto"/>
          <w:sz w:val="44"/>
          <w:szCs w:val="44"/>
          <w:highlight w:val="none"/>
        </w:rPr>
      </w:pPr>
    </w:p>
    <w:p w14:paraId="538CDA0E">
      <w:pPr>
        <w:spacing w:line="400" w:lineRule="exact"/>
        <w:contextualSpacing/>
        <w:jc w:val="left"/>
        <w:rPr>
          <w:rFonts w:hint="eastAsia"/>
          <w:color w:val="auto"/>
          <w:sz w:val="24"/>
          <w:highlight w:val="none"/>
        </w:rPr>
      </w:pPr>
      <w:r>
        <w:rPr>
          <w:rFonts w:hint="eastAsia"/>
          <w:color w:val="auto"/>
          <w:sz w:val="24"/>
          <w:highlight w:val="none"/>
        </w:rPr>
        <w:t>（采购人名称）：</w:t>
      </w:r>
    </w:p>
    <w:p w14:paraId="11F5FB4A">
      <w:pPr>
        <w:spacing w:line="400" w:lineRule="exact"/>
        <w:ind w:firstLine="523" w:firstLineChars="218"/>
        <w:contextualSpacing/>
        <w:jc w:val="left"/>
        <w:rPr>
          <w:rFonts w:hint="eastAsia" w:ascii="宋体" w:hAnsi="宋体"/>
          <w:color w:val="auto"/>
          <w:sz w:val="24"/>
          <w:highlight w:val="none"/>
        </w:rPr>
      </w:pPr>
      <w:r>
        <w:rPr>
          <w:rFonts w:hint="eastAsia" w:ascii="宋体" w:hAnsi="宋体"/>
          <w:color w:val="auto"/>
          <w:sz w:val="24"/>
          <w:highlight w:val="none"/>
        </w:rPr>
        <w:t>我方参加贵单位组织</w:t>
      </w:r>
      <w:r>
        <w:rPr>
          <w:rFonts w:hint="eastAsia" w:ascii="宋体" w:hAnsi="宋体"/>
          <w:color w:val="auto"/>
          <w:sz w:val="24"/>
          <w:highlight w:val="none"/>
          <w:u w:val="single"/>
        </w:rPr>
        <w:t xml:space="preserve">             </w:t>
      </w:r>
      <w:r>
        <w:rPr>
          <w:rFonts w:hint="eastAsia" w:ascii="宋体" w:hAnsi="宋体"/>
          <w:color w:val="auto"/>
          <w:sz w:val="24"/>
          <w:highlight w:val="none"/>
        </w:rPr>
        <w:t>项目（项目编号：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）的政府采购活动。我方在此郑重声明：</w:t>
      </w:r>
    </w:p>
    <w:p w14:paraId="46E1B9DE">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我方参加本项目的政府采购活动前三年内在经营活动中没有重大违法记录（重大违法记录是指投标人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投标人资格条件，我方对此声明负全部法律责任。</w:t>
      </w:r>
    </w:p>
    <w:p w14:paraId="4058FEA3">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2.我方不是为本次采购项目提供整体设计、规范编制或者项目管理、监理、检测等服务的投标人。</w:t>
      </w:r>
    </w:p>
    <w:p w14:paraId="639AC409">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 我方承诺符合《中华人民共和国政府采购法》第二十二条规定：</w:t>
      </w:r>
    </w:p>
    <w:p w14:paraId="30EBCF6C">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（一）具有独立承担民事责任的能力；</w:t>
      </w:r>
    </w:p>
    <w:p w14:paraId="3EC38114">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（二）具有良好的商业信誉和健全的财务会计制度；</w:t>
      </w:r>
    </w:p>
    <w:p w14:paraId="5936CFF3">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（三）具有履行合同所必需的设备和专业技术能力；</w:t>
      </w:r>
    </w:p>
    <w:p w14:paraId="662A4986">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（四）有依法缴纳税收和社会保障资金的良好记录；</w:t>
      </w:r>
    </w:p>
    <w:p w14:paraId="549D6626">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（五）参加政府采购活动前三年内，在经营活动中没有重大违法记录；</w:t>
      </w:r>
    </w:p>
    <w:p w14:paraId="0086B4E6">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（六）法律、行政法规规定的其他条件。</w:t>
      </w:r>
    </w:p>
    <w:p w14:paraId="4B29BBB4">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4.以上事项如有虚假或者隐瞒，我方愿意承担一切后果，并不再寻求任何旨在减轻或者免除法律责任的辩解。</w:t>
      </w:r>
    </w:p>
    <w:p w14:paraId="15F9F582">
      <w:pPr>
        <w:spacing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特此承诺。</w:t>
      </w:r>
    </w:p>
    <w:p w14:paraId="069C5DC0">
      <w:pPr>
        <w:spacing w:line="400" w:lineRule="exact"/>
        <w:contextualSpacing/>
        <w:jc w:val="left"/>
        <w:rPr>
          <w:rFonts w:ascii="宋体" w:hAnsi="宋体"/>
          <w:b/>
          <w:color w:val="auto"/>
          <w:sz w:val="24"/>
          <w:highlight w:val="none"/>
        </w:rPr>
      </w:pPr>
      <w:r>
        <w:rPr>
          <w:rFonts w:hint="eastAsia" w:ascii="宋体" w:hAnsi="宋体"/>
          <w:b/>
          <w:color w:val="auto"/>
          <w:sz w:val="24"/>
          <w:highlight w:val="none"/>
        </w:rPr>
        <w:t xml:space="preserve">    注：如为联合体投标，盖章处须加盖联合体各方公章并由联合体各方法定代表人分别签字，否则投标无效。</w:t>
      </w:r>
    </w:p>
    <w:p w14:paraId="68A22B31">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 xml:space="preserve">                                          法定代表人（签字或者盖章）：</w:t>
      </w:r>
      <w:r>
        <w:rPr>
          <w:rFonts w:hint="eastAsia" w:ascii="宋体" w:hAnsi="宋体"/>
          <w:color w:val="auto"/>
          <w:sz w:val="24"/>
          <w:highlight w:val="none"/>
          <w:u w:val="single"/>
        </w:rPr>
        <w:t xml:space="preserve">             </w:t>
      </w:r>
    </w:p>
    <w:p w14:paraId="6F68220C">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 xml:space="preserve">                                          投标人（盖公章）：</w:t>
      </w:r>
      <w:r>
        <w:rPr>
          <w:rFonts w:hint="eastAsia" w:ascii="宋体" w:hAnsi="宋体"/>
          <w:color w:val="auto"/>
          <w:sz w:val="24"/>
          <w:highlight w:val="none"/>
          <w:u w:val="single"/>
        </w:rPr>
        <w:t xml:space="preserve">                 </w:t>
      </w:r>
    </w:p>
    <w:p w14:paraId="47410723">
      <w:pPr>
        <w:spacing w:line="400" w:lineRule="exact"/>
        <w:contextualSpacing/>
        <w:jc w:val="left"/>
        <w:rPr>
          <w:rFonts w:hint="eastAsia" w:ascii="宋体" w:hAnsi="宋体"/>
          <w:color w:val="auto"/>
          <w:highlight w:val="none"/>
        </w:rPr>
      </w:pPr>
      <w:r>
        <w:rPr>
          <w:rFonts w:hint="eastAsia" w:ascii="宋体" w:hAnsi="宋体"/>
          <w:color w:val="auto"/>
          <w:sz w:val="24"/>
          <w:highlight w:val="none"/>
        </w:rPr>
        <w:t xml:space="preserve">                                                  年    月    日</w:t>
      </w:r>
    </w:p>
    <w:p w14:paraId="3012DE01">
      <w:pPr>
        <w:rPr>
          <w:rFonts w:hint="eastAsia"/>
          <w:b/>
          <w:color w:val="auto"/>
          <w:sz w:val="28"/>
          <w:szCs w:val="28"/>
          <w:highlight w:val="none"/>
        </w:rPr>
      </w:pPr>
      <w:bookmarkStart w:id="150" w:name="_Toc19686838"/>
      <w:r>
        <w:rPr>
          <w:b/>
          <w:color w:val="auto"/>
          <w:sz w:val="28"/>
          <w:szCs w:val="28"/>
          <w:highlight w:val="none"/>
        </w:rPr>
        <w:br w:type="page"/>
      </w:r>
      <w:r>
        <w:rPr>
          <w:rFonts w:hint="eastAsia"/>
          <w:b/>
          <w:color w:val="auto"/>
          <w:sz w:val="28"/>
          <w:szCs w:val="28"/>
          <w:highlight w:val="none"/>
        </w:rPr>
        <w:t>三、商务文件格式</w:t>
      </w:r>
      <w:bookmarkEnd w:id="150"/>
    </w:p>
    <w:p w14:paraId="57A86771">
      <w:pPr>
        <w:snapToGrid w:val="0"/>
        <w:spacing w:before="120" w:beforeLines="50" w:after="50" w:line="360" w:lineRule="auto"/>
        <w:jc w:val="left"/>
        <w:rPr>
          <w:rFonts w:hint="eastAsia" w:ascii="宋体" w:hAnsi="宋体"/>
          <w:b/>
          <w:color w:val="auto"/>
          <w:sz w:val="24"/>
          <w:highlight w:val="none"/>
        </w:rPr>
      </w:pPr>
      <w:r>
        <w:rPr>
          <w:rFonts w:hint="eastAsia" w:ascii="宋体" w:hAnsi="宋体"/>
          <w:b/>
          <w:color w:val="auto"/>
          <w:sz w:val="24"/>
          <w:highlight w:val="none"/>
        </w:rPr>
        <w:t xml:space="preserve">1.商务文件封面格式： </w:t>
      </w:r>
    </w:p>
    <w:p w14:paraId="17516630">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712AD1CC">
      <w:pPr>
        <w:snapToGrid w:val="0"/>
        <w:spacing w:before="120" w:beforeLines="50" w:after="50"/>
        <w:rPr>
          <w:rFonts w:hint="eastAsia" w:ascii="宋体" w:hAnsi="宋体"/>
          <w:color w:val="auto"/>
          <w:sz w:val="24"/>
          <w:szCs w:val="20"/>
          <w:highlight w:val="none"/>
        </w:rPr>
      </w:pPr>
    </w:p>
    <w:p w14:paraId="12D9C79E">
      <w:pPr>
        <w:snapToGrid w:val="0"/>
        <w:spacing w:before="120" w:beforeLines="50" w:after="50"/>
        <w:rPr>
          <w:rFonts w:hint="eastAsia" w:ascii="宋体" w:hAnsi="宋体"/>
          <w:color w:val="auto"/>
          <w:sz w:val="24"/>
          <w:szCs w:val="20"/>
          <w:highlight w:val="none"/>
        </w:rPr>
      </w:pPr>
    </w:p>
    <w:p w14:paraId="57D32D94">
      <w:pPr>
        <w:snapToGrid w:val="0"/>
        <w:spacing w:before="120" w:beforeLines="50" w:after="50"/>
        <w:rPr>
          <w:rFonts w:hint="eastAsia" w:ascii="宋体" w:hAnsi="宋体"/>
          <w:color w:val="auto"/>
          <w:sz w:val="24"/>
          <w:szCs w:val="20"/>
          <w:highlight w:val="none"/>
        </w:rPr>
      </w:pPr>
    </w:p>
    <w:p w14:paraId="0DBE71EB">
      <w:pPr>
        <w:snapToGrid w:val="0"/>
        <w:spacing w:before="120" w:beforeLines="50" w:after="50"/>
        <w:jc w:val="center"/>
        <w:rPr>
          <w:rFonts w:hint="eastAsia" w:ascii="仿宋" w:hAnsi="仿宋" w:eastAsia="仿宋" w:cs="仿宋"/>
          <w:color w:val="auto"/>
          <w:sz w:val="84"/>
          <w:szCs w:val="84"/>
          <w:highlight w:val="none"/>
        </w:rPr>
      </w:pPr>
      <w:r>
        <w:rPr>
          <w:rFonts w:hint="eastAsia" w:ascii="仿宋" w:hAnsi="仿宋" w:eastAsia="仿宋" w:cs="仿宋"/>
          <w:color w:val="auto"/>
          <w:sz w:val="84"/>
          <w:szCs w:val="84"/>
          <w:highlight w:val="none"/>
        </w:rPr>
        <w:t>投  标  文  件</w:t>
      </w:r>
    </w:p>
    <w:p w14:paraId="0AE8B35E">
      <w:pPr>
        <w:snapToGrid w:val="0"/>
        <w:spacing w:before="120" w:beforeLines="50" w:after="50"/>
        <w:rPr>
          <w:rFonts w:hint="eastAsia" w:ascii="宋体" w:hAnsi="宋体"/>
          <w:color w:val="auto"/>
          <w:sz w:val="24"/>
          <w:szCs w:val="20"/>
          <w:highlight w:val="none"/>
        </w:rPr>
      </w:pPr>
    </w:p>
    <w:p w14:paraId="61A00878">
      <w:pPr>
        <w:snapToGrid w:val="0"/>
        <w:spacing w:before="120" w:beforeLines="50" w:after="50"/>
        <w:rPr>
          <w:rFonts w:hint="eastAsia" w:ascii="宋体" w:hAnsi="宋体"/>
          <w:color w:val="auto"/>
          <w:sz w:val="24"/>
          <w:szCs w:val="20"/>
          <w:highlight w:val="none"/>
        </w:rPr>
      </w:pPr>
    </w:p>
    <w:p w14:paraId="0FDA71DF">
      <w:pPr>
        <w:snapToGrid w:val="0"/>
        <w:spacing w:before="120" w:beforeLines="50" w:after="50"/>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商  务  文  件</w:t>
      </w:r>
    </w:p>
    <w:p w14:paraId="42B4E996">
      <w:pPr>
        <w:snapToGrid w:val="0"/>
        <w:spacing w:before="120" w:beforeLines="50" w:after="50"/>
        <w:rPr>
          <w:rFonts w:hint="eastAsia" w:ascii="宋体" w:hAnsi="宋体"/>
          <w:bCs/>
          <w:color w:val="auto"/>
          <w:sz w:val="24"/>
          <w:szCs w:val="20"/>
          <w:highlight w:val="none"/>
        </w:rPr>
      </w:pPr>
    </w:p>
    <w:p w14:paraId="658AFF6E">
      <w:pPr>
        <w:snapToGrid w:val="0"/>
        <w:spacing w:before="120" w:beforeLines="50" w:after="50"/>
        <w:ind w:firstLine="540" w:firstLineChars="225"/>
        <w:rPr>
          <w:rFonts w:hint="eastAsia" w:ascii="宋体" w:hAnsi="宋体"/>
          <w:bCs/>
          <w:color w:val="auto"/>
          <w:sz w:val="24"/>
          <w:highlight w:val="none"/>
        </w:rPr>
      </w:pPr>
    </w:p>
    <w:p w14:paraId="431C2914">
      <w:pPr>
        <w:snapToGrid w:val="0"/>
        <w:spacing w:before="120" w:beforeLines="50" w:after="50"/>
        <w:ind w:firstLine="540" w:firstLineChars="225"/>
        <w:rPr>
          <w:rFonts w:hint="eastAsia" w:ascii="宋体" w:hAnsi="宋体"/>
          <w:bCs/>
          <w:color w:val="auto"/>
          <w:sz w:val="24"/>
          <w:highlight w:val="none"/>
        </w:rPr>
      </w:pPr>
    </w:p>
    <w:p w14:paraId="505DE8DC">
      <w:pPr>
        <w:snapToGrid w:val="0"/>
        <w:spacing w:before="120" w:beforeLines="50" w:after="50"/>
        <w:ind w:firstLine="540" w:firstLineChars="225"/>
        <w:rPr>
          <w:rFonts w:hint="eastAsia" w:ascii="宋体" w:hAnsi="宋体"/>
          <w:bCs/>
          <w:color w:val="auto"/>
          <w:sz w:val="24"/>
          <w:highlight w:val="none"/>
        </w:rPr>
      </w:pPr>
    </w:p>
    <w:p w14:paraId="266C395C">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p>
    <w:p w14:paraId="445EB1D7">
      <w:pPr>
        <w:snapToGrid w:val="0"/>
        <w:spacing w:before="120" w:beforeLines="50" w:after="50"/>
        <w:ind w:firstLine="540" w:firstLineChars="225"/>
        <w:rPr>
          <w:rFonts w:hint="eastAsia" w:ascii="宋体" w:hAnsi="宋体"/>
          <w:bCs/>
          <w:color w:val="auto"/>
          <w:sz w:val="24"/>
          <w:szCs w:val="20"/>
          <w:highlight w:val="none"/>
        </w:rPr>
      </w:pPr>
    </w:p>
    <w:p w14:paraId="6EDC6B5F">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646010F9">
      <w:pPr>
        <w:snapToGrid w:val="0"/>
        <w:spacing w:before="120"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2100FAAD">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w:t>
      </w:r>
    </w:p>
    <w:p w14:paraId="45A74D8C">
      <w:pPr>
        <w:snapToGrid w:val="0"/>
        <w:spacing w:before="120" w:beforeLines="50" w:after="50"/>
        <w:ind w:firstLine="540" w:firstLineChars="225"/>
        <w:rPr>
          <w:rFonts w:hint="eastAsia" w:ascii="宋体" w:hAnsi="宋体"/>
          <w:bCs/>
          <w:color w:val="auto"/>
          <w:sz w:val="24"/>
          <w:szCs w:val="20"/>
          <w:highlight w:val="none"/>
        </w:rPr>
      </w:pPr>
    </w:p>
    <w:p w14:paraId="2AE93F95">
      <w:pPr>
        <w:pStyle w:val="8"/>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3412E996">
      <w:pPr>
        <w:pStyle w:val="8"/>
        <w:snapToGrid w:val="0"/>
        <w:spacing w:before="50" w:after="50"/>
        <w:ind w:firstLine="540" w:firstLineChars="225"/>
        <w:rPr>
          <w:rFonts w:hint="eastAsia" w:ascii="宋体" w:hAnsi="宋体"/>
          <w:bCs/>
          <w:color w:val="auto"/>
          <w:sz w:val="24"/>
          <w:szCs w:val="24"/>
          <w:highlight w:val="none"/>
        </w:rPr>
      </w:pPr>
    </w:p>
    <w:p w14:paraId="2AE3013C">
      <w:pPr>
        <w:pStyle w:val="8"/>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投标人地址：</w:t>
      </w:r>
    </w:p>
    <w:p w14:paraId="646187A7">
      <w:pPr>
        <w:pStyle w:val="8"/>
        <w:snapToGrid w:val="0"/>
        <w:spacing w:before="50" w:after="50"/>
        <w:ind w:firstLine="960" w:firstLineChars="400"/>
        <w:rPr>
          <w:rFonts w:hint="eastAsia" w:ascii="宋体" w:hAnsi="宋体"/>
          <w:bCs/>
          <w:color w:val="auto"/>
          <w:sz w:val="24"/>
          <w:szCs w:val="24"/>
          <w:highlight w:val="none"/>
        </w:rPr>
      </w:pPr>
    </w:p>
    <w:p w14:paraId="465EC853">
      <w:pPr>
        <w:snapToGrid w:val="0"/>
        <w:spacing w:before="120" w:beforeLines="50" w:after="50"/>
        <w:ind w:firstLine="645"/>
        <w:rPr>
          <w:rFonts w:ascii="宋体" w:hAnsi="宋体"/>
          <w:color w:val="auto"/>
          <w:sz w:val="24"/>
          <w:highlight w:val="none"/>
        </w:rPr>
      </w:pPr>
      <w:r>
        <w:rPr>
          <w:rFonts w:hint="eastAsia" w:ascii="宋体" w:hAnsi="宋体"/>
          <w:color w:val="auto"/>
          <w:sz w:val="24"/>
          <w:highlight w:val="none"/>
        </w:rPr>
        <w:t xml:space="preserve">                        年  月  日</w:t>
      </w:r>
    </w:p>
    <w:p w14:paraId="2C364E18">
      <w:pPr>
        <w:snapToGrid w:val="0"/>
        <w:spacing w:before="120"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2B52E33D">
      <w:pPr>
        <w:snapToGrid w:val="0"/>
        <w:spacing w:line="360" w:lineRule="auto"/>
        <w:jc w:val="left"/>
        <w:rPr>
          <w:rFonts w:hint="eastAsia" w:ascii="宋体" w:hAnsi="宋体"/>
          <w:b/>
          <w:bCs/>
          <w:color w:val="auto"/>
          <w:sz w:val="28"/>
          <w:szCs w:val="28"/>
          <w:highlight w:val="none"/>
        </w:rPr>
      </w:pPr>
      <w:r>
        <w:rPr>
          <w:rFonts w:ascii="宋体" w:hAnsi="宋体"/>
          <w:color w:val="auto"/>
          <w:sz w:val="24"/>
          <w:szCs w:val="20"/>
          <w:highlight w:val="none"/>
        </w:rPr>
        <w:br w:type="page"/>
      </w:r>
      <w:r>
        <w:rPr>
          <w:rFonts w:hint="eastAsia" w:ascii="宋体" w:hAnsi="宋体"/>
          <w:b/>
          <w:bCs/>
          <w:color w:val="auto"/>
          <w:sz w:val="24"/>
          <w:highlight w:val="none"/>
        </w:rPr>
        <w:t>2.商务文件目录</w:t>
      </w:r>
    </w:p>
    <w:p w14:paraId="2FC8E24B">
      <w:pPr>
        <w:snapToGrid w:val="0"/>
        <w:spacing w:before="50" w:after="120" w:afterLines="50" w:line="360" w:lineRule="auto"/>
        <w:ind w:firstLine="480" w:firstLineChars="200"/>
        <w:jc w:val="left"/>
        <w:rPr>
          <w:rFonts w:ascii="微软雅黑" w:hAnsi="微软雅黑" w:eastAsia="微软雅黑"/>
          <w:b/>
          <w:bCs/>
          <w:color w:val="auto"/>
          <w:sz w:val="32"/>
          <w:szCs w:val="32"/>
          <w:highlight w:val="none"/>
        </w:rPr>
      </w:pPr>
      <w:r>
        <w:rPr>
          <w:rFonts w:hint="eastAsia" w:ascii="宋体" w:hAnsi="宋体"/>
          <w:color w:val="auto"/>
          <w:sz w:val="24"/>
          <w:highlight w:val="none"/>
        </w:rPr>
        <w:t>根据招标文件规定及投标人提供的材料自行编写目录。</w:t>
      </w:r>
    </w:p>
    <w:p w14:paraId="7BAD9463">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1、无串通投标行为的承诺函</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59690143">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2、投标保证金提交凭证</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5ECC5877">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3、法定代表人身份证明及法定代表人有效身份证正反面复印件</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07B19CAE">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4、授权委托书及委托代理人有效身份证正反面复印件</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5B2F9625">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5、商务要求偏离表</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60D6D47E">
      <w:pPr>
        <w:snapToGrid w:val="0"/>
        <w:spacing w:line="400" w:lineRule="exact"/>
        <w:jc w:val="left"/>
        <w:rPr>
          <w:rFonts w:hint="eastAsia"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、服务承诺</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62E55852">
      <w:pPr>
        <w:snapToGrid w:val="0"/>
        <w:spacing w:line="400" w:lineRule="exact"/>
        <w:jc w:val="left"/>
        <w:rPr>
          <w:rFonts w:hint="eastAsia"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、投标人情况介绍</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12091292">
      <w:pPr>
        <w:snapToGrid w:val="0"/>
        <w:spacing w:line="400" w:lineRule="exact"/>
        <w:jc w:val="left"/>
        <w:rPr>
          <w:rFonts w:hint="eastAsia" w:ascii="宋体" w:hAnsi="宋体"/>
          <w:color w:val="auto"/>
          <w:szCs w:val="21"/>
          <w:highlight w:val="none"/>
        </w:rPr>
      </w:pPr>
      <w:r>
        <w:rPr>
          <w:rFonts w:ascii="宋体" w:hAnsi="宋体"/>
          <w:color w:val="auto"/>
          <w:szCs w:val="21"/>
          <w:highlight w:val="none"/>
        </w:rPr>
        <w:t>8</w:t>
      </w:r>
      <w:r>
        <w:rPr>
          <w:rFonts w:hint="eastAsia" w:ascii="宋体" w:hAnsi="宋体"/>
          <w:color w:val="auto"/>
          <w:szCs w:val="21"/>
          <w:highlight w:val="none"/>
        </w:rPr>
        <w:t>、除招标文件规定必须提供以外，投标人认为需要提供的其他证明材料</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61829416">
      <w:pPr>
        <w:snapToGrid w:val="0"/>
        <w:spacing w:before="50" w:after="120" w:afterLines="50"/>
        <w:jc w:val="left"/>
        <w:rPr>
          <w:rFonts w:hint="eastAsia" w:ascii="宋体" w:hAnsi="宋体"/>
          <w:color w:val="auto"/>
          <w:highlight w:val="none"/>
        </w:rPr>
      </w:pPr>
    </w:p>
    <w:p w14:paraId="1A3E069C">
      <w:pPr>
        <w:snapToGrid w:val="0"/>
        <w:spacing w:before="120" w:beforeLines="50" w:after="50"/>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3.投标人参加本项目无围标串标行为的承诺</w:t>
      </w:r>
    </w:p>
    <w:p w14:paraId="411060E0">
      <w:pPr>
        <w:snapToGrid w:val="0"/>
        <w:spacing w:before="120" w:beforeLines="50" w:after="50"/>
        <w:jc w:val="left"/>
        <w:rPr>
          <w:rFonts w:hint="eastAsia" w:ascii="宋体" w:hAnsi="宋体"/>
          <w:b/>
          <w:color w:val="auto"/>
          <w:sz w:val="24"/>
          <w:highlight w:val="none"/>
        </w:rPr>
      </w:pPr>
    </w:p>
    <w:p w14:paraId="27ABD956">
      <w:pPr>
        <w:spacing w:line="360" w:lineRule="auto"/>
        <w:ind w:left="420"/>
        <w:contextualSpacing/>
        <w:jc w:val="center"/>
        <w:rPr>
          <w:rFonts w:ascii="宋体" w:hAnsi="宋体"/>
          <w:b/>
          <w:color w:val="auto"/>
          <w:sz w:val="24"/>
          <w:highlight w:val="none"/>
        </w:rPr>
      </w:pPr>
      <w:r>
        <w:rPr>
          <w:rFonts w:hint="eastAsia" w:ascii="仿宋" w:hAnsi="仿宋" w:eastAsia="仿宋" w:cs="仿宋"/>
          <w:bCs/>
          <w:color w:val="auto"/>
          <w:spacing w:val="-11"/>
          <w:sz w:val="44"/>
          <w:szCs w:val="44"/>
          <w:highlight w:val="none"/>
        </w:rPr>
        <w:t>投标人参加本项目无围标串标行为的承诺函</w:t>
      </w:r>
    </w:p>
    <w:p w14:paraId="030E858C">
      <w:pPr>
        <w:spacing w:line="440" w:lineRule="exact"/>
        <w:contextualSpacing/>
        <w:jc w:val="left"/>
        <w:rPr>
          <w:rFonts w:hint="eastAsia" w:ascii="宋体" w:hAnsi="宋体"/>
          <w:b/>
          <w:color w:val="auto"/>
          <w:sz w:val="24"/>
          <w:highlight w:val="none"/>
        </w:rPr>
      </w:pPr>
      <w:r>
        <w:rPr>
          <w:rFonts w:hint="eastAsia" w:ascii="宋体" w:hAnsi="宋体"/>
          <w:b/>
          <w:color w:val="auto"/>
          <w:sz w:val="24"/>
          <w:highlight w:val="none"/>
        </w:rPr>
        <w:t>一、我方承诺无下列相互串通投标的情形：</w:t>
      </w:r>
    </w:p>
    <w:p w14:paraId="6F3CCB0E">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1.不同投标人的投标文件由同一单位或者个人编制；</w:t>
      </w:r>
    </w:p>
    <w:p w14:paraId="22AC5477">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2.不同投标人委托同一单位或者个人办理投标事宜；</w:t>
      </w:r>
    </w:p>
    <w:p w14:paraId="79FAD797">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3.不同的投标人的投标文件载明的项目管理员为同一个人；</w:t>
      </w:r>
    </w:p>
    <w:p w14:paraId="2023C5E0">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4.不同投标人的投标文件异常一致或者投标报价呈规律性差异；</w:t>
      </w:r>
    </w:p>
    <w:p w14:paraId="2C02E5ED">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5.不同投标人的投标文件相互混装；</w:t>
      </w:r>
    </w:p>
    <w:p w14:paraId="3B2C46D1">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6.不同投标人的投标保证金从同一单位或者个人账户转出。</w:t>
      </w:r>
    </w:p>
    <w:p w14:paraId="6759F790">
      <w:pPr>
        <w:spacing w:line="440" w:lineRule="exact"/>
        <w:contextualSpacing/>
        <w:jc w:val="left"/>
        <w:rPr>
          <w:rFonts w:hint="eastAsia" w:ascii="宋体" w:hAnsi="宋体"/>
          <w:color w:val="auto"/>
          <w:sz w:val="24"/>
          <w:highlight w:val="none"/>
        </w:rPr>
      </w:pPr>
      <w:r>
        <w:rPr>
          <w:rFonts w:hint="eastAsia" w:ascii="宋体" w:hAnsi="宋体"/>
          <w:b/>
          <w:color w:val="auto"/>
          <w:sz w:val="24"/>
          <w:highlight w:val="none"/>
        </w:rPr>
        <w:t>二、我方承诺无下列恶意串通的情形：</w:t>
      </w:r>
    </w:p>
    <w:p w14:paraId="01F3ABFD">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1.投标人直接或者间接从采购人或者采购代理机构处获得其他投标人的相关信息并修改其投标文件或者响应文件；</w:t>
      </w:r>
    </w:p>
    <w:p w14:paraId="7FF5EA3F">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2.投标人按照采购人或者采购代理机构的授意撤换、修改投标文件或者响应文件；</w:t>
      </w:r>
    </w:p>
    <w:p w14:paraId="41EB842C">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3.投标人之间协商报价、技术方案等投标文件或者响应文件的实质性内容；</w:t>
      </w:r>
    </w:p>
    <w:p w14:paraId="0221B933">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4.属于同一集团、协会、商会等组织成员的投标人按照该组织要求协同参加政府采购活动；</w:t>
      </w:r>
    </w:p>
    <w:p w14:paraId="7880DA71">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165BE423">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6.投标人之间商定部分投标人放弃参加政府采购活动或者放弃中标；</w:t>
      </w:r>
    </w:p>
    <w:p w14:paraId="0B772610">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7.投标人与采购人或者采购代理机构之间、投标人相互之间，为谋求特定投标人中标或者排斥其他投标人的其他串通行为。</w:t>
      </w:r>
    </w:p>
    <w:p w14:paraId="18AD8D12">
      <w:pPr>
        <w:spacing w:line="440" w:lineRule="exact"/>
        <w:ind w:firstLine="472" w:firstLineChars="196"/>
        <w:contextualSpacing/>
        <w:jc w:val="left"/>
        <w:rPr>
          <w:rFonts w:hint="eastAsia"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以上情形一经核查属实，我方愿意承担一切后果，并不再寻求任何旨在减轻或者免除法律责任的辩解。</w:t>
      </w:r>
    </w:p>
    <w:p w14:paraId="0BC13B6B">
      <w:pPr>
        <w:pStyle w:val="27"/>
        <w:spacing w:line="440" w:lineRule="exact"/>
        <w:ind w:firstLine="6840" w:firstLineChars="2850"/>
        <w:contextualSpacing/>
        <w:rPr>
          <w:rFonts w:hint="eastAsia" w:hAnsi="宋体"/>
          <w:color w:val="auto"/>
          <w:sz w:val="24"/>
          <w:szCs w:val="24"/>
          <w:highlight w:val="none"/>
        </w:rPr>
      </w:pPr>
    </w:p>
    <w:p w14:paraId="3101C460">
      <w:pPr>
        <w:pStyle w:val="27"/>
        <w:spacing w:line="440" w:lineRule="exact"/>
        <w:contextualSpacing/>
        <w:jc w:val="center"/>
        <w:rPr>
          <w:rFonts w:hint="eastAsia" w:hAnsi="宋体"/>
          <w:color w:val="auto"/>
          <w:sz w:val="24"/>
          <w:szCs w:val="24"/>
          <w:highlight w:val="none"/>
        </w:rPr>
      </w:pPr>
      <w:r>
        <w:rPr>
          <w:rFonts w:hint="eastAsia" w:hAnsi="宋体"/>
          <w:color w:val="auto"/>
          <w:sz w:val="24"/>
          <w:szCs w:val="24"/>
          <w:highlight w:val="none"/>
        </w:rPr>
        <w:t xml:space="preserve"> </w:t>
      </w:r>
      <w:r>
        <w:rPr>
          <w:rFonts w:hAnsi="宋体"/>
          <w:color w:val="auto"/>
          <w:sz w:val="24"/>
          <w:szCs w:val="24"/>
          <w:highlight w:val="none"/>
        </w:rPr>
        <w:t xml:space="preserve">                                   </w:t>
      </w:r>
      <w:r>
        <w:rPr>
          <w:rFonts w:hint="eastAsia" w:hAnsi="宋体"/>
          <w:color w:val="auto"/>
          <w:sz w:val="24"/>
          <w:szCs w:val="24"/>
          <w:highlight w:val="none"/>
        </w:rPr>
        <w:t>投标人名称（公章）</w:t>
      </w:r>
    </w:p>
    <w:p w14:paraId="3171F12A">
      <w:pPr>
        <w:pStyle w:val="27"/>
        <w:spacing w:line="440" w:lineRule="exact"/>
        <w:contextualSpacing/>
        <w:rPr>
          <w:rFonts w:hint="eastAsia" w:hAnsi="宋体"/>
          <w:color w:val="auto"/>
          <w:sz w:val="24"/>
          <w:highlight w:val="none"/>
        </w:rPr>
      </w:pPr>
      <w:r>
        <w:rPr>
          <w:rFonts w:hint="eastAsia" w:hAnsi="宋体"/>
          <w:color w:val="auto"/>
          <w:sz w:val="24"/>
          <w:highlight w:val="none"/>
        </w:rPr>
        <w:t xml:space="preserve">                                                </w:t>
      </w:r>
      <w:r>
        <w:rPr>
          <w:rFonts w:hint="eastAsia" w:hAnsi="宋体"/>
          <w:color w:val="auto"/>
          <w:sz w:val="24"/>
          <w:highlight w:val="none"/>
          <w:u w:val="single"/>
        </w:rPr>
        <w:t xml:space="preserve">      </w:t>
      </w:r>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p>
    <w:p w14:paraId="22EDB416">
      <w:pPr>
        <w:snapToGrid w:val="0"/>
        <w:spacing w:before="120" w:beforeLines="50" w:after="50"/>
        <w:jc w:val="left"/>
        <w:rPr>
          <w:rFonts w:hint="eastAsia" w:ascii="宋体" w:hAnsi="宋体"/>
          <w:b/>
          <w:color w:val="auto"/>
          <w:sz w:val="24"/>
          <w:szCs w:val="20"/>
          <w:highlight w:val="none"/>
        </w:rPr>
      </w:pPr>
      <w:r>
        <w:rPr>
          <w:rFonts w:hint="eastAsia" w:ascii="宋体" w:hAnsi="宋体"/>
          <w:b/>
          <w:color w:val="auto"/>
          <w:sz w:val="24"/>
          <w:highlight w:val="none"/>
        </w:rPr>
        <w:br w:type="page"/>
      </w:r>
      <w:r>
        <w:rPr>
          <w:rFonts w:hint="eastAsia" w:ascii="宋体" w:hAnsi="宋体"/>
          <w:b/>
          <w:color w:val="auto"/>
          <w:sz w:val="24"/>
          <w:highlight w:val="none"/>
        </w:rPr>
        <w:t>4.法定代表人身份证明</w:t>
      </w:r>
    </w:p>
    <w:p w14:paraId="03FE5B55">
      <w:pPr>
        <w:spacing w:before="240" w:beforeLines="100" w:after="120" w:afterLines="50"/>
        <w:ind w:left="540"/>
        <w:jc w:val="center"/>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法定代表人身份证明</w:t>
      </w:r>
    </w:p>
    <w:p w14:paraId="43AEBEB9">
      <w:pPr>
        <w:spacing w:line="500" w:lineRule="exact"/>
        <w:ind w:left="540"/>
        <w:rPr>
          <w:rFonts w:hint="eastAsia"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6610CA7A">
      <w:pPr>
        <w:spacing w:line="500" w:lineRule="exact"/>
        <w:ind w:left="540"/>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5DA04F36">
      <w:pPr>
        <w:spacing w:line="500" w:lineRule="exact"/>
        <w:ind w:left="540"/>
        <w:rPr>
          <w:rFonts w:hint="eastAsia"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520C5392">
      <w:pPr>
        <w:spacing w:line="500" w:lineRule="exact"/>
        <w:ind w:left="540"/>
        <w:rPr>
          <w:rFonts w:hint="eastAsia"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4FD309F1">
      <w:pPr>
        <w:spacing w:line="500" w:lineRule="exact"/>
        <w:ind w:left="540"/>
        <w:rPr>
          <w:rFonts w:hint="eastAsia"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rFonts w:hint="eastAsia"/>
          <w:color w:val="auto"/>
          <w:sz w:val="24"/>
          <w:highlight w:val="none"/>
          <w:u w:val="single"/>
        </w:rPr>
        <w:t xml:space="preserve">                                 </w:t>
      </w:r>
    </w:p>
    <w:p w14:paraId="1AEBCD61">
      <w:pPr>
        <w:spacing w:line="500" w:lineRule="exact"/>
        <w:ind w:left="54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373FC85E">
      <w:pPr>
        <w:spacing w:line="500" w:lineRule="exact"/>
        <w:ind w:left="540"/>
        <w:rPr>
          <w:rFonts w:hint="eastAsia" w:ascii="宋体" w:hAnsi="宋体"/>
          <w:color w:val="auto"/>
          <w:sz w:val="24"/>
          <w:highlight w:val="none"/>
        </w:rPr>
      </w:pPr>
      <w:r>
        <w:rPr>
          <w:rFonts w:hint="eastAsia" w:ascii="宋体" w:hAnsi="宋体"/>
          <w:color w:val="auto"/>
          <w:sz w:val="24"/>
          <w:highlight w:val="none"/>
        </w:rPr>
        <w:t>特此证明。</w:t>
      </w:r>
    </w:p>
    <w:p w14:paraId="538020C8">
      <w:pPr>
        <w:spacing w:line="500" w:lineRule="exact"/>
        <w:ind w:left="540"/>
        <w:rPr>
          <w:rFonts w:hint="eastAsia" w:ascii="宋体" w:hAnsi="宋体"/>
          <w:color w:val="auto"/>
          <w:sz w:val="24"/>
          <w:highlight w:val="none"/>
        </w:rPr>
      </w:pPr>
    </w:p>
    <w:p w14:paraId="4C36828D">
      <w:pPr>
        <w:spacing w:line="500" w:lineRule="exact"/>
        <w:ind w:left="540"/>
        <w:rPr>
          <w:rFonts w:hint="eastAsia" w:ascii="宋体" w:hAnsi="宋体"/>
          <w:color w:val="auto"/>
          <w:sz w:val="24"/>
          <w:highlight w:val="none"/>
        </w:rPr>
      </w:pPr>
    </w:p>
    <w:p w14:paraId="5BFF033C">
      <w:pPr>
        <w:spacing w:line="500" w:lineRule="exact"/>
        <w:ind w:left="540"/>
        <w:rPr>
          <w:rFonts w:hint="eastAsia" w:ascii="宋体" w:hAnsi="宋体"/>
          <w:color w:val="auto"/>
          <w:sz w:val="24"/>
          <w:highlight w:val="none"/>
        </w:rPr>
      </w:pPr>
      <w:r>
        <w:rPr>
          <w:rFonts w:hint="eastAsia" w:ascii="宋体" w:hAnsi="宋体"/>
          <w:color w:val="auto"/>
          <w:sz w:val="24"/>
          <w:highlight w:val="none"/>
        </w:rPr>
        <w:t>附件：法定代表人有效身份证正反面复印件</w:t>
      </w:r>
    </w:p>
    <w:p w14:paraId="47F96E5F">
      <w:pPr>
        <w:spacing w:line="500" w:lineRule="exact"/>
        <w:ind w:left="540"/>
        <w:rPr>
          <w:rFonts w:hint="eastAsia" w:ascii="宋体" w:hAnsi="宋体"/>
          <w:color w:val="auto"/>
          <w:sz w:val="24"/>
          <w:highlight w:val="none"/>
        </w:rPr>
      </w:pPr>
    </w:p>
    <w:p w14:paraId="50E431EF">
      <w:pPr>
        <w:spacing w:line="500" w:lineRule="exact"/>
        <w:ind w:left="540"/>
        <w:jc w:val="right"/>
        <w:rPr>
          <w:rFonts w:hint="eastAsia" w:ascii="宋体" w:hAnsi="宋体"/>
          <w:color w:val="auto"/>
          <w:sz w:val="24"/>
          <w:highlight w:val="none"/>
        </w:rPr>
      </w:pPr>
      <w:r>
        <w:rPr>
          <w:rFonts w:hint="eastAsia" w:ascii="宋体" w:hAnsi="宋体"/>
          <w:color w:val="auto"/>
          <w:sz w:val="24"/>
          <w:highlight w:val="none"/>
        </w:rPr>
        <w:t>投标人名称（公章）</w:t>
      </w:r>
    </w:p>
    <w:p w14:paraId="5D55441A">
      <w:pPr>
        <w:spacing w:line="500" w:lineRule="exact"/>
        <w:ind w:left="540"/>
        <w:jc w:val="right"/>
        <w:rPr>
          <w:rFonts w:hint="eastAsia" w:ascii="宋体" w:hAnsi="宋体"/>
          <w:color w:val="auto"/>
          <w:sz w:val="24"/>
          <w:highlight w:val="none"/>
        </w:rPr>
      </w:pPr>
    </w:p>
    <w:p w14:paraId="23C657E2">
      <w:pPr>
        <w:snapToGrid w:val="0"/>
        <w:spacing w:before="120" w:beforeLines="50" w:after="50"/>
        <w:ind w:left="540"/>
        <w:jc w:val="right"/>
        <w:rPr>
          <w:rFonts w:hint="eastAsia"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6CC091B0">
      <w:pPr>
        <w:snapToGrid w:val="0"/>
        <w:spacing w:before="120" w:beforeLines="50" w:after="50"/>
        <w:jc w:val="center"/>
        <w:rPr>
          <w:rFonts w:hint="eastAsia" w:ascii="宋体" w:hAnsi="宋体"/>
          <w:b/>
          <w:color w:val="auto"/>
          <w:sz w:val="24"/>
          <w:highlight w:val="none"/>
        </w:rPr>
      </w:pPr>
    </w:p>
    <w:p w14:paraId="3C76CCB8">
      <w:pPr>
        <w:snapToGrid w:val="0"/>
        <w:spacing w:before="120" w:beforeLines="50" w:after="50"/>
        <w:jc w:val="left"/>
        <w:rPr>
          <w:rFonts w:hint="eastAsia" w:ascii="宋体" w:hAnsi="宋体"/>
          <w:b/>
          <w:color w:val="auto"/>
          <w:sz w:val="24"/>
          <w:szCs w:val="20"/>
          <w:highlight w:val="none"/>
        </w:rPr>
      </w:pPr>
      <w:r>
        <w:rPr>
          <w:rFonts w:hint="eastAsia" w:ascii="宋体" w:hAnsi="宋体"/>
          <w:color w:val="auto"/>
          <w:sz w:val="24"/>
          <w:highlight w:val="none"/>
        </w:rPr>
        <w:t>注：自然人投标的无需提供</w:t>
      </w:r>
    </w:p>
    <w:p w14:paraId="7F3A28F4">
      <w:pPr>
        <w:snapToGrid w:val="0"/>
        <w:spacing w:before="120" w:beforeLines="50" w:after="50"/>
        <w:jc w:val="left"/>
        <w:rPr>
          <w:rFonts w:hint="eastAsia"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5.授权委托书格式</w:t>
      </w:r>
    </w:p>
    <w:p w14:paraId="3BF70D6B">
      <w:pPr>
        <w:snapToGrid w:val="0"/>
        <w:spacing w:before="120" w:beforeLines="50" w:after="50"/>
        <w:jc w:val="center"/>
        <w:rPr>
          <w:rFonts w:hint="eastAsia" w:ascii="宋体" w:hAnsi="宋体"/>
          <w:b/>
          <w:color w:val="auto"/>
          <w:sz w:val="44"/>
          <w:szCs w:val="44"/>
          <w:highlight w:val="none"/>
        </w:rPr>
      </w:pPr>
    </w:p>
    <w:p w14:paraId="1F7E1367">
      <w:pPr>
        <w:spacing w:line="360" w:lineRule="auto"/>
        <w:contextualSpacing/>
        <w:jc w:val="center"/>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授权委托书</w:t>
      </w:r>
    </w:p>
    <w:p w14:paraId="445ABFC4">
      <w:pPr>
        <w:spacing w:line="360" w:lineRule="auto"/>
        <w:contextualSpacing/>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（非联合体投标格式）</w:t>
      </w:r>
    </w:p>
    <w:p w14:paraId="7DBF6E9E">
      <w:pPr>
        <w:spacing w:line="360" w:lineRule="auto"/>
        <w:contextualSpacing/>
        <w:jc w:val="center"/>
        <w:rPr>
          <w:rFonts w:hint="eastAsia" w:ascii="仿宋" w:hAnsi="仿宋" w:eastAsia="仿宋" w:cs="仿宋"/>
          <w:bCs/>
          <w:color w:val="auto"/>
          <w:sz w:val="24"/>
          <w:highlight w:val="none"/>
        </w:rPr>
      </w:pPr>
      <w:r>
        <w:rPr>
          <w:rFonts w:hint="eastAsia" w:ascii="仿宋" w:hAnsi="仿宋" w:eastAsia="仿宋" w:cs="仿宋"/>
          <w:bCs/>
          <w:color w:val="auto"/>
          <w:sz w:val="32"/>
          <w:szCs w:val="32"/>
          <w:highlight w:val="none"/>
        </w:rPr>
        <w:t>（如有委托时）</w:t>
      </w:r>
    </w:p>
    <w:p w14:paraId="34D1FE90">
      <w:pPr>
        <w:spacing w:line="440" w:lineRule="exact"/>
        <w:contextualSpacing/>
        <w:jc w:val="center"/>
        <w:rPr>
          <w:rFonts w:hint="eastAsia" w:ascii="宋体" w:hAnsi="宋体"/>
          <w:b/>
          <w:color w:val="auto"/>
          <w:sz w:val="24"/>
          <w:highlight w:val="none"/>
        </w:rPr>
      </w:pPr>
    </w:p>
    <w:p w14:paraId="584382F1">
      <w:pPr>
        <w:spacing w:line="440" w:lineRule="exact"/>
        <w:contextualSpacing/>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5AC3B19C">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我</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项目的投标活动，并代表我方全权办理针对上述项目的所有采购程序和环节的具体事务和签署相关文件。</w:t>
      </w:r>
    </w:p>
    <w:p w14:paraId="3C8E9BB8">
      <w:pPr>
        <w:spacing w:line="440" w:lineRule="exact"/>
        <w:contextualSpacing/>
        <w:rPr>
          <w:rFonts w:hint="eastAsia" w:ascii="宋体" w:hAnsi="宋体"/>
          <w:color w:val="auto"/>
          <w:sz w:val="24"/>
          <w:highlight w:val="none"/>
        </w:rPr>
      </w:pPr>
      <w:r>
        <w:rPr>
          <w:rFonts w:hint="eastAsia" w:ascii="宋体" w:hAnsi="宋体"/>
          <w:color w:val="auto"/>
          <w:sz w:val="24"/>
          <w:highlight w:val="none"/>
        </w:rPr>
        <w:t xml:space="preserve">    我方对委托代理人的签字事项负全部责任。</w:t>
      </w:r>
    </w:p>
    <w:p w14:paraId="5750AEC5">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16B0181A">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rPr>
        <w:t>委托代理人无转委托权，特此委托。</w:t>
      </w:r>
    </w:p>
    <w:p w14:paraId="4AC2D119">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rPr>
        <w:t>附：法定代表人身份证明及委托代理人有效身份证正反面复印件</w:t>
      </w:r>
    </w:p>
    <w:p w14:paraId="57F83DC9">
      <w:pPr>
        <w:spacing w:line="440" w:lineRule="exact"/>
        <w:contextualSpacing/>
        <w:rPr>
          <w:rFonts w:hint="eastAsia" w:ascii="宋体" w:hAnsi="宋体"/>
          <w:color w:val="auto"/>
          <w:sz w:val="24"/>
          <w:highlight w:val="none"/>
        </w:rPr>
      </w:pPr>
    </w:p>
    <w:p w14:paraId="44FD316A">
      <w:pPr>
        <w:spacing w:line="440" w:lineRule="exact"/>
        <w:contextualSpacing/>
        <w:rPr>
          <w:rFonts w:hint="eastAsia" w:ascii="宋体" w:hAnsi="宋体"/>
          <w:color w:val="auto"/>
          <w:sz w:val="24"/>
          <w:highlight w:val="none"/>
          <w:u w:val="single"/>
        </w:rPr>
      </w:pPr>
      <w:r>
        <w:rPr>
          <w:rFonts w:hint="eastAsia" w:ascii="宋体" w:hAnsi="宋体"/>
          <w:color w:val="auto"/>
          <w:sz w:val="24"/>
          <w:highlight w:val="none"/>
        </w:rPr>
        <w:t>委托代理人（签字）：</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法定代表人（签字或者盖章）：</w:t>
      </w:r>
      <w:r>
        <w:rPr>
          <w:rFonts w:hint="eastAsia" w:ascii="宋体" w:hAnsi="宋体"/>
          <w:color w:val="auto"/>
          <w:sz w:val="24"/>
          <w:highlight w:val="none"/>
          <w:u w:val="single"/>
        </w:rPr>
        <w:t xml:space="preserve">              </w:t>
      </w:r>
    </w:p>
    <w:p w14:paraId="20E078F4">
      <w:pPr>
        <w:spacing w:line="440" w:lineRule="exact"/>
        <w:contextualSpacing/>
        <w:rPr>
          <w:rFonts w:hint="eastAsia" w:ascii="宋体" w:hAnsi="宋体"/>
          <w:color w:val="auto"/>
          <w:sz w:val="24"/>
          <w:highlight w:val="none"/>
        </w:rPr>
      </w:pPr>
      <w:r>
        <w:rPr>
          <w:rFonts w:hint="eastAsia" w:ascii="宋体" w:hAnsi="宋体"/>
          <w:color w:val="auto"/>
          <w:sz w:val="24"/>
          <w:highlight w:val="none"/>
        </w:rPr>
        <w:t>委托代理人身份证号码：</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52DDD4D9">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投标人（盖公章）：</w:t>
      </w:r>
    </w:p>
    <w:p w14:paraId="1D83CF54">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年    月    日</w:t>
      </w:r>
    </w:p>
    <w:p w14:paraId="0152B0CA">
      <w:pPr>
        <w:spacing w:line="440" w:lineRule="exact"/>
        <w:contextualSpacing/>
        <w:rPr>
          <w:rFonts w:hint="eastAsia" w:ascii="宋体" w:hAnsi="宋体" w:cs="仿宋_GB2312"/>
          <w:color w:val="auto"/>
          <w:sz w:val="24"/>
          <w:highlight w:val="none"/>
        </w:rPr>
      </w:pPr>
      <w:r>
        <w:rPr>
          <w:rFonts w:hint="eastAsia" w:ascii="宋体" w:hAnsi="宋体" w:cs="仿宋_GB2312"/>
          <w:color w:val="auto"/>
          <w:sz w:val="24"/>
          <w:highlight w:val="none"/>
        </w:rPr>
        <w:t>注：1.</w:t>
      </w:r>
      <w:bookmarkStart w:id="151" w:name="_Hlk65851555"/>
      <w:bookmarkStart w:id="152" w:name="_Hlk65851620"/>
      <w:r>
        <w:rPr>
          <w:rFonts w:hint="eastAsia" w:ascii="宋体" w:hAnsi="宋体" w:cs="仿宋_GB2312"/>
          <w:color w:val="auto"/>
          <w:sz w:val="24"/>
          <w:highlight w:val="none"/>
        </w:rPr>
        <w:t>法定代表人必须在授权委托书上亲笔签字或者盖章，</w:t>
      </w:r>
      <w:bookmarkEnd w:id="151"/>
      <w:r>
        <w:rPr>
          <w:rFonts w:hint="eastAsia" w:ascii="宋体" w:hAnsi="宋体" w:cs="仿宋_GB2312"/>
          <w:color w:val="auto"/>
          <w:sz w:val="24"/>
          <w:highlight w:val="none"/>
        </w:rPr>
        <w:t>委托代理人必须在授权委托书上亲笔签字，</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bookmarkEnd w:id="152"/>
    </w:p>
    <w:p w14:paraId="0E232A4E">
      <w:pPr>
        <w:spacing w:line="440" w:lineRule="exact"/>
        <w:ind w:firstLine="480" w:firstLineChars="200"/>
        <w:contextualSpacing/>
        <w:jc w:val="left"/>
        <w:rPr>
          <w:rFonts w:hint="eastAsia" w:ascii="宋体" w:hAnsi="宋体"/>
          <w:color w:val="auto"/>
          <w:sz w:val="24"/>
          <w:highlight w:val="none"/>
        </w:rPr>
      </w:pPr>
      <w:r>
        <w:rPr>
          <w:rFonts w:hint="eastAsia" w:ascii="宋体" w:hAnsi="宋体" w:cs="仿宋_GB2312"/>
          <w:color w:val="auto"/>
          <w:sz w:val="24"/>
          <w:highlight w:val="none"/>
        </w:rPr>
        <w:t>2.法人、其他组织投标时“我方”是指“我单位”，自然人投标时“我方”是指“本人”。</w:t>
      </w:r>
    </w:p>
    <w:p w14:paraId="41C480E0">
      <w:pPr>
        <w:snapToGrid w:val="0"/>
        <w:spacing w:before="120" w:beforeLines="50" w:after="50"/>
        <w:ind w:firstLine="566" w:firstLineChars="236"/>
        <w:jc w:val="center"/>
        <w:rPr>
          <w:rFonts w:hint="eastAsia" w:ascii="仿宋" w:hAnsi="仿宋" w:eastAsia="仿宋" w:cs="仿宋"/>
          <w:color w:val="auto"/>
          <w:sz w:val="44"/>
          <w:szCs w:val="44"/>
          <w:highlight w:val="none"/>
        </w:rPr>
      </w:pPr>
      <w:r>
        <w:rPr>
          <w:rFonts w:ascii="宋体" w:hAnsi="宋体"/>
          <w:color w:val="auto"/>
          <w:sz w:val="24"/>
          <w:highlight w:val="none"/>
        </w:rPr>
        <w:br w:type="page"/>
      </w:r>
      <w:r>
        <w:rPr>
          <w:rFonts w:hint="eastAsia" w:ascii="仿宋" w:hAnsi="仿宋" w:eastAsia="仿宋" w:cs="仿宋"/>
          <w:color w:val="auto"/>
          <w:sz w:val="44"/>
          <w:szCs w:val="44"/>
          <w:highlight w:val="none"/>
        </w:rPr>
        <w:t>授权委托书</w:t>
      </w:r>
    </w:p>
    <w:p w14:paraId="659DB5C3">
      <w:pPr>
        <w:snapToGrid w:val="0"/>
        <w:spacing w:before="120" w:beforeLines="50" w:after="50"/>
        <w:ind w:firstLine="755" w:firstLineChars="236"/>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（联合体投标格式）</w:t>
      </w:r>
    </w:p>
    <w:p w14:paraId="180D4E6C">
      <w:pPr>
        <w:snapToGrid w:val="0"/>
        <w:spacing w:before="120" w:beforeLines="50" w:after="50"/>
        <w:ind w:firstLine="755" w:firstLineChars="236"/>
        <w:jc w:val="center"/>
        <w:rPr>
          <w:rFonts w:hint="eastAsia" w:ascii="仿宋" w:hAnsi="仿宋" w:eastAsia="仿宋" w:cs="仿宋"/>
          <w:color w:val="auto"/>
          <w:sz w:val="24"/>
          <w:highlight w:val="none"/>
        </w:rPr>
      </w:pPr>
      <w:r>
        <w:rPr>
          <w:rFonts w:hint="eastAsia" w:ascii="仿宋" w:hAnsi="仿宋" w:eastAsia="仿宋" w:cs="仿宋"/>
          <w:color w:val="auto"/>
          <w:sz w:val="32"/>
          <w:szCs w:val="32"/>
          <w:highlight w:val="none"/>
        </w:rPr>
        <w:t>（如有委托时）</w:t>
      </w:r>
    </w:p>
    <w:p w14:paraId="1E2D5E02">
      <w:pPr>
        <w:spacing w:line="440" w:lineRule="exact"/>
        <w:contextualSpacing/>
        <w:jc w:val="left"/>
        <w:rPr>
          <w:rFonts w:hint="eastAsia" w:ascii="宋体" w:hAnsi="宋体"/>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0AE14722">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 xml:space="preserve">根据 </w:t>
      </w:r>
      <w:r>
        <w:rPr>
          <w:rFonts w:hint="eastAsia" w:ascii="宋体" w:hAnsi="宋体"/>
          <w:color w:val="auto"/>
          <w:sz w:val="24"/>
          <w:highlight w:val="none"/>
          <w:u w:val="single"/>
        </w:rPr>
        <w:t xml:space="preserve"> （牵头人名称）</w:t>
      </w:r>
      <w:r>
        <w:rPr>
          <w:rFonts w:hint="eastAsia" w:ascii="宋体" w:hAnsi="宋体"/>
          <w:color w:val="auto"/>
          <w:sz w:val="24"/>
          <w:highlight w:val="none"/>
        </w:rPr>
        <w:t>与</w:t>
      </w:r>
      <w:r>
        <w:rPr>
          <w:rFonts w:hint="eastAsia" w:ascii="宋体" w:hAnsi="宋体"/>
          <w:color w:val="auto"/>
          <w:sz w:val="24"/>
          <w:highlight w:val="none"/>
          <w:u w:val="single"/>
        </w:rPr>
        <w:t>（联合体其他成员名称）</w:t>
      </w:r>
      <w:r>
        <w:rPr>
          <w:rFonts w:hint="eastAsia" w:ascii="宋体" w:hAnsi="宋体"/>
          <w:color w:val="auto"/>
          <w:sz w:val="24"/>
          <w:highlight w:val="none"/>
        </w:rPr>
        <w:t>签订的《联合体投标协议书》的内容，</w:t>
      </w:r>
      <w:r>
        <w:rPr>
          <w:rFonts w:hint="eastAsia" w:ascii="宋体" w:hAnsi="宋体"/>
          <w:color w:val="auto"/>
          <w:sz w:val="24"/>
          <w:highlight w:val="none"/>
          <w:u w:val="single"/>
        </w:rPr>
        <w:t>（牵头人名称）</w:t>
      </w:r>
      <w:r>
        <w:rPr>
          <w:rFonts w:hint="eastAsia" w:ascii="宋体" w:hAnsi="宋体"/>
          <w:color w:val="auto"/>
          <w:sz w:val="24"/>
          <w:highlight w:val="none"/>
        </w:rPr>
        <w:t>的法定代表人</w:t>
      </w:r>
      <w:r>
        <w:rPr>
          <w:rFonts w:hint="eastAsia" w:ascii="宋体" w:hAnsi="宋体"/>
          <w:color w:val="auto"/>
          <w:sz w:val="24"/>
          <w:highlight w:val="none"/>
          <w:u w:val="single"/>
        </w:rPr>
        <w:t>（姓名）</w:t>
      </w:r>
      <w:r>
        <w:rPr>
          <w:rFonts w:hint="eastAsia" w:ascii="宋体" w:hAnsi="宋体"/>
          <w:color w:val="auto"/>
          <w:sz w:val="24"/>
          <w:highlight w:val="none"/>
        </w:rPr>
        <w:t>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项目的投标活动，并代表我方全权办理针对上述项目的所有采购程序和环节的具体事务和签署相关文件。</w:t>
      </w:r>
    </w:p>
    <w:p w14:paraId="27A3F139">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我方对委托代理人的签字事项负全部责任。</w:t>
      </w:r>
    </w:p>
    <w:p w14:paraId="581228B4">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本授权书自签署之日起生效，在撤销授权的书面通知以前，本授权书一直有效。委托代理人在授权书有效期内签署的所有文件不因授权的撤销而失效。</w:t>
      </w:r>
    </w:p>
    <w:p w14:paraId="44F6D847">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委托代理人无转委托权，特此委托。</w:t>
      </w:r>
    </w:p>
    <w:p w14:paraId="25B278C8">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附：牵头人法定代表人身份证明及委托代理人有效身份证正反面复印件</w:t>
      </w:r>
    </w:p>
    <w:p w14:paraId="3F907586">
      <w:pPr>
        <w:spacing w:line="440" w:lineRule="exact"/>
        <w:ind w:firstLine="566" w:firstLineChars="236"/>
        <w:contextualSpacing/>
        <w:rPr>
          <w:rFonts w:hint="eastAsia" w:ascii="宋体" w:hAnsi="宋体"/>
          <w:color w:val="auto"/>
          <w:sz w:val="24"/>
          <w:highlight w:val="none"/>
        </w:rPr>
      </w:pPr>
    </w:p>
    <w:p w14:paraId="493D7828">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牵头人法定代表人（签字或者盖章）：</w:t>
      </w:r>
    </w:p>
    <w:p w14:paraId="5567CF94">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牵头人（盖公章）：</w:t>
      </w:r>
    </w:p>
    <w:p w14:paraId="57EE0128">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日期：    年   月   日</w:t>
      </w:r>
    </w:p>
    <w:p w14:paraId="55C9EACF">
      <w:pPr>
        <w:spacing w:line="440" w:lineRule="exact"/>
        <w:ind w:firstLine="566" w:firstLineChars="236"/>
        <w:contextualSpacing/>
        <w:rPr>
          <w:rFonts w:hint="eastAsia" w:ascii="宋体" w:hAnsi="宋体"/>
          <w:color w:val="auto"/>
          <w:sz w:val="24"/>
          <w:highlight w:val="none"/>
        </w:rPr>
      </w:pPr>
    </w:p>
    <w:p w14:paraId="37EAC92F">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被授权人（签字）：</w:t>
      </w:r>
    </w:p>
    <w:p w14:paraId="43CA78A3">
      <w:pPr>
        <w:spacing w:line="440" w:lineRule="exact"/>
        <w:ind w:firstLine="566" w:firstLineChars="236"/>
        <w:contextualSpacing/>
        <w:rPr>
          <w:rFonts w:hint="eastAsia" w:ascii="宋体" w:hAnsi="宋体" w:cs="仿宋_GB2312"/>
          <w:color w:val="auto"/>
          <w:sz w:val="32"/>
          <w:szCs w:val="32"/>
          <w:highlight w:val="none"/>
        </w:rPr>
      </w:pPr>
      <w:r>
        <w:rPr>
          <w:rFonts w:hint="eastAsia" w:ascii="宋体" w:hAnsi="宋体"/>
          <w:color w:val="auto"/>
          <w:sz w:val="24"/>
          <w:highlight w:val="none"/>
        </w:rPr>
        <w:t>日期：    年   月   日</w:t>
      </w:r>
    </w:p>
    <w:p w14:paraId="7F909DB9">
      <w:pPr>
        <w:spacing w:line="440" w:lineRule="exact"/>
        <w:contextualSpacing/>
        <w:rPr>
          <w:rFonts w:hint="eastAsia" w:ascii="宋体" w:hAnsi="宋体" w:cs="仿宋_GB2312"/>
          <w:color w:val="auto"/>
          <w:sz w:val="24"/>
          <w:highlight w:val="none"/>
        </w:rPr>
      </w:pPr>
      <w:r>
        <w:rPr>
          <w:rFonts w:hint="eastAsia" w:ascii="宋体" w:hAnsi="宋体" w:cs="仿宋_GB2312"/>
          <w:color w:val="auto"/>
          <w:sz w:val="24"/>
          <w:highlight w:val="none"/>
        </w:rPr>
        <w:t>注：1. 法定代表人必须在授权委托书上亲笔签字或者盖章，委托代理人必须在授权委托书上亲笔签字，</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p>
    <w:p w14:paraId="26F3DF13">
      <w:pPr>
        <w:spacing w:line="440" w:lineRule="exact"/>
        <w:ind w:firstLine="480" w:firstLineChars="200"/>
        <w:contextualSpacing/>
        <w:jc w:val="left"/>
        <w:rPr>
          <w:rFonts w:ascii="宋体" w:hAnsi="宋体" w:cs="仿宋_GB2312"/>
          <w:color w:val="auto"/>
          <w:sz w:val="24"/>
          <w:highlight w:val="none"/>
        </w:rPr>
      </w:pPr>
      <w:r>
        <w:rPr>
          <w:rFonts w:hint="eastAsia" w:ascii="宋体" w:hAnsi="宋体" w:cs="仿宋_GB2312"/>
          <w:color w:val="auto"/>
          <w:sz w:val="24"/>
          <w:highlight w:val="none"/>
        </w:rPr>
        <w:t>2.本授权委托书应由联合体牵头人的法定代表人按上述规定签字。</w:t>
      </w:r>
    </w:p>
    <w:p w14:paraId="3FB2DB5B">
      <w:pPr>
        <w:spacing w:line="440" w:lineRule="exact"/>
        <w:ind w:firstLine="480" w:firstLineChars="200"/>
        <w:contextualSpacing/>
        <w:jc w:val="left"/>
        <w:rPr>
          <w:rFonts w:hint="eastAsia" w:ascii="宋体" w:hAnsi="宋体"/>
          <w:color w:val="auto"/>
          <w:sz w:val="24"/>
          <w:highlight w:val="none"/>
        </w:rPr>
      </w:pPr>
      <w:r>
        <w:rPr>
          <w:rFonts w:hint="eastAsia" w:ascii="宋体" w:hAnsi="宋体" w:cs="仿宋_GB2312"/>
          <w:color w:val="auto"/>
          <w:sz w:val="24"/>
          <w:highlight w:val="none"/>
        </w:rPr>
        <w:t>3</w:t>
      </w:r>
      <w:r>
        <w:rPr>
          <w:rFonts w:ascii="宋体" w:hAnsi="宋体" w:cs="仿宋_GB2312"/>
          <w:color w:val="auto"/>
          <w:sz w:val="24"/>
          <w:highlight w:val="none"/>
        </w:rPr>
        <w:t>.</w:t>
      </w:r>
      <w:r>
        <w:rPr>
          <w:rFonts w:hint="eastAsia" w:ascii="宋体" w:hAnsi="宋体" w:cs="仿宋_GB2312"/>
          <w:color w:val="auto"/>
          <w:sz w:val="24"/>
          <w:highlight w:val="none"/>
        </w:rPr>
        <w:t>法人、其他组织投标时“我方”是指“我单位”，自然人投标时“我方”是指“本人”。</w:t>
      </w:r>
    </w:p>
    <w:p w14:paraId="4B9AA4B8">
      <w:pPr>
        <w:snapToGrid w:val="0"/>
        <w:spacing w:before="50" w:after="120" w:afterLines="50"/>
        <w:ind w:firstLine="480" w:firstLineChars="200"/>
        <w:jc w:val="left"/>
        <w:rPr>
          <w:rFonts w:hint="eastAsia" w:ascii="宋体" w:hAnsi="宋体"/>
          <w:color w:val="auto"/>
          <w:sz w:val="24"/>
          <w:highlight w:val="none"/>
        </w:rPr>
        <w:sectPr>
          <w:pgSz w:w="11906" w:h="16838"/>
          <w:pgMar w:top="1134" w:right="1134" w:bottom="2269" w:left="1134" w:header="851" w:footer="567" w:gutter="0"/>
          <w:pgNumType w:fmt="decimal"/>
          <w:cols w:space="720" w:num="1"/>
          <w:docGrid w:linePitch="312" w:charSpace="0"/>
        </w:sectPr>
      </w:pPr>
    </w:p>
    <w:p w14:paraId="28AA254E">
      <w:pPr>
        <w:rPr>
          <w:rFonts w:hint="eastAsia" w:ascii="宋体" w:hAnsi="宋体"/>
          <w:color w:val="auto"/>
          <w:sz w:val="24"/>
          <w:highlight w:val="none"/>
        </w:rPr>
      </w:pPr>
    </w:p>
    <w:p w14:paraId="7742B88B">
      <w:pPr>
        <w:rPr>
          <w:rFonts w:hint="eastAsia" w:ascii="宋体" w:hAnsi="宋体"/>
          <w:b/>
          <w:color w:val="auto"/>
          <w:sz w:val="24"/>
          <w:szCs w:val="20"/>
          <w:highlight w:val="none"/>
        </w:rPr>
      </w:pPr>
      <w:r>
        <w:rPr>
          <w:rFonts w:hint="eastAsia" w:ascii="宋体" w:hAnsi="宋体"/>
          <w:b/>
          <w:color w:val="auto"/>
          <w:sz w:val="24"/>
          <w:highlight w:val="none"/>
        </w:rPr>
        <w:t>6.商务要求偏离表格式（注：按项目需求表具体项目修改）</w:t>
      </w:r>
    </w:p>
    <w:p w14:paraId="0CB49A1C">
      <w:pPr>
        <w:snapToGrid w:val="0"/>
        <w:spacing w:before="50"/>
        <w:jc w:val="left"/>
        <w:rPr>
          <w:rFonts w:hint="eastAsia" w:ascii="宋体" w:hAnsi="宋体"/>
          <w:color w:val="auto"/>
          <w:sz w:val="24"/>
          <w:highlight w:val="none"/>
        </w:rPr>
      </w:pPr>
    </w:p>
    <w:p w14:paraId="6CC568F0">
      <w:pPr>
        <w:pStyle w:val="27"/>
        <w:rPr>
          <w:rFonts w:hint="eastAsia"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u w:val="single"/>
          <w:lang w:val="en-US" w:eastAsia="zh-CN"/>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p w14:paraId="26B993A9">
      <w:pPr>
        <w:snapToGrid w:val="0"/>
        <w:spacing w:before="50"/>
        <w:jc w:val="left"/>
        <w:rPr>
          <w:rFonts w:hint="eastAsia" w:ascii="宋体" w:hAnsi="宋体"/>
          <w:color w:val="auto"/>
          <w:sz w:val="24"/>
          <w:highlight w:val="none"/>
          <w:u w:val="single"/>
        </w:rPr>
      </w:pPr>
    </w:p>
    <w:tbl>
      <w:tblPr>
        <w:tblStyle w:val="49"/>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05"/>
        <w:gridCol w:w="2541"/>
        <w:gridCol w:w="1760"/>
        <w:gridCol w:w="2035"/>
      </w:tblGrid>
      <w:tr w14:paraId="42BB0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305" w:type="dxa"/>
            <w:tcBorders>
              <w:top w:val="single" w:color="auto" w:sz="4" w:space="0"/>
              <w:left w:val="single" w:color="auto" w:sz="4" w:space="0"/>
              <w:bottom w:val="single" w:color="auto" w:sz="4" w:space="0"/>
              <w:right w:val="single" w:color="auto" w:sz="4" w:space="0"/>
            </w:tcBorders>
            <w:noWrap w:val="0"/>
            <w:vAlign w:val="top"/>
          </w:tcPr>
          <w:p w14:paraId="0B6BC315">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项目</w:t>
            </w:r>
          </w:p>
        </w:tc>
        <w:tc>
          <w:tcPr>
            <w:tcW w:w="2541" w:type="dxa"/>
            <w:tcBorders>
              <w:top w:val="single" w:color="auto" w:sz="4" w:space="0"/>
              <w:left w:val="single" w:color="auto" w:sz="4" w:space="0"/>
              <w:bottom w:val="single" w:color="auto" w:sz="4" w:space="0"/>
              <w:right w:val="single" w:color="auto" w:sz="4" w:space="0"/>
            </w:tcBorders>
            <w:noWrap w:val="0"/>
            <w:vAlign w:val="top"/>
          </w:tcPr>
          <w:p w14:paraId="54E9A656">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noWrap w:val="0"/>
            <w:vAlign w:val="top"/>
          </w:tcPr>
          <w:p w14:paraId="7C74400F">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noWrap w:val="0"/>
            <w:vAlign w:val="top"/>
          </w:tcPr>
          <w:p w14:paraId="32CED2ED">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偏离说明</w:t>
            </w:r>
          </w:p>
        </w:tc>
      </w:tr>
      <w:tr w14:paraId="147E66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3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6EC300">
            <w:pPr>
              <w:spacing w:line="360" w:lineRule="atLeast"/>
              <w:jc w:val="center"/>
              <w:rPr>
                <w:rFonts w:hint="eastAsia" w:ascii="宋体" w:hAnsi="宋体" w:eastAsia="宋体" w:cs="宋体"/>
                <w:b/>
                <w:bCs/>
                <w:kern w:val="2"/>
                <w:sz w:val="21"/>
                <w:szCs w:val="21"/>
                <w:lang w:val="en-US" w:eastAsia="zh-CN" w:bidi="ar-SA"/>
              </w:rPr>
            </w:pPr>
            <w:r>
              <w:rPr>
                <w:rFonts w:hint="eastAsia" w:ascii="宋体" w:hAnsi="宋体" w:eastAsia="宋体" w:cs="宋体"/>
                <w:szCs w:val="21"/>
              </w:rPr>
              <w:t>服务期及地点</w:t>
            </w:r>
          </w:p>
        </w:tc>
        <w:tc>
          <w:tcPr>
            <w:tcW w:w="2541" w:type="dxa"/>
            <w:tcBorders>
              <w:top w:val="single" w:color="auto" w:sz="4" w:space="0"/>
              <w:left w:val="single" w:color="auto" w:sz="4" w:space="0"/>
              <w:bottom w:val="single" w:color="auto" w:sz="4" w:space="0"/>
              <w:right w:val="single" w:color="auto" w:sz="4" w:space="0"/>
            </w:tcBorders>
            <w:noWrap w:val="0"/>
            <w:vAlign w:val="top"/>
          </w:tcPr>
          <w:p w14:paraId="61C909DD">
            <w:pPr>
              <w:snapToGrid w:val="0"/>
              <w:spacing w:before="120" w:beforeLines="5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5157D76B">
            <w:pPr>
              <w:snapToGrid w:val="0"/>
              <w:spacing w:before="120" w:beforeLines="5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18E2059F">
            <w:pPr>
              <w:snapToGrid w:val="0"/>
              <w:spacing w:before="120" w:beforeLines="50"/>
              <w:jc w:val="center"/>
              <w:rPr>
                <w:rFonts w:hint="eastAsia" w:ascii="宋体" w:hAnsi="宋体"/>
                <w:color w:val="auto"/>
                <w:sz w:val="24"/>
                <w:highlight w:val="none"/>
              </w:rPr>
            </w:pPr>
          </w:p>
        </w:tc>
      </w:tr>
      <w:tr w14:paraId="4C57D7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3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25EAAB">
            <w:pPr>
              <w:spacing w:before="34" w:line="229" w:lineRule="auto"/>
              <w:ind w:left="117" w:leftChars="0"/>
              <w:jc w:val="center"/>
              <w:rPr>
                <w:rFonts w:hint="eastAsia" w:ascii="宋体" w:hAnsi="宋体" w:eastAsia="宋体" w:cs="宋体"/>
                <w:kern w:val="2"/>
                <w:sz w:val="22"/>
                <w:szCs w:val="21"/>
                <w:lang w:val="en-US" w:eastAsia="en-US" w:bidi="ar-SA"/>
              </w:rPr>
            </w:pPr>
            <w:r>
              <w:rPr>
                <w:rFonts w:ascii="宋体" w:hAnsi="宋体" w:eastAsia="宋体" w:cs="宋体"/>
                <w:spacing w:val="7"/>
                <w:szCs w:val="21"/>
                <w:lang w:eastAsia="en-US"/>
              </w:rPr>
              <w:t>合同签订期</w:t>
            </w:r>
          </w:p>
        </w:tc>
        <w:tc>
          <w:tcPr>
            <w:tcW w:w="2541" w:type="dxa"/>
            <w:tcBorders>
              <w:top w:val="single" w:color="auto" w:sz="4" w:space="0"/>
              <w:left w:val="single" w:color="auto" w:sz="4" w:space="0"/>
              <w:bottom w:val="single" w:color="auto" w:sz="4" w:space="0"/>
              <w:right w:val="single" w:color="auto" w:sz="4" w:space="0"/>
            </w:tcBorders>
            <w:noWrap w:val="0"/>
            <w:vAlign w:val="top"/>
          </w:tcPr>
          <w:p w14:paraId="61B64C85">
            <w:pPr>
              <w:snapToGrid w:val="0"/>
              <w:spacing w:before="120" w:beforeLines="50"/>
              <w:rPr>
                <w:rFonts w:hint="eastAsia" w:ascii="宋体" w:hAnsi="宋体"/>
                <w:color w:val="auto"/>
                <w:sz w:val="24"/>
                <w:highlight w:val="none"/>
                <w:u w:val="singl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244A82F5">
            <w:pPr>
              <w:snapToGrid w:val="0"/>
              <w:spacing w:before="120" w:beforeLines="50"/>
              <w:ind w:left="43"/>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69C3EAC5">
            <w:pPr>
              <w:snapToGrid w:val="0"/>
              <w:spacing w:before="120" w:beforeLines="50"/>
              <w:ind w:left="43"/>
              <w:jc w:val="center"/>
              <w:rPr>
                <w:rFonts w:hint="eastAsia" w:ascii="宋体" w:hAnsi="宋体"/>
                <w:color w:val="auto"/>
                <w:sz w:val="24"/>
                <w:highlight w:val="none"/>
              </w:rPr>
            </w:pPr>
          </w:p>
        </w:tc>
      </w:tr>
      <w:tr w14:paraId="0256C6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EFAE30">
            <w:pPr>
              <w:spacing w:line="400" w:lineRule="exact"/>
              <w:jc w:val="center"/>
              <w:rPr>
                <w:rFonts w:hint="eastAsia" w:ascii="宋体" w:hAnsi="宋体" w:eastAsia="宋体" w:cs="Times New Roman"/>
                <w:b/>
                <w:bCs/>
                <w:kern w:val="2"/>
                <w:sz w:val="21"/>
                <w:szCs w:val="21"/>
                <w:lang w:val="en-US" w:eastAsia="zh-CN" w:bidi="ar-SA"/>
              </w:rPr>
            </w:pPr>
            <w:r>
              <w:rPr>
                <w:rFonts w:hint="eastAsia" w:ascii="宋体" w:hAnsi="宋体" w:eastAsia="宋体" w:cs="Times New Roman"/>
                <w:szCs w:val="21"/>
              </w:rPr>
              <w:t>付款方式及条件</w:t>
            </w:r>
          </w:p>
        </w:tc>
        <w:tc>
          <w:tcPr>
            <w:tcW w:w="2541" w:type="dxa"/>
            <w:tcBorders>
              <w:top w:val="single" w:color="auto" w:sz="4" w:space="0"/>
              <w:left w:val="single" w:color="auto" w:sz="4" w:space="0"/>
              <w:bottom w:val="single" w:color="auto" w:sz="4" w:space="0"/>
              <w:right w:val="single" w:color="auto" w:sz="4" w:space="0"/>
            </w:tcBorders>
            <w:noWrap w:val="0"/>
            <w:vAlign w:val="top"/>
          </w:tcPr>
          <w:p w14:paraId="0CB5893F">
            <w:pPr>
              <w:snapToGrid w:val="0"/>
              <w:spacing w:before="120" w:beforeLines="5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3F49CB97">
            <w:pPr>
              <w:snapToGrid w:val="0"/>
              <w:spacing w:before="120" w:beforeLines="5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69C0E3CC">
            <w:pPr>
              <w:snapToGrid w:val="0"/>
              <w:spacing w:before="120" w:beforeLines="50"/>
              <w:jc w:val="center"/>
              <w:rPr>
                <w:rFonts w:hint="eastAsia" w:ascii="宋体" w:hAnsi="宋体"/>
                <w:color w:val="auto"/>
                <w:sz w:val="24"/>
                <w:highlight w:val="none"/>
              </w:rPr>
            </w:pPr>
          </w:p>
        </w:tc>
      </w:tr>
      <w:tr w14:paraId="1BFFDF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EFE44A">
            <w:pPr>
              <w:spacing w:line="400" w:lineRule="exact"/>
              <w:jc w:val="center"/>
              <w:rPr>
                <w:rFonts w:hint="eastAsia" w:ascii="宋体" w:hAnsi="宋体" w:eastAsia="宋体" w:cs="Times New Roman"/>
                <w:b/>
                <w:bCs/>
                <w:kern w:val="2"/>
                <w:sz w:val="21"/>
                <w:szCs w:val="21"/>
                <w:lang w:val="en-US" w:eastAsia="zh-CN" w:bidi="ar-SA"/>
              </w:rPr>
            </w:pPr>
            <w:r>
              <w:rPr>
                <w:rFonts w:hint="eastAsia" w:ascii="宋体" w:hAnsi="宋体" w:eastAsia="宋体" w:cs="Times New Roman"/>
                <w:szCs w:val="21"/>
              </w:rPr>
              <w:t>履约保证金</w:t>
            </w:r>
          </w:p>
        </w:tc>
        <w:tc>
          <w:tcPr>
            <w:tcW w:w="2541" w:type="dxa"/>
            <w:tcBorders>
              <w:top w:val="single" w:color="auto" w:sz="4" w:space="0"/>
              <w:left w:val="single" w:color="auto" w:sz="4" w:space="0"/>
              <w:bottom w:val="single" w:color="auto" w:sz="4" w:space="0"/>
              <w:right w:val="single" w:color="auto" w:sz="4" w:space="0"/>
            </w:tcBorders>
            <w:noWrap w:val="0"/>
            <w:vAlign w:val="top"/>
          </w:tcPr>
          <w:p w14:paraId="67D9D54D">
            <w:pPr>
              <w:snapToGrid w:val="0"/>
              <w:spacing w:before="120" w:beforeLines="5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0928F59E">
            <w:pPr>
              <w:snapToGrid w:val="0"/>
              <w:spacing w:before="120" w:beforeLines="5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1481657B">
            <w:pPr>
              <w:snapToGrid w:val="0"/>
              <w:spacing w:before="120" w:beforeLines="50"/>
              <w:jc w:val="center"/>
              <w:rPr>
                <w:rFonts w:hint="eastAsia" w:ascii="宋体" w:hAnsi="宋体"/>
                <w:color w:val="auto"/>
                <w:sz w:val="24"/>
                <w:highlight w:val="none"/>
              </w:rPr>
            </w:pPr>
          </w:p>
        </w:tc>
      </w:tr>
      <w:tr w14:paraId="1BF79F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05" w:type="dxa"/>
            <w:tcBorders>
              <w:top w:val="single" w:color="auto" w:sz="4" w:space="0"/>
              <w:left w:val="single" w:color="auto" w:sz="4" w:space="0"/>
              <w:bottom w:val="single" w:color="auto" w:sz="4" w:space="0"/>
              <w:right w:val="single" w:color="auto" w:sz="4" w:space="0"/>
            </w:tcBorders>
            <w:noWrap w:val="0"/>
            <w:vAlign w:val="center"/>
          </w:tcPr>
          <w:p w14:paraId="3556EF14">
            <w:pPr>
              <w:snapToGrid w:val="0"/>
              <w:spacing w:before="120" w:beforeLines="50"/>
              <w:jc w:val="center"/>
              <w:rPr>
                <w:rFonts w:hint="eastAsia" w:ascii="宋体" w:hAnsi="宋体"/>
                <w:color w:val="auto"/>
                <w:sz w:val="24"/>
                <w:highlight w:val="none"/>
              </w:rPr>
            </w:pPr>
            <w:r>
              <w:rPr>
                <w:rFonts w:ascii="宋体" w:hAnsi="宋体"/>
                <w:color w:val="auto"/>
                <w:sz w:val="24"/>
                <w:highlight w:val="none"/>
              </w:rPr>
              <w:t>……</w:t>
            </w:r>
          </w:p>
        </w:tc>
        <w:tc>
          <w:tcPr>
            <w:tcW w:w="2541" w:type="dxa"/>
            <w:tcBorders>
              <w:top w:val="single" w:color="auto" w:sz="4" w:space="0"/>
              <w:left w:val="single" w:color="auto" w:sz="4" w:space="0"/>
              <w:bottom w:val="single" w:color="auto" w:sz="4" w:space="0"/>
              <w:right w:val="single" w:color="auto" w:sz="4" w:space="0"/>
            </w:tcBorders>
            <w:noWrap w:val="0"/>
            <w:vAlign w:val="top"/>
          </w:tcPr>
          <w:p w14:paraId="1AF7D0D7">
            <w:pPr>
              <w:snapToGrid w:val="0"/>
              <w:spacing w:before="120" w:beforeLines="5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71237FF3">
            <w:pPr>
              <w:snapToGrid w:val="0"/>
              <w:spacing w:before="120" w:beforeLines="5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4F6848D9">
            <w:pPr>
              <w:snapToGrid w:val="0"/>
              <w:spacing w:before="120" w:beforeLines="50"/>
              <w:jc w:val="center"/>
              <w:rPr>
                <w:rFonts w:hint="eastAsia" w:ascii="宋体" w:hAnsi="宋体"/>
                <w:color w:val="auto"/>
                <w:sz w:val="24"/>
                <w:highlight w:val="none"/>
              </w:rPr>
            </w:pPr>
          </w:p>
        </w:tc>
      </w:tr>
    </w:tbl>
    <w:p w14:paraId="4CCF1D90">
      <w:pPr>
        <w:pStyle w:val="19"/>
        <w:rPr>
          <w:rFonts w:hint="eastAsia" w:ascii="宋体" w:hAnsi="宋体"/>
          <w:color w:val="auto"/>
          <w:highlight w:val="none"/>
        </w:rPr>
      </w:pPr>
      <w:r>
        <w:rPr>
          <w:rFonts w:hint="eastAsia" w:ascii="宋体" w:hAnsi="宋体"/>
          <w:color w:val="auto"/>
          <w:highlight w:val="none"/>
        </w:rPr>
        <w:t>注：</w:t>
      </w:r>
    </w:p>
    <w:p w14:paraId="253BA4DA">
      <w:pPr>
        <w:pStyle w:val="22"/>
        <w:spacing w:line="520" w:lineRule="exact"/>
        <w:ind w:firstLine="0" w:firstLineChars="0"/>
        <w:rPr>
          <w:rFonts w:hint="eastAsia" w:hAnsi="仿宋_GB2312" w:cs="仿宋_GB2312"/>
          <w:color w:val="auto"/>
          <w:szCs w:val="32"/>
          <w:highlight w:val="none"/>
        </w:rPr>
      </w:pPr>
      <w:r>
        <w:rPr>
          <w:rFonts w:hint="eastAsia" w:ascii="宋体" w:hAnsi="宋体" w:eastAsia="宋体"/>
          <w:color w:val="auto"/>
          <w:sz w:val="24"/>
          <w:szCs w:val="24"/>
          <w:highlight w:val="none"/>
        </w:rPr>
        <w:t>1.</w:t>
      </w:r>
      <w:r>
        <w:rPr>
          <w:rFonts w:hint="eastAsia"/>
          <w:color w:val="auto"/>
          <w:highlight w:val="none"/>
        </w:rPr>
        <w:t xml:space="preserve"> </w:t>
      </w:r>
      <w:r>
        <w:rPr>
          <w:rFonts w:hint="eastAsia" w:ascii="宋体" w:hAnsi="宋体" w:eastAsia="宋体"/>
          <w:color w:val="auto"/>
          <w:sz w:val="24"/>
          <w:szCs w:val="24"/>
          <w:highlight w:val="none"/>
        </w:rPr>
        <w:t>说明：应对照招标文件“第二章 采购需求”中的商务要求逐条作明确的投标响应，并作出偏离说明。</w:t>
      </w:r>
    </w:p>
    <w:p w14:paraId="2DE596C2">
      <w:pPr>
        <w:pStyle w:val="19"/>
        <w:rPr>
          <w:rFonts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150DB8CA">
      <w:pPr>
        <w:snapToGrid w:val="0"/>
        <w:spacing w:before="50" w:after="50"/>
        <w:rPr>
          <w:rFonts w:ascii="宋体" w:hAnsi="宋体"/>
          <w:color w:val="auto"/>
          <w:sz w:val="24"/>
          <w:highlight w:val="none"/>
        </w:rPr>
      </w:pPr>
    </w:p>
    <w:p w14:paraId="218DC5C8">
      <w:pPr>
        <w:snapToGrid w:val="0"/>
        <w:spacing w:before="50" w:after="50"/>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14:paraId="410B758F">
      <w:pPr>
        <w:snapToGrid w:val="0"/>
        <w:spacing w:before="120" w:beforeLines="50"/>
        <w:rPr>
          <w:rFonts w:hint="eastAsia" w:ascii="宋体" w:hAnsi="宋体"/>
          <w:color w:val="auto"/>
          <w:spacing w:val="20"/>
          <w:sz w:val="24"/>
          <w:highlight w:val="none"/>
        </w:rPr>
      </w:pPr>
      <w:r>
        <w:rPr>
          <w:rFonts w:hint="eastAsia" w:ascii="宋体" w:hAnsi="宋体"/>
          <w:color w:val="auto"/>
          <w:spacing w:val="20"/>
          <w:sz w:val="24"/>
          <w:highlight w:val="none"/>
        </w:rPr>
        <w:t>投标人盖公章：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542863EA">
      <w:pPr>
        <w:snapToGrid w:val="0"/>
        <w:spacing w:before="120" w:beforeLines="50"/>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0C9179B2">
      <w:pPr>
        <w:snapToGrid w:val="0"/>
        <w:spacing w:before="120" w:beforeLines="50"/>
        <w:rPr>
          <w:rFonts w:hint="eastAsia" w:ascii="宋体" w:hAnsi="宋体"/>
          <w:color w:val="auto"/>
          <w:sz w:val="24"/>
          <w:szCs w:val="20"/>
          <w:highlight w:val="none"/>
        </w:rPr>
      </w:pPr>
    </w:p>
    <w:p w14:paraId="5A3CC3ED">
      <w:pPr>
        <w:snapToGrid w:val="0"/>
        <w:spacing w:before="120" w:beforeLines="50" w:after="50"/>
        <w:jc w:val="left"/>
        <w:rPr>
          <w:rFonts w:ascii="宋体" w:hAnsi="宋体"/>
          <w:color w:val="auto"/>
          <w:sz w:val="24"/>
          <w:szCs w:val="20"/>
          <w:highlight w:val="none"/>
        </w:rPr>
      </w:pPr>
    </w:p>
    <w:p w14:paraId="02CE6E72">
      <w:pPr>
        <w:snapToGrid w:val="0"/>
        <w:spacing w:before="120" w:beforeLines="50" w:after="50"/>
        <w:jc w:val="left"/>
        <w:rPr>
          <w:rFonts w:hint="eastAsia" w:ascii="宋体" w:hAnsi="宋体"/>
          <w:b/>
          <w:color w:val="auto"/>
          <w:sz w:val="24"/>
          <w:highlight w:val="none"/>
        </w:rPr>
      </w:pPr>
      <w:r>
        <w:rPr>
          <w:rFonts w:ascii="宋体" w:hAnsi="宋体"/>
          <w:color w:val="auto"/>
          <w:sz w:val="24"/>
          <w:szCs w:val="20"/>
          <w:highlight w:val="none"/>
        </w:rPr>
        <w:br w:type="page"/>
      </w:r>
      <w:r>
        <w:rPr>
          <w:rFonts w:hint="eastAsia" w:ascii="宋体" w:hAnsi="宋体"/>
          <w:b/>
          <w:color w:val="auto"/>
          <w:sz w:val="24"/>
          <w:highlight w:val="none"/>
        </w:rPr>
        <w:t>7.投标人业绩证明材料</w:t>
      </w:r>
    </w:p>
    <w:p w14:paraId="381FD949">
      <w:pPr>
        <w:pStyle w:val="37"/>
        <w:snapToGrid w:val="0"/>
        <w:ind w:left="480" w:hanging="480"/>
        <w:rPr>
          <w:rFonts w:hint="eastAsia" w:ascii="宋体" w:hAnsi="宋体"/>
          <w:color w:val="auto"/>
          <w:sz w:val="24"/>
          <w:highlight w:val="none"/>
        </w:rPr>
      </w:pPr>
    </w:p>
    <w:p w14:paraId="7CC76BEF">
      <w:pPr>
        <w:pStyle w:val="37"/>
        <w:snapToGrid w:val="0"/>
        <w:ind w:left="480" w:hanging="480"/>
        <w:rPr>
          <w:rFonts w:hint="eastAsia" w:ascii="宋体" w:hAnsi="宋体"/>
          <w:color w:val="auto"/>
          <w:sz w:val="24"/>
          <w:highlight w:val="none"/>
        </w:rPr>
      </w:pPr>
      <w:r>
        <w:rPr>
          <w:rFonts w:hint="eastAsia" w:ascii="宋体" w:hAnsi="宋体"/>
          <w:color w:val="auto"/>
          <w:sz w:val="24"/>
          <w:highlight w:val="none"/>
        </w:rPr>
        <w:t xml:space="preserve">投标人业绩情况一览表格式： </w:t>
      </w:r>
    </w:p>
    <w:tbl>
      <w:tblPr>
        <w:tblStyle w:val="49"/>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32"/>
        <w:gridCol w:w="1770"/>
        <w:gridCol w:w="1770"/>
        <w:gridCol w:w="2856"/>
      </w:tblGrid>
      <w:tr w14:paraId="67A5C8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noWrap w:val="0"/>
            <w:vAlign w:val="center"/>
          </w:tcPr>
          <w:p w14:paraId="16478678">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0A51208C">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23223CAC">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合同金额</w:t>
            </w:r>
          </w:p>
          <w:p w14:paraId="7A1EA517">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noWrap w:val="0"/>
            <w:vAlign w:val="center"/>
          </w:tcPr>
          <w:p w14:paraId="039916BD">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采购人联系人及</w:t>
            </w:r>
          </w:p>
          <w:p w14:paraId="7320789B">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联系电话</w:t>
            </w:r>
          </w:p>
        </w:tc>
      </w:tr>
      <w:tr w14:paraId="1120B9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noWrap w:val="0"/>
            <w:vAlign w:val="center"/>
          </w:tcPr>
          <w:p w14:paraId="420BAAC2">
            <w:pPr>
              <w:jc w:val="left"/>
              <w:rPr>
                <w:rFonts w:hint="eastAsia" w:ascii="宋体" w:hAnsi="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473E2EF7">
            <w:pPr>
              <w:jc w:val="left"/>
              <w:rPr>
                <w:rFonts w:hint="eastAsia" w:ascii="宋体" w:hAnsi="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676DFA19">
            <w:pPr>
              <w:jc w:val="left"/>
              <w:rPr>
                <w:rFonts w:hint="eastAsia" w:ascii="宋体" w:hAnsi="宋体"/>
                <w:color w:val="auto"/>
                <w:sz w:val="24"/>
                <w:highlight w:val="none"/>
              </w:rPr>
            </w:pPr>
          </w:p>
        </w:tc>
        <w:tc>
          <w:tcPr>
            <w:tcW w:w="1674" w:type="pct"/>
            <w:vMerge w:val="continue"/>
            <w:tcBorders>
              <w:top w:val="single" w:color="auto" w:sz="4" w:space="0"/>
              <w:left w:val="single" w:color="auto" w:sz="4" w:space="0"/>
              <w:bottom w:val="single" w:color="auto" w:sz="4" w:space="0"/>
              <w:right w:val="single" w:color="auto" w:sz="4" w:space="0"/>
            </w:tcBorders>
            <w:noWrap w:val="0"/>
            <w:vAlign w:val="center"/>
          </w:tcPr>
          <w:p w14:paraId="32EDDF7E">
            <w:pPr>
              <w:jc w:val="left"/>
              <w:rPr>
                <w:rFonts w:hint="eastAsia" w:ascii="宋体" w:hAnsi="宋体"/>
                <w:color w:val="auto"/>
                <w:sz w:val="24"/>
                <w:highlight w:val="none"/>
              </w:rPr>
            </w:pPr>
          </w:p>
        </w:tc>
      </w:tr>
      <w:tr w14:paraId="64E5A3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25D71C91">
            <w:pPr>
              <w:snapToGrid w:val="0"/>
              <w:spacing w:line="24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6FDD4862">
            <w:pPr>
              <w:snapToGrid w:val="0"/>
              <w:spacing w:line="24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6B1519F0">
            <w:pPr>
              <w:snapToGrid w:val="0"/>
              <w:spacing w:line="24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717BA076">
            <w:pPr>
              <w:snapToGrid w:val="0"/>
              <w:spacing w:line="240" w:lineRule="exact"/>
              <w:jc w:val="left"/>
              <w:rPr>
                <w:rFonts w:hint="eastAsia" w:ascii="宋体" w:hAnsi="宋体"/>
                <w:color w:val="auto"/>
                <w:sz w:val="24"/>
                <w:highlight w:val="none"/>
              </w:rPr>
            </w:pPr>
          </w:p>
        </w:tc>
      </w:tr>
      <w:tr w14:paraId="1DF109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22E67021">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291509D">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7B1919E0">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146F90DE">
            <w:pPr>
              <w:snapToGrid w:val="0"/>
              <w:spacing w:before="50" w:after="120" w:afterLines="50" w:line="400" w:lineRule="exact"/>
              <w:jc w:val="left"/>
              <w:rPr>
                <w:rFonts w:hint="eastAsia" w:ascii="宋体" w:hAnsi="宋体"/>
                <w:color w:val="auto"/>
                <w:sz w:val="24"/>
                <w:highlight w:val="none"/>
              </w:rPr>
            </w:pPr>
          </w:p>
        </w:tc>
      </w:tr>
      <w:tr w14:paraId="279B9F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28AF1C99">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2FCC81EE">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E5ACF69">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25C280EB">
            <w:pPr>
              <w:snapToGrid w:val="0"/>
              <w:spacing w:before="50" w:after="120" w:afterLines="50" w:line="400" w:lineRule="exact"/>
              <w:jc w:val="left"/>
              <w:rPr>
                <w:rFonts w:hint="eastAsia" w:ascii="宋体" w:hAnsi="宋体"/>
                <w:color w:val="auto"/>
                <w:sz w:val="24"/>
                <w:highlight w:val="none"/>
              </w:rPr>
            </w:pPr>
          </w:p>
        </w:tc>
      </w:tr>
      <w:tr w14:paraId="4BB5D0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1730C593">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61C487BF">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48B9541F">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31964007">
            <w:pPr>
              <w:snapToGrid w:val="0"/>
              <w:spacing w:before="50" w:after="120" w:afterLines="50" w:line="400" w:lineRule="exact"/>
              <w:jc w:val="left"/>
              <w:rPr>
                <w:rFonts w:hint="eastAsia" w:ascii="宋体" w:hAnsi="宋体"/>
                <w:color w:val="auto"/>
                <w:sz w:val="24"/>
                <w:highlight w:val="none"/>
              </w:rPr>
            </w:pPr>
          </w:p>
        </w:tc>
      </w:tr>
      <w:tr w14:paraId="49AE36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75F5408D">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0B838F64">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624F2B9">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3D29CD63">
            <w:pPr>
              <w:snapToGrid w:val="0"/>
              <w:spacing w:before="50" w:after="120" w:afterLines="50" w:line="400" w:lineRule="exact"/>
              <w:jc w:val="left"/>
              <w:rPr>
                <w:rFonts w:hint="eastAsia" w:ascii="宋体" w:hAnsi="宋体"/>
                <w:color w:val="auto"/>
                <w:sz w:val="24"/>
                <w:highlight w:val="none"/>
              </w:rPr>
            </w:pPr>
          </w:p>
        </w:tc>
      </w:tr>
    </w:tbl>
    <w:p w14:paraId="53F40F71">
      <w:pPr>
        <w:pStyle w:val="16"/>
        <w:spacing w:before="0" w:after="0" w:line="360" w:lineRule="auto"/>
        <w:contextualSpacing/>
        <w:rPr>
          <w:rFonts w:hint="eastAsia" w:ascii="宋体" w:hAnsi="宋体" w:eastAsia="宋体"/>
          <w:color w:val="auto"/>
          <w:sz w:val="24"/>
          <w:szCs w:val="24"/>
          <w:highlight w:val="none"/>
        </w:rPr>
      </w:pPr>
    </w:p>
    <w:p w14:paraId="6EB36AF4">
      <w:pPr>
        <w:pStyle w:val="16"/>
        <w:spacing w:before="0" w:after="0" w:line="360" w:lineRule="auto"/>
        <w:contextualSpacing/>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color w:val="auto"/>
          <w:sz w:val="24"/>
          <w:highlight w:val="none"/>
        </w:rPr>
        <w:t>投标人根据评标标准具体要求附业绩证明材料。</w:t>
      </w:r>
    </w:p>
    <w:p w14:paraId="4616BF0A">
      <w:pPr>
        <w:pStyle w:val="16"/>
        <w:spacing w:before="0" w:after="0" w:line="360" w:lineRule="auto"/>
        <w:contextualSpacing/>
        <w:jc w:val="left"/>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法定代表人或者委托代理人（签字）：</w:t>
      </w:r>
      <w:r>
        <w:rPr>
          <w:rFonts w:hint="eastAsia" w:ascii="宋体" w:hAnsi="宋体" w:eastAsia="宋体"/>
          <w:color w:val="auto"/>
          <w:sz w:val="24"/>
          <w:szCs w:val="24"/>
          <w:highlight w:val="none"/>
          <w:u w:val="single"/>
        </w:rPr>
        <w:t>　　　　　</w:t>
      </w:r>
    </w:p>
    <w:p w14:paraId="463B3D97">
      <w:pPr>
        <w:spacing w:line="360" w:lineRule="auto"/>
        <w:ind w:right="480"/>
        <w:contextualSpacing/>
        <w:jc w:val="left"/>
        <w:rPr>
          <w:rFonts w:hint="eastAsia" w:ascii="宋体" w:hAnsi="宋体"/>
          <w:color w:val="auto"/>
          <w:sz w:val="24"/>
          <w:szCs w:val="20"/>
          <w:highlight w:val="none"/>
        </w:rPr>
      </w:pPr>
      <w:r>
        <w:rPr>
          <w:rFonts w:hint="eastAsia" w:ascii="宋体" w:hAnsi="宋体" w:cs="Arial"/>
          <w:color w:val="auto"/>
          <w:sz w:val="24"/>
          <w:highlight w:val="none"/>
        </w:rPr>
        <w:t xml:space="preserve">投标人（盖公章）：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    月    日</w:t>
      </w:r>
    </w:p>
    <w:p w14:paraId="6FF7E4CC">
      <w:pPr>
        <w:snapToGrid w:val="0"/>
        <w:spacing w:before="50"/>
        <w:ind w:firstLine="480" w:firstLineChars="200"/>
        <w:jc w:val="left"/>
        <w:rPr>
          <w:rFonts w:hint="eastAsia" w:ascii="宋体" w:hAnsi="宋体"/>
          <w:color w:val="auto"/>
          <w:sz w:val="24"/>
          <w:szCs w:val="20"/>
          <w:highlight w:val="none"/>
        </w:rPr>
      </w:pPr>
    </w:p>
    <w:p w14:paraId="2F086FC1">
      <w:pPr>
        <w:snapToGrid w:val="0"/>
        <w:spacing w:before="50"/>
        <w:jc w:val="left"/>
        <w:rPr>
          <w:rFonts w:hint="eastAsia" w:ascii="宋体" w:hAnsi="宋体"/>
          <w:color w:val="auto"/>
          <w:sz w:val="24"/>
          <w:highlight w:val="none"/>
        </w:rPr>
      </w:pPr>
    </w:p>
    <w:p w14:paraId="61614D7A">
      <w:pPr>
        <w:snapToGrid w:val="0"/>
        <w:spacing w:before="120" w:beforeLines="50"/>
        <w:rPr>
          <w:rFonts w:ascii="宋体" w:hAnsi="宋体"/>
          <w:color w:val="auto"/>
          <w:sz w:val="24"/>
          <w:szCs w:val="20"/>
          <w:highlight w:val="none"/>
        </w:rPr>
        <w:sectPr>
          <w:pgSz w:w="11906" w:h="16838"/>
          <w:pgMar w:top="1440" w:right="1797" w:bottom="1440" w:left="1797" w:header="851" w:footer="992" w:gutter="0"/>
          <w:pgNumType w:fmt="decimal"/>
          <w:cols w:space="720" w:num="1"/>
          <w:docGrid w:linePitch="312" w:charSpace="0"/>
        </w:sectPr>
      </w:pPr>
    </w:p>
    <w:p w14:paraId="7C64F1F8">
      <w:pPr>
        <w:rPr>
          <w:rFonts w:hint="eastAsia"/>
          <w:b/>
          <w:color w:val="auto"/>
          <w:sz w:val="28"/>
          <w:szCs w:val="28"/>
          <w:highlight w:val="none"/>
        </w:rPr>
      </w:pPr>
      <w:r>
        <w:rPr>
          <w:rFonts w:hint="eastAsia"/>
          <w:b/>
          <w:color w:val="auto"/>
          <w:sz w:val="28"/>
          <w:szCs w:val="28"/>
          <w:highlight w:val="none"/>
        </w:rPr>
        <w:t>四、技术文件格式</w:t>
      </w:r>
    </w:p>
    <w:p w14:paraId="00DCF244">
      <w:pPr>
        <w:snapToGrid w:val="0"/>
        <w:spacing w:before="120" w:beforeLines="50" w:after="50"/>
        <w:ind w:left="142"/>
        <w:jc w:val="left"/>
        <w:rPr>
          <w:rFonts w:hint="eastAsia" w:ascii="宋体" w:hAnsi="宋体"/>
          <w:b/>
          <w:color w:val="auto"/>
          <w:sz w:val="24"/>
          <w:highlight w:val="none"/>
        </w:rPr>
      </w:pPr>
      <w:r>
        <w:rPr>
          <w:rFonts w:hint="eastAsia" w:ascii="宋体" w:hAnsi="宋体"/>
          <w:b/>
          <w:color w:val="auto"/>
          <w:sz w:val="24"/>
          <w:highlight w:val="none"/>
        </w:rPr>
        <w:t xml:space="preserve">1. 技术文件封面格式： </w:t>
      </w:r>
    </w:p>
    <w:p w14:paraId="1759F98C">
      <w:pPr>
        <w:snapToGrid w:val="0"/>
        <w:spacing w:before="120" w:beforeLines="50" w:after="50"/>
        <w:rPr>
          <w:rFonts w:hint="eastAsia" w:ascii="宋体" w:hAnsi="宋体"/>
          <w:b/>
          <w:bCs/>
          <w:color w:val="auto"/>
          <w:sz w:val="32"/>
          <w:szCs w:val="20"/>
          <w:highlight w:val="none"/>
        </w:rPr>
      </w:pPr>
      <w:r>
        <w:rPr>
          <w:rFonts w:hint="eastAsia" w:ascii="宋体" w:hAnsi="宋体"/>
          <w:color w:val="auto"/>
          <w:sz w:val="24"/>
          <w:highlight w:val="none"/>
        </w:rPr>
        <w:t xml:space="preserve">                                                   </w:t>
      </w:r>
    </w:p>
    <w:p w14:paraId="369B9B21">
      <w:pPr>
        <w:snapToGrid w:val="0"/>
        <w:spacing w:before="120" w:beforeLines="50" w:after="50"/>
        <w:rPr>
          <w:rFonts w:hint="eastAsia" w:ascii="宋体" w:hAnsi="宋体"/>
          <w:color w:val="auto"/>
          <w:sz w:val="24"/>
          <w:szCs w:val="20"/>
          <w:highlight w:val="none"/>
        </w:rPr>
      </w:pPr>
    </w:p>
    <w:p w14:paraId="2A92AD11">
      <w:pPr>
        <w:snapToGrid w:val="0"/>
        <w:spacing w:before="120" w:beforeLines="50" w:after="50"/>
        <w:rPr>
          <w:rFonts w:hint="eastAsia" w:ascii="宋体" w:hAnsi="宋体"/>
          <w:color w:val="auto"/>
          <w:sz w:val="24"/>
          <w:szCs w:val="20"/>
          <w:highlight w:val="none"/>
        </w:rPr>
      </w:pPr>
    </w:p>
    <w:p w14:paraId="35213C0E">
      <w:pPr>
        <w:snapToGrid w:val="0"/>
        <w:spacing w:before="120" w:beforeLines="50" w:after="50"/>
        <w:jc w:val="center"/>
        <w:rPr>
          <w:rFonts w:hint="eastAsia" w:ascii="仿宋" w:hAnsi="仿宋" w:eastAsia="仿宋" w:cs="仿宋"/>
          <w:color w:val="auto"/>
          <w:sz w:val="84"/>
          <w:szCs w:val="84"/>
          <w:highlight w:val="none"/>
        </w:rPr>
      </w:pPr>
      <w:r>
        <w:rPr>
          <w:rFonts w:hint="eastAsia" w:ascii="仿宋" w:hAnsi="仿宋" w:eastAsia="仿宋" w:cs="仿宋"/>
          <w:color w:val="auto"/>
          <w:sz w:val="84"/>
          <w:szCs w:val="84"/>
          <w:highlight w:val="none"/>
        </w:rPr>
        <w:t>投  标  文  件</w:t>
      </w:r>
    </w:p>
    <w:p w14:paraId="0E3546E3">
      <w:pPr>
        <w:snapToGrid w:val="0"/>
        <w:spacing w:before="120" w:beforeLines="50" w:after="50"/>
        <w:rPr>
          <w:rFonts w:hint="eastAsia" w:ascii="宋体" w:hAnsi="宋体"/>
          <w:color w:val="auto"/>
          <w:sz w:val="24"/>
          <w:szCs w:val="20"/>
          <w:highlight w:val="none"/>
        </w:rPr>
      </w:pPr>
    </w:p>
    <w:p w14:paraId="04A35CC4">
      <w:pPr>
        <w:snapToGrid w:val="0"/>
        <w:spacing w:before="120" w:beforeLines="50" w:after="50"/>
        <w:rPr>
          <w:rFonts w:hint="eastAsia" w:ascii="宋体" w:hAnsi="宋体"/>
          <w:color w:val="auto"/>
          <w:sz w:val="24"/>
          <w:szCs w:val="20"/>
          <w:highlight w:val="none"/>
        </w:rPr>
      </w:pPr>
    </w:p>
    <w:p w14:paraId="00D17382">
      <w:pPr>
        <w:snapToGrid w:val="0"/>
        <w:spacing w:before="120" w:beforeLines="50" w:after="50"/>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技  术  文  件</w:t>
      </w:r>
    </w:p>
    <w:p w14:paraId="4771DCE3">
      <w:pPr>
        <w:snapToGrid w:val="0"/>
        <w:spacing w:before="120" w:beforeLines="50" w:after="50"/>
        <w:rPr>
          <w:rFonts w:hint="eastAsia" w:ascii="宋体" w:hAnsi="宋体"/>
          <w:bCs/>
          <w:color w:val="auto"/>
          <w:sz w:val="24"/>
          <w:szCs w:val="20"/>
          <w:highlight w:val="none"/>
        </w:rPr>
      </w:pPr>
    </w:p>
    <w:p w14:paraId="739EF2A7">
      <w:pPr>
        <w:snapToGrid w:val="0"/>
        <w:spacing w:before="120" w:beforeLines="50" w:after="50"/>
        <w:rPr>
          <w:rFonts w:hint="eastAsia" w:ascii="宋体" w:hAnsi="宋体"/>
          <w:bCs/>
          <w:color w:val="auto"/>
          <w:sz w:val="24"/>
          <w:szCs w:val="20"/>
          <w:highlight w:val="none"/>
        </w:rPr>
      </w:pPr>
    </w:p>
    <w:p w14:paraId="51713774">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项目名称： </w:t>
      </w:r>
    </w:p>
    <w:p w14:paraId="5C71BF41">
      <w:pPr>
        <w:snapToGrid w:val="0"/>
        <w:spacing w:before="120" w:beforeLines="50" w:after="50" w:line="400" w:lineRule="exact"/>
        <w:ind w:firstLine="360" w:firstLineChars="150"/>
        <w:rPr>
          <w:rFonts w:hint="eastAsia" w:ascii="宋体" w:hAnsi="宋体"/>
          <w:bCs/>
          <w:color w:val="auto"/>
          <w:sz w:val="24"/>
          <w:szCs w:val="20"/>
          <w:highlight w:val="none"/>
        </w:rPr>
      </w:pPr>
    </w:p>
    <w:p w14:paraId="1D69AF89">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项目编号： </w:t>
      </w:r>
    </w:p>
    <w:p w14:paraId="4BAA65FE">
      <w:pPr>
        <w:snapToGrid w:val="0"/>
        <w:spacing w:before="120" w:beforeLines="50" w:after="50" w:line="400" w:lineRule="exact"/>
        <w:ind w:firstLine="360" w:firstLineChars="150"/>
        <w:rPr>
          <w:rFonts w:hint="eastAsia" w:ascii="宋体" w:hAnsi="宋体"/>
          <w:bCs/>
          <w:color w:val="auto"/>
          <w:sz w:val="24"/>
          <w:highlight w:val="none"/>
        </w:rPr>
      </w:pPr>
    </w:p>
    <w:p w14:paraId="507F8E66">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所投分标：</w:t>
      </w:r>
    </w:p>
    <w:p w14:paraId="3BA27778">
      <w:pPr>
        <w:snapToGrid w:val="0"/>
        <w:spacing w:before="120" w:beforeLines="50" w:after="50" w:line="400" w:lineRule="exact"/>
        <w:ind w:firstLine="360" w:firstLineChars="150"/>
        <w:rPr>
          <w:rFonts w:hint="eastAsia" w:ascii="宋体" w:hAnsi="宋体"/>
          <w:bCs/>
          <w:color w:val="auto"/>
          <w:sz w:val="24"/>
          <w:highlight w:val="none"/>
        </w:rPr>
      </w:pPr>
    </w:p>
    <w:p w14:paraId="50DFB1E9">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投标人名称：</w:t>
      </w:r>
    </w:p>
    <w:p w14:paraId="208FC365">
      <w:pPr>
        <w:snapToGrid w:val="0"/>
        <w:spacing w:before="120" w:beforeLines="50" w:after="50" w:line="400" w:lineRule="exact"/>
        <w:ind w:firstLine="360" w:firstLineChars="150"/>
        <w:rPr>
          <w:rFonts w:hint="eastAsia" w:ascii="宋体" w:hAnsi="宋体"/>
          <w:bCs/>
          <w:color w:val="auto"/>
          <w:sz w:val="24"/>
          <w:highlight w:val="none"/>
        </w:rPr>
      </w:pPr>
    </w:p>
    <w:p w14:paraId="13667F83">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3F10E581">
      <w:pPr>
        <w:snapToGrid w:val="0"/>
        <w:spacing w:before="120" w:beforeLines="50" w:after="50" w:line="400" w:lineRule="exact"/>
        <w:ind w:firstLine="360" w:firstLineChars="150"/>
        <w:rPr>
          <w:rFonts w:hint="eastAsia" w:ascii="宋体" w:hAnsi="宋体"/>
          <w:bCs/>
          <w:color w:val="auto"/>
          <w:sz w:val="24"/>
          <w:highlight w:val="none"/>
        </w:rPr>
      </w:pPr>
    </w:p>
    <w:p w14:paraId="1D9387BC">
      <w:pPr>
        <w:snapToGrid w:val="0"/>
        <w:spacing w:before="120" w:beforeLines="50" w:after="50"/>
        <w:ind w:firstLine="645"/>
        <w:jc w:val="center"/>
        <w:rPr>
          <w:rFonts w:hint="eastAsia" w:ascii="宋体" w:hAnsi="宋体"/>
          <w:color w:val="auto"/>
          <w:sz w:val="24"/>
          <w:highlight w:val="none"/>
        </w:rPr>
      </w:pPr>
      <w:r>
        <w:rPr>
          <w:rFonts w:hint="eastAsia" w:ascii="宋体" w:hAnsi="宋体"/>
          <w:color w:val="auto"/>
          <w:sz w:val="24"/>
          <w:highlight w:val="none"/>
        </w:rPr>
        <w:t xml:space="preserve">               </w:t>
      </w:r>
    </w:p>
    <w:p w14:paraId="09CA4AAD">
      <w:pPr>
        <w:snapToGrid w:val="0"/>
        <w:spacing w:before="120" w:beforeLines="50" w:after="50"/>
        <w:ind w:firstLine="645"/>
        <w:jc w:val="center"/>
        <w:rPr>
          <w:rFonts w:hint="eastAsia" w:ascii="宋体" w:hAnsi="宋体"/>
          <w:color w:val="auto"/>
          <w:sz w:val="24"/>
          <w:highlight w:val="none"/>
        </w:rPr>
      </w:pPr>
    </w:p>
    <w:p w14:paraId="71C1D6C9">
      <w:pPr>
        <w:snapToGrid w:val="0"/>
        <w:spacing w:before="120" w:beforeLines="50" w:after="50"/>
        <w:ind w:firstLine="645"/>
        <w:jc w:val="center"/>
        <w:rPr>
          <w:rFonts w:hint="eastAsia" w:ascii="宋体" w:hAnsi="宋体"/>
          <w:color w:val="auto"/>
          <w:sz w:val="24"/>
          <w:highlight w:val="none"/>
        </w:rPr>
      </w:pPr>
      <w:r>
        <w:rPr>
          <w:rFonts w:hint="eastAsia" w:ascii="宋体" w:hAnsi="宋体"/>
          <w:color w:val="auto"/>
          <w:sz w:val="24"/>
          <w:highlight w:val="none"/>
        </w:rPr>
        <w:t>年    月    日</w:t>
      </w:r>
    </w:p>
    <w:p w14:paraId="4ABCAD75">
      <w:pPr>
        <w:snapToGrid w:val="0"/>
        <w:spacing w:before="120" w:beforeLines="50" w:after="50"/>
        <w:ind w:firstLine="645"/>
        <w:jc w:val="center"/>
        <w:rPr>
          <w:rFonts w:hint="eastAsia" w:ascii="宋体" w:hAnsi="宋体"/>
          <w:color w:val="auto"/>
          <w:sz w:val="24"/>
          <w:szCs w:val="20"/>
          <w:highlight w:val="none"/>
        </w:rPr>
      </w:pPr>
    </w:p>
    <w:p w14:paraId="33DC0B4F">
      <w:pPr>
        <w:snapToGrid w:val="0"/>
        <w:spacing w:before="120" w:beforeLines="50" w:after="50"/>
        <w:ind w:left="142"/>
        <w:jc w:val="left"/>
        <w:rPr>
          <w:rFonts w:hint="eastAsia" w:ascii="宋体" w:hAnsi="宋体"/>
          <w:b/>
          <w:bCs/>
          <w:color w:val="auto"/>
          <w:sz w:val="24"/>
          <w:highlight w:val="none"/>
        </w:rPr>
      </w:pPr>
      <w:r>
        <w:rPr>
          <w:rFonts w:ascii="宋体" w:hAnsi="宋体"/>
          <w:b/>
          <w:bCs/>
          <w:color w:val="auto"/>
          <w:sz w:val="24"/>
          <w:highlight w:val="none"/>
        </w:rPr>
        <w:br w:type="page"/>
      </w:r>
      <w:r>
        <w:rPr>
          <w:rFonts w:hint="eastAsia" w:ascii="宋体" w:hAnsi="宋体"/>
          <w:b/>
          <w:bCs/>
          <w:color w:val="auto"/>
          <w:sz w:val="24"/>
          <w:highlight w:val="none"/>
        </w:rPr>
        <w:t>2.技术文件目录</w:t>
      </w:r>
    </w:p>
    <w:p w14:paraId="505B6F3B">
      <w:pPr>
        <w:snapToGrid w:val="0"/>
        <w:spacing w:before="50" w:after="120" w:afterLines="50"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根据招标文件规定及投标人提供的材料自行编写目录。</w:t>
      </w:r>
    </w:p>
    <w:p w14:paraId="4127A0A3">
      <w:pPr>
        <w:snapToGrid w:val="0"/>
        <w:spacing w:line="360" w:lineRule="exact"/>
        <w:jc w:val="left"/>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、技术要求偏离表</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5FF87651">
      <w:pPr>
        <w:snapToGrid w:val="0"/>
        <w:spacing w:line="360" w:lineRule="exact"/>
        <w:jc w:val="left"/>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、服务方案</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5EB2C052">
      <w:pPr>
        <w:snapToGrid w:val="0"/>
        <w:spacing w:line="360" w:lineRule="exact"/>
        <w:jc w:val="left"/>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、项目实施人员一览表</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2AE9A57B">
      <w:pPr>
        <w:snapToGrid w:val="0"/>
        <w:spacing w:line="360" w:lineRule="exact"/>
        <w:jc w:val="left"/>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、除招标文件规定必须提供以外，投标人需要说明的其他文件和说明</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07D48F48">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 技术要求偏离表格式</w:t>
      </w:r>
    </w:p>
    <w:p w14:paraId="69DA7DEC">
      <w:pPr>
        <w:snapToGrid w:val="0"/>
        <w:spacing w:before="120" w:beforeLines="50" w:after="50"/>
        <w:ind w:left="142"/>
        <w:jc w:val="left"/>
        <w:rPr>
          <w:rFonts w:hint="eastAsia" w:ascii="宋体" w:hAnsi="宋体"/>
          <w:b/>
          <w:color w:val="auto"/>
          <w:sz w:val="24"/>
          <w:highlight w:val="none"/>
        </w:rPr>
      </w:pPr>
    </w:p>
    <w:p w14:paraId="0632913A">
      <w:pPr>
        <w:snapToGrid w:val="0"/>
        <w:spacing w:before="120"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技术要求偏离表</w:t>
      </w:r>
    </w:p>
    <w:p w14:paraId="554A8BC2">
      <w:pPr>
        <w:pStyle w:val="27"/>
        <w:rPr>
          <w:rFonts w:hint="eastAsia"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u w:val="single"/>
          <w:lang w:val="en-US" w:eastAsia="zh-CN"/>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tbl>
      <w:tblPr>
        <w:tblStyle w:val="49"/>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2FA9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noWrap w:val="0"/>
            <w:vAlign w:val="center"/>
          </w:tcPr>
          <w:p w14:paraId="13664734">
            <w:pPr>
              <w:pStyle w:val="27"/>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项号</w:t>
            </w:r>
          </w:p>
        </w:tc>
        <w:tc>
          <w:tcPr>
            <w:tcW w:w="2143" w:type="dxa"/>
            <w:noWrap w:val="0"/>
            <w:vAlign w:val="center"/>
          </w:tcPr>
          <w:p w14:paraId="42FC1076">
            <w:pPr>
              <w:pStyle w:val="27"/>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标的名称</w:t>
            </w:r>
          </w:p>
        </w:tc>
        <w:tc>
          <w:tcPr>
            <w:tcW w:w="1834" w:type="dxa"/>
            <w:noWrap w:val="0"/>
            <w:vAlign w:val="center"/>
          </w:tcPr>
          <w:p w14:paraId="3E5D57CD">
            <w:pPr>
              <w:pStyle w:val="27"/>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技术要求</w:t>
            </w:r>
          </w:p>
        </w:tc>
        <w:tc>
          <w:tcPr>
            <w:tcW w:w="2181" w:type="dxa"/>
            <w:noWrap w:val="0"/>
            <w:vAlign w:val="center"/>
          </w:tcPr>
          <w:p w14:paraId="5A6EB6BC">
            <w:pPr>
              <w:pStyle w:val="27"/>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投标响应</w:t>
            </w:r>
          </w:p>
        </w:tc>
        <w:tc>
          <w:tcPr>
            <w:tcW w:w="1934" w:type="dxa"/>
            <w:noWrap w:val="0"/>
            <w:vAlign w:val="center"/>
          </w:tcPr>
          <w:p w14:paraId="0B1C0F1F">
            <w:pPr>
              <w:pStyle w:val="27"/>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偏离说明</w:t>
            </w:r>
          </w:p>
        </w:tc>
      </w:tr>
      <w:tr w14:paraId="5EEA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4F78FE52">
            <w:pPr>
              <w:pStyle w:val="27"/>
              <w:spacing w:line="600" w:lineRule="exact"/>
              <w:jc w:val="center"/>
              <w:rPr>
                <w:rFonts w:hint="eastAsia" w:hAnsi="宋体" w:cs="Courier New"/>
                <w:color w:val="auto"/>
                <w:kern w:val="2"/>
                <w:sz w:val="24"/>
                <w:szCs w:val="24"/>
                <w:highlight w:val="none"/>
              </w:rPr>
            </w:pPr>
          </w:p>
        </w:tc>
        <w:tc>
          <w:tcPr>
            <w:tcW w:w="2143" w:type="dxa"/>
            <w:noWrap w:val="0"/>
            <w:vAlign w:val="center"/>
          </w:tcPr>
          <w:p w14:paraId="7B9AEC24">
            <w:pPr>
              <w:pStyle w:val="27"/>
              <w:spacing w:line="600" w:lineRule="exact"/>
              <w:jc w:val="center"/>
              <w:rPr>
                <w:rFonts w:hint="eastAsia" w:hAnsi="宋体" w:cs="Courier New"/>
                <w:color w:val="auto"/>
                <w:kern w:val="2"/>
                <w:sz w:val="24"/>
                <w:szCs w:val="24"/>
                <w:highlight w:val="none"/>
              </w:rPr>
            </w:pPr>
          </w:p>
        </w:tc>
        <w:tc>
          <w:tcPr>
            <w:tcW w:w="1834" w:type="dxa"/>
            <w:noWrap w:val="0"/>
            <w:vAlign w:val="center"/>
          </w:tcPr>
          <w:p w14:paraId="0AD3D642">
            <w:pPr>
              <w:pStyle w:val="27"/>
              <w:spacing w:line="600" w:lineRule="exact"/>
              <w:jc w:val="center"/>
              <w:rPr>
                <w:rFonts w:hint="eastAsia" w:hAnsi="宋体" w:cs="Courier New"/>
                <w:color w:val="auto"/>
                <w:kern w:val="2"/>
                <w:sz w:val="24"/>
                <w:szCs w:val="24"/>
                <w:highlight w:val="none"/>
              </w:rPr>
            </w:pPr>
          </w:p>
        </w:tc>
        <w:tc>
          <w:tcPr>
            <w:tcW w:w="2181" w:type="dxa"/>
            <w:noWrap w:val="0"/>
            <w:vAlign w:val="center"/>
          </w:tcPr>
          <w:p w14:paraId="2D2CBFEE">
            <w:pPr>
              <w:pStyle w:val="27"/>
              <w:spacing w:line="600" w:lineRule="exact"/>
              <w:jc w:val="center"/>
              <w:rPr>
                <w:rFonts w:hint="eastAsia" w:hAnsi="宋体" w:cs="Courier New"/>
                <w:color w:val="auto"/>
                <w:kern w:val="2"/>
                <w:sz w:val="24"/>
                <w:szCs w:val="24"/>
                <w:highlight w:val="none"/>
              </w:rPr>
            </w:pPr>
          </w:p>
        </w:tc>
        <w:tc>
          <w:tcPr>
            <w:tcW w:w="1934" w:type="dxa"/>
            <w:noWrap w:val="0"/>
            <w:vAlign w:val="center"/>
          </w:tcPr>
          <w:p w14:paraId="7294C773">
            <w:pPr>
              <w:pStyle w:val="27"/>
              <w:spacing w:line="600" w:lineRule="exact"/>
              <w:jc w:val="center"/>
              <w:rPr>
                <w:rFonts w:hint="eastAsia" w:hAnsi="宋体" w:cs="Courier New"/>
                <w:color w:val="auto"/>
                <w:kern w:val="2"/>
                <w:sz w:val="24"/>
                <w:szCs w:val="24"/>
                <w:highlight w:val="none"/>
              </w:rPr>
            </w:pPr>
          </w:p>
        </w:tc>
      </w:tr>
      <w:tr w14:paraId="58926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2439630D">
            <w:pPr>
              <w:pStyle w:val="27"/>
              <w:spacing w:line="600" w:lineRule="exact"/>
              <w:rPr>
                <w:rFonts w:hint="eastAsia" w:hAnsi="宋体" w:cs="Courier New"/>
                <w:color w:val="auto"/>
                <w:kern w:val="2"/>
                <w:sz w:val="24"/>
                <w:szCs w:val="24"/>
                <w:highlight w:val="none"/>
              </w:rPr>
            </w:pPr>
          </w:p>
        </w:tc>
        <w:tc>
          <w:tcPr>
            <w:tcW w:w="2143" w:type="dxa"/>
            <w:noWrap w:val="0"/>
            <w:vAlign w:val="top"/>
          </w:tcPr>
          <w:p w14:paraId="51A95B0D">
            <w:pPr>
              <w:pStyle w:val="27"/>
              <w:spacing w:line="600" w:lineRule="exact"/>
              <w:rPr>
                <w:rFonts w:hint="eastAsia" w:hAnsi="宋体" w:cs="Courier New"/>
                <w:color w:val="auto"/>
                <w:kern w:val="2"/>
                <w:sz w:val="24"/>
                <w:szCs w:val="24"/>
                <w:highlight w:val="none"/>
              </w:rPr>
            </w:pPr>
          </w:p>
        </w:tc>
        <w:tc>
          <w:tcPr>
            <w:tcW w:w="1834" w:type="dxa"/>
            <w:noWrap w:val="0"/>
            <w:vAlign w:val="top"/>
          </w:tcPr>
          <w:p w14:paraId="72B7A4AA">
            <w:pPr>
              <w:pStyle w:val="27"/>
              <w:spacing w:line="600" w:lineRule="exact"/>
              <w:rPr>
                <w:rFonts w:hint="eastAsia" w:hAnsi="宋体" w:cs="Courier New"/>
                <w:color w:val="auto"/>
                <w:kern w:val="2"/>
                <w:sz w:val="24"/>
                <w:szCs w:val="24"/>
                <w:highlight w:val="none"/>
              </w:rPr>
            </w:pPr>
          </w:p>
        </w:tc>
        <w:tc>
          <w:tcPr>
            <w:tcW w:w="2181" w:type="dxa"/>
            <w:noWrap w:val="0"/>
            <w:vAlign w:val="top"/>
          </w:tcPr>
          <w:p w14:paraId="2B070F92">
            <w:pPr>
              <w:pStyle w:val="27"/>
              <w:spacing w:line="600" w:lineRule="exact"/>
              <w:rPr>
                <w:rFonts w:hint="eastAsia" w:hAnsi="宋体" w:cs="Courier New"/>
                <w:color w:val="auto"/>
                <w:kern w:val="2"/>
                <w:sz w:val="24"/>
                <w:szCs w:val="24"/>
                <w:highlight w:val="none"/>
              </w:rPr>
            </w:pPr>
          </w:p>
        </w:tc>
        <w:tc>
          <w:tcPr>
            <w:tcW w:w="1934" w:type="dxa"/>
            <w:noWrap w:val="0"/>
            <w:vAlign w:val="top"/>
          </w:tcPr>
          <w:p w14:paraId="3E5BA4B8">
            <w:pPr>
              <w:pStyle w:val="27"/>
              <w:spacing w:line="600" w:lineRule="exact"/>
              <w:rPr>
                <w:rFonts w:hint="eastAsia" w:hAnsi="宋体" w:cs="Courier New"/>
                <w:color w:val="auto"/>
                <w:kern w:val="2"/>
                <w:sz w:val="24"/>
                <w:szCs w:val="24"/>
                <w:highlight w:val="none"/>
              </w:rPr>
            </w:pPr>
          </w:p>
        </w:tc>
      </w:tr>
      <w:tr w14:paraId="2C8F6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42F01234">
            <w:pPr>
              <w:pStyle w:val="27"/>
              <w:spacing w:line="600" w:lineRule="exact"/>
              <w:rPr>
                <w:rFonts w:hint="eastAsia" w:hAnsi="宋体" w:cs="Courier New"/>
                <w:color w:val="auto"/>
                <w:kern w:val="2"/>
                <w:sz w:val="24"/>
                <w:szCs w:val="24"/>
                <w:highlight w:val="none"/>
              </w:rPr>
            </w:pPr>
          </w:p>
        </w:tc>
        <w:tc>
          <w:tcPr>
            <w:tcW w:w="2143" w:type="dxa"/>
            <w:noWrap w:val="0"/>
            <w:vAlign w:val="top"/>
          </w:tcPr>
          <w:p w14:paraId="798DBC66">
            <w:pPr>
              <w:pStyle w:val="27"/>
              <w:spacing w:line="600" w:lineRule="exact"/>
              <w:rPr>
                <w:rFonts w:hint="eastAsia" w:hAnsi="宋体" w:cs="Courier New"/>
                <w:color w:val="auto"/>
                <w:kern w:val="2"/>
                <w:sz w:val="24"/>
                <w:szCs w:val="24"/>
                <w:highlight w:val="none"/>
              </w:rPr>
            </w:pPr>
          </w:p>
        </w:tc>
        <w:tc>
          <w:tcPr>
            <w:tcW w:w="1834" w:type="dxa"/>
            <w:noWrap w:val="0"/>
            <w:vAlign w:val="top"/>
          </w:tcPr>
          <w:p w14:paraId="7DE4C693">
            <w:pPr>
              <w:pStyle w:val="27"/>
              <w:spacing w:line="600" w:lineRule="exact"/>
              <w:rPr>
                <w:rFonts w:hint="eastAsia" w:hAnsi="宋体" w:cs="Courier New"/>
                <w:color w:val="auto"/>
                <w:kern w:val="2"/>
                <w:sz w:val="24"/>
                <w:szCs w:val="24"/>
                <w:highlight w:val="none"/>
              </w:rPr>
            </w:pPr>
          </w:p>
        </w:tc>
        <w:tc>
          <w:tcPr>
            <w:tcW w:w="2181" w:type="dxa"/>
            <w:noWrap w:val="0"/>
            <w:vAlign w:val="top"/>
          </w:tcPr>
          <w:p w14:paraId="00FC955C">
            <w:pPr>
              <w:pStyle w:val="27"/>
              <w:spacing w:line="600" w:lineRule="exact"/>
              <w:rPr>
                <w:rFonts w:hint="eastAsia" w:hAnsi="宋体" w:cs="Courier New"/>
                <w:color w:val="auto"/>
                <w:kern w:val="2"/>
                <w:sz w:val="24"/>
                <w:szCs w:val="24"/>
                <w:highlight w:val="none"/>
              </w:rPr>
            </w:pPr>
          </w:p>
        </w:tc>
        <w:tc>
          <w:tcPr>
            <w:tcW w:w="1934" w:type="dxa"/>
            <w:noWrap w:val="0"/>
            <w:vAlign w:val="top"/>
          </w:tcPr>
          <w:p w14:paraId="58D7ED3B">
            <w:pPr>
              <w:pStyle w:val="27"/>
              <w:spacing w:line="600" w:lineRule="exact"/>
              <w:rPr>
                <w:rFonts w:hint="eastAsia" w:hAnsi="宋体" w:cs="Courier New"/>
                <w:color w:val="auto"/>
                <w:kern w:val="2"/>
                <w:sz w:val="24"/>
                <w:szCs w:val="24"/>
                <w:highlight w:val="none"/>
              </w:rPr>
            </w:pPr>
          </w:p>
        </w:tc>
      </w:tr>
      <w:tr w14:paraId="24CD4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52BCEB81">
            <w:pPr>
              <w:pStyle w:val="27"/>
              <w:spacing w:line="600" w:lineRule="exact"/>
              <w:rPr>
                <w:rFonts w:hint="eastAsia" w:hAnsi="宋体" w:cs="Courier New"/>
                <w:color w:val="auto"/>
                <w:kern w:val="2"/>
                <w:sz w:val="24"/>
                <w:szCs w:val="24"/>
                <w:highlight w:val="none"/>
              </w:rPr>
            </w:pPr>
          </w:p>
        </w:tc>
        <w:tc>
          <w:tcPr>
            <w:tcW w:w="2143" w:type="dxa"/>
            <w:noWrap w:val="0"/>
            <w:vAlign w:val="top"/>
          </w:tcPr>
          <w:p w14:paraId="0E5D06BA">
            <w:pPr>
              <w:pStyle w:val="27"/>
              <w:spacing w:line="600" w:lineRule="exact"/>
              <w:rPr>
                <w:rFonts w:hint="eastAsia" w:hAnsi="宋体" w:cs="Courier New"/>
                <w:color w:val="auto"/>
                <w:kern w:val="2"/>
                <w:sz w:val="24"/>
                <w:szCs w:val="24"/>
                <w:highlight w:val="none"/>
              </w:rPr>
            </w:pPr>
          </w:p>
        </w:tc>
        <w:tc>
          <w:tcPr>
            <w:tcW w:w="1834" w:type="dxa"/>
            <w:noWrap w:val="0"/>
            <w:vAlign w:val="top"/>
          </w:tcPr>
          <w:p w14:paraId="49BBD93D">
            <w:pPr>
              <w:pStyle w:val="27"/>
              <w:spacing w:line="600" w:lineRule="exact"/>
              <w:rPr>
                <w:rFonts w:hint="eastAsia" w:hAnsi="宋体" w:cs="Courier New"/>
                <w:color w:val="auto"/>
                <w:kern w:val="2"/>
                <w:sz w:val="24"/>
                <w:szCs w:val="24"/>
                <w:highlight w:val="none"/>
              </w:rPr>
            </w:pPr>
          </w:p>
        </w:tc>
        <w:tc>
          <w:tcPr>
            <w:tcW w:w="2181" w:type="dxa"/>
            <w:noWrap w:val="0"/>
            <w:vAlign w:val="top"/>
          </w:tcPr>
          <w:p w14:paraId="5703300C">
            <w:pPr>
              <w:pStyle w:val="27"/>
              <w:spacing w:line="600" w:lineRule="exact"/>
              <w:rPr>
                <w:rFonts w:hint="eastAsia" w:hAnsi="宋体" w:cs="Courier New"/>
                <w:color w:val="auto"/>
                <w:kern w:val="2"/>
                <w:sz w:val="24"/>
                <w:szCs w:val="24"/>
                <w:highlight w:val="none"/>
              </w:rPr>
            </w:pPr>
          </w:p>
        </w:tc>
        <w:tc>
          <w:tcPr>
            <w:tcW w:w="1934" w:type="dxa"/>
            <w:noWrap w:val="0"/>
            <w:vAlign w:val="top"/>
          </w:tcPr>
          <w:p w14:paraId="158E43ED">
            <w:pPr>
              <w:pStyle w:val="27"/>
              <w:spacing w:line="600" w:lineRule="exact"/>
              <w:rPr>
                <w:rFonts w:hint="eastAsia" w:hAnsi="宋体" w:cs="Courier New"/>
                <w:color w:val="auto"/>
                <w:kern w:val="2"/>
                <w:sz w:val="24"/>
                <w:szCs w:val="24"/>
                <w:highlight w:val="none"/>
              </w:rPr>
            </w:pPr>
          </w:p>
        </w:tc>
      </w:tr>
      <w:tr w14:paraId="5A56E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2E11941F">
            <w:pPr>
              <w:pStyle w:val="27"/>
              <w:spacing w:line="600" w:lineRule="exact"/>
              <w:rPr>
                <w:rFonts w:hint="eastAsia" w:hAnsi="宋体" w:cs="Courier New"/>
                <w:color w:val="auto"/>
                <w:kern w:val="2"/>
                <w:sz w:val="24"/>
                <w:szCs w:val="24"/>
                <w:highlight w:val="none"/>
              </w:rPr>
            </w:pPr>
          </w:p>
        </w:tc>
        <w:tc>
          <w:tcPr>
            <w:tcW w:w="2143" w:type="dxa"/>
            <w:noWrap w:val="0"/>
            <w:vAlign w:val="top"/>
          </w:tcPr>
          <w:p w14:paraId="49666BC9">
            <w:pPr>
              <w:pStyle w:val="27"/>
              <w:spacing w:line="600" w:lineRule="exact"/>
              <w:rPr>
                <w:rFonts w:hint="eastAsia" w:hAnsi="宋体" w:cs="Courier New"/>
                <w:color w:val="auto"/>
                <w:kern w:val="2"/>
                <w:sz w:val="24"/>
                <w:szCs w:val="24"/>
                <w:highlight w:val="none"/>
              </w:rPr>
            </w:pPr>
          </w:p>
        </w:tc>
        <w:tc>
          <w:tcPr>
            <w:tcW w:w="1834" w:type="dxa"/>
            <w:noWrap w:val="0"/>
            <w:vAlign w:val="top"/>
          </w:tcPr>
          <w:p w14:paraId="1CD6865F">
            <w:pPr>
              <w:pStyle w:val="27"/>
              <w:spacing w:line="600" w:lineRule="exact"/>
              <w:rPr>
                <w:rFonts w:hint="eastAsia" w:hAnsi="宋体" w:cs="Courier New"/>
                <w:color w:val="auto"/>
                <w:kern w:val="2"/>
                <w:sz w:val="24"/>
                <w:szCs w:val="24"/>
                <w:highlight w:val="none"/>
              </w:rPr>
            </w:pPr>
          </w:p>
        </w:tc>
        <w:tc>
          <w:tcPr>
            <w:tcW w:w="2181" w:type="dxa"/>
            <w:noWrap w:val="0"/>
            <w:vAlign w:val="top"/>
          </w:tcPr>
          <w:p w14:paraId="3D771593">
            <w:pPr>
              <w:pStyle w:val="27"/>
              <w:spacing w:line="600" w:lineRule="exact"/>
              <w:rPr>
                <w:rFonts w:hint="eastAsia" w:hAnsi="宋体" w:cs="Courier New"/>
                <w:color w:val="auto"/>
                <w:kern w:val="2"/>
                <w:sz w:val="24"/>
                <w:szCs w:val="24"/>
                <w:highlight w:val="none"/>
              </w:rPr>
            </w:pPr>
          </w:p>
        </w:tc>
        <w:tc>
          <w:tcPr>
            <w:tcW w:w="1934" w:type="dxa"/>
            <w:noWrap w:val="0"/>
            <w:vAlign w:val="top"/>
          </w:tcPr>
          <w:p w14:paraId="207A022A">
            <w:pPr>
              <w:pStyle w:val="27"/>
              <w:spacing w:line="600" w:lineRule="exact"/>
              <w:rPr>
                <w:rFonts w:hint="eastAsia" w:hAnsi="宋体" w:cs="Courier New"/>
                <w:color w:val="auto"/>
                <w:kern w:val="2"/>
                <w:sz w:val="24"/>
                <w:szCs w:val="24"/>
                <w:highlight w:val="none"/>
              </w:rPr>
            </w:pPr>
          </w:p>
        </w:tc>
      </w:tr>
      <w:tr w14:paraId="1580B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271C1465">
            <w:pPr>
              <w:pStyle w:val="27"/>
              <w:spacing w:line="600" w:lineRule="exact"/>
              <w:rPr>
                <w:rFonts w:hint="eastAsia" w:hAnsi="宋体" w:cs="Courier New"/>
                <w:color w:val="auto"/>
                <w:kern w:val="2"/>
                <w:sz w:val="24"/>
                <w:szCs w:val="24"/>
                <w:highlight w:val="none"/>
              </w:rPr>
            </w:pPr>
          </w:p>
        </w:tc>
        <w:tc>
          <w:tcPr>
            <w:tcW w:w="2143" w:type="dxa"/>
            <w:noWrap w:val="0"/>
            <w:vAlign w:val="top"/>
          </w:tcPr>
          <w:p w14:paraId="6BA51F38">
            <w:pPr>
              <w:pStyle w:val="27"/>
              <w:spacing w:line="600" w:lineRule="exact"/>
              <w:rPr>
                <w:rFonts w:hint="eastAsia" w:hAnsi="宋体" w:cs="Courier New"/>
                <w:color w:val="auto"/>
                <w:kern w:val="2"/>
                <w:sz w:val="24"/>
                <w:szCs w:val="24"/>
                <w:highlight w:val="none"/>
              </w:rPr>
            </w:pPr>
          </w:p>
        </w:tc>
        <w:tc>
          <w:tcPr>
            <w:tcW w:w="1834" w:type="dxa"/>
            <w:noWrap w:val="0"/>
            <w:vAlign w:val="top"/>
          </w:tcPr>
          <w:p w14:paraId="0C07BA05">
            <w:pPr>
              <w:pStyle w:val="27"/>
              <w:spacing w:line="600" w:lineRule="exact"/>
              <w:rPr>
                <w:rFonts w:hint="eastAsia" w:hAnsi="宋体" w:cs="Courier New"/>
                <w:color w:val="auto"/>
                <w:kern w:val="2"/>
                <w:sz w:val="24"/>
                <w:szCs w:val="24"/>
                <w:highlight w:val="none"/>
              </w:rPr>
            </w:pPr>
          </w:p>
        </w:tc>
        <w:tc>
          <w:tcPr>
            <w:tcW w:w="2181" w:type="dxa"/>
            <w:noWrap w:val="0"/>
            <w:vAlign w:val="top"/>
          </w:tcPr>
          <w:p w14:paraId="5709B5AA">
            <w:pPr>
              <w:pStyle w:val="27"/>
              <w:spacing w:line="600" w:lineRule="exact"/>
              <w:rPr>
                <w:rFonts w:hint="eastAsia" w:hAnsi="宋体" w:cs="Courier New"/>
                <w:color w:val="auto"/>
                <w:kern w:val="2"/>
                <w:sz w:val="24"/>
                <w:szCs w:val="24"/>
                <w:highlight w:val="none"/>
              </w:rPr>
            </w:pPr>
          </w:p>
        </w:tc>
        <w:tc>
          <w:tcPr>
            <w:tcW w:w="1934" w:type="dxa"/>
            <w:noWrap w:val="0"/>
            <w:vAlign w:val="top"/>
          </w:tcPr>
          <w:p w14:paraId="3E8D1E18">
            <w:pPr>
              <w:pStyle w:val="27"/>
              <w:spacing w:line="600" w:lineRule="exact"/>
              <w:rPr>
                <w:rFonts w:hint="eastAsia" w:hAnsi="宋体" w:cs="Courier New"/>
                <w:color w:val="auto"/>
                <w:kern w:val="2"/>
                <w:sz w:val="24"/>
                <w:szCs w:val="24"/>
                <w:highlight w:val="none"/>
              </w:rPr>
            </w:pPr>
          </w:p>
        </w:tc>
      </w:tr>
    </w:tbl>
    <w:p w14:paraId="5B01D1B2">
      <w:pPr>
        <w:pStyle w:val="19"/>
        <w:rPr>
          <w:rFonts w:hint="eastAsia" w:ascii="宋体" w:hAnsi="宋体"/>
          <w:color w:val="auto"/>
          <w:highlight w:val="none"/>
        </w:rPr>
      </w:pPr>
      <w:r>
        <w:rPr>
          <w:rFonts w:hint="eastAsia" w:ascii="宋体" w:hAnsi="宋体"/>
          <w:color w:val="auto"/>
          <w:highlight w:val="none"/>
        </w:rPr>
        <w:t>注：</w:t>
      </w:r>
    </w:p>
    <w:p w14:paraId="5C989896">
      <w:pPr>
        <w:pStyle w:val="22"/>
        <w:spacing w:line="360" w:lineRule="auto"/>
        <w:ind w:firstLine="0" w:firstLineChars="0"/>
        <w:contextualSpacing/>
        <w:rPr>
          <w:rFonts w:hint="eastAsia" w:hAnsi="仿宋_GB2312" w:cs="仿宋_GB2312"/>
          <w:color w:val="auto"/>
          <w:szCs w:val="32"/>
          <w:highlight w:val="none"/>
        </w:rPr>
      </w:pPr>
      <w:r>
        <w:rPr>
          <w:rFonts w:hint="eastAsia" w:ascii="宋体" w:hAnsi="宋体" w:eastAsia="宋体"/>
          <w:color w:val="auto"/>
          <w:sz w:val="24"/>
          <w:szCs w:val="24"/>
          <w:highlight w:val="none"/>
        </w:rPr>
        <w:t>1.说明：应对照招标文件“第二章 采购需求”中的“技术要求”逐条作明确的投标响应，并作出偏离说明。</w:t>
      </w:r>
    </w:p>
    <w:p w14:paraId="7FA5E2BC">
      <w:pPr>
        <w:pStyle w:val="19"/>
        <w:spacing w:line="360" w:lineRule="auto"/>
        <w:contextualSpacing/>
        <w:rPr>
          <w:rFonts w:hint="eastAsia" w:ascii="宋体" w:hAnsi="宋体"/>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798CC322">
      <w:pPr>
        <w:snapToGrid w:val="0"/>
        <w:spacing w:before="50" w:after="50" w:line="360" w:lineRule="auto"/>
        <w:rPr>
          <w:rFonts w:hint="eastAsia" w:ascii="宋体" w:hAnsi="宋体"/>
          <w:color w:val="auto"/>
          <w:sz w:val="24"/>
          <w:highlight w:val="none"/>
        </w:rPr>
      </w:pPr>
    </w:p>
    <w:p w14:paraId="29C55355">
      <w:pPr>
        <w:snapToGrid w:val="0"/>
        <w:spacing w:before="50" w:after="50" w:line="360" w:lineRule="auto"/>
        <w:rPr>
          <w:rFonts w:hint="eastAsia" w:ascii="宋体" w:hAnsi="宋体"/>
          <w:color w:val="auto"/>
          <w:sz w:val="24"/>
          <w:highlight w:val="none"/>
        </w:rPr>
      </w:pPr>
    </w:p>
    <w:p w14:paraId="05F5755D">
      <w:pPr>
        <w:snapToGrid w:val="0"/>
        <w:spacing w:before="50" w:after="50" w:line="360" w:lineRule="auto"/>
        <w:rPr>
          <w:rFonts w:ascii="宋体" w:hAnsi="宋体"/>
          <w:color w:val="auto"/>
          <w:sz w:val="24"/>
          <w:highlight w:val="none"/>
        </w:rPr>
      </w:pPr>
    </w:p>
    <w:p w14:paraId="56BB2810">
      <w:pPr>
        <w:snapToGrid w:val="0"/>
        <w:spacing w:before="50" w:after="50" w:line="360" w:lineRule="auto"/>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14:paraId="3D429EAD">
      <w:pPr>
        <w:snapToGrid w:val="0"/>
        <w:spacing w:before="50" w:after="50" w:line="360" w:lineRule="auto"/>
        <w:rPr>
          <w:rFonts w:hint="eastAsia" w:ascii="宋体" w:hAnsi="宋体"/>
          <w:color w:val="auto"/>
          <w:spacing w:val="20"/>
          <w:sz w:val="24"/>
          <w:highlight w:val="none"/>
          <w:u w:val="single"/>
        </w:rPr>
      </w:pPr>
      <w:r>
        <w:rPr>
          <w:rFonts w:hint="eastAsia" w:ascii="宋体" w:hAnsi="宋体"/>
          <w:color w:val="auto"/>
          <w:spacing w:val="20"/>
          <w:sz w:val="24"/>
          <w:highlight w:val="none"/>
        </w:rPr>
        <w:t>投标人（盖公章）：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日 期：</w:t>
      </w:r>
      <w:r>
        <w:rPr>
          <w:rFonts w:hint="eastAsia" w:ascii="宋体" w:hAnsi="宋体"/>
          <w:color w:val="auto"/>
          <w:spacing w:val="20"/>
          <w:sz w:val="24"/>
          <w:highlight w:val="none"/>
          <w:u w:val="single"/>
        </w:rPr>
        <w:t xml:space="preserve">        </w:t>
      </w:r>
    </w:p>
    <w:p w14:paraId="049614BA">
      <w:pPr>
        <w:snapToGrid w:val="0"/>
        <w:spacing w:before="50" w:after="50" w:line="360" w:lineRule="auto"/>
        <w:rPr>
          <w:rFonts w:hint="eastAsia" w:ascii="宋体" w:hAnsi="宋体"/>
          <w:color w:val="auto"/>
          <w:sz w:val="24"/>
          <w:szCs w:val="20"/>
          <w:highlight w:val="none"/>
        </w:rPr>
      </w:pPr>
    </w:p>
    <w:p w14:paraId="2CEC526B">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4. 项目实施人员一览表格式</w:t>
      </w:r>
    </w:p>
    <w:p w14:paraId="02983521">
      <w:pPr>
        <w:snapToGrid w:val="0"/>
        <w:spacing w:before="120" w:beforeLines="50" w:after="50"/>
        <w:ind w:left="142"/>
        <w:jc w:val="left"/>
        <w:rPr>
          <w:rFonts w:hint="eastAsia" w:ascii="宋体" w:hAnsi="宋体"/>
          <w:b/>
          <w:color w:val="auto"/>
          <w:sz w:val="24"/>
          <w:highlight w:val="none"/>
        </w:rPr>
      </w:pPr>
    </w:p>
    <w:p w14:paraId="5DCF7398">
      <w:pPr>
        <w:snapToGrid w:val="0"/>
        <w:spacing w:before="120"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项目实施人员一览表</w:t>
      </w:r>
    </w:p>
    <w:p w14:paraId="26497880">
      <w:pPr>
        <w:pStyle w:val="27"/>
        <w:rPr>
          <w:rFonts w:hint="eastAsia"/>
          <w:color w:val="auto"/>
          <w:sz w:val="24"/>
          <w:szCs w:val="24"/>
          <w:highlight w:val="none"/>
        </w:rPr>
      </w:pPr>
      <w:r>
        <w:rPr>
          <w:rFonts w:hint="eastAsia"/>
          <w:color w:val="auto"/>
          <w:sz w:val="24"/>
          <w:szCs w:val="24"/>
          <w:highlight w:val="none"/>
        </w:rPr>
        <w:t>所投分标：</w:t>
      </w:r>
      <w:r>
        <w:rPr>
          <w:rFonts w:hint="eastAsia"/>
          <w:color w:val="auto"/>
          <w:sz w:val="24"/>
          <w:szCs w:val="24"/>
          <w:highlight w:val="none"/>
          <w:u w:val="single"/>
        </w:rPr>
        <w:t xml:space="preserve">     </w:t>
      </w:r>
      <w:r>
        <w:rPr>
          <w:rFonts w:hint="eastAsia"/>
          <w:color w:val="auto"/>
          <w:sz w:val="24"/>
          <w:szCs w:val="24"/>
          <w:highlight w:val="none"/>
        </w:rPr>
        <w:t>分标</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12FBE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775D434">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姓名</w:t>
            </w:r>
          </w:p>
        </w:tc>
        <w:tc>
          <w:tcPr>
            <w:tcW w:w="709" w:type="dxa"/>
            <w:noWrap w:val="0"/>
            <w:vAlign w:val="center"/>
          </w:tcPr>
          <w:p w14:paraId="166564BE">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职务</w:t>
            </w:r>
          </w:p>
        </w:tc>
        <w:tc>
          <w:tcPr>
            <w:tcW w:w="1701" w:type="dxa"/>
            <w:noWrap w:val="0"/>
            <w:vAlign w:val="center"/>
          </w:tcPr>
          <w:p w14:paraId="20882605">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420" w:type="dxa"/>
            <w:noWrap w:val="0"/>
            <w:vAlign w:val="center"/>
          </w:tcPr>
          <w:p w14:paraId="1C034C90">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证书编号</w:t>
            </w:r>
          </w:p>
        </w:tc>
        <w:tc>
          <w:tcPr>
            <w:tcW w:w="1698" w:type="dxa"/>
            <w:noWrap w:val="0"/>
            <w:vAlign w:val="center"/>
          </w:tcPr>
          <w:p w14:paraId="51AFA3AB">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参加本单位</w:t>
            </w:r>
          </w:p>
          <w:p w14:paraId="3DDA53AF">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工作时间</w:t>
            </w:r>
          </w:p>
        </w:tc>
        <w:tc>
          <w:tcPr>
            <w:tcW w:w="1843" w:type="dxa"/>
            <w:noWrap w:val="0"/>
            <w:vAlign w:val="center"/>
          </w:tcPr>
          <w:p w14:paraId="3DB859BE">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劳动合同编号</w:t>
            </w:r>
          </w:p>
        </w:tc>
      </w:tr>
      <w:tr w14:paraId="6A0A7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5DFE02A">
            <w:pPr>
              <w:snapToGrid w:val="0"/>
              <w:spacing w:before="50" w:after="120" w:afterLines="50"/>
              <w:jc w:val="center"/>
              <w:rPr>
                <w:rFonts w:hint="eastAsia" w:ascii="宋体" w:hAnsi="宋体"/>
                <w:color w:val="auto"/>
                <w:sz w:val="24"/>
                <w:szCs w:val="20"/>
                <w:highlight w:val="none"/>
              </w:rPr>
            </w:pPr>
          </w:p>
        </w:tc>
        <w:tc>
          <w:tcPr>
            <w:tcW w:w="709" w:type="dxa"/>
            <w:noWrap w:val="0"/>
            <w:vAlign w:val="center"/>
          </w:tcPr>
          <w:p w14:paraId="4028C3F7">
            <w:pPr>
              <w:snapToGrid w:val="0"/>
              <w:spacing w:before="50" w:after="120" w:afterLines="50"/>
              <w:jc w:val="center"/>
              <w:rPr>
                <w:rFonts w:hint="eastAsia" w:ascii="宋体" w:hAnsi="宋体"/>
                <w:color w:val="auto"/>
                <w:sz w:val="24"/>
                <w:szCs w:val="20"/>
                <w:highlight w:val="none"/>
              </w:rPr>
            </w:pPr>
          </w:p>
        </w:tc>
        <w:tc>
          <w:tcPr>
            <w:tcW w:w="1701" w:type="dxa"/>
            <w:noWrap w:val="0"/>
            <w:vAlign w:val="center"/>
          </w:tcPr>
          <w:p w14:paraId="4222756D">
            <w:pPr>
              <w:snapToGrid w:val="0"/>
              <w:spacing w:before="50" w:after="120" w:afterLines="50"/>
              <w:jc w:val="center"/>
              <w:rPr>
                <w:rFonts w:hint="eastAsia" w:ascii="宋体" w:hAnsi="宋体"/>
                <w:color w:val="auto"/>
                <w:sz w:val="24"/>
                <w:szCs w:val="20"/>
                <w:highlight w:val="none"/>
              </w:rPr>
            </w:pPr>
          </w:p>
        </w:tc>
        <w:tc>
          <w:tcPr>
            <w:tcW w:w="1420" w:type="dxa"/>
            <w:noWrap w:val="0"/>
            <w:vAlign w:val="center"/>
          </w:tcPr>
          <w:p w14:paraId="22714514">
            <w:pPr>
              <w:snapToGrid w:val="0"/>
              <w:spacing w:before="50" w:after="120" w:afterLines="50"/>
              <w:jc w:val="center"/>
              <w:rPr>
                <w:rFonts w:hint="eastAsia" w:ascii="宋体" w:hAnsi="宋体"/>
                <w:color w:val="auto"/>
                <w:sz w:val="24"/>
                <w:szCs w:val="20"/>
                <w:highlight w:val="none"/>
              </w:rPr>
            </w:pPr>
          </w:p>
        </w:tc>
        <w:tc>
          <w:tcPr>
            <w:tcW w:w="1698" w:type="dxa"/>
            <w:noWrap w:val="0"/>
            <w:vAlign w:val="center"/>
          </w:tcPr>
          <w:p w14:paraId="67AD1CE1">
            <w:pPr>
              <w:snapToGrid w:val="0"/>
              <w:spacing w:before="50" w:after="120" w:afterLines="50"/>
              <w:jc w:val="center"/>
              <w:rPr>
                <w:rFonts w:hint="eastAsia" w:ascii="宋体" w:hAnsi="宋体"/>
                <w:color w:val="auto"/>
                <w:sz w:val="24"/>
                <w:szCs w:val="20"/>
                <w:highlight w:val="none"/>
              </w:rPr>
            </w:pPr>
          </w:p>
        </w:tc>
        <w:tc>
          <w:tcPr>
            <w:tcW w:w="1843" w:type="dxa"/>
            <w:noWrap w:val="0"/>
            <w:vAlign w:val="center"/>
          </w:tcPr>
          <w:p w14:paraId="2DEF8DC4">
            <w:pPr>
              <w:snapToGrid w:val="0"/>
              <w:spacing w:before="50" w:after="120" w:afterLines="50"/>
              <w:jc w:val="center"/>
              <w:rPr>
                <w:rFonts w:hint="eastAsia" w:ascii="宋体" w:hAnsi="宋体"/>
                <w:color w:val="auto"/>
                <w:sz w:val="24"/>
                <w:szCs w:val="20"/>
                <w:highlight w:val="none"/>
              </w:rPr>
            </w:pPr>
          </w:p>
        </w:tc>
      </w:tr>
      <w:tr w14:paraId="7FF45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2B5F42B">
            <w:pPr>
              <w:snapToGrid w:val="0"/>
              <w:spacing w:before="50" w:after="120" w:afterLines="50"/>
              <w:jc w:val="center"/>
              <w:rPr>
                <w:rFonts w:hint="eastAsia" w:ascii="宋体" w:hAnsi="宋体"/>
                <w:color w:val="auto"/>
                <w:sz w:val="24"/>
                <w:szCs w:val="20"/>
                <w:highlight w:val="none"/>
              </w:rPr>
            </w:pPr>
          </w:p>
        </w:tc>
        <w:tc>
          <w:tcPr>
            <w:tcW w:w="709" w:type="dxa"/>
            <w:noWrap w:val="0"/>
            <w:vAlign w:val="center"/>
          </w:tcPr>
          <w:p w14:paraId="32775FF6">
            <w:pPr>
              <w:snapToGrid w:val="0"/>
              <w:spacing w:before="50" w:after="120" w:afterLines="50"/>
              <w:jc w:val="center"/>
              <w:rPr>
                <w:rFonts w:hint="eastAsia" w:ascii="宋体" w:hAnsi="宋体"/>
                <w:color w:val="auto"/>
                <w:sz w:val="24"/>
                <w:szCs w:val="20"/>
                <w:highlight w:val="none"/>
              </w:rPr>
            </w:pPr>
          </w:p>
        </w:tc>
        <w:tc>
          <w:tcPr>
            <w:tcW w:w="1701" w:type="dxa"/>
            <w:noWrap w:val="0"/>
            <w:vAlign w:val="center"/>
          </w:tcPr>
          <w:p w14:paraId="1CAD9DB5">
            <w:pPr>
              <w:snapToGrid w:val="0"/>
              <w:spacing w:before="50" w:after="120" w:afterLines="50"/>
              <w:jc w:val="center"/>
              <w:rPr>
                <w:rFonts w:hint="eastAsia" w:ascii="宋体" w:hAnsi="宋体"/>
                <w:color w:val="auto"/>
                <w:sz w:val="24"/>
                <w:szCs w:val="20"/>
                <w:highlight w:val="none"/>
              </w:rPr>
            </w:pPr>
          </w:p>
        </w:tc>
        <w:tc>
          <w:tcPr>
            <w:tcW w:w="1420" w:type="dxa"/>
            <w:noWrap w:val="0"/>
            <w:vAlign w:val="center"/>
          </w:tcPr>
          <w:p w14:paraId="4A45A5E5">
            <w:pPr>
              <w:snapToGrid w:val="0"/>
              <w:spacing w:before="50" w:after="120" w:afterLines="50"/>
              <w:jc w:val="center"/>
              <w:rPr>
                <w:rFonts w:hint="eastAsia" w:ascii="宋体" w:hAnsi="宋体"/>
                <w:color w:val="auto"/>
                <w:sz w:val="24"/>
                <w:szCs w:val="20"/>
                <w:highlight w:val="none"/>
              </w:rPr>
            </w:pPr>
          </w:p>
        </w:tc>
        <w:tc>
          <w:tcPr>
            <w:tcW w:w="1698" w:type="dxa"/>
            <w:noWrap w:val="0"/>
            <w:vAlign w:val="center"/>
          </w:tcPr>
          <w:p w14:paraId="1E6EBCD3">
            <w:pPr>
              <w:snapToGrid w:val="0"/>
              <w:spacing w:before="50" w:after="120" w:afterLines="50"/>
              <w:jc w:val="center"/>
              <w:rPr>
                <w:rFonts w:hint="eastAsia" w:ascii="宋体" w:hAnsi="宋体"/>
                <w:color w:val="auto"/>
                <w:sz w:val="24"/>
                <w:szCs w:val="20"/>
                <w:highlight w:val="none"/>
              </w:rPr>
            </w:pPr>
          </w:p>
        </w:tc>
        <w:tc>
          <w:tcPr>
            <w:tcW w:w="1843" w:type="dxa"/>
            <w:noWrap w:val="0"/>
            <w:vAlign w:val="center"/>
          </w:tcPr>
          <w:p w14:paraId="0E308D58">
            <w:pPr>
              <w:snapToGrid w:val="0"/>
              <w:spacing w:before="50" w:after="120" w:afterLines="50"/>
              <w:jc w:val="center"/>
              <w:rPr>
                <w:rFonts w:hint="eastAsia" w:ascii="宋体" w:hAnsi="宋体"/>
                <w:color w:val="auto"/>
                <w:sz w:val="24"/>
                <w:szCs w:val="20"/>
                <w:highlight w:val="none"/>
              </w:rPr>
            </w:pPr>
          </w:p>
        </w:tc>
      </w:tr>
      <w:tr w14:paraId="58A50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7037867B">
            <w:pPr>
              <w:snapToGrid w:val="0"/>
              <w:spacing w:before="50" w:after="120" w:afterLines="50"/>
              <w:jc w:val="center"/>
              <w:rPr>
                <w:rFonts w:hint="eastAsia" w:ascii="宋体" w:hAnsi="宋体"/>
                <w:color w:val="auto"/>
                <w:sz w:val="24"/>
                <w:szCs w:val="20"/>
                <w:highlight w:val="none"/>
              </w:rPr>
            </w:pPr>
          </w:p>
        </w:tc>
        <w:tc>
          <w:tcPr>
            <w:tcW w:w="709" w:type="dxa"/>
            <w:noWrap w:val="0"/>
            <w:vAlign w:val="center"/>
          </w:tcPr>
          <w:p w14:paraId="579ECE95">
            <w:pPr>
              <w:snapToGrid w:val="0"/>
              <w:spacing w:before="50" w:after="120" w:afterLines="50"/>
              <w:jc w:val="center"/>
              <w:rPr>
                <w:rFonts w:hint="eastAsia" w:ascii="宋体" w:hAnsi="宋体"/>
                <w:color w:val="auto"/>
                <w:sz w:val="24"/>
                <w:szCs w:val="20"/>
                <w:highlight w:val="none"/>
              </w:rPr>
            </w:pPr>
          </w:p>
        </w:tc>
        <w:tc>
          <w:tcPr>
            <w:tcW w:w="1701" w:type="dxa"/>
            <w:noWrap w:val="0"/>
            <w:vAlign w:val="center"/>
          </w:tcPr>
          <w:p w14:paraId="7C4297D5">
            <w:pPr>
              <w:snapToGrid w:val="0"/>
              <w:spacing w:before="50" w:after="120" w:afterLines="50"/>
              <w:jc w:val="center"/>
              <w:rPr>
                <w:rFonts w:hint="eastAsia" w:ascii="宋体" w:hAnsi="宋体"/>
                <w:color w:val="auto"/>
                <w:sz w:val="24"/>
                <w:szCs w:val="20"/>
                <w:highlight w:val="none"/>
              </w:rPr>
            </w:pPr>
          </w:p>
        </w:tc>
        <w:tc>
          <w:tcPr>
            <w:tcW w:w="1420" w:type="dxa"/>
            <w:noWrap w:val="0"/>
            <w:vAlign w:val="center"/>
          </w:tcPr>
          <w:p w14:paraId="08E90E3E">
            <w:pPr>
              <w:snapToGrid w:val="0"/>
              <w:spacing w:before="50" w:after="120" w:afterLines="50"/>
              <w:jc w:val="center"/>
              <w:rPr>
                <w:rFonts w:hint="eastAsia" w:ascii="宋体" w:hAnsi="宋体"/>
                <w:color w:val="auto"/>
                <w:sz w:val="24"/>
                <w:szCs w:val="20"/>
                <w:highlight w:val="none"/>
              </w:rPr>
            </w:pPr>
          </w:p>
        </w:tc>
        <w:tc>
          <w:tcPr>
            <w:tcW w:w="1698" w:type="dxa"/>
            <w:noWrap w:val="0"/>
            <w:vAlign w:val="center"/>
          </w:tcPr>
          <w:p w14:paraId="39486E55">
            <w:pPr>
              <w:snapToGrid w:val="0"/>
              <w:spacing w:before="50" w:after="120" w:afterLines="50"/>
              <w:jc w:val="center"/>
              <w:rPr>
                <w:rFonts w:hint="eastAsia" w:ascii="宋体" w:hAnsi="宋体"/>
                <w:color w:val="auto"/>
                <w:sz w:val="24"/>
                <w:szCs w:val="20"/>
                <w:highlight w:val="none"/>
              </w:rPr>
            </w:pPr>
          </w:p>
        </w:tc>
        <w:tc>
          <w:tcPr>
            <w:tcW w:w="1843" w:type="dxa"/>
            <w:noWrap w:val="0"/>
            <w:vAlign w:val="center"/>
          </w:tcPr>
          <w:p w14:paraId="4C85DBEC">
            <w:pPr>
              <w:snapToGrid w:val="0"/>
              <w:spacing w:before="50" w:after="120" w:afterLines="50"/>
              <w:jc w:val="center"/>
              <w:rPr>
                <w:rFonts w:hint="eastAsia" w:ascii="宋体" w:hAnsi="宋体"/>
                <w:color w:val="auto"/>
                <w:sz w:val="24"/>
                <w:szCs w:val="20"/>
                <w:highlight w:val="none"/>
              </w:rPr>
            </w:pPr>
          </w:p>
        </w:tc>
      </w:tr>
    </w:tbl>
    <w:p w14:paraId="6C4BFB25">
      <w:pPr>
        <w:snapToGrid w:val="0"/>
        <w:spacing w:before="50" w:after="120" w:afterLines="50"/>
        <w:jc w:val="left"/>
        <w:rPr>
          <w:rFonts w:hint="eastAsia" w:ascii="宋体" w:hAnsi="宋体"/>
          <w:color w:val="auto"/>
          <w:sz w:val="24"/>
          <w:szCs w:val="20"/>
          <w:highlight w:val="none"/>
        </w:rPr>
      </w:pPr>
    </w:p>
    <w:p w14:paraId="31AF30F0">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注：</w:t>
      </w:r>
    </w:p>
    <w:p w14:paraId="08FDB0A4">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在填写时，如本表格不适合投标单位的实际情况，可根据本表格式自行制表填写。</w:t>
      </w:r>
    </w:p>
    <w:p w14:paraId="4F39DF2B">
      <w:pPr>
        <w:spacing w:line="360" w:lineRule="auto"/>
        <w:contextualSpacing/>
        <w:jc w:val="left"/>
        <w:rPr>
          <w:rFonts w:hint="eastAsia" w:ascii="宋体" w:hAnsi="宋体"/>
          <w:color w:val="auto"/>
          <w:sz w:val="24"/>
          <w:szCs w:val="20"/>
          <w:highlight w:val="none"/>
        </w:rPr>
      </w:pPr>
      <w:r>
        <w:rPr>
          <w:rFonts w:ascii="宋体" w:hAnsi="宋体"/>
          <w:color w:val="auto"/>
          <w:sz w:val="24"/>
          <w:szCs w:val="20"/>
          <w:highlight w:val="none"/>
        </w:rPr>
        <w:t>2.</w:t>
      </w:r>
      <w:r>
        <w:rPr>
          <w:rFonts w:hint="eastAsia" w:ascii="宋体" w:hAnsi="宋体"/>
          <w:color w:val="auto"/>
          <w:sz w:val="24"/>
          <w:szCs w:val="20"/>
          <w:highlight w:val="none"/>
        </w:rPr>
        <w:t>投标人应当附本表所列证书的复印件并加盖投标人公章。</w:t>
      </w:r>
    </w:p>
    <w:p w14:paraId="0BAF6F93">
      <w:pPr>
        <w:spacing w:line="360" w:lineRule="auto"/>
        <w:contextualSpacing/>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14:paraId="581685F6">
      <w:pPr>
        <w:spacing w:line="360" w:lineRule="auto"/>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投标人（盖公章）：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日 期：</w:t>
      </w:r>
      <w:r>
        <w:rPr>
          <w:rFonts w:hint="eastAsia" w:ascii="宋体" w:hAnsi="宋体"/>
          <w:color w:val="auto"/>
          <w:spacing w:val="20"/>
          <w:sz w:val="24"/>
          <w:highlight w:val="none"/>
          <w:u w:val="single"/>
        </w:rPr>
        <w:t xml:space="preserve">         </w:t>
      </w:r>
    </w:p>
    <w:p w14:paraId="2F97867E">
      <w:pPr>
        <w:snapToGrid w:val="0"/>
        <w:spacing w:before="50" w:after="120" w:afterLines="50"/>
        <w:jc w:val="left"/>
        <w:rPr>
          <w:rFonts w:hint="eastAsia" w:ascii="宋体" w:hAnsi="宋体"/>
          <w:color w:val="auto"/>
          <w:sz w:val="24"/>
          <w:szCs w:val="20"/>
          <w:highlight w:val="none"/>
        </w:rPr>
      </w:pPr>
    </w:p>
    <w:p w14:paraId="7F3DC592">
      <w:pPr>
        <w:snapToGrid w:val="0"/>
        <w:spacing w:before="120" w:beforeLines="50" w:after="50"/>
        <w:ind w:left="142"/>
        <w:jc w:val="left"/>
        <w:rPr>
          <w:rFonts w:hint="eastAsia"/>
          <w:b/>
          <w:color w:val="auto"/>
          <w:sz w:val="28"/>
          <w:szCs w:val="28"/>
          <w:highlight w:val="none"/>
        </w:rPr>
      </w:pPr>
      <w:r>
        <w:rPr>
          <w:rFonts w:ascii="宋体" w:hAnsi="宋体"/>
          <w:b/>
          <w:color w:val="auto"/>
          <w:sz w:val="24"/>
          <w:highlight w:val="none"/>
        </w:rPr>
        <w:br w:type="page"/>
      </w:r>
      <w:r>
        <w:rPr>
          <w:rFonts w:hint="eastAsia"/>
          <w:b/>
          <w:color w:val="auto"/>
          <w:sz w:val="28"/>
          <w:szCs w:val="28"/>
          <w:highlight w:val="none"/>
        </w:rPr>
        <w:t>五、其他文书、文件格式</w:t>
      </w:r>
    </w:p>
    <w:p w14:paraId="015039FD">
      <w:pPr>
        <w:snapToGrid w:val="0"/>
        <w:spacing w:before="120" w:beforeLines="50" w:after="50"/>
        <w:ind w:left="142"/>
        <w:jc w:val="left"/>
        <w:rPr>
          <w:rFonts w:hint="eastAsia" w:ascii="宋体" w:hAnsi="宋体"/>
          <w:b/>
          <w:color w:val="auto"/>
          <w:spacing w:val="20"/>
          <w:sz w:val="24"/>
          <w:highlight w:val="none"/>
        </w:rPr>
      </w:pPr>
      <w:r>
        <w:rPr>
          <w:rFonts w:hint="eastAsia" w:ascii="宋体" w:hAnsi="宋体"/>
          <w:b/>
          <w:color w:val="auto"/>
          <w:spacing w:val="20"/>
          <w:sz w:val="24"/>
          <w:highlight w:val="none"/>
        </w:rPr>
        <w:t>1.联合投标协议书格式</w:t>
      </w:r>
    </w:p>
    <w:p w14:paraId="40488399">
      <w:pPr>
        <w:snapToGrid w:val="0"/>
        <w:spacing w:before="120" w:beforeLines="50" w:after="50"/>
        <w:ind w:left="142"/>
        <w:jc w:val="left"/>
        <w:rPr>
          <w:rFonts w:hint="eastAsia" w:ascii="宋体" w:hAnsi="宋体"/>
          <w:b/>
          <w:color w:val="auto"/>
          <w:spacing w:val="20"/>
          <w:sz w:val="24"/>
          <w:highlight w:val="none"/>
        </w:rPr>
      </w:pPr>
    </w:p>
    <w:p w14:paraId="26C91C4F">
      <w:pPr>
        <w:pStyle w:val="8"/>
        <w:overflowPunct w:val="0"/>
        <w:ind w:firstLine="0"/>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联合体协议书</w:t>
      </w:r>
    </w:p>
    <w:p w14:paraId="2A43C602">
      <w:pPr>
        <w:pStyle w:val="8"/>
        <w:overflowPunct w:val="0"/>
        <w:rPr>
          <w:rFonts w:ascii="宋体" w:hAnsi="宋体"/>
          <w:color w:val="auto"/>
          <w:sz w:val="24"/>
          <w:highlight w:val="none"/>
        </w:rPr>
      </w:pPr>
    </w:p>
    <w:p w14:paraId="2DD3508F">
      <w:pPr>
        <w:pStyle w:val="8"/>
        <w:overflowPunct w:val="0"/>
        <w:spacing w:line="360" w:lineRule="auto"/>
        <w:contextualSpacing/>
        <w:rPr>
          <w:rFonts w:ascii="宋体" w:hAnsi="宋体"/>
          <w:color w:val="auto"/>
          <w:sz w:val="24"/>
          <w:highlight w:val="none"/>
        </w:rPr>
      </w:pP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（所有成员单位名称）自愿组成</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（联合体名称）联合体，共同参加</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u w:val="single"/>
        </w:rPr>
        <w:t>（项</w:t>
      </w:r>
      <w:r>
        <w:rPr>
          <w:rFonts w:hint="eastAsia" w:ascii="宋体" w:hAnsi="宋体"/>
          <w:color w:val="auto"/>
          <w:sz w:val="24"/>
          <w:highlight w:val="none"/>
        </w:rPr>
        <w:t>目名称）采购招标项目投标。现就联合体投标事宜订立如下协议。</w:t>
      </w:r>
    </w:p>
    <w:p w14:paraId="20BE3114">
      <w:pPr>
        <w:pStyle w:val="8"/>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 xml:space="preserve">1.  </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（某成员单位名称）为</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（联合体名称）牵头人。</w:t>
      </w:r>
    </w:p>
    <w:p w14:paraId="5B465452">
      <w:pPr>
        <w:pStyle w:val="8"/>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联合体各成员授权牵头人代表联合体参加投标活动，签署文件及对文件的盖章，提交和接收相关的资料、</w:t>
      </w:r>
      <w:r>
        <w:rPr>
          <w:rFonts w:ascii="宋体" w:hAnsi="宋体"/>
          <w:color w:val="auto"/>
          <w:sz w:val="24"/>
          <w:highlight w:val="none"/>
        </w:rPr>
        <w:t xml:space="preserve"> </w:t>
      </w:r>
      <w:r>
        <w:rPr>
          <w:rFonts w:hint="eastAsia" w:ascii="宋体" w:hAnsi="宋体"/>
          <w:color w:val="auto"/>
          <w:sz w:val="24"/>
          <w:highlight w:val="none"/>
        </w:rPr>
        <w:t>信息及指示，进行合同谈判活动，负责合同实施阶段的组织和协调工作，以及处理与本招标项</w:t>
      </w:r>
      <w:r>
        <w:rPr>
          <w:rFonts w:ascii="宋体" w:hAnsi="宋体"/>
          <w:color w:val="auto"/>
          <w:sz w:val="24"/>
          <w:highlight w:val="none"/>
        </w:rPr>
        <w:t xml:space="preserve"> </w:t>
      </w:r>
      <w:r>
        <w:rPr>
          <w:rFonts w:hint="eastAsia" w:ascii="宋体" w:hAnsi="宋体"/>
          <w:color w:val="auto"/>
          <w:sz w:val="24"/>
          <w:highlight w:val="none"/>
        </w:rPr>
        <w:t>目有关的一切事宜。</w:t>
      </w:r>
    </w:p>
    <w:p w14:paraId="2D83FD0A">
      <w:pPr>
        <w:pStyle w:val="8"/>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联合体牵头人在本项目中签署和盖章的一切文件和处理的一切事宜，联合体各成员均予以承认。</w:t>
      </w:r>
      <w:r>
        <w:rPr>
          <w:rFonts w:ascii="宋体" w:hAnsi="宋体"/>
          <w:color w:val="auto"/>
          <w:sz w:val="24"/>
          <w:highlight w:val="none"/>
        </w:rPr>
        <w:t xml:space="preserve"> </w:t>
      </w:r>
      <w:r>
        <w:rPr>
          <w:rFonts w:hint="eastAsia" w:ascii="宋体" w:hAnsi="宋体"/>
          <w:color w:val="auto"/>
          <w:sz w:val="24"/>
          <w:highlight w:val="none"/>
        </w:rPr>
        <w:t>联合体各成员将严格按照招标文件、投标文件和合同的要求全面履行义务，并向招标人承担连带责任。</w:t>
      </w:r>
    </w:p>
    <w:p w14:paraId="749AA77A">
      <w:pPr>
        <w:pStyle w:val="8"/>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联合体各成员单位内部的职责分工如下：</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w:t>
      </w:r>
    </w:p>
    <w:p w14:paraId="5DF09B1B">
      <w:pPr>
        <w:pStyle w:val="8"/>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rPr>
        <w:t>本协议书自所有成员单位法定代表人或者其委托代理人签字或者盖公章之日起生效，合同履行完毕后自动失效。</w:t>
      </w:r>
    </w:p>
    <w:p w14:paraId="1D72DFDC">
      <w:pPr>
        <w:pStyle w:val="8"/>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6.</w:t>
      </w:r>
      <w:r>
        <w:rPr>
          <w:rFonts w:hint="eastAsia" w:ascii="宋体" w:hAnsi="宋体"/>
          <w:color w:val="auto"/>
          <w:sz w:val="24"/>
          <w:highlight w:val="none"/>
        </w:rPr>
        <w:t>本协议书一式</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份，联合体成员和招标人各执一份。</w:t>
      </w:r>
    </w:p>
    <w:p w14:paraId="15C5E8D3">
      <w:pPr>
        <w:pStyle w:val="8"/>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注：本协议书由法定代表人签字的，应附法定代表人身份证明；由委托代理人签字的，应附授权委托书。</w:t>
      </w:r>
    </w:p>
    <w:p w14:paraId="71C3291C">
      <w:pPr>
        <w:pStyle w:val="8"/>
        <w:overflowPunct w:val="0"/>
        <w:spacing w:line="360" w:lineRule="auto"/>
        <w:ind w:firstLineChars="175"/>
        <w:contextualSpacing/>
        <w:rPr>
          <w:rFonts w:ascii="宋体" w:hAnsi="宋体"/>
          <w:color w:val="auto"/>
          <w:sz w:val="24"/>
          <w:highlight w:val="none"/>
        </w:rPr>
      </w:pPr>
    </w:p>
    <w:p w14:paraId="028DD5B0">
      <w:pPr>
        <w:pStyle w:val="8"/>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联合体牵头人名称（盖公章）：</w:t>
      </w:r>
    </w:p>
    <w:p w14:paraId="1E6877E4">
      <w:pPr>
        <w:pStyle w:val="8"/>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法定代表人或者其委托代理人：</w:t>
      </w: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（签字）</w:t>
      </w:r>
    </w:p>
    <w:p w14:paraId="3CE0C2E3">
      <w:pPr>
        <w:pStyle w:val="8"/>
        <w:overflowPunct w:val="0"/>
        <w:spacing w:line="360" w:lineRule="auto"/>
        <w:ind w:firstLineChars="175"/>
        <w:contextualSpacing/>
        <w:rPr>
          <w:rFonts w:ascii="宋体" w:hAnsi="宋体"/>
          <w:color w:val="auto"/>
          <w:sz w:val="24"/>
          <w:highlight w:val="none"/>
        </w:rPr>
      </w:pPr>
    </w:p>
    <w:p w14:paraId="6D5FBB7D">
      <w:pPr>
        <w:pStyle w:val="8"/>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联合体成员名称（盖公章）：</w:t>
      </w:r>
    </w:p>
    <w:p w14:paraId="57D89D87">
      <w:pPr>
        <w:pStyle w:val="8"/>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法定代表人或者其委托代理人：</w:t>
      </w: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（签字）</w:t>
      </w:r>
    </w:p>
    <w:p w14:paraId="63C99AE2">
      <w:pPr>
        <w:pStyle w:val="8"/>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w:t>
      </w:r>
    </w:p>
    <w:p w14:paraId="4DCC6BC5">
      <w:pPr>
        <w:pStyle w:val="8"/>
        <w:overflowPunct w:val="0"/>
        <w:spacing w:line="360" w:lineRule="auto"/>
        <w:ind w:firstLineChars="175"/>
        <w:contextualSpacing/>
        <w:rPr>
          <w:rFonts w:ascii="宋体" w:hAnsi="宋体"/>
          <w:color w:val="auto"/>
          <w:sz w:val="24"/>
          <w:highlight w:val="none"/>
        </w:rPr>
      </w:pPr>
    </w:p>
    <w:p w14:paraId="303D9D88">
      <w:pPr>
        <w:pStyle w:val="8"/>
        <w:overflowPunct w:val="0"/>
        <w:spacing w:line="360" w:lineRule="auto"/>
        <w:ind w:firstLineChars="175"/>
        <w:contextualSpacing/>
        <w:jc w:val="right"/>
        <w:rPr>
          <w:rFonts w:ascii="宋体" w:hAnsi="宋体"/>
          <w:b/>
          <w:color w:val="auto"/>
          <w:sz w:val="24"/>
          <w:highlight w:val="none"/>
        </w:rPr>
      </w:pP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年</w:t>
      </w: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月</w:t>
      </w: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日</w:t>
      </w:r>
    </w:p>
    <w:p w14:paraId="271B68E3">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rPr>
        <w:t xml:space="preserve"> </w:t>
      </w:r>
    </w:p>
    <w:p w14:paraId="746E1DE3">
      <w:pPr>
        <w:snapToGrid w:val="0"/>
        <w:spacing w:before="120" w:beforeLines="50" w:after="50"/>
        <w:jc w:val="left"/>
        <w:rPr>
          <w:rFonts w:hint="eastAsia"/>
          <w:color w:val="auto"/>
          <w:highlight w:val="none"/>
        </w:rPr>
      </w:pPr>
      <w:r>
        <w:rPr>
          <w:rFonts w:hint="eastAsia" w:ascii="宋体" w:hAnsi="宋体"/>
          <w:b/>
          <w:color w:val="auto"/>
          <w:sz w:val="24"/>
          <w:highlight w:val="none"/>
        </w:rPr>
        <w:br w:type="page"/>
      </w:r>
      <w:r>
        <w:rPr>
          <w:rFonts w:hint="eastAsia" w:ascii="宋体" w:hAnsi="宋体"/>
          <w:b/>
          <w:color w:val="auto"/>
          <w:sz w:val="24"/>
          <w:highlight w:val="none"/>
        </w:rPr>
        <w:t>2.中小企业声明函格式</w:t>
      </w:r>
    </w:p>
    <w:p w14:paraId="333581B2">
      <w:pPr>
        <w:rPr>
          <w:rFonts w:hint="eastAsia"/>
          <w:color w:val="auto"/>
          <w:highlight w:val="none"/>
        </w:rPr>
      </w:pPr>
    </w:p>
    <w:p w14:paraId="6D0CB5A6">
      <w:pPr>
        <w:jc w:val="center"/>
        <w:rPr>
          <w:rFonts w:hint="eastAsia" w:ascii="宋体" w:hAnsi="宋体" w:cs="宋体"/>
          <w:color w:val="auto"/>
          <w:sz w:val="44"/>
          <w:szCs w:val="44"/>
          <w:highlight w:val="none"/>
        </w:rPr>
      </w:pPr>
      <w:bookmarkStart w:id="153" w:name="_Toc71365926"/>
      <w:r>
        <w:rPr>
          <w:rFonts w:hint="eastAsia" w:ascii="宋体" w:hAnsi="宋体" w:cs="宋体"/>
          <w:color w:val="auto"/>
          <w:sz w:val="44"/>
          <w:szCs w:val="44"/>
          <w:highlight w:val="none"/>
        </w:rPr>
        <w:t>中小企业声明函（服务）</w:t>
      </w:r>
      <w:bookmarkEnd w:id="153"/>
    </w:p>
    <w:p w14:paraId="42046C43">
      <w:pPr>
        <w:spacing w:before="2" w:line="500" w:lineRule="exact"/>
        <w:ind w:firstLine="708" w:firstLineChars="294"/>
        <w:rPr>
          <w:rFonts w:ascii="宋体" w:hAnsi="宋体" w:cs="宋体"/>
          <w:b/>
          <w:bCs/>
          <w:color w:val="auto"/>
          <w:sz w:val="24"/>
          <w:highlight w:val="none"/>
        </w:rPr>
      </w:pPr>
    </w:p>
    <w:p w14:paraId="039B0041">
      <w:pPr>
        <w:pStyle w:val="20"/>
        <w:spacing w:line="500" w:lineRule="exact"/>
        <w:ind w:right="142" w:firstLine="705" w:firstLineChars="294"/>
        <w:rPr>
          <w:rFonts w:ascii="宋体" w:hAnsi="宋体"/>
          <w:color w:val="auto"/>
          <w:highlight w:val="none"/>
        </w:rPr>
      </w:pPr>
      <w:r>
        <w:rPr>
          <w:rFonts w:ascii="宋体" w:hAnsi="宋体"/>
          <w:color w:val="auto"/>
          <w:highlight w:val="none"/>
        </w:rPr>
        <w:t>本公司（联合体）郑重声明，根据《政府采购促进中小企业发展管理办法》（财库﹝2020﹞46号）的规定，本公司（联合体）参加</w:t>
      </w:r>
      <w:r>
        <w:rPr>
          <w:rFonts w:ascii="宋体" w:hAnsi="宋体"/>
          <w:color w:val="auto"/>
          <w:highlight w:val="none"/>
          <w:u w:val="single"/>
        </w:rPr>
        <w:t>（单位名称）</w:t>
      </w:r>
      <w:r>
        <w:rPr>
          <w:rFonts w:ascii="宋体" w:hAnsi="宋体"/>
          <w:color w:val="auto"/>
          <w:highlight w:val="none"/>
        </w:rPr>
        <w:t>的</w:t>
      </w:r>
      <w:r>
        <w:rPr>
          <w:rFonts w:ascii="宋体" w:hAnsi="宋体"/>
          <w:color w:val="auto"/>
          <w:highlight w:val="none"/>
          <w:u w:val="single"/>
        </w:rPr>
        <w:t>（项目名称）</w:t>
      </w:r>
      <w:r>
        <w:rPr>
          <w:rFonts w:ascii="宋体" w:hAnsi="宋体"/>
          <w:color w:val="auto"/>
          <w:highlight w:val="none"/>
        </w:rPr>
        <w:t>采购活动，</w:t>
      </w:r>
      <w:r>
        <w:rPr>
          <w:rFonts w:hint="eastAsia" w:ascii="宋体" w:hAnsi="宋体"/>
          <w:color w:val="auto"/>
          <w:highlight w:val="none"/>
        </w:rPr>
        <w:t>服务全部由符合政策要求的中小企业承接。相关企业（含联合体中的中小企业、签订分包意向协议的中小企业）的具体情况如下：</w:t>
      </w:r>
    </w:p>
    <w:p w14:paraId="407FA14E">
      <w:pPr>
        <w:tabs>
          <w:tab w:val="left" w:pos="1384"/>
          <w:tab w:val="left" w:pos="4562"/>
          <w:tab w:val="left" w:pos="6803"/>
        </w:tabs>
        <w:spacing w:before="13" w:line="500" w:lineRule="exact"/>
        <w:ind w:right="142" w:firstLine="772" w:firstLineChars="322"/>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23226FA4">
      <w:pPr>
        <w:tabs>
          <w:tab w:val="left" w:pos="1065"/>
          <w:tab w:val="left" w:pos="4262"/>
          <w:tab w:val="left" w:pos="6477"/>
        </w:tabs>
        <w:spacing w:before="20" w:line="500" w:lineRule="exact"/>
        <w:ind w:right="84" w:firstLine="772" w:firstLineChars="322"/>
        <w:rPr>
          <w:rFonts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7B48309D">
      <w:pPr>
        <w:pStyle w:val="20"/>
        <w:spacing w:before="34" w:line="500" w:lineRule="exact"/>
        <w:ind w:right="142" w:firstLine="705" w:firstLineChars="294"/>
        <w:rPr>
          <w:rFonts w:ascii="宋体" w:hAnsi="宋体"/>
          <w:color w:val="auto"/>
          <w:highlight w:val="none"/>
        </w:rPr>
      </w:pPr>
      <w:r>
        <w:rPr>
          <w:rFonts w:ascii="宋体" w:hAnsi="宋体"/>
          <w:color w:val="auto"/>
          <w:highlight w:val="none"/>
        </w:rPr>
        <w:t xml:space="preserve">…… </w:t>
      </w:r>
    </w:p>
    <w:p w14:paraId="2E0705EF">
      <w:pPr>
        <w:pStyle w:val="20"/>
        <w:spacing w:before="34" w:line="500" w:lineRule="exact"/>
        <w:ind w:right="142" w:firstLine="705" w:firstLineChars="294"/>
        <w:rPr>
          <w:rFonts w:ascii="宋体" w:hAnsi="宋体"/>
          <w:color w:val="auto"/>
          <w:highlight w:val="none"/>
        </w:rPr>
      </w:pPr>
      <w:r>
        <w:rPr>
          <w:rFonts w:ascii="宋体" w:hAnsi="宋体"/>
          <w:color w:val="auto"/>
          <w:highlight w:val="none"/>
        </w:rPr>
        <w:t>以上企业，不属于大企业的分支机构，不存在控股股东为大企业的情形，也不存在与大企业的负责人为同一人的情形。</w:t>
      </w:r>
    </w:p>
    <w:p w14:paraId="60CDF163">
      <w:pPr>
        <w:pStyle w:val="20"/>
        <w:spacing w:before="25" w:line="500" w:lineRule="exact"/>
        <w:ind w:right="142" w:firstLine="705" w:firstLineChars="294"/>
        <w:rPr>
          <w:rFonts w:ascii="宋体" w:hAnsi="宋体"/>
          <w:color w:val="auto"/>
          <w:highlight w:val="none"/>
        </w:rPr>
      </w:pPr>
      <w:r>
        <w:rPr>
          <w:rFonts w:ascii="宋体" w:hAnsi="宋体"/>
          <w:color w:val="auto"/>
          <w:highlight w:val="none"/>
        </w:rPr>
        <w:t>本企业对上述声明内容的真实性负责。如有虚假，将依法承担相应责任。</w:t>
      </w:r>
    </w:p>
    <w:p w14:paraId="4207FC67">
      <w:pPr>
        <w:pStyle w:val="20"/>
        <w:spacing w:before="56" w:line="500" w:lineRule="exact"/>
        <w:ind w:right="1808" w:firstLine="705" w:firstLineChars="294"/>
        <w:rPr>
          <w:rFonts w:hint="eastAsia" w:ascii="宋体" w:hAnsi="宋体"/>
          <w:color w:val="auto"/>
          <w:highlight w:val="none"/>
        </w:rPr>
      </w:pPr>
    </w:p>
    <w:p w14:paraId="7EA1D920">
      <w:pPr>
        <w:pStyle w:val="20"/>
        <w:spacing w:before="56" w:line="500" w:lineRule="exact"/>
        <w:ind w:right="650" w:firstLine="5625" w:firstLineChars="2344"/>
        <w:rPr>
          <w:rFonts w:ascii="宋体" w:hAnsi="宋体"/>
          <w:color w:val="auto"/>
          <w:highlight w:val="none"/>
        </w:rPr>
      </w:pPr>
      <w:r>
        <w:rPr>
          <w:rFonts w:ascii="宋体" w:hAnsi="宋体"/>
          <w:color w:val="auto"/>
          <w:highlight w:val="none"/>
        </w:rPr>
        <w:t xml:space="preserve">企业名称（章）： </w:t>
      </w:r>
    </w:p>
    <w:p w14:paraId="3B9DE061">
      <w:pPr>
        <w:pStyle w:val="20"/>
        <w:spacing w:before="56" w:line="500" w:lineRule="exact"/>
        <w:ind w:right="1808" w:firstLine="5625" w:firstLineChars="2344"/>
        <w:rPr>
          <w:rFonts w:ascii="宋体" w:hAnsi="宋体"/>
          <w:color w:val="auto"/>
          <w:highlight w:val="none"/>
        </w:rPr>
      </w:pPr>
      <w:r>
        <w:rPr>
          <w:rFonts w:ascii="宋体" w:hAnsi="宋体"/>
          <w:color w:val="auto"/>
          <w:highlight w:val="none"/>
        </w:rPr>
        <w:t>日 期：</w:t>
      </w:r>
    </w:p>
    <w:p w14:paraId="035CE9A1">
      <w:pPr>
        <w:spacing w:line="520" w:lineRule="exact"/>
        <w:jc w:val="left"/>
        <w:rPr>
          <w:rFonts w:hint="eastAsia" w:ascii="宋体" w:hAnsi="宋体" w:cs="仿宋_GB2312"/>
          <w:color w:val="auto"/>
          <w:sz w:val="24"/>
          <w:highlight w:val="none"/>
        </w:rPr>
      </w:pPr>
    </w:p>
    <w:p w14:paraId="0C2C42E4">
      <w:pPr>
        <w:spacing w:line="520" w:lineRule="exact"/>
        <w:jc w:val="left"/>
        <w:rPr>
          <w:rFonts w:hint="eastAsia"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投标人的《中小企业声明函》。从业人员、营业收入、资产总额填报上一年度数据，无上一年度数据的新成立企业可不填报。</w:t>
      </w:r>
    </w:p>
    <w:p w14:paraId="7F0091C1">
      <w:pPr>
        <w:snapToGrid w:val="0"/>
        <w:spacing w:before="120" w:beforeLines="50" w:after="50"/>
        <w:ind w:left="142"/>
        <w:jc w:val="left"/>
        <w:rPr>
          <w:rFonts w:hint="eastAsia" w:ascii="宋体" w:hAnsi="宋体"/>
          <w:b/>
          <w:color w:val="auto"/>
          <w:sz w:val="24"/>
          <w:highlight w:val="none"/>
        </w:rPr>
      </w:pPr>
    </w:p>
    <w:p w14:paraId="7A76F35B">
      <w:pPr>
        <w:pStyle w:val="27"/>
        <w:jc w:val="left"/>
        <w:rPr>
          <w:rFonts w:hint="eastAsia" w:ascii="Arial Unicode MS" w:hAnsi="Arial Unicode MS" w:eastAsia="Arial Unicode MS" w:cs="Arial Unicode MS"/>
          <w:color w:val="auto"/>
          <w:sz w:val="32"/>
          <w:szCs w:val="32"/>
          <w:highlight w:val="none"/>
        </w:rPr>
      </w:pPr>
      <w:r>
        <w:rPr>
          <w:rFonts w:ascii="Arial Unicode MS" w:hAnsi="Arial Unicode MS" w:eastAsia="Arial Unicode MS" w:cs="Arial Unicode MS"/>
          <w:color w:val="auto"/>
          <w:sz w:val="32"/>
          <w:szCs w:val="32"/>
          <w:highlight w:val="none"/>
        </w:rPr>
        <w:br w:type="page"/>
      </w:r>
      <w:r>
        <w:rPr>
          <w:rFonts w:hint="eastAsia" w:ascii="Arial Unicode MS" w:hAnsi="Arial Unicode MS" w:eastAsia="Arial Unicode MS" w:cs="Arial Unicode MS"/>
          <w:color w:val="auto"/>
          <w:sz w:val="32"/>
          <w:szCs w:val="32"/>
          <w:highlight w:val="none"/>
        </w:rPr>
        <w:t>附：</w:t>
      </w:r>
    </w:p>
    <w:p w14:paraId="56BCBBEF">
      <w:pPr>
        <w:jc w:val="center"/>
        <w:rPr>
          <w:rFonts w:hint="eastAsia" w:ascii="宋体" w:hAnsi="宋体" w:cs="Arial Unicode MS"/>
          <w:color w:val="auto"/>
          <w:sz w:val="44"/>
          <w:szCs w:val="44"/>
          <w:highlight w:val="none"/>
        </w:rPr>
      </w:pPr>
      <w:r>
        <w:rPr>
          <w:rFonts w:hint="eastAsia" w:ascii="宋体" w:hAnsi="宋体" w:cs="Arial Unicode MS"/>
          <w:color w:val="auto"/>
          <w:sz w:val="44"/>
          <w:szCs w:val="44"/>
          <w:highlight w:val="none"/>
        </w:rPr>
        <w:t>中小微企业划型标准</w:t>
      </w:r>
    </w:p>
    <w:p w14:paraId="32CD9AFE">
      <w:pPr>
        <w:ind w:left="1871"/>
        <w:rPr>
          <w:rFonts w:hint="eastAsia" w:ascii="宋体" w:hAnsi="宋体" w:cs="Arial Unicode MS"/>
          <w:color w:val="auto"/>
          <w:szCs w:val="21"/>
          <w:highlight w:val="none"/>
        </w:rPr>
      </w:pPr>
    </w:p>
    <w:tbl>
      <w:tblPr>
        <w:tblStyle w:val="49"/>
        <w:tblW w:w="7983" w:type="dxa"/>
        <w:tblInd w:w="250" w:type="dxa"/>
        <w:tblLayout w:type="fixed"/>
        <w:tblCellMar>
          <w:top w:w="0" w:type="dxa"/>
          <w:left w:w="108" w:type="dxa"/>
          <w:bottom w:w="0" w:type="dxa"/>
          <w:right w:w="108" w:type="dxa"/>
        </w:tblCellMar>
      </w:tblPr>
      <w:tblGrid>
        <w:gridCol w:w="1701"/>
        <w:gridCol w:w="1384"/>
        <w:gridCol w:w="913"/>
        <w:gridCol w:w="1620"/>
        <w:gridCol w:w="1440"/>
        <w:gridCol w:w="925"/>
      </w:tblGrid>
      <w:tr w14:paraId="602F019B">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noWrap w:val="0"/>
            <w:vAlign w:val="center"/>
          </w:tcPr>
          <w:p w14:paraId="041F595C">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384" w:type="dxa"/>
            <w:tcBorders>
              <w:top w:val="single" w:color="auto" w:sz="4" w:space="0"/>
              <w:left w:val="nil"/>
              <w:bottom w:val="single" w:color="auto" w:sz="4" w:space="0"/>
              <w:right w:val="single" w:color="auto" w:sz="4" w:space="0"/>
            </w:tcBorders>
            <w:noWrap w:val="0"/>
            <w:vAlign w:val="center"/>
          </w:tcPr>
          <w:p w14:paraId="210F98CC">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noWrap w:val="0"/>
            <w:vAlign w:val="center"/>
          </w:tcPr>
          <w:p w14:paraId="7A536522">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620" w:type="dxa"/>
            <w:tcBorders>
              <w:top w:val="single" w:color="auto" w:sz="4" w:space="0"/>
              <w:left w:val="nil"/>
              <w:bottom w:val="single" w:color="auto" w:sz="4" w:space="0"/>
              <w:right w:val="single" w:color="auto" w:sz="4" w:space="0"/>
            </w:tcBorders>
            <w:noWrap w:val="0"/>
            <w:vAlign w:val="center"/>
          </w:tcPr>
          <w:p w14:paraId="1C40D33C">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440" w:type="dxa"/>
            <w:tcBorders>
              <w:top w:val="single" w:color="auto" w:sz="4" w:space="0"/>
              <w:left w:val="nil"/>
              <w:bottom w:val="single" w:color="auto" w:sz="4" w:space="0"/>
              <w:right w:val="single" w:color="auto" w:sz="4" w:space="0"/>
            </w:tcBorders>
            <w:noWrap w:val="0"/>
            <w:vAlign w:val="center"/>
          </w:tcPr>
          <w:p w14:paraId="045A7921">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925" w:type="dxa"/>
            <w:tcBorders>
              <w:top w:val="single" w:color="auto" w:sz="4" w:space="0"/>
              <w:left w:val="nil"/>
              <w:bottom w:val="single" w:color="auto" w:sz="4" w:space="0"/>
              <w:right w:val="single" w:color="auto" w:sz="4" w:space="0"/>
            </w:tcBorders>
            <w:noWrap w:val="0"/>
            <w:vAlign w:val="center"/>
          </w:tcPr>
          <w:p w14:paraId="39D16149">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0DBCAAEF">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bottom"/>
          </w:tcPr>
          <w:p w14:paraId="4D3FDBA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384" w:type="dxa"/>
            <w:tcBorders>
              <w:top w:val="nil"/>
              <w:left w:val="nil"/>
              <w:bottom w:val="single" w:color="auto" w:sz="4" w:space="0"/>
              <w:right w:val="single" w:color="auto" w:sz="4" w:space="0"/>
            </w:tcBorders>
            <w:noWrap w:val="0"/>
            <w:vAlign w:val="center"/>
          </w:tcPr>
          <w:p w14:paraId="31AAF9A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6EE982F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22370A6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440" w:type="dxa"/>
            <w:tcBorders>
              <w:top w:val="nil"/>
              <w:left w:val="nil"/>
              <w:bottom w:val="single" w:color="auto" w:sz="4" w:space="0"/>
              <w:right w:val="single" w:color="auto" w:sz="4" w:space="0"/>
            </w:tcBorders>
            <w:noWrap w:val="0"/>
            <w:vAlign w:val="center"/>
          </w:tcPr>
          <w:p w14:paraId="173E303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925" w:type="dxa"/>
            <w:tcBorders>
              <w:top w:val="nil"/>
              <w:left w:val="nil"/>
              <w:bottom w:val="single" w:color="auto" w:sz="4" w:space="0"/>
              <w:right w:val="single" w:color="auto" w:sz="4" w:space="0"/>
            </w:tcBorders>
            <w:noWrap w:val="0"/>
            <w:vAlign w:val="center"/>
          </w:tcPr>
          <w:p w14:paraId="5B1DF6C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47C087F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09A2A93">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384" w:type="dxa"/>
            <w:tcBorders>
              <w:top w:val="nil"/>
              <w:left w:val="nil"/>
              <w:bottom w:val="single" w:color="auto" w:sz="4" w:space="0"/>
              <w:right w:val="single" w:color="auto" w:sz="4" w:space="0"/>
            </w:tcBorders>
            <w:noWrap w:val="0"/>
            <w:vAlign w:val="center"/>
          </w:tcPr>
          <w:p w14:paraId="184BC2E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3E78BEE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4AF2CF9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4CE5EBE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noWrap w:val="0"/>
            <w:vAlign w:val="center"/>
          </w:tcPr>
          <w:p w14:paraId="292141C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61BB4E6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0FE91470">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52907BC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4472BFF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45B2EEC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440" w:type="dxa"/>
            <w:tcBorders>
              <w:top w:val="nil"/>
              <w:left w:val="nil"/>
              <w:bottom w:val="single" w:color="auto" w:sz="4" w:space="0"/>
              <w:right w:val="single" w:color="auto" w:sz="4" w:space="0"/>
            </w:tcBorders>
            <w:noWrap w:val="0"/>
            <w:vAlign w:val="center"/>
          </w:tcPr>
          <w:p w14:paraId="2EA1664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925" w:type="dxa"/>
            <w:tcBorders>
              <w:top w:val="nil"/>
              <w:left w:val="nil"/>
              <w:bottom w:val="single" w:color="auto" w:sz="4" w:space="0"/>
              <w:right w:val="single" w:color="auto" w:sz="4" w:space="0"/>
            </w:tcBorders>
            <w:noWrap w:val="0"/>
            <w:vAlign w:val="center"/>
          </w:tcPr>
          <w:p w14:paraId="1CB5E9C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1E4B2C1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57A4B3C">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384" w:type="dxa"/>
            <w:tcBorders>
              <w:top w:val="nil"/>
              <w:left w:val="nil"/>
              <w:bottom w:val="single" w:color="auto" w:sz="4" w:space="0"/>
              <w:right w:val="single" w:color="auto" w:sz="4" w:space="0"/>
            </w:tcBorders>
            <w:noWrap w:val="0"/>
            <w:vAlign w:val="center"/>
          </w:tcPr>
          <w:p w14:paraId="3F089A9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752826D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7F9C0B2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440" w:type="dxa"/>
            <w:tcBorders>
              <w:top w:val="nil"/>
              <w:left w:val="nil"/>
              <w:bottom w:val="single" w:color="auto" w:sz="4" w:space="0"/>
              <w:right w:val="single" w:color="auto" w:sz="4" w:space="0"/>
            </w:tcBorders>
            <w:noWrap w:val="0"/>
            <w:vAlign w:val="center"/>
          </w:tcPr>
          <w:p w14:paraId="04A080D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925" w:type="dxa"/>
            <w:tcBorders>
              <w:top w:val="nil"/>
              <w:left w:val="nil"/>
              <w:bottom w:val="single" w:color="auto" w:sz="4" w:space="0"/>
              <w:right w:val="single" w:color="auto" w:sz="4" w:space="0"/>
            </w:tcBorders>
            <w:noWrap w:val="0"/>
            <w:vAlign w:val="center"/>
          </w:tcPr>
          <w:p w14:paraId="2E344C0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39F11CD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116D3719">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16865FD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6A203E3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7201A16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440" w:type="dxa"/>
            <w:tcBorders>
              <w:top w:val="nil"/>
              <w:left w:val="nil"/>
              <w:bottom w:val="single" w:color="auto" w:sz="4" w:space="0"/>
              <w:right w:val="single" w:color="auto" w:sz="4" w:space="0"/>
            </w:tcBorders>
            <w:noWrap w:val="0"/>
            <w:vAlign w:val="center"/>
          </w:tcPr>
          <w:p w14:paraId="67DBF42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925" w:type="dxa"/>
            <w:tcBorders>
              <w:top w:val="nil"/>
              <w:left w:val="nil"/>
              <w:bottom w:val="single" w:color="auto" w:sz="4" w:space="0"/>
              <w:right w:val="single" w:color="auto" w:sz="4" w:space="0"/>
            </w:tcBorders>
            <w:noWrap w:val="0"/>
            <w:vAlign w:val="center"/>
          </w:tcPr>
          <w:p w14:paraId="028E164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1E084B3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5E718744">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384" w:type="dxa"/>
            <w:tcBorders>
              <w:top w:val="nil"/>
              <w:left w:val="nil"/>
              <w:bottom w:val="single" w:color="auto" w:sz="4" w:space="0"/>
              <w:right w:val="single" w:color="auto" w:sz="4" w:space="0"/>
            </w:tcBorders>
            <w:noWrap w:val="0"/>
            <w:vAlign w:val="center"/>
          </w:tcPr>
          <w:p w14:paraId="4BD089C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091F6FD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3FDA5F0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440" w:type="dxa"/>
            <w:tcBorders>
              <w:top w:val="nil"/>
              <w:left w:val="nil"/>
              <w:bottom w:val="single" w:color="auto" w:sz="4" w:space="0"/>
              <w:right w:val="single" w:color="auto" w:sz="4" w:space="0"/>
            </w:tcBorders>
            <w:noWrap w:val="0"/>
            <w:vAlign w:val="center"/>
          </w:tcPr>
          <w:p w14:paraId="271F44D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925" w:type="dxa"/>
            <w:tcBorders>
              <w:top w:val="nil"/>
              <w:left w:val="nil"/>
              <w:bottom w:val="single" w:color="auto" w:sz="4" w:space="0"/>
              <w:right w:val="single" w:color="auto" w:sz="4" w:space="0"/>
            </w:tcBorders>
            <w:noWrap w:val="0"/>
            <w:vAlign w:val="center"/>
          </w:tcPr>
          <w:p w14:paraId="03466B0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1272751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74AE676">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0C33825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1A8388C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1E2C3FA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440" w:type="dxa"/>
            <w:tcBorders>
              <w:top w:val="nil"/>
              <w:left w:val="nil"/>
              <w:bottom w:val="single" w:color="auto" w:sz="4" w:space="0"/>
              <w:right w:val="single" w:color="auto" w:sz="4" w:space="0"/>
            </w:tcBorders>
            <w:noWrap w:val="0"/>
            <w:vAlign w:val="center"/>
          </w:tcPr>
          <w:p w14:paraId="2DEA666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925" w:type="dxa"/>
            <w:tcBorders>
              <w:top w:val="nil"/>
              <w:left w:val="nil"/>
              <w:bottom w:val="single" w:color="auto" w:sz="4" w:space="0"/>
              <w:right w:val="single" w:color="auto" w:sz="4" w:space="0"/>
            </w:tcBorders>
            <w:noWrap w:val="0"/>
            <w:vAlign w:val="center"/>
          </w:tcPr>
          <w:p w14:paraId="58A6FA2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6F9B3B5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A5AEBCD">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384" w:type="dxa"/>
            <w:tcBorders>
              <w:top w:val="nil"/>
              <w:left w:val="nil"/>
              <w:bottom w:val="single" w:color="auto" w:sz="4" w:space="0"/>
              <w:right w:val="single" w:color="auto" w:sz="4" w:space="0"/>
            </w:tcBorders>
            <w:noWrap w:val="0"/>
            <w:vAlign w:val="center"/>
          </w:tcPr>
          <w:p w14:paraId="56D8CB9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6D8945C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226C54D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440" w:type="dxa"/>
            <w:tcBorders>
              <w:top w:val="nil"/>
              <w:left w:val="nil"/>
              <w:bottom w:val="single" w:color="auto" w:sz="4" w:space="0"/>
              <w:right w:val="single" w:color="auto" w:sz="4" w:space="0"/>
            </w:tcBorders>
            <w:noWrap w:val="0"/>
            <w:vAlign w:val="center"/>
          </w:tcPr>
          <w:p w14:paraId="0C35F4A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925" w:type="dxa"/>
            <w:tcBorders>
              <w:top w:val="nil"/>
              <w:left w:val="nil"/>
              <w:bottom w:val="single" w:color="auto" w:sz="4" w:space="0"/>
              <w:right w:val="single" w:color="auto" w:sz="4" w:space="0"/>
            </w:tcBorders>
            <w:noWrap w:val="0"/>
            <w:vAlign w:val="center"/>
          </w:tcPr>
          <w:p w14:paraId="0032B4B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8D9A87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8578167">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64EC2B5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21E24F0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19F8DE6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440" w:type="dxa"/>
            <w:tcBorders>
              <w:top w:val="nil"/>
              <w:left w:val="nil"/>
              <w:bottom w:val="single" w:color="auto" w:sz="4" w:space="0"/>
              <w:right w:val="single" w:color="auto" w:sz="4" w:space="0"/>
            </w:tcBorders>
            <w:noWrap w:val="0"/>
            <w:vAlign w:val="center"/>
          </w:tcPr>
          <w:p w14:paraId="135B943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925" w:type="dxa"/>
            <w:tcBorders>
              <w:top w:val="nil"/>
              <w:left w:val="nil"/>
              <w:bottom w:val="single" w:color="auto" w:sz="4" w:space="0"/>
              <w:right w:val="single" w:color="auto" w:sz="4" w:space="0"/>
            </w:tcBorders>
            <w:noWrap w:val="0"/>
            <w:vAlign w:val="center"/>
          </w:tcPr>
          <w:p w14:paraId="4DEFA5C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7DD586E">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95FCD9A">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384" w:type="dxa"/>
            <w:tcBorders>
              <w:top w:val="nil"/>
              <w:left w:val="nil"/>
              <w:bottom w:val="single" w:color="auto" w:sz="4" w:space="0"/>
              <w:right w:val="single" w:color="auto" w:sz="4" w:space="0"/>
            </w:tcBorders>
            <w:noWrap w:val="0"/>
            <w:vAlign w:val="center"/>
          </w:tcPr>
          <w:p w14:paraId="5C03E96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6439177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12D782E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5DE86ED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noWrap w:val="0"/>
            <w:vAlign w:val="center"/>
          </w:tcPr>
          <w:p w14:paraId="3203ED1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40061B6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755C55BC">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6DD4767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6ED8855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00B42FF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000000≤Y＜0000000</w:t>
            </w:r>
          </w:p>
        </w:tc>
        <w:tc>
          <w:tcPr>
            <w:tcW w:w="1440" w:type="dxa"/>
            <w:tcBorders>
              <w:top w:val="nil"/>
              <w:left w:val="nil"/>
              <w:bottom w:val="single" w:color="auto" w:sz="4" w:space="0"/>
              <w:right w:val="single" w:color="auto" w:sz="4" w:space="0"/>
            </w:tcBorders>
            <w:noWrap w:val="0"/>
            <w:vAlign w:val="center"/>
          </w:tcPr>
          <w:p w14:paraId="2B87137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200≤Y＜000000</w:t>
            </w:r>
          </w:p>
        </w:tc>
        <w:tc>
          <w:tcPr>
            <w:tcW w:w="925" w:type="dxa"/>
            <w:tcBorders>
              <w:top w:val="nil"/>
              <w:left w:val="nil"/>
              <w:bottom w:val="single" w:color="auto" w:sz="4" w:space="0"/>
              <w:right w:val="single" w:color="auto" w:sz="4" w:space="0"/>
            </w:tcBorders>
            <w:noWrap w:val="0"/>
            <w:vAlign w:val="center"/>
          </w:tcPr>
          <w:p w14:paraId="583B002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20D2B04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910A799">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384" w:type="dxa"/>
            <w:tcBorders>
              <w:top w:val="nil"/>
              <w:left w:val="nil"/>
              <w:bottom w:val="single" w:color="auto" w:sz="4" w:space="0"/>
              <w:right w:val="single" w:color="auto" w:sz="4" w:space="0"/>
            </w:tcBorders>
            <w:noWrap w:val="0"/>
            <w:vAlign w:val="center"/>
          </w:tcPr>
          <w:p w14:paraId="478F462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18A2AED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4BF4451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440" w:type="dxa"/>
            <w:tcBorders>
              <w:top w:val="nil"/>
              <w:left w:val="nil"/>
              <w:bottom w:val="single" w:color="auto" w:sz="4" w:space="0"/>
              <w:right w:val="single" w:color="auto" w:sz="4" w:space="0"/>
            </w:tcBorders>
            <w:noWrap w:val="0"/>
            <w:vAlign w:val="center"/>
          </w:tcPr>
          <w:p w14:paraId="1BFE790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925" w:type="dxa"/>
            <w:tcBorders>
              <w:top w:val="nil"/>
              <w:left w:val="nil"/>
              <w:bottom w:val="single" w:color="auto" w:sz="4" w:space="0"/>
              <w:right w:val="single" w:color="auto" w:sz="4" w:space="0"/>
            </w:tcBorders>
            <w:noWrap w:val="0"/>
            <w:vAlign w:val="center"/>
          </w:tcPr>
          <w:p w14:paraId="7CEED9E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02FFBDE9">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41E74C47">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4A766BA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1B31E18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6B5330E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1000≤Y＜0000000</w:t>
            </w:r>
          </w:p>
        </w:tc>
        <w:tc>
          <w:tcPr>
            <w:tcW w:w="1440" w:type="dxa"/>
            <w:tcBorders>
              <w:top w:val="nil"/>
              <w:left w:val="nil"/>
              <w:bottom w:val="single" w:color="auto" w:sz="4" w:space="0"/>
              <w:right w:val="single" w:color="auto" w:sz="4" w:space="0"/>
            </w:tcBorders>
            <w:noWrap w:val="0"/>
            <w:vAlign w:val="center"/>
          </w:tcPr>
          <w:p w14:paraId="73F736F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925" w:type="dxa"/>
            <w:tcBorders>
              <w:top w:val="nil"/>
              <w:left w:val="nil"/>
              <w:bottom w:val="single" w:color="auto" w:sz="4" w:space="0"/>
              <w:right w:val="single" w:color="auto" w:sz="4" w:space="0"/>
            </w:tcBorders>
            <w:noWrap w:val="0"/>
            <w:vAlign w:val="center"/>
          </w:tcPr>
          <w:p w14:paraId="138292C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657EC6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EACBF21">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384" w:type="dxa"/>
            <w:tcBorders>
              <w:top w:val="nil"/>
              <w:left w:val="nil"/>
              <w:bottom w:val="single" w:color="auto" w:sz="4" w:space="0"/>
              <w:right w:val="single" w:color="auto" w:sz="4" w:space="0"/>
            </w:tcBorders>
            <w:noWrap w:val="0"/>
            <w:vAlign w:val="center"/>
          </w:tcPr>
          <w:p w14:paraId="75CFFB8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06690B3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102026D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013E734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noWrap w:val="0"/>
            <w:vAlign w:val="center"/>
          </w:tcPr>
          <w:p w14:paraId="32B8F74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7C6E710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0CC50F19">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40F6C37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42B004F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74E2254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2000≤Y＜0000000</w:t>
            </w:r>
          </w:p>
        </w:tc>
        <w:tc>
          <w:tcPr>
            <w:tcW w:w="1440" w:type="dxa"/>
            <w:tcBorders>
              <w:top w:val="nil"/>
              <w:left w:val="nil"/>
              <w:bottom w:val="single" w:color="auto" w:sz="4" w:space="0"/>
              <w:right w:val="single" w:color="auto" w:sz="4" w:space="0"/>
            </w:tcBorders>
            <w:noWrap w:val="0"/>
            <w:vAlign w:val="center"/>
          </w:tcPr>
          <w:p w14:paraId="0DC4BA0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noWrap w:val="0"/>
            <w:vAlign w:val="center"/>
          </w:tcPr>
          <w:p w14:paraId="3972B08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9BBBDE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567FCAF1">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384" w:type="dxa"/>
            <w:tcBorders>
              <w:top w:val="nil"/>
              <w:left w:val="nil"/>
              <w:bottom w:val="single" w:color="auto" w:sz="4" w:space="0"/>
              <w:right w:val="single" w:color="auto" w:sz="4" w:space="0"/>
            </w:tcBorders>
            <w:noWrap w:val="0"/>
            <w:vAlign w:val="center"/>
          </w:tcPr>
          <w:p w14:paraId="6272468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057BA55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7DF77CD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2A2D8FF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1BBCB48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C4AB1F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5A3BCEB9">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0A726ED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19E45DC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242CC6F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440" w:type="dxa"/>
            <w:tcBorders>
              <w:top w:val="nil"/>
              <w:left w:val="nil"/>
              <w:bottom w:val="single" w:color="auto" w:sz="4" w:space="0"/>
              <w:right w:val="single" w:color="auto" w:sz="4" w:space="0"/>
            </w:tcBorders>
            <w:noWrap w:val="0"/>
            <w:vAlign w:val="center"/>
          </w:tcPr>
          <w:p w14:paraId="0E793BD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noWrap w:val="0"/>
            <w:vAlign w:val="center"/>
          </w:tcPr>
          <w:p w14:paraId="40226DD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17874E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7DDBC4A8">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384" w:type="dxa"/>
            <w:tcBorders>
              <w:top w:val="nil"/>
              <w:left w:val="nil"/>
              <w:bottom w:val="single" w:color="auto" w:sz="4" w:space="0"/>
              <w:right w:val="single" w:color="auto" w:sz="4" w:space="0"/>
            </w:tcBorders>
            <w:noWrap w:val="0"/>
            <w:vAlign w:val="center"/>
          </w:tcPr>
          <w:p w14:paraId="688555E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57F74DD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102218E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4E3E855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63E9001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7E919D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7344D406">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78075A1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1B4AA0F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7373C98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440" w:type="dxa"/>
            <w:tcBorders>
              <w:top w:val="nil"/>
              <w:left w:val="nil"/>
              <w:bottom w:val="single" w:color="auto" w:sz="4" w:space="0"/>
              <w:right w:val="single" w:color="auto" w:sz="4" w:space="0"/>
            </w:tcBorders>
            <w:noWrap w:val="0"/>
            <w:vAlign w:val="center"/>
          </w:tcPr>
          <w:p w14:paraId="48685F4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noWrap w:val="0"/>
            <w:vAlign w:val="center"/>
          </w:tcPr>
          <w:p w14:paraId="668911B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173768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7708845D">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384" w:type="dxa"/>
            <w:tcBorders>
              <w:top w:val="nil"/>
              <w:left w:val="nil"/>
              <w:bottom w:val="single" w:color="auto" w:sz="4" w:space="0"/>
              <w:right w:val="single" w:color="auto" w:sz="4" w:space="0"/>
            </w:tcBorders>
            <w:noWrap w:val="0"/>
            <w:vAlign w:val="center"/>
          </w:tcPr>
          <w:p w14:paraId="7B92290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5EA1942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17C2A84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440" w:type="dxa"/>
            <w:tcBorders>
              <w:top w:val="nil"/>
              <w:left w:val="nil"/>
              <w:bottom w:val="single" w:color="auto" w:sz="4" w:space="0"/>
              <w:right w:val="single" w:color="auto" w:sz="4" w:space="0"/>
            </w:tcBorders>
            <w:noWrap w:val="0"/>
            <w:vAlign w:val="center"/>
          </w:tcPr>
          <w:p w14:paraId="4FD616A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7910D76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09E01B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61F41661">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33AB3DC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6353068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7FBBACE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440" w:type="dxa"/>
            <w:tcBorders>
              <w:top w:val="nil"/>
              <w:left w:val="nil"/>
              <w:bottom w:val="single" w:color="auto" w:sz="4" w:space="0"/>
              <w:right w:val="single" w:color="auto" w:sz="4" w:space="0"/>
            </w:tcBorders>
            <w:noWrap w:val="0"/>
            <w:vAlign w:val="center"/>
          </w:tcPr>
          <w:p w14:paraId="3237DDA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925" w:type="dxa"/>
            <w:tcBorders>
              <w:top w:val="nil"/>
              <w:left w:val="nil"/>
              <w:bottom w:val="single" w:color="auto" w:sz="4" w:space="0"/>
              <w:right w:val="single" w:color="auto" w:sz="4" w:space="0"/>
            </w:tcBorders>
            <w:noWrap w:val="0"/>
            <w:vAlign w:val="center"/>
          </w:tcPr>
          <w:p w14:paraId="553653C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20969E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8EF24F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384" w:type="dxa"/>
            <w:tcBorders>
              <w:top w:val="nil"/>
              <w:left w:val="nil"/>
              <w:bottom w:val="single" w:color="auto" w:sz="4" w:space="0"/>
              <w:right w:val="single" w:color="auto" w:sz="4" w:space="0"/>
            </w:tcBorders>
            <w:noWrap w:val="0"/>
            <w:vAlign w:val="center"/>
          </w:tcPr>
          <w:p w14:paraId="7022C54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1B063F7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2487749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53CBCE8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45EC0FB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535D04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BF7F331">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37354C5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60C84E2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67DFA09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440" w:type="dxa"/>
            <w:tcBorders>
              <w:top w:val="nil"/>
              <w:left w:val="nil"/>
              <w:bottom w:val="single" w:color="auto" w:sz="4" w:space="0"/>
              <w:right w:val="single" w:color="auto" w:sz="4" w:space="0"/>
            </w:tcBorders>
            <w:noWrap w:val="0"/>
            <w:vAlign w:val="center"/>
          </w:tcPr>
          <w:p w14:paraId="267C4C1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925" w:type="dxa"/>
            <w:tcBorders>
              <w:top w:val="nil"/>
              <w:left w:val="nil"/>
              <w:bottom w:val="single" w:color="auto" w:sz="4" w:space="0"/>
              <w:right w:val="single" w:color="auto" w:sz="4" w:space="0"/>
            </w:tcBorders>
            <w:noWrap w:val="0"/>
            <w:vAlign w:val="center"/>
          </w:tcPr>
          <w:p w14:paraId="4091A18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7B7A5E82">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563719E">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384" w:type="dxa"/>
            <w:tcBorders>
              <w:top w:val="nil"/>
              <w:left w:val="nil"/>
              <w:bottom w:val="single" w:color="auto" w:sz="4" w:space="0"/>
              <w:right w:val="single" w:color="auto" w:sz="4" w:space="0"/>
            </w:tcBorders>
            <w:noWrap w:val="0"/>
            <w:vAlign w:val="center"/>
          </w:tcPr>
          <w:p w14:paraId="6D8BDBB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324CDAB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4CD07E1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440" w:type="dxa"/>
            <w:tcBorders>
              <w:top w:val="nil"/>
              <w:left w:val="nil"/>
              <w:bottom w:val="single" w:color="auto" w:sz="4" w:space="0"/>
              <w:right w:val="single" w:color="auto" w:sz="4" w:space="0"/>
            </w:tcBorders>
            <w:noWrap w:val="0"/>
            <w:vAlign w:val="center"/>
          </w:tcPr>
          <w:p w14:paraId="4E14219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925" w:type="dxa"/>
            <w:tcBorders>
              <w:top w:val="nil"/>
              <w:left w:val="nil"/>
              <w:bottom w:val="single" w:color="auto" w:sz="4" w:space="0"/>
              <w:right w:val="single" w:color="auto" w:sz="4" w:space="0"/>
            </w:tcBorders>
            <w:noWrap w:val="0"/>
            <w:vAlign w:val="center"/>
          </w:tcPr>
          <w:p w14:paraId="670C612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4DFAF1D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BEF481B">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61C371D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6BA2CA8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1442ADE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440" w:type="dxa"/>
            <w:tcBorders>
              <w:top w:val="nil"/>
              <w:left w:val="nil"/>
              <w:bottom w:val="single" w:color="auto" w:sz="4" w:space="0"/>
              <w:right w:val="single" w:color="auto" w:sz="4" w:space="0"/>
            </w:tcBorders>
            <w:noWrap w:val="0"/>
            <w:vAlign w:val="center"/>
          </w:tcPr>
          <w:p w14:paraId="3DAF1DF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925" w:type="dxa"/>
            <w:tcBorders>
              <w:top w:val="nil"/>
              <w:left w:val="nil"/>
              <w:bottom w:val="single" w:color="auto" w:sz="4" w:space="0"/>
              <w:right w:val="single" w:color="auto" w:sz="4" w:space="0"/>
            </w:tcBorders>
            <w:noWrap w:val="0"/>
            <w:vAlign w:val="center"/>
          </w:tcPr>
          <w:p w14:paraId="7CA2B69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0FCD748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081E991">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384" w:type="dxa"/>
            <w:tcBorders>
              <w:top w:val="nil"/>
              <w:left w:val="nil"/>
              <w:bottom w:val="single" w:color="auto" w:sz="4" w:space="0"/>
              <w:right w:val="single" w:color="auto" w:sz="4" w:space="0"/>
            </w:tcBorders>
            <w:noWrap w:val="0"/>
            <w:vAlign w:val="center"/>
          </w:tcPr>
          <w:p w14:paraId="31D79EA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2E83F07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34054D4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23D8F2A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925" w:type="dxa"/>
            <w:tcBorders>
              <w:top w:val="nil"/>
              <w:left w:val="nil"/>
              <w:bottom w:val="single" w:color="auto" w:sz="4" w:space="0"/>
              <w:right w:val="single" w:color="auto" w:sz="4" w:space="0"/>
            </w:tcBorders>
            <w:noWrap w:val="0"/>
            <w:vAlign w:val="center"/>
          </w:tcPr>
          <w:p w14:paraId="189BC46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40DC9626">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001B429C">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1650478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20B8369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763CE44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440" w:type="dxa"/>
            <w:tcBorders>
              <w:top w:val="nil"/>
              <w:left w:val="nil"/>
              <w:bottom w:val="single" w:color="auto" w:sz="4" w:space="0"/>
              <w:right w:val="single" w:color="auto" w:sz="4" w:space="0"/>
            </w:tcBorders>
            <w:noWrap w:val="0"/>
            <w:vAlign w:val="center"/>
          </w:tcPr>
          <w:p w14:paraId="6D50F50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925" w:type="dxa"/>
            <w:tcBorders>
              <w:top w:val="nil"/>
              <w:left w:val="nil"/>
              <w:bottom w:val="single" w:color="auto" w:sz="4" w:space="0"/>
              <w:right w:val="single" w:color="auto" w:sz="4" w:space="0"/>
            </w:tcBorders>
            <w:noWrap w:val="0"/>
            <w:vAlign w:val="center"/>
          </w:tcPr>
          <w:p w14:paraId="4216677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22E06190">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E25FC7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384" w:type="dxa"/>
            <w:tcBorders>
              <w:top w:val="nil"/>
              <w:left w:val="nil"/>
              <w:bottom w:val="single" w:color="auto" w:sz="4" w:space="0"/>
              <w:right w:val="single" w:color="auto" w:sz="4" w:space="0"/>
            </w:tcBorders>
            <w:noWrap w:val="0"/>
            <w:vAlign w:val="center"/>
          </w:tcPr>
          <w:p w14:paraId="6849395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0AC4B4F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075567A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66C53E5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0C215B5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374419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64393B7F">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433A4A4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5EAC318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663E419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440" w:type="dxa"/>
            <w:tcBorders>
              <w:top w:val="nil"/>
              <w:left w:val="nil"/>
              <w:bottom w:val="single" w:color="auto" w:sz="4" w:space="0"/>
              <w:right w:val="single" w:color="auto" w:sz="4" w:space="0"/>
            </w:tcBorders>
            <w:noWrap w:val="0"/>
            <w:vAlign w:val="center"/>
          </w:tcPr>
          <w:p w14:paraId="77E7AA3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925" w:type="dxa"/>
            <w:tcBorders>
              <w:top w:val="nil"/>
              <w:left w:val="nil"/>
              <w:bottom w:val="single" w:color="auto" w:sz="4" w:space="0"/>
              <w:right w:val="single" w:color="auto" w:sz="4" w:space="0"/>
            </w:tcBorders>
            <w:noWrap w:val="0"/>
            <w:vAlign w:val="center"/>
          </w:tcPr>
          <w:p w14:paraId="46797CD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A9580AD">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bottom"/>
          </w:tcPr>
          <w:p w14:paraId="055ED90E">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384" w:type="dxa"/>
            <w:tcBorders>
              <w:top w:val="nil"/>
              <w:left w:val="nil"/>
              <w:bottom w:val="single" w:color="auto" w:sz="4" w:space="0"/>
              <w:right w:val="single" w:color="auto" w:sz="4" w:space="0"/>
            </w:tcBorders>
            <w:noWrap w:val="0"/>
            <w:vAlign w:val="center"/>
          </w:tcPr>
          <w:p w14:paraId="44873E4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10FD8A8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7899BB1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677FF21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6671AC4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0DEA1CE2">
      <w:pPr>
        <w:spacing w:line="360" w:lineRule="auto"/>
        <w:ind w:firstLine="525" w:firstLineChars="250"/>
        <w:rPr>
          <w:rFonts w:hint="eastAsia" w:ascii="仿宋_GB2312" w:hAnsi="仿宋" w:eastAsia="仿宋_GB2312"/>
          <w:color w:val="auto"/>
          <w:szCs w:val="21"/>
          <w:highlight w:val="none"/>
        </w:rPr>
      </w:pPr>
    </w:p>
    <w:p w14:paraId="5C1A072B">
      <w:pPr>
        <w:spacing w:line="360" w:lineRule="auto"/>
        <w:ind w:firstLine="525" w:firstLineChars="250"/>
        <w:rPr>
          <w:rFonts w:ascii="仿宋_GB2312" w:hAnsi="仿宋" w:eastAsia="仿宋_GB2312"/>
          <w:color w:val="auto"/>
          <w:szCs w:val="21"/>
          <w:highlight w:val="none"/>
        </w:r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01380811">
      <w:pPr>
        <w:snapToGrid w:val="0"/>
        <w:spacing w:before="120" w:beforeLines="50" w:after="50"/>
        <w:ind w:left="142"/>
        <w:jc w:val="left"/>
        <w:rPr>
          <w:rFonts w:hint="eastAsia" w:ascii="宋体" w:hAnsi="宋体"/>
          <w:b/>
          <w:color w:val="auto"/>
          <w:sz w:val="24"/>
          <w:highlight w:val="none"/>
        </w:rPr>
      </w:pPr>
    </w:p>
    <w:p w14:paraId="2B95FE7F">
      <w:pPr>
        <w:snapToGrid w:val="0"/>
        <w:spacing w:before="120" w:beforeLines="50" w:after="50"/>
        <w:ind w:left="142"/>
        <w:jc w:val="left"/>
        <w:rPr>
          <w:rFonts w:hint="eastAsia" w:ascii="宋体" w:hAnsi="宋体"/>
          <w:b/>
          <w:color w:val="auto"/>
          <w:sz w:val="24"/>
          <w:highlight w:val="none"/>
        </w:rPr>
      </w:pPr>
    </w:p>
    <w:p w14:paraId="7AE5E513">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3.残疾人福利性单位声明函格式</w:t>
      </w:r>
    </w:p>
    <w:p w14:paraId="624B02CD">
      <w:pPr>
        <w:spacing w:line="588" w:lineRule="exact"/>
        <w:jc w:val="center"/>
        <w:rPr>
          <w:rFonts w:hint="eastAsia" w:ascii="仿宋_GB2312" w:eastAsia="仿宋_GB2312"/>
          <w:b/>
          <w:color w:val="auto"/>
          <w:spacing w:val="6"/>
          <w:sz w:val="32"/>
          <w:szCs w:val="32"/>
          <w:highlight w:val="none"/>
        </w:rPr>
      </w:pPr>
    </w:p>
    <w:p w14:paraId="14E6EC93">
      <w:pPr>
        <w:spacing w:line="588" w:lineRule="exact"/>
        <w:jc w:val="center"/>
        <w:rPr>
          <w:rFonts w:hint="eastAsia" w:ascii="宋体" w:hAnsi="宋体" w:cs="宋体"/>
          <w:bCs/>
          <w:color w:val="auto"/>
          <w:spacing w:val="6"/>
          <w:sz w:val="44"/>
          <w:szCs w:val="44"/>
          <w:highlight w:val="none"/>
        </w:rPr>
      </w:pPr>
      <w:r>
        <w:rPr>
          <w:rFonts w:hint="eastAsia" w:ascii="宋体" w:hAnsi="宋体" w:cs="宋体"/>
          <w:bCs/>
          <w:color w:val="auto"/>
          <w:spacing w:val="6"/>
          <w:sz w:val="44"/>
          <w:szCs w:val="44"/>
          <w:highlight w:val="none"/>
        </w:rPr>
        <w:t>残疾人福利性单位声明函</w:t>
      </w:r>
    </w:p>
    <w:p w14:paraId="36C6C58E">
      <w:pPr>
        <w:spacing w:line="360" w:lineRule="auto"/>
        <w:contextualSpacing/>
        <w:rPr>
          <w:rFonts w:ascii="仿宋_GB2312" w:eastAsia="仿宋_GB2312"/>
          <w:bCs/>
          <w:color w:val="auto"/>
          <w:spacing w:val="6"/>
          <w:sz w:val="30"/>
          <w:szCs w:val="30"/>
          <w:highlight w:val="none"/>
        </w:rPr>
      </w:pPr>
    </w:p>
    <w:p w14:paraId="3144EEBA">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z w:val="24"/>
          <w:highlight w:val="none"/>
        </w:rPr>
        <w:t>〔2017〕 141</w:t>
      </w:r>
      <w:r>
        <w:rPr>
          <w:rFonts w:hint="eastAsia" w:ascii="宋体" w:hAnsi="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71C38374">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1437E23C">
      <w:pPr>
        <w:spacing w:line="360" w:lineRule="auto"/>
        <w:ind w:firstLine="504" w:firstLineChars="200"/>
        <w:contextualSpacing/>
        <w:rPr>
          <w:rFonts w:ascii="宋体" w:hAnsi="宋体"/>
          <w:color w:val="auto"/>
          <w:spacing w:val="6"/>
          <w:sz w:val="24"/>
          <w:highlight w:val="none"/>
        </w:rPr>
      </w:pPr>
    </w:p>
    <w:p w14:paraId="660DF26A">
      <w:pPr>
        <w:spacing w:line="360" w:lineRule="auto"/>
        <w:ind w:firstLine="504" w:firstLineChars="200"/>
        <w:contextualSpacing/>
        <w:rPr>
          <w:rFonts w:ascii="宋体" w:hAnsi="宋体"/>
          <w:color w:val="auto"/>
          <w:spacing w:val="6"/>
          <w:sz w:val="24"/>
          <w:highlight w:val="none"/>
        </w:rPr>
      </w:pPr>
    </w:p>
    <w:p w14:paraId="3416651E">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单位名称（盖公章）：</w:t>
      </w:r>
    </w:p>
    <w:p w14:paraId="64E1F448">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日  期：</w:t>
      </w:r>
    </w:p>
    <w:p w14:paraId="7E076724">
      <w:pPr>
        <w:spacing w:line="360" w:lineRule="auto"/>
        <w:contextualSpacing/>
        <w:rPr>
          <w:rFonts w:ascii="宋体" w:hAnsi="宋体"/>
          <w:color w:val="auto"/>
          <w:sz w:val="24"/>
          <w:highlight w:val="none"/>
        </w:rPr>
      </w:pPr>
    </w:p>
    <w:p w14:paraId="07E6CDDE">
      <w:pPr>
        <w:spacing w:line="360" w:lineRule="auto"/>
        <w:contextualSpacing/>
        <w:rPr>
          <w:rFonts w:hint="eastAsia" w:ascii="宋体" w:hAnsi="宋体"/>
          <w:color w:val="auto"/>
          <w:sz w:val="24"/>
          <w:highlight w:val="none"/>
        </w:rPr>
      </w:pPr>
    </w:p>
    <w:p w14:paraId="16678185">
      <w:pPr>
        <w:spacing w:line="360" w:lineRule="auto"/>
        <w:contextualSpacing/>
        <w:rPr>
          <w:rFonts w:ascii="宋体" w:hAnsi="宋体"/>
          <w:color w:val="auto"/>
          <w:sz w:val="24"/>
          <w:highlight w:val="none"/>
        </w:rPr>
      </w:pPr>
    </w:p>
    <w:p w14:paraId="3D0B885E">
      <w:pPr>
        <w:spacing w:line="360" w:lineRule="auto"/>
        <w:contextualSpacing/>
        <w:rPr>
          <w:rFonts w:ascii="宋体" w:hAnsi="宋体"/>
          <w:color w:val="auto"/>
          <w:sz w:val="24"/>
          <w:highlight w:val="none"/>
        </w:rPr>
      </w:pPr>
      <w:r>
        <w:rPr>
          <w:rFonts w:hint="eastAsia" w:ascii="宋体" w:hAnsi="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7808E4EE">
      <w:pPr>
        <w:rPr>
          <w:rFonts w:ascii="宋体" w:hAnsi="宋体"/>
          <w:color w:val="auto"/>
          <w:sz w:val="24"/>
          <w:highlight w:val="none"/>
        </w:rPr>
      </w:pPr>
      <w:r>
        <w:rPr>
          <w:rFonts w:ascii="宋体" w:hAnsi="宋体"/>
          <w:color w:val="auto"/>
          <w:sz w:val="24"/>
          <w:highlight w:val="none"/>
        </w:rPr>
        <w:br w:type="page"/>
      </w:r>
    </w:p>
    <w:p w14:paraId="1E2A0DCF">
      <w:pPr>
        <w:spacing w:line="360" w:lineRule="auto"/>
        <w:jc w:val="left"/>
        <w:rPr>
          <w:rFonts w:hint="eastAsia" w:ascii="宋体" w:hAnsi="宋体"/>
          <w:b/>
          <w:color w:val="auto"/>
          <w:sz w:val="24"/>
          <w:highlight w:val="none"/>
          <w:lang w:val="en-US" w:eastAsia="zh-CN"/>
        </w:rPr>
      </w:pPr>
      <w:r>
        <w:rPr>
          <w:rFonts w:hint="eastAsia" w:ascii="宋体" w:hAnsi="宋体"/>
          <w:b/>
          <w:color w:val="auto"/>
          <w:sz w:val="24"/>
          <w:highlight w:val="none"/>
          <w:lang w:val="en-US" w:eastAsia="zh-CN"/>
        </w:rPr>
        <w:t>4.关于符合本国产品标准的声明函</w:t>
      </w:r>
    </w:p>
    <w:p w14:paraId="0F55230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jc w:val="center"/>
        <w:textAlignment w:val="baseline"/>
        <w:rPr>
          <w:rFonts w:hint="default" w:ascii="仿宋" w:hAnsi="仿宋" w:eastAsia="仿宋" w:cs="仿宋"/>
          <w:i w:val="0"/>
          <w:iCs w:val="0"/>
          <w:caps w:val="0"/>
          <w:color w:val="auto"/>
          <w:spacing w:val="0"/>
          <w:kern w:val="0"/>
          <w:sz w:val="36"/>
          <w:szCs w:val="36"/>
          <w:lang w:val="en-US" w:eastAsia="zh-CN" w:bidi="ar"/>
        </w:rPr>
      </w:pPr>
      <w:r>
        <w:rPr>
          <w:rStyle w:val="52"/>
          <w:rFonts w:hint="eastAsia" w:ascii="仿宋" w:hAnsi="仿宋" w:eastAsia="仿宋" w:cs="仿宋"/>
          <w:i w:val="0"/>
          <w:iCs w:val="0"/>
          <w:caps w:val="0"/>
          <w:color w:val="auto"/>
          <w:spacing w:val="0"/>
          <w:kern w:val="2"/>
          <w:sz w:val="36"/>
          <w:szCs w:val="36"/>
          <w:shd w:val="clear" w:color="auto" w:fill="FFFFFF"/>
          <w:vertAlign w:val="baseline"/>
          <w:lang w:val="en-US" w:eastAsia="zh-CN" w:bidi="ar-SA"/>
        </w:rPr>
        <w:t>关于符合本国产品标准的声明函</w:t>
      </w:r>
    </w:p>
    <w:p w14:paraId="10596E3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jc w:val="both"/>
        <w:textAlignment w:val="baseline"/>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7B39B7D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jc w:val="both"/>
        <w:textAlignment w:val="baseline"/>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1.</w:t>
      </w:r>
      <w:r>
        <w:rPr>
          <w:rStyle w:val="56"/>
          <w:rFonts w:hint="eastAsia" w:ascii="宋体" w:hAnsi="宋体" w:eastAsia="宋体" w:cs="宋体"/>
          <w:i w:val="0"/>
          <w:iCs w:val="0"/>
          <w:caps w:val="0"/>
          <w:color w:val="auto"/>
          <w:spacing w:val="0"/>
          <w:kern w:val="2"/>
          <w:sz w:val="24"/>
          <w:szCs w:val="24"/>
          <w:u w:val="single"/>
          <w:shd w:val="clear" w:color="auto" w:fill="FFFFFF"/>
          <w:vertAlign w:val="baseline"/>
          <w:lang w:val="en-US" w:eastAsia="zh-CN" w:bidi="ar-SA"/>
        </w:rPr>
        <w:t>（产品名称1）</w:t>
      </w:r>
      <w:r>
        <w:rPr>
          <w:rStyle w:val="56"/>
          <w:rFonts w:hint="eastAsia" w:ascii="宋体" w:hAnsi="宋体" w:eastAsia="宋体" w:cs="宋体"/>
          <w:i w:val="0"/>
          <w:iCs w:val="0"/>
          <w:caps w:val="0"/>
          <w:color w:val="auto"/>
          <w:spacing w:val="0"/>
          <w:kern w:val="2"/>
          <w:sz w:val="24"/>
          <w:szCs w:val="24"/>
          <w:shd w:val="clear" w:color="auto" w:fill="FFFFFF"/>
          <w:vertAlign w:val="baseline"/>
          <w:lang w:val="en-US" w:eastAsia="zh-CN" w:bidi="ar-SA"/>
        </w:rPr>
        <w:t>1</w:t>
      </w: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，生产厂为</w:t>
      </w:r>
      <w:r>
        <w:rPr>
          <w:rStyle w:val="56"/>
          <w:rFonts w:hint="eastAsia" w:ascii="宋体" w:hAnsi="宋体" w:eastAsia="宋体" w:cs="宋体"/>
          <w:i w:val="0"/>
          <w:iCs w:val="0"/>
          <w:caps w:val="0"/>
          <w:color w:val="auto"/>
          <w:spacing w:val="0"/>
          <w:kern w:val="2"/>
          <w:sz w:val="24"/>
          <w:szCs w:val="24"/>
          <w:u w:val="single"/>
          <w:shd w:val="clear" w:color="auto" w:fill="FFFFFF"/>
          <w:vertAlign w:val="baseline"/>
          <w:lang w:val="en-US" w:eastAsia="zh-CN" w:bidi="ar-SA"/>
        </w:rPr>
        <w:t>（厂名）</w:t>
      </w:r>
      <w:r>
        <w:rPr>
          <w:rStyle w:val="56"/>
          <w:rFonts w:hint="eastAsia" w:ascii="宋体" w:hAnsi="宋体" w:eastAsia="宋体" w:cs="宋体"/>
          <w:i w:val="0"/>
          <w:iCs w:val="0"/>
          <w:caps w:val="0"/>
          <w:color w:val="auto"/>
          <w:spacing w:val="0"/>
          <w:kern w:val="2"/>
          <w:sz w:val="24"/>
          <w:szCs w:val="24"/>
          <w:shd w:val="clear" w:color="auto" w:fill="FFFFFF"/>
          <w:vertAlign w:val="baseline"/>
          <w:lang w:val="en-US" w:eastAsia="zh-CN" w:bidi="ar-SA"/>
        </w:rPr>
        <w:t>2</w:t>
      </w: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，厂址为</w:t>
      </w:r>
      <w:r>
        <w:rPr>
          <w:rStyle w:val="56"/>
          <w:rFonts w:hint="eastAsia" w:ascii="宋体" w:hAnsi="宋体" w:eastAsia="宋体" w:cs="宋体"/>
          <w:i w:val="0"/>
          <w:iCs w:val="0"/>
          <w:caps w:val="0"/>
          <w:color w:val="auto"/>
          <w:spacing w:val="0"/>
          <w:kern w:val="2"/>
          <w:sz w:val="24"/>
          <w:szCs w:val="24"/>
          <w:u w:val="single"/>
          <w:shd w:val="clear" w:color="auto" w:fill="FFFFFF"/>
          <w:vertAlign w:val="baseline"/>
          <w:lang w:val="en-US" w:eastAsia="zh-CN" w:bidi="ar-SA"/>
        </w:rPr>
        <w:t>（生产厂址）</w:t>
      </w: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w:t>
      </w:r>
      <w:r>
        <w:rPr>
          <w:rStyle w:val="56"/>
          <w:rFonts w:hint="eastAsia" w:ascii="宋体" w:hAnsi="宋体" w:eastAsia="宋体" w:cs="宋体"/>
          <w:i w:val="0"/>
          <w:iCs w:val="0"/>
          <w:caps w:val="0"/>
          <w:color w:val="auto"/>
          <w:spacing w:val="0"/>
          <w:kern w:val="2"/>
          <w:sz w:val="24"/>
          <w:szCs w:val="24"/>
          <w:u w:val="single"/>
          <w:shd w:val="clear" w:color="auto" w:fill="FFFFFF"/>
          <w:vertAlign w:val="baseline"/>
          <w:lang w:val="en-US" w:eastAsia="zh-CN" w:bidi="ar-SA"/>
        </w:rPr>
        <w:t>（产品名称1）</w:t>
      </w: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的中国境内生产的组件成本占比≥</w:t>
      </w:r>
      <w:r>
        <w:rPr>
          <w:rStyle w:val="56"/>
          <w:rFonts w:hint="eastAsia" w:ascii="宋体" w:hAnsi="宋体" w:eastAsia="宋体" w:cs="宋体"/>
          <w:i w:val="0"/>
          <w:iCs w:val="0"/>
          <w:caps w:val="0"/>
          <w:color w:val="auto"/>
          <w:spacing w:val="0"/>
          <w:kern w:val="2"/>
          <w:sz w:val="24"/>
          <w:szCs w:val="24"/>
          <w:u w:val="single"/>
          <w:shd w:val="clear" w:color="auto" w:fill="FFFFFF"/>
          <w:vertAlign w:val="baseline"/>
          <w:lang w:val="en-US" w:eastAsia="zh-CN" w:bidi="ar-SA"/>
        </w:rPr>
        <w:t>（规定比例）</w:t>
      </w:r>
      <w:r>
        <w:rPr>
          <w:rStyle w:val="56"/>
          <w:rFonts w:hint="eastAsia" w:ascii="宋体" w:hAnsi="宋体" w:eastAsia="宋体" w:cs="宋体"/>
          <w:i w:val="0"/>
          <w:iCs w:val="0"/>
          <w:caps w:val="0"/>
          <w:color w:val="auto"/>
          <w:spacing w:val="0"/>
          <w:kern w:val="2"/>
          <w:sz w:val="24"/>
          <w:szCs w:val="24"/>
          <w:shd w:val="clear" w:color="auto" w:fill="FFFFFF"/>
          <w:vertAlign w:val="baseline"/>
          <w:lang w:val="en-US" w:eastAsia="zh-CN" w:bidi="ar-SA"/>
        </w:rPr>
        <w:t>3</w:t>
      </w: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w:t>
      </w:r>
      <w:r>
        <w:rPr>
          <w:rStyle w:val="56"/>
          <w:rFonts w:hint="eastAsia" w:ascii="宋体" w:hAnsi="宋体" w:eastAsia="宋体" w:cs="宋体"/>
          <w:i w:val="0"/>
          <w:iCs w:val="0"/>
          <w:caps w:val="0"/>
          <w:color w:val="auto"/>
          <w:spacing w:val="0"/>
          <w:kern w:val="2"/>
          <w:sz w:val="24"/>
          <w:szCs w:val="24"/>
          <w:u w:val="single"/>
          <w:shd w:val="clear" w:color="auto" w:fill="FFFFFF"/>
          <w:vertAlign w:val="baseline"/>
          <w:lang w:val="en-US" w:eastAsia="zh-CN" w:bidi="ar-SA"/>
        </w:rPr>
        <w:t>（产品名称1）</w:t>
      </w: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的</w:t>
      </w:r>
      <w:r>
        <w:rPr>
          <w:rStyle w:val="56"/>
          <w:rFonts w:hint="eastAsia" w:ascii="宋体" w:hAnsi="宋体" w:eastAsia="宋体" w:cs="宋体"/>
          <w:i w:val="0"/>
          <w:iCs w:val="0"/>
          <w:caps w:val="0"/>
          <w:color w:val="auto"/>
          <w:spacing w:val="0"/>
          <w:kern w:val="2"/>
          <w:sz w:val="24"/>
          <w:szCs w:val="24"/>
          <w:u w:val="single"/>
          <w:shd w:val="clear" w:color="auto" w:fill="FFFFFF"/>
          <w:vertAlign w:val="baseline"/>
          <w:lang w:val="en-US" w:eastAsia="zh-CN" w:bidi="ar-SA"/>
        </w:rPr>
        <w:t>（关键组件）</w:t>
      </w:r>
      <w:r>
        <w:rPr>
          <w:rStyle w:val="56"/>
          <w:rFonts w:hint="eastAsia" w:ascii="宋体" w:hAnsi="宋体" w:eastAsia="宋体" w:cs="宋体"/>
          <w:i w:val="0"/>
          <w:iCs w:val="0"/>
          <w:caps w:val="0"/>
          <w:color w:val="auto"/>
          <w:spacing w:val="0"/>
          <w:kern w:val="2"/>
          <w:sz w:val="24"/>
          <w:szCs w:val="24"/>
          <w:shd w:val="clear" w:color="auto" w:fill="FFFFFF"/>
          <w:vertAlign w:val="baseline"/>
          <w:lang w:val="en-US" w:eastAsia="zh-CN" w:bidi="ar-SA"/>
        </w:rPr>
        <w:t>4</w:t>
      </w: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在中国境内生产。</w:t>
      </w:r>
      <w:r>
        <w:rPr>
          <w:rStyle w:val="56"/>
          <w:rFonts w:hint="eastAsia" w:ascii="宋体" w:hAnsi="宋体" w:eastAsia="宋体" w:cs="宋体"/>
          <w:i w:val="0"/>
          <w:iCs w:val="0"/>
          <w:caps w:val="0"/>
          <w:color w:val="auto"/>
          <w:spacing w:val="0"/>
          <w:kern w:val="2"/>
          <w:sz w:val="24"/>
          <w:szCs w:val="24"/>
          <w:u w:val="single"/>
          <w:shd w:val="clear" w:color="auto" w:fill="FFFFFF"/>
          <w:vertAlign w:val="baseline"/>
          <w:lang w:val="en-US" w:eastAsia="zh-CN" w:bidi="ar-SA"/>
        </w:rPr>
        <w:t>（产品名称1）</w:t>
      </w: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的</w:t>
      </w:r>
      <w:r>
        <w:rPr>
          <w:rStyle w:val="56"/>
          <w:rFonts w:hint="eastAsia" w:ascii="宋体" w:hAnsi="宋体" w:eastAsia="宋体" w:cs="宋体"/>
          <w:i w:val="0"/>
          <w:iCs w:val="0"/>
          <w:caps w:val="0"/>
          <w:color w:val="auto"/>
          <w:spacing w:val="0"/>
          <w:kern w:val="2"/>
          <w:sz w:val="24"/>
          <w:szCs w:val="24"/>
          <w:u w:val="single"/>
          <w:shd w:val="clear" w:color="auto" w:fill="FFFFFF"/>
          <w:vertAlign w:val="baseline"/>
          <w:lang w:val="en-US" w:eastAsia="zh-CN" w:bidi="ar-SA"/>
        </w:rPr>
        <w:t>（关键工序）</w:t>
      </w:r>
      <w:r>
        <w:rPr>
          <w:rStyle w:val="56"/>
          <w:rFonts w:hint="eastAsia" w:ascii="宋体" w:hAnsi="宋体" w:eastAsia="宋体" w:cs="宋体"/>
          <w:i w:val="0"/>
          <w:iCs w:val="0"/>
          <w:caps w:val="0"/>
          <w:color w:val="auto"/>
          <w:spacing w:val="0"/>
          <w:kern w:val="2"/>
          <w:sz w:val="24"/>
          <w:szCs w:val="24"/>
          <w:shd w:val="clear" w:color="auto" w:fill="FFFFFF"/>
          <w:vertAlign w:val="baseline"/>
          <w:lang w:val="en-US" w:eastAsia="zh-CN" w:bidi="ar-SA"/>
        </w:rPr>
        <w:t>5</w:t>
      </w: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在中国境内完成。</w:t>
      </w:r>
    </w:p>
    <w:p w14:paraId="5BCABCF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jc w:val="both"/>
        <w:textAlignment w:val="baseline"/>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2.</w:t>
      </w:r>
      <w:r>
        <w:rPr>
          <w:rStyle w:val="56"/>
          <w:rFonts w:hint="eastAsia" w:ascii="宋体" w:hAnsi="宋体" w:eastAsia="宋体" w:cs="宋体"/>
          <w:i w:val="0"/>
          <w:iCs w:val="0"/>
          <w:caps w:val="0"/>
          <w:color w:val="auto"/>
          <w:spacing w:val="0"/>
          <w:kern w:val="2"/>
          <w:sz w:val="24"/>
          <w:szCs w:val="24"/>
          <w:u w:val="single"/>
          <w:shd w:val="clear" w:color="auto" w:fill="FFFFFF"/>
          <w:vertAlign w:val="baseline"/>
          <w:lang w:val="en-US" w:eastAsia="zh-CN" w:bidi="ar-SA"/>
        </w:rPr>
        <w:t>（产品名称2）</w:t>
      </w: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，生产厂为</w:t>
      </w:r>
      <w:r>
        <w:rPr>
          <w:rStyle w:val="56"/>
          <w:rFonts w:hint="eastAsia" w:ascii="宋体" w:hAnsi="宋体" w:eastAsia="宋体" w:cs="宋体"/>
          <w:i w:val="0"/>
          <w:iCs w:val="0"/>
          <w:caps w:val="0"/>
          <w:color w:val="auto"/>
          <w:spacing w:val="0"/>
          <w:kern w:val="2"/>
          <w:sz w:val="24"/>
          <w:szCs w:val="24"/>
          <w:u w:val="single"/>
          <w:shd w:val="clear" w:color="auto" w:fill="FFFFFF"/>
          <w:vertAlign w:val="baseline"/>
          <w:lang w:val="en-US" w:eastAsia="zh-CN" w:bidi="ar-SA"/>
        </w:rPr>
        <w:t>（厂名）</w:t>
      </w: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，厂址为</w:t>
      </w:r>
      <w:r>
        <w:rPr>
          <w:rStyle w:val="56"/>
          <w:rFonts w:hint="eastAsia" w:ascii="宋体" w:hAnsi="宋体" w:eastAsia="宋体" w:cs="宋体"/>
          <w:i w:val="0"/>
          <w:iCs w:val="0"/>
          <w:caps w:val="0"/>
          <w:color w:val="auto"/>
          <w:spacing w:val="0"/>
          <w:kern w:val="2"/>
          <w:sz w:val="24"/>
          <w:szCs w:val="24"/>
          <w:u w:val="single"/>
          <w:shd w:val="clear" w:color="auto" w:fill="FFFFFF"/>
          <w:vertAlign w:val="baseline"/>
          <w:lang w:val="en-US" w:eastAsia="zh-CN" w:bidi="ar-SA"/>
        </w:rPr>
        <w:t>（生产厂址）</w:t>
      </w: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w:t>
      </w:r>
      <w:r>
        <w:rPr>
          <w:rStyle w:val="56"/>
          <w:rFonts w:hint="eastAsia" w:ascii="宋体" w:hAnsi="宋体" w:eastAsia="宋体" w:cs="宋体"/>
          <w:i w:val="0"/>
          <w:iCs w:val="0"/>
          <w:caps w:val="0"/>
          <w:color w:val="auto"/>
          <w:spacing w:val="0"/>
          <w:kern w:val="2"/>
          <w:sz w:val="24"/>
          <w:szCs w:val="24"/>
          <w:u w:val="single"/>
          <w:shd w:val="clear" w:color="auto" w:fill="FFFFFF"/>
          <w:vertAlign w:val="baseline"/>
          <w:lang w:val="en-US" w:eastAsia="zh-CN" w:bidi="ar-SA"/>
        </w:rPr>
        <w:t>（产品名称2）</w:t>
      </w: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的中国境内生产的组件成本占比≥</w:t>
      </w:r>
      <w:r>
        <w:rPr>
          <w:rStyle w:val="56"/>
          <w:rFonts w:hint="eastAsia" w:ascii="宋体" w:hAnsi="宋体" w:eastAsia="宋体" w:cs="宋体"/>
          <w:i w:val="0"/>
          <w:iCs w:val="0"/>
          <w:caps w:val="0"/>
          <w:color w:val="auto"/>
          <w:spacing w:val="0"/>
          <w:kern w:val="2"/>
          <w:sz w:val="24"/>
          <w:szCs w:val="24"/>
          <w:u w:val="single"/>
          <w:shd w:val="clear" w:color="auto" w:fill="FFFFFF"/>
          <w:vertAlign w:val="baseline"/>
          <w:lang w:val="en-US" w:eastAsia="zh-CN" w:bidi="ar-SA"/>
        </w:rPr>
        <w:t>（规定比例）</w:t>
      </w: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w:t>
      </w:r>
      <w:r>
        <w:rPr>
          <w:rStyle w:val="56"/>
          <w:rFonts w:hint="eastAsia" w:ascii="宋体" w:hAnsi="宋体" w:eastAsia="宋体" w:cs="宋体"/>
          <w:i w:val="0"/>
          <w:iCs w:val="0"/>
          <w:caps w:val="0"/>
          <w:color w:val="auto"/>
          <w:spacing w:val="0"/>
          <w:kern w:val="2"/>
          <w:sz w:val="24"/>
          <w:szCs w:val="24"/>
          <w:u w:val="single"/>
          <w:shd w:val="clear" w:color="auto" w:fill="FFFFFF"/>
          <w:vertAlign w:val="baseline"/>
          <w:lang w:val="en-US" w:eastAsia="zh-CN" w:bidi="ar-SA"/>
        </w:rPr>
        <w:t>（产品名称2）</w:t>
      </w: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的</w:t>
      </w:r>
      <w:r>
        <w:rPr>
          <w:rStyle w:val="56"/>
          <w:rFonts w:hint="eastAsia" w:ascii="宋体" w:hAnsi="宋体" w:eastAsia="宋体" w:cs="宋体"/>
          <w:i w:val="0"/>
          <w:iCs w:val="0"/>
          <w:caps w:val="0"/>
          <w:color w:val="auto"/>
          <w:spacing w:val="0"/>
          <w:kern w:val="2"/>
          <w:sz w:val="24"/>
          <w:szCs w:val="24"/>
          <w:u w:val="single"/>
          <w:shd w:val="clear" w:color="auto" w:fill="FFFFFF"/>
          <w:vertAlign w:val="baseline"/>
          <w:lang w:val="en-US" w:eastAsia="zh-CN" w:bidi="ar-SA"/>
        </w:rPr>
        <w:t>（关键组件）</w:t>
      </w: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在中国境内生产。</w:t>
      </w:r>
      <w:r>
        <w:rPr>
          <w:rStyle w:val="56"/>
          <w:rFonts w:hint="eastAsia" w:ascii="宋体" w:hAnsi="宋体" w:eastAsia="宋体" w:cs="宋体"/>
          <w:i w:val="0"/>
          <w:iCs w:val="0"/>
          <w:caps w:val="0"/>
          <w:color w:val="auto"/>
          <w:spacing w:val="0"/>
          <w:kern w:val="2"/>
          <w:sz w:val="24"/>
          <w:szCs w:val="24"/>
          <w:u w:val="single"/>
          <w:shd w:val="clear" w:color="auto" w:fill="FFFFFF"/>
          <w:vertAlign w:val="baseline"/>
          <w:lang w:val="en-US" w:eastAsia="zh-CN" w:bidi="ar-SA"/>
        </w:rPr>
        <w:t>（产品名称2）</w:t>
      </w: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的</w:t>
      </w:r>
      <w:r>
        <w:rPr>
          <w:rStyle w:val="56"/>
          <w:rFonts w:hint="eastAsia" w:ascii="宋体" w:hAnsi="宋体" w:eastAsia="宋体" w:cs="宋体"/>
          <w:i w:val="0"/>
          <w:iCs w:val="0"/>
          <w:caps w:val="0"/>
          <w:color w:val="auto"/>
          <w:spacing w:val="0"/>
          <w:kern w:val="2"/>
          <w:sz w:val="24"/>
          <w:szCs w:val="24"/>
          <w:u w:val="single"/>
          <w:shd w:val="clear" w:color="auto" w:fill="FFFFFF"/>
          <w:vertAlign w:val="baseline"/>
          <w:lang w:val="en-US" w:eastAsia="zh-CN" w:bidi="ar-SA"/>
        </w:rPr>
        <w:t>（关键工序）</w:t>
      </w: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在中国境内完成。</w:t>
      </w:r>
    </w:p>
    <w:p w14:paraId="0C5B89C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jc w:val="both"/>
        <w:textAlignment w:val="baseline"/>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w:t>
      </w:r>
    </w:p>
    <w:p w14:paraId="67368A5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jc w:val="both"/>
        <w:textAlignment w:val="baseline"/>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本公司（单位）对上述声明内容的真实性负责。如有虚假，愿承担相应法律责任。</w:t>
      </w:r>
    </w:p>
    <w:p w14:paraId="03E833E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jc w:val="both"/>
        <w:textAlignment w:val="baseline"/>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 </w:t>
      </w:r>
    </w:p>
    <w:p w14:paraId="1008BB6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jc w:val="right"/>
        <w:textAlignment w:val="baseline"/>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公司（单位）名称（盖章）：　        </w:t>
      </w:r>
    </w:p>
    <w:p w14:paraId="3AD29AB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jc w:val="right"/>
        <w:textAlignment w:val="baseline"/>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日期：　     年　  月　  日         </w:t>
      </w:r>
    </w:p>
    <w:p w14:paraId="4A64287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jc w:val="both"/>
        <w:textAlignment w:val="baseline"/>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__________________</w:t>
      </w:r>
    </w:p>
    <w:p w14:paraId="1D2835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500" w:lineRule="atLeast"/>
        <w:ind w:left="0" w:right="0" w:firstLine="420"/>
        <w:jc w:val="both"/>
        <w:textAlignment w:val="baseline"/>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1.产品如有型号，请在“产品名称”栏一并填写。</w:t>
      </w:r>
    </w:p>
    <w:p w14:paraId="3EC589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500" w:lineRule="atLeast"/>
        <w:ind w:left="0" w:right="0" w:firstLine="420"/>
        <w:jc w:val="both"/>
        <w:textAlignment w:val="baseline"/>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2.生产厂名与厂址应与生产厂营业执照载明的相关信息保持一致。</w:t>
      </w:r>
    </w:p>
    <w:p w14:paraId="63905E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500" w:lineRule="atLeast"/>
        <w:ind w:left="0" w:right="0" w:firstLine="420"/>
        <w:jc w:val="both"/>
        <w:textAlignment w:val="baseline"/>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3.该产品的中国境内生产的组件成本占比相关要求实施前，“规定比例”栏可不填，下同。</w:t>
      </w:r>
    </w:p>
    <w:p w14:paraId="05C020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500" w:lineRule="atLeast"/>
        <w:ind w:left="0" w:right="0" w:firstLine="420"/>
        <w:jc w:val="both"/>
        <w:textAlignment w:val="baseline"/>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4.该产品的关键组件要求实施前，“关键组件”栏可不填，下同。</w:t>
      </w:r>
    </w:p>
    <w:p w14:paraId="1D224A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500" w:lineRule="atLeast"/>
        <w:ind w:left="0" w:right="0" w:firstLine="420"/>
        <w:jc w:val="both"/>
        <w:textAlignment w:val="baseline"/>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5.该产品的关键工序要求实施前，“关键工序”栏可不填，下同。</w:t>
      </w:r>
    </w:p>
    <w:p w14:paraId="0E144E0E">
      <w:pPr>
        <w:spacing w:line="360" w:lineRule="auto"/>
        <w:jc w:val="left"/>
        <w:rPr>
          <w:rFonts w:ascii="宋体" w:hAnsi="宋体"/>
          <w:color w:val="auto"/>
          <w:sz w:val="24"/>
          <w:highlight w:val="none"/>
        </w:rPr>
      </w:pPr>
      <w:r>
        <w:rPr>
          <w:rFonts w:ascii="宋体" w:hAnsi="宋体"/>
          <w:color w:val="auto"/>
          <w:sz w:val="24"/>
          <w:highlight w:val="none"/>
        </w:rPr>
        <w:br w:type="page"/>
      </w:r>
      <w:r>
        <w:rPr>
          <w:rFonts w:hint="eastAsia" w:ascii="宋体" w:hAnsi="宋体"/>
          <w:b/>
          <w:color w:val="auto"/>
          <w:sz w:val="24"/>
          <w:highlight w:val="none"/>
          <w:lang w:val="en-US" w:eastAsia="zh-CN"/>
        </w:rPr>
        <w:t>5</w:t>
      </w:r>
      <w:r>
        <w:rPr>
          <w:rFonts w:hint="eastAsia" w:ascii="宋体" w:hAnsi="宋体"/>
          <w:b/>
          <w:color w:val="auto"/>
          <w:sz w:val="24"/>
          <w:highlight w:val="none"/>
        </w:rPr>
        <w:t>.质疑函格式</w:t>
      </w:r>
    </w:p>
    <w:p w14:paraId="6B04CE06">
      <w:pPr>
        <w:spacing w:line="360" w:lineRule="auto"/>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质疑函</w:t>
      </w:r>
    </w:p>
    <w:p w14:paraId="19A3A303">
      <w:pPr>
        <w:pStyle w:val="27"/>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一、质疑投标人基本信息：</w:t>
      </w:r>
    </w:p>
    <w:p w14:paraId="0891B426">
      <w:pPr>
        <w:pStyle w:val="27"/>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质疑投标人：</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6389607">
      <w:pPr>
        <w:pStyle w:val="27"/>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6F81762">
      <w:pPr>
        <w:pStyle w:val="27"/>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2C341666">
      <w:pPr>
        <w:pStyle w:val="27"/>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3D1CFF81">
      <w:pPr>
        <w:pStyle w:val="27"/>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0E6FAAA9">
      <w:pPr>
        <w:pStyle w:val="27"/>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2B6BC6D">
      <w:pPr>
        <w:pStyle w:val="27"/>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0007FE6F">
      <w:pPr>
        <w:pStyle w:val="27"/>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11DE44FC">
      <w:pPr>
        <w:pStyle w:val="27"/>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4D7197C1">
      <w:pPr>
        <w:pStyle w:val="27"/>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12BC54FF">
      <w:pPr>
        <w:pStyle w:val="27"/>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w:t>
      </w:r>
    </w:p>
    <w:p w14:paraId="3D142969">
      <w:pPr>
        <w:pStyle w:val="27"/>
        <w:spacing w:line="360" w:lineRule="auto"/>
        <w:ind w:left="25" w:leftChars="12" w:firstLine="352" w:firstLineChars="147"/>
        <w:rPr>
          <w:rFonts w:hint="eastAsia" w:hAnsi="宋体"/>
          <w:color w:val="auto"/>
          <w:sz w:val="24"/>
          <w:szCs w:val="24"/>
          <w:highlight w:val="none"/>
        </w:rPr>
      </w:pPr>
      <w:r>
        <w:rPr>
          <w:rFonts w:hint="eastAsia" w:hAnsi="宋体"/>
          <w:color w:val="auto"/>
          <w:sz w:val="24"/>
          <w:szCs w:val="24"/>
          <w:highlight w:val="none"/>
        </w:rPr>
        <w:t>□招标文件   招标文件获取日期：</w:t>
      </w:r>
      <w:r>
        <w:rPr>
          <w:rFonts w:hint="eastAsia" w:hAnsi="宋体"/>
          <w:bCs/>
          <w:color w:val="auto"/>
          <w:sz w:val="24"/>
          <w:szCs w:val="24"/>
          <w:highlight w:val="none"/>
          <w:u w:val="single"/>
        </w:rPr>
        <w:t xml:space="preserve">                                   </w:t>
      </w:r>
    </w:p>
    <w:p w14:paraId="7F078AE0">
      <w:pPr>
        <w:pStyle w:val="27"/>
        <w:spacing w:line="360" w:lineRule="auto"/>
        <w:ind w:left="25" w:leftChars="12" w:firstLine="352" w:firstLineChars="147"/>
        <w:rPr>
          <w:rFonts w:hint="eastAsia" w:hAnsi="宋体"/>
          <w:color w:val="auto"/>
          <w:sz w:val="24"/>
          <w:szCs w:val="24"/>
          <w:highlight w:val="none"/>
        </w:rPr>
      </w:pPr>
      <w:r>
        <w:rPr>
          <w:rFonts w:hint="eastAsia" w:hAnsi="宋体"/>
          <w:color w:val="auto"/>
          <w:sz w:val="24"/>
          <w:szCs w:val="24"/>
          <w:highlight w:val="none"/>
        </w:rPr>
        <w:t xml:space="preserve">□采购过程   </w:t>
      </w:r>
    </w:p>
    <w:p w14:paraId="0BB1FF95">
      <w:pPr>
        <w:pStyle w:val="27"/>
        <w:spacing w:line="360" w:lineRule="auto"/>
        <w:ind w:left="25" w:leftChars="12" w:firstLine="352" w:firstLineChars="147"/>
        <w:rPr>
          <w:rFonts w:hint="eastAsia" w:hAnsi="宋体"/>
          <w:bCs/>
          <w:color w:val="auto"/>
          <w:sz w:val="24"/>
          <w:szCs w:val="24"/>
          <w:highlight w:val="none"/>
          <w:u w:val="single"/>
        </w:rPr>
      </w:pPr>
      <w:r>
        <w:rPr>
          <w:rFonts w:hint="eastAsia" w:hAnsi="宋体"/>
          <w:color w:val="auto"/>
          <w:sz w:val="24"/>
          <w:szCs w:val="24"/>
          <w:highlight w:val="none"/>
        </w:rPr>
        <w:t xml:space="preserve">□中标结果   </w:t>
      </w:r>
    </w:p>
    <w:p w14:paraId="403BF65D">
      <w:pPr>
        <w:pStyle w:val="27"/>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三、质疑事项具体内容</w:t>
      </w:r>
    </w:p>
    <w:p w14:paraId="702EAC2C">
      <w:pPr>
        <w:pStyle w:val="27"/>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2F8678E4">
      <w:pPr>
        <w:pStyle w:val="27"/>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4C287140">
      <w:pPr>
        <w:pStyle w:val="27"/>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36936801">
      <w:pPr>
        <w:pStyle w:val="27"/>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质疑事项2</w:t>
      </w:r>
    </w:p>
    <w:p w14:paraId="5BEFEC9E">
      <w:pPr>
        <w:pStyle w:val="27"/>
        <w:spacing w:line="360" w:lineRule="auto"/>
        <w:ind w:left="25" w:leftChars="12" w:firstLine="472" w:firstLineChars="197"/>
        <w:rPr>
          <w:rFonts w:hint="eastAsia" w:hAnsi="宋体"/>
          <w:color w:val="auto"/>
          <w:sz w:val="24"/>
          <w:szCs w:val="24"/>
          <w:highlight w:val="none"/>
        </w:rPr>
      </w:pPr>
      <w:r>
        <w:rPr>
          <w:rFonts w:hAnsi="宋体"/>
          <w:color w:val="auto"/>
          <w:sz w:val="24"/>
          <w:szCs w:val="24"/>
          <w:highlight w:val="none"/>
        </w:rPr>
        <w:t>……</w:t>
      </w:r>
    </w:p>
    <w:p w14:paraId="10075C11">
      <w:pPr>
        <w:pStyle w:val="27"/>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47A48045">
      <w:pPr>
        <w:pStyle w:val="27"/>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5CC7AF44">
      <w:pPr>
        <w:pStyle w:val="27"/>
        <w:spacing w:line="360" w:lineRule="auto"/>
        <w:ind w:left="25" w:leftChars="12" w:firstLine="352" w:firstLineChars="147"/>
        <w:rPr>
          <w:rFonts w:hint="eastAsia" w:hAnsi="宋体"/>
          <w:color w:val="auto"/>
          <w:sz w:val="24"/>
          <w:szCs w:val="24"/>
          <w:highlight w:val="none"/>
        </w:rPr>
      </w:pPr>
    </w:p>
    <w:p w14:paraId="1D8F7DB6">
      <w:pPr>
        <w:pStyle w:val="27"/>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10033BE3">
      <w:pPr>
        <w:pStyle w:val="27"/>
        <w:spacing w:line="360" w:lineRule="auto"/>
        <w:ind w:left="25" w:leftChars="12" w:firstLine="352" w:firstLineChars="147"/>
        <w:rPr>
          <w:rFonts w:hint="eastAsia" w:hAnsi="宋体"/>
          <w:color w:val="auto"/>
          <w:sz w:val="24"/>
          <w:szCs w:val="24"/>
          <w:highlight w:val="none"/>
        </w:rPr>
      </w:pPr>
    </w:p>
    <w:p w14:paraId="46858AD1">
      <w:pPr>
        <w:pStyle w:val="27"/>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12D57C61">
      <w:pPr>
        <w:pStyle w:val="27"/>
        <w:snapToGrid w:val="0"/>
        <w:spacing w:line="360" w:lineRule="auto"/>
        <w:rPr>
          <w:rFonts w:hint="eastAsia" w:hAnsi="宋体"/>
          <w:b/>
          <w:color w:val="auto"/>
          <w:sz w:val="24"/>
          <w:szCs w:val="24"/>
          <w:highlight w:val="none"/>
        </w:rPr>
      </w:pPr>
    </w:p>
    <w:p w14:paraId="5BFFD28F">
      <w:pPr>
        <w:pStyle w:val="27"/>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44B0422E">
      <w:pPr>
        <w:pStyle w:val="27"/>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1.投标人提出质疑时，应提交质疑函和必要的证明材料</w:t>
      </w:r>
      <w:r>
        <w:rPr>
          <w:rFonts w:hint="eastAsia" w:hAnsi="宋体"/>
          <w:b/>
          <w:bCs/>
          <w:color w:val="auto"/>
          <w:sz w:val="24"/>
          <w:szCs w:val="24"/>
          <w:highlight w:val="none"/>
        </w:rPr>
        <w:t>。</w:t>
      </w:r>
    </w:p>
    <w:p w14:paraId="7A507735">
      <w:pPr>
        <w:pStyle w:val="27"/>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质疑投标人若委托代理人进行质疑的，质疑函应按要求列明“授权代表”的有关内容，并在附件中提交由质疑投标人签署的授权委托书。授权委托书应载明代理人的姓名或者名称、代理事项、具体权限、期限和相关事项。</w:t>
      </w:r>
    </w:p>
    <w:p w14:paraId="23A05D4A">
      <w:pPr>
        <w:pStyle w:val="27"/>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5B899552">
      <w:pPr>
        <w:pStyle w:val="27"/>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66AC8D15">
      <w:pPr>
        <w:pStyle w:val="27"/>
        <w:spacing w:line="360" w:lineRule="auto"/>
        <w:ind w:left="25" w:leftChars="12" w:firstLine="354" w:firstLineChars="147"/>
        <w:rPr>
          <w:rFonts w:hint="eastAsia" w:hAnsi="宋体"/>
          <w:b/>
          <w:color w:val="auto"/>
          <w:highlight w:val="none"/>
        </w:rPr>
      </w:pPr>
      <w:r>
        <w:rPr>
          <w:rFonts w:hint="eastAsia" w:hAnsi="宋体"/>
          <w:b/>
          <w:color w:val="auto"/>
          <w:sz w:val="24"/>
          <w:szCs w:val="24"/>
          <w:highlight w:val="none"/>
        </w:rPr>
        <w:t>5.质疑投标人为法人或者其他组织的，质疑函应由法定代表人、主要负责人，或者其授权代表签字或者盖章，并加盖公章。</w:t>
      </w:r>
    </w:p>
    <w:p w14:paraId="456F7B52">
      <w:pPr>
        <w:pStyle w:val="27"/>
        <w:snapToGrid w:val="0"/>
        <w:rPr>
          <w:rFonts w:hint="eastAsia"/>
          <w:b/>
          <w:color w:val="auto"/>
          <w:sz w:val="24"/>
          <w:szCs w:val="24"/>
          <w:highlight w:val="none"/>
        </w:rPr>
      </w:pPr>
    </w:p>
    <w:p w14:paraId="14A02AF5">
      <w:pPr>
        <w:spacing w:line="360" w:lineRule="auto"/>
        <w:jc w:val="left"/>
        <w:rPr>
          <w:rFonts w:hint="eastAsia" w:ascii="宋体" w:hAnsi="宋体"/>
          <w:b/>
          <w:bCs/>
          <w:color w:val="auto"/>
          <w:sz w:val="32"/>
          <w:szCs w:val="32"/>
          <w:highlight w:val="none"/>
        </w:rPr>
      </w:pPr>
      <w:r>
        <w:rPr>
          <w:rFonts w:eastAsia="隶书"/>
          <w:color w:val="auto"/>
          <w:sz w:val="44"/>
          <w:highlight w:val="none"/>
        </w:rPr>
        <w:br w:type="page"/>
      </w:r>
      <w:r>
        <w:rPr>
          <w:rFonts w:hint="eastAsia" w:ascii="宋体" w:hAnsi="宋体" w:eastAsia="隶书"/>
          <w:b/>
          <w:color w:val="auto"/>
          <w:sz w:val="24"/>
          <w:highlight w:val="none"/>
          <w:lang w:val="en-US" w:eastAsia="zh-CN"/>
        </w:rPr>
        <w:t>6</w:t>
      </w:r>
      <w:r>
        <w:rPr>
          <w:rFonts w:hint="eastAsia" w:ascii="宋体" w:hAnsi="宋体"/>
          <w:b/>
          <w:color w:val="auto"/>
          <w:sz w:val="24"/>
          <w:highlight w:val="none"/>
        </w:rPr>
        <w:t>.投诉书格式</w:t>
      </w:r>
    </w:p>
    <w:p w14:paraId="709208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投诉书</w:t>
      </w:r>
    </w:p>
    <w:p w14:paraId="7CE89EEA">
      <w:pPr>
        <w:pStyle w:val="27"/>
        <w:snapToGrid w:val="0"/>
        <w:spacing w:line="440" w:lineRule="exact"/>
        <w:ind w:firstLine="482" w:firstLineChars="200"/>
        <w:rPr>
          <w:rFonts w:hint="eastAsia" w:hAnsi="宋体"/>
          <w:b/>
          <w:bCs/>
          <w:color w:val="auto"/>
          <w:sz w:val="24"/>
          <w:szCs w:val="24"/>
          <w:highlight w:val="none"/>
        </w:rPr>
      </w:pPr>
    </w:p>
    <w:p w14:paraId="14521EA8">
      <w:pPr>
        <w:pStyle w:val="27"/>
        <w:snapToGrid w:val="0"/>
        <w:spacing w:line="440" w:lineRule="exact"/>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22C29C97">
      <w:pPr>
        <w:pStyle w:val="27"/>
        <w:snapToGrid w:val="0"/>
        <w:spacing w:line="440" w:lineRule="exact"/>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投标人：</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F16D55A">
      <w:pPr>
        <w:pStyle w:val="27"/>
        <w:snapToGrid w:val="0"/>
        <w:spacing w:line="440" w:lineRule="exact"/>
        <w:ind w:firstLine="480" w:firstLineChars="200"/>
        <w:jc w:val="left"/>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8C7D60F">
      <w:pPr>
        <w:pStyle w:val="27"/>
        <w:snapToGrid w:val="0"/>
        <w:spacing w:line="440" w:lineRule="exact"/>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4E3A8CD9">
      <w:pPr>
        <w:pStyle w:val="27"/>
        <w:snapToGrid w:val="0"/>
        <w:spacing w:line="440" w:lineRule="exact"/>
        <w:ind w:firstLine="480" w:firstLineChars="200"/>
        <w:jc w:val="left"/>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23673B11">
      <w:pPr>
        <w:pStyle w:val="27"/>
        <w:snapToGrid w:val="0"/>
        <w:spacing w:line="440" w:lineRule="exact"/>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2B131814">
      <w:pPr>
        <w:pStyle w:val="27"/>
        <w:snapToGrid w:val="0"/>
        <w:spacing w:line="440" w:lineRule="exact"/>
        <w:ind w:firstLine="480" w:firstLineChars="20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23D8F769">
      <w:pPr>
        <w:pStyle w:val="27"/>
        <w:snapToGrid w:val="0"/>
        <w:spacing w:line="440" w:lineRule="exact"/>
        <w:ind w:firstLine="480" w:firstLineChars="20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58C059E">
      <w:pPr>
        <w:pStyle w:val="27"/>
        <w:snapToGrid w:val="0"/>
        <w:spacing w:line="440" w:lineRule="exact"/>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被投诉人1：</w:t>
      </w:r>
    </w:p>
    <w:p w14:paraId="47A1BE43">
      <w:pPr>
        <w:pStyle w:val="27"/>
        <w:snapToGrid w:val="0"/>
        <w:spacing w:line="440" w:lineRule="exact"/>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49952111">
      <w:pPr>
        <w:pStyle w:val="27"/>
        <w:snapToGrid w:val="0"/>
        <w:spacing w:line="440" w:lineRule="exact"/>
        <w:ind w:firstLine="480" w:firstLineChars="20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71A894D">
      <w:pPr>
        <w:pStyle w:val="27"/>
        <w:snapToGrid w:val="0"/>
        <w:spacing w:line="440" w:lineRule="exact"/>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7DA0F4BF">
      <w:pPr>
        <w:pStyle w:val="27"/>
        <w:snapToGrid w:val="0"/>
        <w:spacing w:line="440" w:lineRule="exact"/>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被投诉人2：</w:t>
      </w:r>
    </w:p>
    <w:p w14:paraId="5A2F2F46">
      <w:pPr>
        <w:pStyle w:val="27"/>
        <w:snapToGrid w:val="0"/>
        <w:spacing w:line="440" w:lineRule="exact"/>
        <w:ind w:firstLine="480" w:firstLineChars="200"/>
        <w:jc w:val="left"/>
        <w:rPr>
          <w:rFonts w:hint="eastAsia" w:hAnsi="宋体"/>
          <w:bCs/>
          <w:color w:val="auto"/>
          <w:sz w:val="24"/>
          <w:szCs w:val="24"/>
          <w:highlight w:val="none"/>
        </w:rPr>
      </w:pPr>
      <w:r>
        <w:rPr>
          <w:rFonts w:hAnsi="宋体"/>
          <w:bCs/>
          <w:color w:val="auto"/>
          <w:sz w:val="24"/>
          <w:szCs w:val="24"/>
          <w:highlight w:val="none"/>
        </w:rPr>
        <w:t>……</w:t>
      </w:r>
    </w:p>
    <w:p w14:paraId="0E0AFBD0">
      <w:pPr>
        <w:pStyle w:val="27"/>
        <w:snapToGrid w:val="0"/>
        <w:spacing w:line="440" w:lineRule="exact"/>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相关投标人：</w:t>
      </w:r>
      <w:r>
        <w:rPr>
          <w:rFonts w:hint="eastAsia" w:hAnsi="宋体"/>
          <w:bCs/>
          <w:color w:val="auto"/>
          <w:sz w:val="24"/>
          <w:szCs w:val="24"/>
          <w:highlight w:val="none"/>
          <w:u w:val="single"/>
        </w:rPr>
        <w:t xml:space="preserve">                                                                       </w:t>
      </w:r>
    </w:p>
    <w:p w14:paraId="1F0A5ECF">
      <w:pPr>
        <w:pStyle w:val="27"/>
        <w:snapToGrid w:val="0"/>
        <w:spacing w:line="440" w:lineRule="exact"/>
        <w:ind w:firstLine="480" w:firstLineChars="20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AEC8BF5">
      <w:pPr>
        <w:pStyle w:val="27"/>
        <w:snapToGrid w:val="0"/>
        <w:spacing w:line="440" w:lineRule="exact"/>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7148DDF">
      <w:pPr>
        <w:pStyle w:val="27"/>
        <w:snapToGrid w:val="0"/>
        <w:spacing w:line="440" w:lineRule="exact"/>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7948CFD8">
      <w:pPr>
        <w:pStyle w:val="27"/>
        <w:spacing w:line="440" w:lineRule="exact"/>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47F91F41">
      <w:pPr>
        <w:pStyle w:val="27"/>
        <w:spacing w:line="440" w:lineRule="exact"/>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21349A45">
      <w:pPr>
        <w:pStyle w:val="27"/>
        <w:spacing w:line="440" w:lineRule="exact"/>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02EF4EF3">
      <w:pPr>
        <w:pStyle w:val="27"/>
        <w:spacing w:line="440" w:lineRule="exact"/>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5F0BACC0">
      <w:pPr>
        <w:pStyle w:val="27"/>
        <w:spacing w:line="440" w:lineRule="exact"/>
        <w:ind w:left="25" w:leftChars="12" w:firstLine="472" w:firstLineChars="197"/>
        <w:rPr>
          <w:rFonts w:hint="eastAsia" w:hAnsi="宋体"/>
          <w:bCs/>
          <w:color w:val="auto"/>
          <w:sz w:val="24"/>
          <w:szCs w:val="24"/>
          <w:highlight w:val="none"/>
          <w:u w:val="single"/>
        </w:rPr>
      </w:pPr>
      <w:r>
        <w:rPr>
          <w:rFonts w:hint="eastAsia" w:hAnsi="宋体"/>
          <w:bCs/>
          <w:color w:val="auto"/>
          <w:sz w:val="24"/>
          <w:szCs w:val="24"/>
          <w:highlight w:val="none"/>
        </w:rPr>
        <w:t>招标文件公告：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787BFAB8">
      <w:pPr>
        <w:pStyle w:val="27"/>
        <w:spacing w:line="440" w:lineRule="exact"/>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72BFD417">
      <w:pPr>
        <w:pStyle w:val="27"/>
        <w:spacing w:line="440" w:lineRule="exact"/>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14:paraId="56D97C68">
      <w:pPr>
        <w:pStyle w:val="27"/>
        <w:spacing w:line="440" w:lineRule="exact"/>
        <w:ind w:left="25" w:leftChars="12" w:firstLine="480" w:firstLineChars="200"/>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3E17E74E">
      <w:pPr>
        <w:pStyle w:val="27"/>
        <w:spacing w:line="440" w:lineRule="exact"/>
        <w:ind w:firstLine="241"/>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7EF89699">
      <w:pPr>
        <w:pStyle w:val="27"/>
        <w:spacing w:line="440" w:lineRule="exact"/>
        <w:ind w:firstLine="241"/>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50BB01F6">
      <w:pPr>
        <w:pStyle w:val="27"/>
        <w:spacing w:line="440" w:lineRule="exact"/>
        <w:ind w:firstLine="480" w:firstLineChars="20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70999244">
      <w:pPr>
        <w:pStyle w:val="27"/>
        <w:spacing w:line="440" w:lineRule="exact"/>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14:paraId="644E2E52">
      <w:pPr>
        <w:pStyle w:val="27"/>
        <w:spacing w:line="440" w:lineRule="exact"/>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04982F0E">
      <w:pPr>
        <w:pStyle w:val="27"/>
        <w:spacing w:line="440" w:lineRule="exact"/>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5C15AD0F">
      <w:pPr>
        <w:pStyle w:val="27"/>
        <w:spacing w:line="440" w:lineRule="exact"/>
        <w:ind w:left="25" w:leftChars="12" w:firstLine="472" w:firstLineChars="197"/>
        <w:rPr>
          <w:rFonts w:hint="eastAsia" w:hAnsi="宋体"/>
          <w:color w:val="auto"/>
          <w:sz w:val="24"/>
          <w:szCs w:val="24"/>
          <w:highlight w:val="none"/>
        </w:rPr>
      </w:pPr>
      <w:r>
        <w:rPr>
          <w:rFonts w:hint="eastAsia" w:hAnsi="宋体"/>
          <w:bCs/>
          <w:color w:val="auto"/>
          <w:sz w:val="24"/>
          <w:szCs w:val="24"/>
          <w:highlight w:val="none"/>
          <w:u w:val="single"/>
        </w:rPr>
        <w:t xml:space="preserve">                                                                                        </w:t>
      </w:r>
    </w:p>
    <w:p w14:paraId="4EA8BCD2">
      <w:pPr>
        <w:pStyle w:val="27"/>
        <w:spacing w:line="440" w:lineRule="exact"/>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1FCFAD88">
      <w:pPr>
        <w:pStyle w:val="27"/>
        <w:spacing w:line="440" w:lineRule="exact"/>
        <w:ind w:left="25" w:leftChars="12" w:firstLine="352" w:firstLineChars="147"/>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2B7C841E">
      <w:pPr>
        <w:pStyle w:val="27"/>
        <w:spacing w:line="440" w:lineRule="exact"/>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32349383">
      <w:pPr>
        <w:pStyle w:val="27"/>
        <w:spacing w:line="440" w:lineRule="exact"/>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197BFA74">
      <w:pPr>
        <w:pStyle w:val="27"/>
        <w:spacing w:line="440" w:lineRule="exact"/>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2A9209E6">
      <w:pPr>
        <w:pStyle w:val="27"/>
        <w:spacing w:line="440" w:lineRule="exact"/>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6A033E68">
      <w:pPr>
        <w:pStyle w:val="27"/>
        <w:spacing w:line="440" w:lineRule="exact"/>
        <w:ind w:left="25" w:leftChars="12" w:firstLine="352" w:firstLineChars="147"/>
        <w:rPr>
          <w:rFonts w:hint="eastAsia" w:hAnsi="宋体"/>
          <w:color w:val="auto"/>
          <w:sz w:val="24"/>
          <w:szCs w:val="24"/>
          <w:highlight w:val="none"/>
        </w:rPr>
      </w:pPr>
    </w:p>
    <w:p w14:paraId="79DB7F26">
      <w:pPr>
        <w:pStyle w:val="27"/>
        <w:spacing w:line="440" w:lineRule="exact"/>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76F05818">
      <w:pPr>
        <w:pStyle w:val="27"/>
        <w:spacing w:line="440" w:lineRule="exact"/>
        <w:ind w:left="25" w:leftChars="12" w:firstLine="352" w:firstLineChars="147"/>
        <w:rPr>
          <w:rFonts w:hint="eastAsia" w:hAnsi="宋体"/>
          <w:color w:val="auto"/>
          <w:sz w:val="24"/>
          <w:szCs w:val="24"/>
          <w:highlight w:val="none"/>
        </w:rPr>
      </w:pPr>
    </w:p>
    <w:p w14:paraId="7C481BAD">
      <w:pPr>
        <w:pStyle w:val="27"/>
        <w:spacing w:line="440" w:lineRule="exact"/>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4B2385CD">
      <w:pPr>
        <w:pStyle w:val="27"/>
        <w:spacing w:line="440" w:lineRule="exact"/>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 xml:space="preserve">                                                                              </w:t>
      </w:r>
    </w:p>
    <w:p w14:paraId="3E857935">
      <w:pPr>
        <w:pStyle w:val="27"/>
        <w:snapToGrid w:val="0"/>
        <w:spacing w:line="440" w:lineRule="exact"/>
        <w:rPr>
          <w:rFonts w:hint="eastAsia" w:hAnsi="宋体"/>
          <w:b/>
          <w:color w:val="auto"/>
          <w:sz w:val="24"/>
          <w:szCs w:val="24"/>
          <w:highlight w:val="none"/>
        </w:rPr>
      </w:pPr>
      <w:r>
        <w:rPr>
          <w:rFonts w:hint="eastAsia" w:hAnsi="宋体"/>
          <w:b/>
          <w:color w:val="auto"/>
          <w:sz w:val="24"/>
          <w:szCs w:val="24"/>
          <w:highlight w:val="none"/>
        </w:rPr>
        <w:t>说明：</w:t>
      </w:r>
    </w:p>
    <w:p w14:paraId="61F04A56">
      <w:pPr>
        <w:pStyle w:val="27"/>
        <w:spacing w:line="440" w:lineRule="exact"/>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1.投诉人提起投诉时，应当提交投诉书和必要的证明材料，并按照被投诉人和与投诉事项有关的投标人数量提供投诉书副本</w:t>
      </w:r>
      <w:r>
        <w:rPr>
          <w:rFonts w:hint="eastAsia" w:hAnsi="宋体"/>
          <w:b/>
          <w:bCs/>
          <w:color w:val="auto"/>
          <w:sz w:val="24"/>
          <w:szCs w:val="24"/>
          <w:highlight w:val="none"/>
        </w:rPr>
        <w:t>。</w:t>
      </w:r>
    </w:p>
    <w:p w14:paraId="68E72CC9">
      <w:pPr>
        <w:pStyle w:val="27"/>
        <w:spacing w:line="440" w:lineRule="exact"/>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3982DB0">
      <w:pPr>
        <w:pStyle w:val="27"/>
        <w:spacing w:line="440" w:lineRule="exact"/>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17C7739C">
      <w:pPr>
        <w:pStyle w:val="27"/>
        <w:spacing w:line="440" w:lineRule="exact"/>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030715FC">
      <w:pPr>
        <w:pStyle w:val="27"/>
        <w:spacing w:line="440" w:lineRule="exact"/>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2732893B">
      <w:pPr>
        <w:pStyle w:val="27"/>
        <w:spacing w:line="440" w:lineRule="exact"/>
        <w:ind w:left="25" w:leftChars="12" w:firstLine="354" w:firstLineChars="147"/>
        <w:rPr>
          <w:rFonts w:hint="eastAsia"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sectPr>
      <w:footerReference r:id="rId12" w:type="first"/>
      <w:headerReference r:id="rId9" w:type="default"/>
      <w:footerReference r:id="rId10" w:type="default"/>
      <w:footerReference r:id="rId11" w:type="even"/>
      <w:pgSz w:w="11906" w:h="16838"/>
      <w:pgMar w:top="1440" w:right="1797" w:bottom="1440" w:left="179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8A6FA32-926C-48EC-A45E-8DE55B083374}"/>
  </w:font>
  <w:font w:name="黑体">
    <w:panose1 w:val="02010609060101010101"/>
    <w:charset w:val="86"/>
    <w:family w:val="auto"/>
    <w:pitch w:val="default"/>
    <w:sig w:usb0="800002BF" w:usb1="38CF7CFA" w:usb2="00000016" w:usb3="00000000" w:csb0="00040001" w:csb1="00000000"/>
    <w:embedRegular r:id="rId2" w:fontKey="{8A95DFEB-E843-4D75-9923-9E4D40A818E3}"/>
  </w:font>
  <w:font w:name="Courier New">
    <w:panose1 w:val="02070309020205020404"/>
    <w:charset w:val="01"/>
    <w:family w:val="modern"/>
    <w:pitch w:val="default"/>
    <w:sig w:usb0="E0002EFF" w:usb1="C0007843" w:usb2="00000009" w:usb3="00000000" w:csb0="400001FF" w:csb1="FFFF0000"/>
    <w:embedRegular r:id="rId3" w:fontKey="{7E3120A5-8AD1-463B-BCA1-924AEA42C819}"/>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4" w:fontKey="{6361D887-4C9D-4498-84E9-29C0687180B9}"/>
  </w:font>
  <w:font w:name="仿宋">
    <w:panose1 w:val="02010609060101010101"/>
    <w:charset w:val="86"/>
    <w:family w:val="modern"/>
    <w:pitch w:val="default"/>
    <w:sig w:usb0="800002BF" w:usb1="38CF7CFA" w:usb2="00000016" w:usb3="00000000" w:csb0="00040001" w:csb1="00000000"/>
    <w:embedRegular r:id="rId5" w:fontKey="{3C7749B6-EEF9-4EE3-9AB4-8582717CA6E6}"/>
  </w:font>
  <w:font w:name="_x000B__x000C_">
    <w:altName w:val="yyb"/>
    <w:panose1 w:val="00000000000000000000"/>
    <w:charset w:val="00"/>
    <w:family w:val="roman"/>
    <w:pitch w:val="default"/>
    <w:sig w:usb0="00000000" w:usb1="00000000" w:usb2="00000000" w:usb3="00000000" w:csb0="00040001" w:csb1="00000000"/>
  </w:font>
  <w:font w:name="yyb">
    <w:panose1 w:val="020B0200000000000000"/>
    <w:charset w:val="86"/>
    <w:family w:val="auto"/>
    <w:pitch w:val="default"/>
    <w:sig w:usb0="20000083" w:usb1="10000000" w:usb2="00000016" w:usb3="00000000" w:csb0="60060107" w:csb1="00000000"/>
  </w:font>
  <w:font w:name="Tahoma">
    <w:panose1 w:val="020B0604030504040204"/>
    <w:charset w:val="00"/>
    <w:family w:val="swiss"/>
    <w:pitch w:val="default"/>
    <w:sig w:usb0="E1002EFF" w:usb1="C000605B" w:usb2="00000029" w:usb3="00000000" w:csb0="200101FF" w:csb1="20280000"/>
  </w:font>
  <w:font w:name="Century">
    <w:altName w:val="Times New Roman"/>
    <w:panose1 w:val="02040604050505020304"/>
    <w:charset w:val="00"/>
    <w:family w:val="roman"/>
    <w:pitch w:val="default"/>
    <w:sig w:usb0="00000000" w:usb1="00000000" w:usb2="00000000" w:usb3="00000000" w:csb0="2000009F" w:csb1="DFD70000"/>
  </w:font>
  <w:font w:name="Arial Unicode MS">
    <w:panose1 w:val="020B0604020202020204"/>
    <w:charset w:val="86"/>
    <w:family w:val="roman"/>
    <w:pitch w:val="default"/>
    <w:sig w:usb0="FFFFFFFF" w:usb1="E9FFFFFF" w:usb2="0000003F" w:usb3="00000000" w:csb0="603F01FF" w:csb1="FFFF0000"/>
    <w:embedRegular r:id="rId6" w:fontKey="{D18A3252-3451-42BD-B111-4CB701F6FF40}"/>
  </w:font>
  <w:font w:name="华文中宋">
    <w:panose1 w:val="02010600040101010101"/>
    <w:charset w:val="86"/>
    <w:family w:val="auto"/>
    <w:pitch w:val="default"/>
    <w:sig w:usb0="00000287" w:usb1="080F0000" w:usb2="00000000" w:usb3="00000000" w:csb0="0004009F" w:csb1="DFD70000"/>
    <w:embedRegular r:id="rId7" w:fontKey="{E2B9CC34-6DAE-44C7-B5D6-0A690F463D65}"/>
  </w:font>
  <w:font w:name="微软雅黑">
    <w:panose1 w:val="020B0503020204020204"/>
    <w:charset w:val="86"/>
    <w:family w:val="auto"/>
    <w:pitch w:val="default"/>
    <w:sig w:usb0="80000287" w:usb1="2ACF3C50" w:usb2="00000016" w:usb3="00000000" w:csb0="0004001F" w:csb1="00000000"/>
    <w:embedRegular r:id="rId8" w:fontKey="{323E4F54-D8C2-403E-86E6-2CF532EBE114}"/>
  </w:font>
  <w:font w:name="隶书">
    <w:panose1 w:val="02010509060101010101"/>
    <w:charset w:val="86"/>
    <w:family w:val="modern"/>
    <w:pitch w:val="default"/>
    <w:sig w:usb0="00000001" w:usb1="080E0000" w:usb2="00000000" w:usb3="00000000" w:csb0="00040000" w:csb1="00000000"/>
    <w:embedRegular r:id="rId9" w:fontKey="{8E2E6660-9FA4-425A-8B3D-10291638508D}"/>
  </w:font>
  <w:font w:name="WPSEMBED1">
    <w:panose1 w:val="020B0604020202020204"/>
    <w:charset w:val="86"/>
    <w:family w:val="auto"/>
    <w:pitch w:val="default"/>
    <w:sig w:usb0="FFFFFFFF" w:usb1="E9FFFFFF" w:usb2="0000003F" w:usb3="00000000" w:csb0="603F01FF" w:csb1="FFFF0000"/>
  </w:font>
  <w:font w:name="WPSEMBED2">
    <w:panose1 w:val="02010600040101010101"/>
    <w:charset w:val="86"/>
    <w:family w:val="auto"/>
    <w:pitch w:val="default"/>
    <w:sig w:usb0="00000287" w:usb1="080F0000" w:usb2="00000000" w:usb3="00000000" w:csb0="0004009F" w:csb1="DFD70000"/>
  </w:font>
  <w:font w:name="WPSEMBED3">
    <w:panose1 w:val="02010509060101010101"/>
    <w:charset w:val="86"/>
    <w:family w:val="auto"/>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3E3FD">
    <w:pPr>
      <w:pStyle w:val="33"/>
      <w:framePr w:wrap="around" w:vAnchor="text" w:hAnchor="margin" w:xAlign="center" w:y="1"/>
      <w:rPr>
        <w:rStyle w:val="54"/>
      </w:rPr>
    </w:pPr>
    <w:r>
      <w:fldChar w:fldCharType="begin"/>
    </w:r>
    <w:r>
      <w:rPr>
        <w:rStyle w:val="54"/>
      </w:rPr>
      <w:instrText xml:space="preserve">PAGE  </w:instrText>
    </w:r>
    <w:r>
      <w:fldChar w:fldCharType="end"/>
    </w:r>
  </w:p>
  <w:p w14:paraId="6FA403C3">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16354">
    <w:pPr>
      <w:pStyle w:val="33"/>
      <w:ind w:right="360"/>
      <w:jc w:val="both"/>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65FF3">
    <w:pPr>
      <w:pStyle w:val="3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78593">
    <w:pPr>
      <w:pStyle w:val="33"/>
      <w:jc w:val="center"/>
    </w:pPr>
    <w:r>
      <w:fldChar w:fldCharType="begin"/>
    </w:r>
    <w:r>
      <w:instrText xml:space="preserve">PAGE   \* MERGEFORMAT</w:instrText>
    </w:r>
    <w:r>
      <w:fldChar w:fldCharType="separate"/>
    </w:r>
    <w:r>
      <w:rPr>
        <w:lang w:val="zh-CN"/>
      </w:rPr>
      <w:t>1</w:t>
    </w:r>
    <w:r>
      <w:fldChar w:fldCharType="end"/>
    </w:r>
  </w:p>
  <w:p w14:paraId="185DBD57">
    <w:pPr>
      <w:pStyle w:val="33"/>
      <w:ind w:right="360"/>
      <w:jc w:val="both"/>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B4C27">
    <w:pPr>
      <w:pStyle w:val="3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6C244B">
                          <w:pPr>
                            <w:pStyle w:val="3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bl0d0BAAC+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r7izAlLA7/8+H75+fvy6xtb&#10;Jnn6ECvKuguUh8NrP9DSzP5IzsR6aMGmP/FhFCdxz1dx1YBMpkvr1XpdUkhSbD4QfnF/PUDEt8pb&#10;loyaA00viypO7yOOqXNKqub8rTYmT9C4vxyEmTxF6n3sMVk47IeJ0N43Z+JDz4DqdB6+ctbTEtTc&#10;0c5zZt450jjty2zAbOxnQzhJF2uOnI3mGxz36hhAH7q8aampGF4dkTrNBFIbY+2pOxprlmBawbQ3&#10;D8856/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m5dHdAQAAvgMAAA4AAAAAAAAA&#10;AQAgAAAAHgEAAGRycy9lMm9Eb2MueG1sUEsFBgAAAAAGAAYAWQEAAG0FAAAAAA==&#10;">
              <v:fill on="f" focussize="0,0"/>
              <v:stroke on="f"/>
              <v:imagedata o:title=""/>
              <o:lock v:ext="edit" aspectratio="f"/>
              <v:textbox inset="0mm,0mm,0mm,0mm" style="mso-fit-shape-to-text:t;">
                <w:txbxContent>
                  <w:p w14:paraId="226C244B">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03584">
    <w:pPr>
      <w:pStyle w:val="3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4A730A">
                          <w:pPr>
                            <w:pStyle w:val="33"/>
                          </w:pPr>
                          <w:r>
                            <w:fldChar w:fldCharType="begin"/>
                          </w:r>
                          <w:r>
                            <w:instrText xml:space="preserve"> PAGE  \* MERGEFORMAT </w:instrText>
                          </w:r>
                          <w:r>
                            <w:fldChar w:fldCharType="separate"/>
                          </w:r>
                          <w:r>
                            <w:t>124</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tF9+N4BAAC+AwAADgAAAGRycy9lMm9Eb2MueG1srVPBjtMwEL0j8Q+W&#10;7zTZroS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pfc+aEpYGfv387//h1/vmV&#10;LZ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e0X343gEAAL4DAAAOAAAAAAAA&#10;AAEAIAAAAB4BAABkcnMvZTJvRG9jLnhtbFBLBQYAAAAABgAGAFkBAABuBQAAAAA=&#10;">
              <v:fill on="f" focussize="0,0"/>
              <v:stroke on="f"/>
              <v:imagedata o:title=""/>
              <o:lock v:ext="edit" aspectratio="f"/>
              <v:textbox inset="0mm,0mm,0mm,0mm" style="mso-fit-shape-to-text:t;">
                <w:txbxContent>
                  <w:p w14:paraId="674A730A">
                    <w:pPr>
                      <w:pStyle w:val="33"/>
                    </w:pPr>
                    <w:r>
                      <w:fldChar w:fldCharType="begin"/>
                    </w:r>
                    <w:r>
                      <w:instrText xml:space="preserve"> PAGE  \* MERGEFORMAT </w:instrText>
                    </w:r>
                    <w:r>
                      <w:fldChar w:fldCharType="separate"/>
                    </w:r>
                    <w:r>
                      <w:t>124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C8E04">
    <w:pPr>
      <w:pStyle w:val="33"/>
      <w:framePr w:wrap="around" w:vAnchor="text" w:hAnchor="margin" w:xAlign="center" w:y="1"/>
      <w:rPr>
        <w:rStyle w:val="54"/>
      </w:rPr>
    </w:pPr>
    <w:r>
      <w:fldChar w:fldCharType="begin"/>
    </w:r>
    <w:r>
      <w:rPr>
        <w:rStyle w:val="54"/>
      </w:rPr>
      <w:instrText xml:space="preserve">PAGE  </w:instrText>
    </w:r>
    <w:r>
      <w:fldChar w:fldCharType="end"/>
    </w:r>
  </w:p>
  <w:p w14:paraId="2EDA82F1">
    <w:pPr>
      <w:pStyle w:val="3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C550F">
    <w:pPr>
      <w:pStyle w:val="33"/>
      <w:ind w:right="360"/>
      <w:jc w:val="both"/>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E9D77">
    <w:pPr>
      <w:pStyle w:val="3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8FD41">
    <w:pPr>
      <w:pStyle w:val="3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074D4A"/>
    <w:multiLevelType w:val="singleLevel"/>
    <w:tmpl w:val="BB074D4A"/>
    <w:lvl w:ilvl="0" w:tentative="0">
      <w:start w:val="1"/>
      <w:numFmt w:val="decimal"/>
      <w:pStyle w:val="139"/>
      <w:suff w:val="space"/>
      <w:lvlText w:val="(%1)"/>
      <w:lvlJc w:val="left"/>
      <w:pPr>
        <w:tabs>
          <w:tab w:val="left" w:pos="0"/>
        </w:tabs>
        <w:ind w:left="0" w:firstLine="0"/>
      </w:pPr>
      <w:rPr>
        <w:rFonts w:hint="default"/>
      </w:rPr>
    </w:lvl>
  </w:abstractNum>
  <w:abstractNum w:abstractNumId="1">
    <w:nsid w:val="FFFFFF7E"/>
    <w:multiLevelType w:val="singleLevel"/>
    <w:tmpl w:val="FFFFFF7E"/>
    <w:lvl w:ilvl="0" w:tentative="0">
      <w:start w:val="1"/>
      <w:numFmt w:val="decimal"/>
      <w:pStyle w:val="23"/>
      <w:lvlText w:val="%1."/>
      <w:lvlJc w:val="left"/>
      <w:pPr>
        <w:tabs>
          <w:tab w:val="left" w:pos="1200"/>
        </w:tabs>
        <w:ind w:left="1200" w:hanging="360"/>
      </w:pPr>
    </w:lvl>
  </w:abstractNum>
  <w:abstractNum w:abstractNumId="2">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3">
    <w:nsid w:val="4C601917"/>
    <w:multiLevelType w:val="singleLevel"/>
    <w:tmpl w:val="4C601917"/>
    <w:lvl w:ilvl="0" w:tentative="0">
      <w:start w:val="1"/>
      <w:numFmt w:val="decimal"/>
      <w:suff w:val="nothing"/>
      <w:lvlText w:val="（%1）"/>
      <w:lvlJc w:val="left"/>
      <w:pPr>
        <w:ind w:left="-2"/>
      </w:pPr>
    </w:lvl>
  </w:abstractNum>
  <w:abstractNum w:abstractNumId="4">
    <w:nsid w:val="5FABD14B"/>
    <w:multiLevelType w:val="singleLevel"/>
    <w:tmpl w:val="5FABD14B"/>
    <w:lvl w:ilvl="0" w:tentative="0">
      <w:start w:val="1"/>
      <w:numFmt w:val="decimal"/>
      <w:suff w:val="nothing"/>
      <w:lvlText w:val="（%1）"/>
      <w:lvlJc w:val="left"/>
    </w:lvl>
  </w:abstractNum>
  <w:abstractNum w:abstractNumId="5">
    <w:nsid w:val="753B5ADB"/>
    <w:multiLevelType w:val="singleLevel"/>
    <w:tmpl w:val="753B5ADB"/>
    <w:lvl w:ilvl="0" w:tentative="0">
      <w:start w:val="14"/>
      <w:numFmt w:val="chineseCounting"/>
      <w:suff w:val="nothing"/>
      <w:lvlText w:val="第%1条　"/>
      <w:lvlJc w:val="left"/>
      <w:rPr>
        <w:rFonts w:hint="eastAsia"/>
        <w:b/>
        <w:bCs/>
      </w:rPr>
    </w:lvl>
  </w:abstractNum>
  <w:abstractNum w:abstractNumId="6">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7">
    <w:nsid w:val="7815CFAB"/>
    <w:multiLevelType w:val="singleLevel"/>
    <w:tmpl w:val="7815CFAB"/>
    <w:lvl w:ilvl="0" w:tentative="0">
      <w:start w:val="1"/>
      <w:numFmt w:val="decimal"/>
      <w:pStyle w:val="138"/>
      <w:suff w:val="space"/>
      <w:lvlText w:val="%1."/>
      <w:lvlJc w:val="left"/>
      <w:pPr>
        <w:tabs>
          <w:tab w:val="left" w:pos="0"/>
        </w:tabs>
        <w:ind w:left="0" w:firstLine="0"/>
      </w:pPr>
      <w:rPr>
        <w:rFonts w:hint="default"/>
        <w:b w:val="0"/>
        <w:bCs w:val="0"/>
      </w:rPr>
    </w:lvl>
  </w:abstractNum>
  <w:num w:numId="1">
    <w:abstractNumId w:val="2"/>
  </w:num>
  <w:num w:numId="2">
    <w:abstractNumId w:val="1"/>
  </w:num>
  <w:num w:numId="3">
    <w:abstractNumId w:val="7"/>
  </w:num>
  <w:num w:numId="4">
    <w:abstractNumId w:val="0"/>
  </w:num>
  <w:num w:numId="5">
    <w:abstractNumId w:val="3"/>
  </w:num>
  <w:num w:numId="6">
    <w:abstractNumId w:val="4"/>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TrueTypeFonts/>
  <w:saveSubsetFonts/>
  <w:bordersDoNotSurroundHeader w:val="0"/>
  <w:bordersDoNotSurroundFooter w:val="0"/>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xNWU1N2QxY2UxZWI4YzNlODg4ODFmNzk0YTgzMDQifQ=="/>
  </w:docVars>
  <w:rsids>
    <w:rsidRoot w:val="00F9008B"/>
    <w:rsid w:val="0000010C"/>
    <w:rsid w:val="000004FE"/>
    <w:rsid w:val="00000FE0"/>
    <w:rsid w:val="00001068"/>
    <w:rsid w:val="0000114A"/>
    <w:rsid w:val="00001731"/>
    <w:rsid w:val="00001C2D"/>
    <w:rsid w:val="00001C55"/>
    <w:rsid w:val="00001CA8"/>
    <w:rsid w:val="00001F20"/>
    <w:rsid w:val="00001FAE"/>
    <w:rsid w:val="00002291"/>
    <w:rsid w:val="00002DBF"/>
    <w:rsid w:val="00002EC0"/>
    <w:rsid w:val="00003224"/>
    <w:rsid w:val="000033B9"/>
    <w:rsid w:val="000033F5"/>
    <w:rsid w:val="0000358C"/>
    <w:rsid w:val="0000361D"/>
    <w:rsid w:val="00003BEF"/>
    <w:rsid w:val="00004130"/>
    <w:rsid w:val="0000431F"/>
    <w:rsid w:val="00004634"/>
    <w:rsid w:val="00004D8B"/>
    <w:rsid w:val="000059E2"/>
    <w:rsid w:val="00005FAD"/>
    <w:rsid w:val="000061EA"/>
    <w:rsid w:val="00006AE7"/>
    <w:rsid w:val="00006B9B"/>
    <w:rsid w:val="00006BCA"/>
    <w:rsid w:val="00006C35"/>
    <w:rsid w:val="000072B1"/>
    <w:rsid w:val="00007329"/>
    <w:rsid w:val="00007E28"/>
    <w:rsid w:val="00007E84"/>
    <w:rsid w:val="00007F72"/>
    <w:rsid w:val="00010401"/>
    <w:rsid w:val="000105A1"/>
    <w:rsid w:val="000107AD"/>
    <w:rsid w:val="00010835"/>
    <w:rsid w:val="000117D5"/>
    <w:rsid w:val="00011842"/>
    <w:rsid w:val="00012137"/>
    <w:rsid w:val="000121FF"/>
    <w:rsid w:val="00012456"/>
    <w:rsid w:val="000125B8"/>
    <w:rsid w:val="00012692"/>
    <w:rsid w:val="00012705"/>
    <w:rsid w:val="00013446"/>
    <w:rsid w:val="00013509"/>
    <w:rsid w:val="000135BC"/>
    <w:rsid w:val="000135DC"/>
    <w:rsid w:val="000136D6"/>
    <w:rsid w:val="00014085"/>
    <w:rsid w:val="00014C49"/>
    <w:rsid w:val="00014D89"/>
    <w:rsid w:val="00014DD9"/>
    <w:rsid w:val="00014EE0"/>
    <w:rsid w:val="000151E4"/>
    <w:rsid w:val="00015577"/>
    <w:rsid w:val="000156E4"/>
    <w:rsid w:val="000159A7"/>
    <w:rsid w:val="00015FB8"/>
    <w:rsid w:val="0001609F"/>
    <w:rsid w:val="0001635B"/>
    <w:rsid w:val="00016549"/>
    <w:rsid w:val="00016814"/>
    <w:rsid w:val="00016BF7"/>
    <w:rsid w:val="0001720C"/>
    <w:rsid w:val="0001767E"/>
    <w:rsid w:val="0001776D"/>
    <w:rsid w:val="00017F31"/>
    <w:rsid w:val="00020607"/>
    <w:rsid w:val="0002103A"/>
    <w:rsid w:val="000213C4"/>
    <w:rsid w:val="00021715"/>
    <w:rsid w:val="000217E4"/>
    <w:rsid w:val="00021852"/>
    <w:rsid w:val="00021A12"/>
    <w:rsid w:val="000223BF"/>
    <w:rsid w:val="00022622"/>
    <w:rsid w:val="00023363"/>
    <w:rsid w:val="000235F3"/>
    <w:rsid w:val="00023644"/>
    <w:rsid w:val="00023712"/>
    <w:rsid w:val="00024E3C"/>
    <w:rsid w:val="00024EB0"/>
    <w:rsid w:val="00025604"/>
    <w:rsid w:val="00025DAF"/>
    <w:rsid w:val="0002646A"/>
    <w:rsid w:val="0002651D"/>
    <w:rsid w:val="00026CFD"/>
    <w:rsid w:val="00027C8B"/>
    <w:rsid w:val="00027CD9"/>
    <w:rsid w:val="00030242"/>
    <w:rsid w:val="00030B06"/>
    <w:rsid w:val="0003183A"/>
    <w:rsid w:val="00031CDC"/>
    <w:rsid w:val="00032461"/>
    <w:rsid w:val="0003263B"/>
    <w:rsid w:val="0003282C"/>
    <w:rsid w:val="00032F6D"/>
    <w:rsid w:val="0003304A"/>
    <w:rsid w:val="0003317E"/>
    <w:rsid w:val="00033413"/>
    <w:rsid w:val="000335D5"/>
    <w:rsid w:val="000337F3"/>
    <w:rsid w:val="00033DDB"/>
    <w:rsid w:val="00034B24"/>
    <w:rsid w:val="00034C27"/>
    <w:rsid w:val="00034E2A"/>
    <w:rsid w:val="0003577F"/>
    <w:rsid w:val="00035B29"/>
    <w:rsid w:val="00036140"/>
    <w:rsid w:val="00036466"/>
    <w:rsid w:val="0003675E"/>
    <w:rsid w:val="00037F87"/>
    <w:rsid w:val="00037FA2"/>
    <w:rsid w:val="000400D0"/>
    <w:rsid w:val="00040343"/>
    <w:rsid w:val="000424B8"/>
    <w:rsid w:val="000425AC"/>
    <w:rsid w:val="000427B8"/>
    <w:rsid w:val="00042D07"/>
    <w:rsid w:val="00042F4A"/>
    <w:rsid w:val="00043AC8"/>
    <w:rsid w:val="00043BE5"/>
    <w:rsid w:val="00043C80"/>
    <w:rsid w:val="00044003"/>
    <w:rsid w:val="00044527"/>
    <w:rsid w:val="000447E8"/>
    <w:rsid w:val="00044897"/>
    <w:rsid w:val="00044ACF"/>
    <w:rsid w:val="000454F4"/>
    <w:rsid w:val="00045D1E"/>
    <w:rsid w:val="00045E69"/>
    <w:rsid w:val="00045E97"/>
    <w:rsid w:val="00045EF4"/>
    <w:rsid w:val="00046547"/>
    <w:rsid w:val="000466D7"/>
    <w:rsid w:val="00046753"/>
    <w:rsid w:val="00047254"/>
    <w:rsid w:val="00047E41"/>
    <w:rsid w:val="0005022B"/>
    <w:rsid w:val="00050450"/>
    <w:rsid w:val="00050771"/>
    <w:rsid w:val="000509BA"/>
    <w:rsid w:val="000513F3"/>
    <w:rsid w:val="00052287"/>
    <w:rsid w:val="000522E0"/>
    <w:rsid w:val="000532F4"/>
    <w:rsid w:val="000535A9"/>
    <w:rsid w:val="000536AE"/>
    <w:rsid w:val="00054C2F"/>
    <w:rsid w:val="00054CD5"/>
    <w:rsid w:val="00054D03"/>
    <w:rsid w:val="000550AC"/>
    <w:rsid w:val="0005584D"/>
    <w:rsid w:val="00055CC3"/>
    <w:rsid w:val="00055CEE"/>
    <w:rsid w:val="00055FB7"/>
    <w:rsid w:val="000566FA"/>
    <w:rsid w:val="00056A2B"/>
    <w:rsid w:val="00056DA8"/>
    <w:rsid w:val="00056E37"/>
    <w:rsid w:val="00056EE2"/>
    <w:rsid w:val="00056FE2"/>
    <w:rsid w:val="000570FB"/>
    <w:rsid w:val="000575B8"/>
    <w:rsid w:val="00057F73"/>
    <w:rsid w:val="00060131"/>
    <w:rsid w:val="0006026B"/>
    <w:rsid w:val="00060293"/>
    <w:rsid w:val="00061341"/>
    <w:rsid w:val="00061AA1"/>
    <w:rsid w:val="00061BD3"/>
    <w:rsid w:val="00061BDA"/>
    <w:rsid w:val="000621FE"/>
    <w:rsid w:val="00062B90"/>
    <w:rsid w:val="00062C70"/>
    <w:rsid w:val="00062DD0"/>
    <w:rsid w:val="00062E6F"/>
    <w:rsid w:val="000630C7"/>
    <w:rsid w:val="0006361C"/>
    <w:rsid w:val="0006400F"/>
    <w:rsid w:val="000645DD"/>
    <w:rsid w:val="00064D7E"/>
    <w:rsid w:val="00064F65"/>
    <w:rsid w:val="00064FD0"/>
    <w:rsid w:val="0006534A"/>
    <w:rsid w:val="00065A5D"/>
    <w:rsid w:val="00065BA2"/>
    <w:rsid w:val="000661CA"/>
    <w:rsid w:val="0006668D"/>
    <w:rsid w:val="00066896"/>
    <w:rsid w:val="00067002"/>
    <w:rsid w:val="00067993"/>
    <w:rsid w:val="00067B1C"/>
    <w:rsid w:val="00067CED"/>
    <w:rsid w:val="00067F66"/>
    <w:rsid w:val="0007041A"/>
    <w:rsid w:val="00070634"/>
    <w:rsid w:val="00070883"/>
    <w:rsid w:val="00070C3F"/>
    <w:rsid w:val="0007102C"/>
    <w:rsid w:val="00071D68"/>
    <w:rsid w:val="00071FCE"/>
    <w:rsid w:val="00072661"/>
    <w:rsid w:val="00072CCC"/>
    <w:rsid w:val="0007315D"/>
    <w:rsid w:val="00073549"/>
    <w:rsid w:val="0007483E"/>
    <w:rsid w:val="000751DB"/>
    <w:rsid w:val="0007542D"/>
    <w:rsid w:val="00075430"/>
    <w:rsid w:val="0007578F"/>
    <w:rsid w:val="00075E43"/>
    <w:rsid w:val="0007616D"/>
    <w:rsid w:val="00077706"/>
    <w:rsid w:val="00077878"/>
    <w:rsid w:val="000804EF"/>
    <w:rsid w:val="00080558"/>
    <w:rsid w:val="00080D9F"/>
    <w:rsid w:val="00081230"/>
    <w:rsid w:val="000814E2"/>
    <w:rsid w:val="000818C9"/>
    <w:rsid w:val="00081CBB"/>
    <w:rsid w:val="00081D42"/>
    <w:rsid w:val="000822EF"/>
    <w:rsid w:val="0008241E"/>
    <w:rsid w:val="000826F5"/>
    <w:rsid w:val="000829B1"/>
    <w:rsid w:val="00082AAB"/>
    <w:rsid w:val="0008307D"/>
    <w:rsid w:val="000831E9"/>
    <w:rsid w:val="000833BB"/>
    <w:rsid w:val="0008452D"/>
    <w:rsid w:val="0008467B"/>
    <w:rsid w:val="000850FA"/>
    <w:rsid w:val="000857A6"/>
    <w:rsid w:val="00085C12"/>
    <w:rsid w:val="00085CE5"/>
    <w:rsid w:val="00085DA0"/>
    <w:rsid w:val="00085F82"/>
    <w:rsid w:val="00086506"/>
    <w:rsid w:val="00086B6E"/>
    <w:rsid w:val="00086C2F"/>
    <w:rsid w:val="00086C64"/>
    <w:rsid w:val="000874BB"/>
    <w:rsid w:val="0008781A"/>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9"/>
    <w:rsid w:val="00096F37"/>
    <w:rsid w:val="00097FE5"/>
    <w:rsid w:val="000A0354"/>
    <w:rsid w:val="000A091F"/>
    <w:rsid w:val="000A0958"/>
    <w:rsid w:val="000A0FCC"/>
    <w:rsid w:val="000A1033"/>
    <w:rsid w:val="000A2712"/>
    <w:rsid w:val="000A2877"/>
    <w:rsid w:val="000A355D"/>
    <w:rsid w:val="000A35DA"/>
    <w:rsid w:val="000A371E"/>
    <w:rsid w:val="000A3DE5"/>
    <w:rsid w:val="000A4011"/>
    <w:rsid w:val="000A45D5"/>
    <w:rsid w:val="000A46CD"/>
    <w:rsid w:val="000A490E"/>
    <w:rsid w:val="000A529E"/>
    <w:rsid w:val="000A5B49"/>
    <w:rsid w:val="000A5FE5"/>
    <w:rsid w:val="000A6684"/>
    <w:rsid w:val="000A7194"/>
    <w:rsid w:val="000A7218"/>
    <w:rsid w:val="000A740A"/>
    <w:rsid w:val="000A7446"/>
    <w:rsid w:val="000A7E7F"/>
    <w:rsid w:val="000A7ECD"/>
    <w:rsid w:val="000B04DD"/>
    <w:rsid w:val="000B0F01"/>
    <w:rsid w:val="000B1346"/>
    <w:rsid w:val="000B1914"/>
    <w:rsid w:val="000B19DC"/>
    <w:rsid w:val="000B1B44"/>
    <w:rsid w:val="000B1CA2"/>
    <w:rsid w:val="000B202E"/>
    <w:rsid w:val="000B2293"/>
    <w:rsid w:val="000B24A4"/>
    <w:rsid w:val="000B255C"/>
    <w:rsid w:val="000B395E"/>
    <w:rsid w:val="000B39C3"/>
    <w:rsid w:val="000B3A00"/>
    <w:rsid w:val="000B4840"/>
    <w:rsid w:val="000B4D79"/>
    <w:rsid w:val="000B5153"/>
    <w:rsid w:val="000B5627"/>
    <w:rsid w:val="000B5671"/>
    <w:rsid w:val="000B5B47"/>
    <w:rsid w:val="000B64C0"/>
    <w:rsid w:val="000B6BF0"/>
    <w:rsid w:val="000B6CE8"/>
    <w:rsid w:val="000B7DAF"/>
    <w:rsid w:val="000C006F"/>
    <w:rsid w:val="000C071C"/>
    <w:rsid w:val="000C0931"/>
    <w:rsid w:val="000C0BB4"/>
    <w:rsid w:val="000C0BEE"/>
    <w:rsid w:val="000C11BE"/>
    <w:rsid w:val="000C1CB9"/>
    <w:rsid w:val="000C2159"/>
    <w:rsid w:val="000C21BB"/>
    <w:rsid w:val="000C289B"/>
    <w:rsid w:val="000C2EB4"/>
    <w:rsid w:val="000C352F"/>
    <w:rsid w:val="000C3F01"/>
    <w:rsid w:val="000C410D"/>
    <w:rsid w:val="000C420D"/>
    <w:rsid w:val="000C4773"/>
    <w:rsid w:val="000C4944"/>
    <w:rsid w:val="000C4E24"/>
    <w:rsid w:val="000C5851"/>
    <w:rsid w:val="000C5C4A"/>
    <w:rsid w:val="000C5F01"/>
    <w:rsid w:val="000C63C4"/>
    <w:rsid w:val="000C66C1"/>
    <w:rsid w:val="000C6F0B"/>
    <w:rsid w:val="000C6F32"/>
    <w:rsid w:val="000C6FEF"/>
    <w:rsid w:val="000C7324"/>
    <w:rsid w:val="000C778C"/>
    <w:rsid w:val="000C7833"/>
    <w:rsid w:val="000C7E1B"/>
    <w:rsid w:val="000C7E73"/>
    <w:rsid w:val="000D001B"/>
    <w:rsid w:val="000D0A45"/>
    <w:rsid w:val="000D136E"/>
    <w:rsid w:val="000D14AC"/>
    <w:rsid w:val="000D15BA"/>
    <w:rsid w:val="000D15BE"/>
    <w:rsid w:val="000D252B"/>
    <w:rsid w:val="000D2BCC"/>
    <w:rsid w:val="000D2C9B"/>
    <w:rsid w:val="000D2CCB"/>
    <w:rsid w:val="000D35FD"/>
    <w:rsid w:val="000D3D2D"/>
    <w:rsid w:val="000D3D99"/>
    <w:rsid w:val="000D451B"/>
    <w:rsid w:val="000D4653"/>
    <w:rsid w:val="000D4696"/>
    <w:rsid w:val="000D4817"/>
    <w:rsid w:val="000D4D0C"/>
    <w:rsid w:val="000D4FB9"/>
    <w:rsid w:val="000D54B4"/>
    <w:rsid w:val="000D584B"/>
    <w:rsid w:val="000D5EE9"/>
    <w:rsid w:val="000D5F55"/>
    <w:rsid w:val="000D6372"/>
    <w:rsid w:val="000D6979"/>
    <w:rsid w:val="000D6CE7"/>
    <w:rsid w:val="000D6E38"/>
    <w:rsid w:val="000D6E63"/>
    <w:rsid w:val="000D711C"/>
    <w:rsid w:val="000D7B6E"/>
    <w:rsid w:val="000E0644"/>
    <w:rsid w:val="000E076D"/>
    <w:rsid w:val="000E087C"/>
    <w:rsid w:val="000E187C"/>
    <w:rsid w:val="000E1B28"/>
    <w:rsid w:val="000E1E8D"/>
    <w:rsid w:val="000E1EBC"/>
    <w:rsid w:val="000E2173"/>
    <w:rsid w:val="000E220B"/>
    <w:rsid w:val="000E2266"/>
    <w:rsid w:val="000E2A50"/>
    <w:rsid w:val="000E30F2"/>
    <w:rsid w:val="000E316B"/>
    <w:rsid w:val="000E372D"/>
    <w:rsid w:val="000E3D08"/>
    <w:rsid w:val="000E4728"/>
    <w:rsid w:val="000E4D1F"/>
    <w:rsid w:val="000E5658"/>
    <w:rsid w:val="000E5698"/>
    <w:rsid w:val="000E5723"/>
    <w:rsid w:val="000E581B"/>
    <w:rsid w:val="000E595D"/>
    <w:rsid w:val="000E64B2"/>
    <w:rsid w:val="000E65D2"/>
    <w:rsid w:val="000E6919"/>
    <w:rsid w:val="000E6B1B"/>
    <w:rsid w:val="000E6F0C"/>
    <w:rsid w:val="000E732D"/>
    <w:rsid w:val="000F07ED"/>
    <w:rsid w:val="000F0CF2"/>
    <w:rsid w:val="000F1401"/>
    <w:rsid w:val="000F1A32"/>
    <w:rsid w:val="000F1CC2"/>
    <w:rsid w:val="000F1D15"/>
    <w:rsid w:val="000F270A"/>
    <w:rsid w:val="000F2FA3"/>
    <w:rsid w:val="000F34C8"/>
    <w:rsid w:val="000F38BC"/>
    <w:rsid w:val="000F3E2A"/>
    <w:rsid w:val="000F4D26"/>
    <w:rsid w:val="000F5639"/>
    <w:rsid w:val="000F58A4"/>
    <w:rsid w:val="000F5F99"/>
    <w:rsid w:val="000F6833"/>
    <w:rsid w:val="000F6A24"/>
    <w:rsid w:val="000F7502"/>
    <w:rsid w:val="000F7616"/>
    <w:rsid w:val="000F7DE9"/>
    <w:rsid w:val="000F7F7A"/>
    <w:rsid w:val="001002F4"/>
    <w:rsid w:val="0010050C"/>
    <w:rsid w:val="001006CB"/>
    <w:rsid w:val="001011FC"/>
    <w:rsid w:val="0010165F"/>
    <w:rsid w:val="00101E7C"/>
    <w:rsid w:val="001023DC"/>
    <w:rsid w:val="00102572"/>
    <w:rsid w:val="00102946"/>
    <w:rsid w:val="00102FBF"/>
    <w:rsid w:val="0010333D"/>
    <w:rsid w:val="0010372A"/>
    <w:rsid w:val="00103F41"/>
    <w:rsid w:val="00104662"/>
    <w:rsid w:val="00104F34"/>
    <w:rsid w:val="001053C5"/>
    <w:rsid w:val="001055AD"/>
    <w:rsid w:val="00105C14"/>
    <w:rsid w:val="001065A3"/>
    <w:rsid w:val="00106610"/>
    <w:rsid w:val="00106831"/>
    <w:rsid w:val="0010683E"/>
    <w:rsid w:val="0010691D"/>
    <w:rsid w:val="00106B33"/>
    <w:rsid w:val="00106E69"/>
    <w:rsid w:val="00110AC5"/>
    <w:rsid w:val="00110F0B"/>
    <w:rsid w:val="0011108B"/>
    <w:rsid w:val="00111136"/>
    <w:rsid w:val="00111164"/>
    <w:rsid w:val="00111761"/>
    <w:rsid w:val="00112164"/>
    <w:rsid w:val="0011241F"/>
    <w:rsid w:val="001128BF"/>
    <w:rsid w:val="00112D09"/>
    <w:rsid w:val="00112E8F"/>
    <w:rsid w:val="00112F03"/>
    <w:rsid w:val="00112F38"/>
    <w:rsid w:val="00113821"/>
    <w:rsid w:val="00114058"/>
    <w:rsid w:val="0011449E"/>
    <w:rsid w:val="001153EF"/>
    <w:rsid w:val="00115D55"/>
    <w:rsid w:val="00115E45"/>
    <w:rsid w:val="00115F85"/>
    <w:rsid w:val="0011688E"/>
    <w:rsid w:val="00116ACD"/>
    <w:rsid w:val="00116E19"/>
    <w:rsid w:val="0011718F"/>
    <w:rsid w:val="00117B7D"/>
    <w:rsid w:val="00117C3F"/>
    <w:rsid w:val="00117EFC"/>
    <w:rsid w:val="001205A8"/>
    <w:rsid w:val="00121766"/>
    <w:rsid w:val="00122451"/>
    <w:rsid w:val="0012291C"/>
    <w:rsid w:val="00122A64"/>
    <w:rsid w:val="00123694"/>
    <w:rsid w:val="0012388A"/>
    <w:rsid w:val="0012388C"/>
    <w:rsid w:val="00123AFA"/>
    <w:rsid w:val="00123C8C"/>
    <w:rsid w:val="00123E8B"/>
    <w:rsid w:val="00124405"/>
    <w:rsid w:val="00124B43"/>
    <w:rsid w:val="00124DF8"/>
    <w:rsid w:val="001253EA"/>
    <w:rsid w:val="00125B99"/>
    <w:rsid w:val="00126160"/>
    <w:rsid w:val="00126AEC"/>
    <w:rsid w:val="00126DB5"/>
    <w:rsid w:val="0012711C"/>
    <w:rsid w:val="00127178"/>
    <w:rsid w:val="00127F09"/>
    <w:rsid w:val="0013002A"/>
    <w:rsid w:val="0013085D"/>
    <w:rsid w:val="0013089C"/>
    <w:rsid w:val="00130A2D"/>
    <w:rsid w:val="00130F54"/>
    <w:rsid w:val="00131888"/>
    <w:rsid w:val="00131F17"/>
    <w:rsid w:val="0013212F"/>
    <w:rsid w:val="00132284"/>
    <w:rsid w:val="001323F9"/>
    <w:rsid w:val="0013251F"/>
    <w:rsid w:val="001326E6"/>
    <w:rsid w:val="00133088"/>
    <w:rsid w:val="00133346"/>
    <w:rsid w:val="001335B1"/>
    <w:rsid w:val="00133B4E"/>
    <w:rsid w:val="0013410F"/>
    <w:rsid w:val="001346AF"/>
    <w:rsid w:val="00134990"/>
    <w:rsid w:val="001354D1"/>
    <w:rsid w:val="00135840"/>
    <w:rsid w:val="00135A0A"/>
    <w:rsid w:val="00135BB9"/>
    <w:rsid w:val="0013621D"/>
    <w:rsid w:val="00136354"/>
    <w:rsid w:val="00136674"/>
    <w:rsid w:val="00136B0E"/>
    <w:rsid w:val="00136C3B"/>
    <w:rsid w:val="001376AB"/>
    <w:rsid w:val="0013777C"/>
    <w:rsid w:val="00137D5F"/>
    <w:rsid w:val="00140082"/>
    <w:rsid w:val="001400C5"/>
    <w:rsid w:val="00140175"/>
    <w:rsid w:val="00140757"/>
    <w:rsid w:val="00140D07"/>
    <w:rsid w:val="00141A3A"/>
    <w:rsid w:val="00141FD4"/>
    <w:rsid w:val="001423FA"/>
    <w:rsid w:val="001427B5"/>
    <w:rsid w:val="001428CF"/>
    <w:rsid w:val="00142D0C"/>
    <w:rsid w:val="00142E3C"/>
    <w:rsid w:val="00143387"/>
    <w:rsid w:val="001439BA"/>
    <w:rsid w:val="00144013"/>
    <w:rsid w:val="001455C3"/>
    <w:rsid w:val="00145A17"/>
    <w:rsid w:val="00145BBE"/>
    <w:rsid w:val="001460B5"/>
    <w:rsid w:val="0014641F"/>
    <w:rsid w:val="001464A8"/>
    <w:rsid w:val="001467BB"/>
    <w:rsid w:val="00146CA8"/>
    <w:rsid w:val="00147884"/>
    <w:rsid w:val="001500F6"/>
    <w:rsid w:val="00150827"/>
    <w:rsid w:val="00150B0D"/>
    <w:rsid w:val="00150E10"/>
    <w:rsid w:val="00151A32"/>
    <w:rsid w:val="00151B2C"/>
    <w:rsid w:val="00151E31"/>
    <w:rsid w:val="00151F9B"/>
    <w:rsid w:val="00152289"/>
    <w:rsid w:val="00152425"/>
    <w:rsid w:val="00152BAD"/>
    <w:rsid w:val="00152CE3"/>
    <w:rsid w:val="00153652"/>
    <w:rsid w:val="00153697"/>
    <w:rsid w:val="00153701"/>
    <w:rsid w:val="00153956"/>
    <w:rsid w:val="00153B95"/>
    <w:rsid w:val="00154146"/>
    <w:rsid w:val="00154190"/>
    <w:rsid w:val="001545EA"/>
    <w:rsid w:val="001549BA"/>
    <w:rsid w:val="00154BBF"/>
    <w:rsid w:val="00155099"/>
    <w:rsid w:val="00155C85"/>
    <w:rsid w:val="00156592"/>
    <w:rsid w:val="00156A6C"/>
    <w:rsid w:val="00156B10"/>
    <w:rsid w:val="001576FE"/>
    <w:rsid w:val="00157823"/>
    <w:rsid w:val="0015790D"/>
    <w:rsid w:val="00157C5E"/>
    <w:rsid w:val="00157DD3"/>
    <w:rsid w:val="0016015A"/>
    <w:rsid w:val="0016020E"/>
    <w:rsid w:val="00160503"/>
    <w:rsid w:val="00160BF6"/>
    <w:rsid w:val="00160D7C"/>
    <w:rsid w:val="00160E30"/>
    <w:rsid w:val="0016106D"/>
    <w:rsid w:val="001612E1"/>
    <w:rsid w:val="001614DB"/>
    <w:rsid w:val="0016194E"/>
    <w:rsid w:val="0016236C"/>
    <w:rsid w:val="00162625"/>
    <w:rsid w:val="001630A8"/>
    <w:rsid w:val="00163826"/>
    <w:rsid w:val="00163943"/>
    <w:rsid w:val="00163BA1"/>
    <w:rsid w:val="00163F22"/>
    <w:rsid w:val="0016417B"/>
    <w:rsid w:val="001643A6"/>
    <w:rsid w:val="0016470E"/>
    <w:rsid w:val="001649D3"/>
    <w:rsid w:val="00164E0A"/>
    <w:rsid w:val="001652D7"/>
    <w:rsid w:val="00165A5F"/>
    <w:rsid w:val="00166223"/>
    <w:rsid w:val="00166F17"/>
    <w:rsid w:val="0016793E"/>
    <w:rsid w:val="00167D4D"/>
    <w:rsid w:val="0017054C"/>
    <w:rsid w:val="00170635"/>
    <w:rsid w:val="0017070D"/>
    <w:rsid w:val="00170837"/>
    <w:rsid w:val="00171035"/>
    <w:rsid w:val="001713B7"/>
    <w:rsid w:val="00171ADB"/>
    <w:rsid w:val="00171E2C"/>
    <w:rsid w:val="00172029"/>
    <w:rsid w:val="001733A4"/>
    <w:rsid w:val="00173AB9"/>
    <w:rsid w:val="00173EED"/>
    <w:rsid w:val="00174368"/>
    <w:rsid w:val="001744EA"/>
    <w:rsid w:val="00174731"/>
    <w:rsid w:val="00174D82"/>
    <w:rsid w:val="00174E44"/>
    <w:rsid w:val="00175053"/>
    <w:rsid w:val="001753B7"/>
    <w:rsid w:val="0017544A"/>
    <w:rsid w:val="001757E7"/>
    <w:rsid w:val="00175873"/>
    <w:rsid w:val="00175C59"/>
    <w:rsid w:val="001760BC"/>
    <w:rsid w:val="00176674"/>
    <w:rsid w:val="00176818"/>
    <w:rsid w:val="00176B82"/>
    <w:rsid w:val="00176E3B"/>
    <w:rsid w:val="00176ECB"/>
    <w:rsid w:val="0017752D"/>
    <w:rsid w:val="0017759F"/>
    <w:rsid w:val="00177832"/>
    <w:rsid w:val="00181178"/>
    <w:rsid w:val="0018119E"/>
    <w:rsid w:val="0018152C"/>
    <w:rsid w:val="00181DBA"/>
    <w:rsid w:val="00181EEF"/>
    <w:rsid w:val="00181F3E"/>
    <w:rsid w:val="00182FE0"/>
    <w:rsid w:val="00183911"/>
    <w:rsid w:val="001845FB"/>
    <w:rsid w:val="001857FB"/>
    <w:rsid w:val="00185DA6"/>
    <w:rsid w:val="00185F64"/>
    <w:rsid w:val="00186096"/>
    <w:rsid w:val="001862FE"/>
    <w:rsid w:val="001864AC"/>
    <w:rsid w:val="00187317"/>
    <w:rsid w:val="0018772E"/>
    <w:rsid w:val="00187A94"/>
    <w:rsid w:val="0019029E"/>
    <w:rsid w:val="00190804"/>
    <w:rsid w:val="0019088F"/>
    <w:rsid w:val="00190C51"/>
    <w:rsid w:val="00192F00"/>
    <w:rsid w:val="00193ACC"/>
    <w:rsid w:val="00193BFE"/>
    <w:rsid w:val="00195322"/>
    <w:rsid w:val="0019560E"/>
    <w:rsid w:val="001958E3"/>
    <w:rsid w:val="00195FFA"/>
    <w:rsid w:val="0019601B"/>
    <w:rsid w:val="00196048"/>
    <w:rsid w:val="00196A82"/>
    <w:rsid w:val="0019769B"/>
    <w:rsid w:val="001979F9"/>
    <w:rsid w:val="00197FFE"/>
    <w:rsid w:val="001A0D25"/>
    <w:rsid w:val="001A0E14"/>
    <w:rsid w:val="001A1570"/>
    <w:rsid w:val="001A1917"/>
    <w:rsid w:val="001A1C64"/>
    <w:rsid w:val="001A1DFB"/>
    <w:rsid w:val="001A1E7F"/>
    <w:rsid w:val="001A2918"/>
    <w:rsid w:val="001A2D02"/>
    <w:rsid w:val="001A3076"/>
    <w:rsid w:val="001A3163"/>
    <w:rsid w:val="001A31A5"/>
    <w:rsid w:val="001A3482"/>
    <w:rsid w:val="001A389C"/>
    <w:rsid w:val="001A3B75"/>
    <w:rsid w:val="001A42A3"/>
    <w:rsid w:val="001A46FB"/>
    <w:rsid w:val="001A4EC9"/>
    <w:rsid w:val="001A5944"/>
    <w:rsid w:val="001A5FB1"/>
    <w:rsid w:val="001A618F"/>
    <w:rsid w:val="001A698A"/>
    <w:rsid w:val="001A6CCC"/>
    <w:rsid w:val="001A6E3B"/>
    <w:rsid w:val="001A70C8"/>
    <w:rsid w:val="001A71C9"/>
    <w:rsid w:val="001A7429"/>
    <w:rsid w:val="001A760C"/>
    <w:rsid w:val="001A76F0"/>
    <w:rsid w:val="001A7977"/>
    <w:rsid w:val="001A799B"/>
    <w:rsid w:val="001A7AC7"/>
    <w:rsid w:val="001A7C38"/>
    <w:rsid w:val="001B02F8"/>
    <w:rsid w:val="001B2104"/>
    <w:rsid w:val="001B2220"/>
    <w:rsid w:val="001B2279"/>
    <w:rsid w:val="001B2729"/>
    <w:rsid w:val="001B2866"/>
    <w:rsid w:val="001B2881"/>
    <w:rsid w:val="001B2B73"/>
    <w:rsid w:val="001B3675"/>
    <w:rsid w:val="001B37C8"/>
    <w:rsid w:val="001B48BA"/>
    <w:rsid w:val="001B4B2C"/>
    <w:rsid w:val="001B4F10"/>
    <w:rsid w:val="001B5154"/>
    <w:rsid w:val="001B6E30"/>
    <w:rsid w:val="001B7C83"/>
    <w:rsid w:val="001B7F9E"/>
    <w:rsid w:val="001C0206"/>
    <w:rsid w:val="001C0246"/>
    <w:rsid w:val="001C04D4"/>
    <w:rsid w:val="001C0B34"/>
    <w:rsid w:val="001C12A3"/>
    <w:rsid w:val="001C1419"/>
    <w:rsid w:val="001C17BB"/>
    <w:rsid w:val="001C187E"/>
    <w:rsid w:val="001C1A37"/>
    <w:rsid w:val="001C1C49"/>
    <w:rsid w:val="001C24D9"/>
    <w:rsid w:val="001C278A"/>
    <w:rsid w:val="001C286F"/>
    <w:rsid w:val="001C2B86"/>
    <w:rsid w:val="001C2F54"/>
    <w:rsid w:val="001C3308"/>
    <w:rsid w:val="001C3BBB"/>
    <w:rsid w:val="001C40D1"/>
    <w:rsid w:val="001C468A"/>
    <w:rsid w:val="001C4A38"/>
    <w:rsid w:val="001C4A9E"/>
    <w:rsid w:val="001C5001"/>
    <w:rsid w:val="001C5103"/>
    <w:rsid w:val="001C52A8"/>
    <w:rsid w:val="001C5ADF"/>
    <w:rsid w:val="001C5DBD"/>
    <w:rsid w:val="001C5E8E"/>
    <w:rsid w:val="001C6120"/>
    <w:rsid w:val="001C6516"/>
    <w:rsid w:val="001C6B5C"/>
    <w:rsid w:val="001C7155"/>
    <w:rsid w:val="001C7E48"/>
    <w:rsid w:val="001D039B"/>
    <w:rsid w:val="001D0849"/>
    <w:rsid w:val="001D1258"/>
    <w:rsid w:val="001D1715"/>
    <w:rsid w:val="001D1AB8"/>
    <w:rsid w:val="001D26F5"/>
    <w:rsid w:val="001D286F"/>
    <w:rsid w:val="001D2C94"/>
    <w:rsid w:val="001D33D9"/>
    <w:rsid w:val="001D36F6"/>
    <w:rsid w:val="001D4303"/>
    <w:rsid w:val="001D45E5"/>
    <w:rsid w:val="001D461A"/>
    <w:rsid w:val="001D4A9D"/>
    <w:rsid w:val="001D4AAD"/>
    <w:rsid w:val="001D4C1D"/>
    <w:rsid w:val="001D4E16"/>
    <w:rsid w:val="001D5AFA"/>
    <w:rsid w:val="001D652D"/>
    <w:rsid w:val="001D72D9"/>
    <w:rsid w:val="001D784A"/>
    <w:rsid w:val="001E04A4"/>
    <w:rsid w:val="001E07C5"/>
    <w:rsid w:val="001E0B45"/>
    <w:rsid w:val="001E176D"/>
    <w:rsid w:val="001E1BCE"/>
    <w:rsid w:val="001E1E05"/>
    <w:rsid w:val="001E2086"/>
    <w:rsid w:val="001E339F"/>
    <w:rsid w:val="001E3629"/>
    <w:rsid w:val="001E3E7D"/>
    <w:rsid w:val="001E40F0"/>
    <w:rsid w:val="001E4172"/>
    <w:rsid w:val="001E4F08"/>
    <w:rsid w:val="001E5490"/>
    <w:rsid w:val="001E5730"/>
    <w:rsid w:val="001E5E2E"/>
    <w:rsid w:val="001E6352"/>
    <w:rsid w:val="001E700A"/>
    <w:rsid w:val="001E70AD"/>
    <w:rsid w:val="001E7237"/>
    <w:rsid w:val="001E76AD"/>
    <w:rsid w:val="001E7AF6"/>
    <w:rsid w:val="001F01B8"/>
    <w:rsid w:val="001F0FC3"/>
    <w:rsid w:val="001F1188"/>
    <w:rsid w:val="001F1B8D"/>
    <w:rsid w:val="001F1C50"/>
    <w:rsid w:val="001F263B"/>
    <w:rsid w:val="001F274F"/>
    <w:rsid w:val="001F289C"/>
    <w:rsid w:val="001F2BF9"/>
    <w:rsid w:val="001F348D"/>
    <w:rsid w:val="001F3AF2"/>
    <w:rsid w:val="001F6008"/>
    <w:rsid w:val="001F604B"/>
    <w:rsid w:val="001F641B"/>
    <w:rsid w:val="001F6D4D"/>
    <w:rsid w:val="0020125C"/>
    <w:rsid w:val="0020130D"/>
    <w:rsid w:val="00201916"/>
    <w:rsid w:val="00201D06"/>
    <w:rsid w:val="00201E9F"/>
    <w:rsid w:val="00202F25"/>
    <w:rsid w:val="002035B3"/>
    <w:rsid w:val="00203929"/>
    <w:rsid w:val="00203CD6"/>
    <w:rsid w:val="00203D01"/>
    <w:rsid w:val="00204460"/>
    <w:rsid w:val="002051EA"/>
    <w:rsid w:val="00205CBC"/>
    <w:rsid w:val="00206259"/>
    <w:rsid w:val="002074B7"/>
    <w:rsid w:val="0020758D"/>
    <w:rsid w:val="00207C7B"/>
    <w:rsid w:val="00211470"/>
    <w:rsid w:val="00211922"/>
    <w:rsid w:val="0021213A"/>
    <w:rsid w:val="0021265F"/>
    <w:rsid w:val="00213232"/>
    <w:rsid w:val="00213817"/>
    <w:rsid w:val="00214428"/>
    <w:rsid w:val="002145EB"/>
    <w:rsid w:val="00214F82"/>
    <w:rsid w:val="00214FE7"/>
    <w:rsid w:val="00215033"/>
    <w:rsid w:val="00215834"/>
    <w:rsid w:val="00215CC2"/>
    <w:rsid w:val="00215D2C"/>
    <w:rsid w:val="00215D95"/>
    <w:rsid w:val="00215ED8"/>
    <w:rsid w:val="00215FAF"/>
    <w:rsid w:val="00217700"/>
    <w:rsid w:val="002177E2"/>
    <w:rsid w:val="0021783B"/>
    <w:rsid w:val="00217B43"/>
    <w:rsid w:val="00217E71"/>
    <w:rsid w:val="002205F3"/>
    <w:rsid w:val="0022085B"/>
    <w:rsid w:val="00220E53"/>
    <w:rsid w:val="0022176C"/>
    <w:rsid w:val="002225D1"/>
    <w:rsid w:val="002230FA"/>
    <w:rsid w:val="002232B9"/>
    <w:rsid w:val="00223DF2"/>
    <w:rsid w:val="002249A2"/>
    <w:rsid w:val="00224C0C"/>
    <w:rsid w:val="002256C2"/>
    <w:rsid w:val="002256D0"/>
    <w:rsid w:val="00225C8E"/>
    <w:rsid w:val="00226428"/>
    <w:rsid w:val="002265A9"/>
    <w:rsid w:val="002266CB"/>
    <w:rsid w:val="00227052"/>
    <w:rsid w:val="002272D5"/>
    <w:rsid w:val="0022738E"/>
    <w:rsid w:val="00227906"/>
    <w:rsid w:val="00227934"/>
    <w:rsid w:val="00227E21"/>
    <w:rsid w:val="0023008A"/>
    <w:rsid w:val="00231D05"/>
    <w:rsid w:val="00231F40"/>
    <w:rsid w:val="0023241A"/>
    <w:rsid w:val="002336E2"/>
    <w:rsid w:val="00233AC2"/>
    <w:rsid w:val="00233B15"/>
    <w:rsid w:val="00233BAF"/>
    <w:rsid w:val="00233F80"/>
    <w:rsid w:val="0023423A"/>
    <w:rsid w:val="00235420"/>
    <w:rsid w:val="00235700"/>
    <w:rsid w:val="0023788D"/>
    <w:rsid w:val="00240422"/>
    <w:rsid w:val="0024065B"/>
    <w:rsid w:val="002409A6"/>
    <w:rsid w:val="00240C63"/>
    <w:rsid w:val="00240D91"/>
    <w:rsid w:val="00240EA5"/>
    <w:rsid w:val="00241132"/>
    <w:rsid w:val="00241205"/>
    <w:rsid w:val="002418C5"/>
    <w:rsid w:val="0024261D"/>
    <w:rsid w:val="00242712"/>
    <w:rsid w:val="00242DFB"/>
    <w:rsid w:val="00243807"/>
    <w:rsid w:val="002440AC"/>
    <w:rsid w:val="00244365"/>
    <w:rsid w:val="0024459A"/>
    <w:rsid w:val="002446A3"/>
    <w:rsid w:val="00244771"/>
    <w:rsid w:val="00244903"/>
    <w:rsid w:val="00244AFB"/>
    <w:rsid w:val="002453DF"/>
    <w:rsid w:val="00245418"/>
    <w:rsid w:val="00245A81"/>
    <w:rsid w:val="002462A5"/>
    <w:rsid w:val="00246B86"/>
    <w:rsid w:val="00247335"/>
    <w:rsid w:val="002473EF"/>
    <w:rsid w:val="002477B9"/>
    <w:rsid w:val="00247B69"/>
    <w:rsid w:val="00247CBE"/>
    <w:rsid w:val="00250A1F"/>
    <w:rsid w:val="00250ADA"/>
    <w:rsid w:val="00250F1D"/>
    <w:rsid w:val="00251FF1"/>
    <w:rsid w:val="002520BA"/>
    <w:rsid w:val="00252234"/>
    <w:rsid w:val="002528E3"/>
    <w:rsid w:val="00252944"/>
    <w:rsid w:val="00252D55"/>
    <w:rsid w:val="00252D82"/>
    <w:rsid w:val="00253006"/>
    <w:rsid w:val="00253165"/>
    <w:rsid w:val="002531EA"/>
    <w:rsid w:val="002533F5"/>
    <w:rsid w:val="00253C60"/>
    <w:rsid w:val="00253F21"/>
    <w:rsid w:val="0025429D"/>
    <w:rsid w:val="002549E9"/>
    <w:rsid w:val="00254FF6"/>
    <w:rsid w:val="00255099"/>
    <w:rsid w:val="002555C6"/>
    <w:rsid w:val="0025597E"/>
    <w:rsid w:val="00255E14"/>
    <w:rsid w:val="00255E45"/>
    <w:rsid w:val="00255FF9"/>
    <w:rsid w:val="00256590"/>
    <w:rsid w:val="00257059"/>
    <w:rsid w:val="0025712F"/>
    <w:rsid w:val="00257395"/>
    <w:rsid w:val="00257857"/>
    <w:rsid w:val="002578DA"/>
    <w:rsid w:val="00257CBC"/>
    <w:rsid w:val="002602C2"/>
    <w:rsid w:val="002602DA"/>
    <w:rsid w:val="0026040B"/>
    <w:rsid w:val="00260472"/>
    <w:rsid w:val="002604F2"/>
    <w:rsid w:val="00260802"/>
    <w:rsid w:val="002609E3"/>
    <w:rsid w:val="00261223"/>
    <w:rsid w:val="002617AB"/>
    <w:rsid w:val="00261D08"/>
    <w:rsid w:val="00261DCC"/>
    <w:rsid w:val="002624D0"/>
    <w:rsid w:val="00263EC7"/>
    <w:rsid w:val="0026491B"/>
    <w:rsid w:val="00264A36"/>
    <w:rsid w:val="00264B06"/>
    <w:rsid w:val="00264C1B"/>
    <w:rsid w:val="002657FB"/>
    <w:rsid w:val="00265D10"/>
    <w:rsid w:val="00265E2E"/>
    <w:rsid w:val="002661AB"/>
    <w:rsid w:val="0026742B"/>
    <w:rsid w:val="002674FE"/>
    <w:rsid w:val="00267E59"/>
    <w:rsid w:val="002702F6"/>
    <w:rsid w:val="00270748"/>
    <w:rsid w:val="00270CAB"/>
    <w:rsid w:val="0027117F"/>
    <w:rsid w:val="002712DC"/>
    <w:rsid w:val="00271875"/>
    <w:rsid w:val="002718FF"/>
    <w:rsid w:val="00271955"/>
    <w:rsid w:val="00272278"/>
    <w:rsid w:val="00272432"/>
    <w:rsid w:val="00272633"/>
    <w:rsid w:val="00272D36"/>
    <w:rsid w:val="00272E48"/>
    <w:rsid w:val="00272FBF"/>
    <w:rsid w:val="00273A10"/>
    <w:rsid w:val="00273A58"/>
    <w:rsid w:val="00273B96"/>
    <w:rsid w:val="00274C6E"/>
    <w:rsid w:val="00274CAB"/>
    <w:rsid w:val="00274E8A"/>
    <w:rsid w:val="002755A8"/>
    <w:rsid w:val="00275FCE"/>
    <w:rsid w:val="002766B8"/>
    <w:rsid w:val="0027680F"/>
    <w:rsid w:val="002777C0"/>
    <w:rsid w:val="0028076D"/>
    <w:rsid w:val="00281006"/>
    <w:rsid w:val="002815B1"/>
    <w:rsid w:val="00281893"/>
    <w:rsid w:val="00281C1F"/>
    <w:rsid w:val="00281EEA"/>
    <w:rsid w:val="00281F88"/>
    <w:rsid w:val="0028240D"/>
    <w:rsid w:val="0028288D"/>
    <w:rsid w:val="002829B7"/>
    <w:rsid w:val="00282B82"/>
    <w:rsid w:val="00282C74"/>
    <w:rsid w:val="00282E5B"/>
    <w:rsid w:val="00283995"/>
    <w:rsid w:val="00283B11"/>
    <w:rsid w:val="002841A9"/>
    <w:rsid w:val="00284313"/>
    <w:rsid w:val="00284554"/>
    <w:rsid w:val="002848AD"/>
    <w:rsid w:val="00284DE4"/>
    <w:rsid w:val="00285154"/>
    <w:rsid w:val="00285BA4"/>
    <w:rsid w:val="00285BF2"/>
    <w:rsid w:val="00285C78"/>
    <w:rsid w:val="002863CE"/>
    <w:rsid w:val="00287E20"/>
    <w:rsid w:val="0029035E"/>
    <w:rsid w:val="0029110F"/>
    <w:rsid w:val="00291492"/>
    <w:rsid w:val="00291527"/>
    <w:rsid w:val="002916B4"/>
    <w:rsid w:val="0029199A"/>
    <w:rsid w:val="002919F3"/>
    <w:rsid w:val="00291BBE"/>
    <w:rsid w:val="00291FEB"/>
    <w:rsid w:val="00293146"/>
    <w:rsid w:val="0029361E"/>
    <w:rsid w:val="00293D68"/>
    <w:rsid w:val="0029408A"/>
    <w:rsid w:val="00294352"/>
    <w:rsid w:val="002944A0"/>
    <w:rsid w:val="002946E4"/>
    <w:rsid w:val="0029495C"/>
    <w:rsid w:val="002957D9"/>
    <w:rsid w:val="00295B52"/>
    <w:rsid w:val="00295ED9"/>
    <w:rsid w:val="00296024"/>
    <w:rsid w:val="00296293"/>
    <w:rsid w:val="002969C7"/>
    <w:rsid w:val="00296AF7"/>
    <w:rsid w:val="00296E27"/>
    <w:rsid w:val="00297021"/>
    <w:rsid w:val="002972F9"/>
    <w:rsid w:val="00297612"/>
    <w:rsid w:val="002977CA"/>
    <w:rsid w:val="00297ED7"/>
    <w:rsid w:val="002A0007"/>
    <w:rsid w:val="002A03AA"/>
    <w:rsid w:val="002A056D"/>
    <w:rsid w:val="002A07FE"/>
    <w:rsid w:val="002A094D"/>
    <w:rsid w:val="002A0CAF"/>
    <w:rsid w:val="002A0DDB"/>
    <w:rsid w:val="002A1565"/>
    <w:rsid w:val="002A16A9"/>
    <w:rsid w:val="002A2941"/>
    <w:rsid w:val="002A2DC4"/>
    <w:rsid w:val="002A3E69"/>
    <w:rsid w:val="002A44F9"/>
    <w:rsid w:val="002A4946"/>
    <w:rsid w:val="002A49EF"/>
    <w:rsid w:val="002A4B8B"/>
    <w:rsid w:val="002A5107"/>
    <w:rsid w:val="002A535E"/>
    <w:rsid w:val="002A5DBD"/>
    <w:rsid w:val="002A6406"/>
    <w:rsid w:val="002A6432"/>
    <w:rsid w:val="002A6CF0"/>
    <w:rsid w:val="002A6FFC"/>
    <w:rsid w:val="002A7010"/>
    <w:rsid w:val="002A70BA"/>
    <w:rsid w:val="002A7A57"/>
    <w:rsid w:val="002A7BB2"/>
    <w:rsid w:val="002A7CC1"/>
    <w:rsid w:val="002A7DCB"/>
    <w:rsid w:val="002B033C"/>
    <w:rsid w:val="002B0685"/>
    <w:rsid w:val="002B0B53"/>
    <w:rsid w:val="002B0C16"/>
    <w:rsid w:val="002B1617"/>
    <w:rsid w:val="002B1A90"/>
    <w:rsid w:val="002B1D11"/>
    <w:rsid w:val="002B273B"/>
    <w:rsid w:val="002B29AA"/>
    <w:rsid w:val="002B2A7E"/>
    <w:rsid w:val="002B2F1B"/>
    <w:rsid w:val="002B2F40"/>
    <w:rsid w:val="002B3332"/>
    <w:rsid w:val="002B34C7"/>
    <w:rsid w:val="002B3F25"/>
    <w:rsid w:val="002B4CCF"/>
    <w:rsid w:val="002B5964"/>
    <w:rsid w:val="002B5AFB"/>
    <w:rsid w:val="002B6320"/>
    <w:rsid w:val="002B66AC"/>
    <w:rsid w:val="002B6852"/>
    <w:rsid w:val="002B7167"/>
    <w:rsid w:val="002B751D"/>
    <w:rsid w:val="002B77E1"/>
    <w:rsid w:val="002C0656"/>
    <w:rsid w:val="002C0714"/>
    <w:rsid w:val="002C0A96"/>
    <w:rsid w:val="002C13C6"/>
    <w:rsid w:val="002C1BF4"/>
    <w:rsid w:val="002C1E0D"/>
    <w:rsid w:val="002C2266"/>
    <w:rsid w:val="002C2356"/>
    <w:rsid w:val="002C238F"/>
    <w:rsid w:val="002C276F"/>
    <w:rsid w:val="002C28EB"/>
    <w:rsid w:val="002C316C"/>
    <w:rsid w:val="002C3265"/>
    <w:rsid w:val="002C3AED"/>
    <w:rsid w:val="002C3E56"/>
    <w:rsid w:val="002C414C"/>
    <w:rsid w:val="002C49F8"/>
    <w:rsid w:val="002C4C2F"/>
    <w:rsid w:val="002C5776"/>
    <w:rsid w:val="002C5EED"/>
    <w:rsid w:val="002C66DE"/>
    <w:rsid w:val="002C7193"/>
    <w:rsid w:val="002C7699"/>
    <w:rsid w:val="002C7A49"/>
    <w:rsid w:val="002D0128"/>
    <w:rsid w:val="002D0E85"/>
    <w:rsid w:val="002D0FA7"/>
    <w:rsid w:val="002D12FB"/>
    <w:rsid w:val="002D19D1"/>
    <w:rsid w:val="002D1F35"/>
    <w:rsid w:val="002D1FA3"/>
    <w:rsid w:val="002D20CD"/>
    <w:rsid w:val="002D23C6"/>
    <w:rsid w:val="002D24F0"/>
    <w:rsid w:val="002D25EB"/>
    <w:rsid w:val="002D29F3"/>
    <w:rsid w:val="002D3126"/>
    <w:rsid w:val="002D3529"/>
    <w:rsid w:val="002D3D0A"/>
    <w:rsid w:val="002D3EF0"/>
    <w:rsid w:val="002D478E"/>
    <w:rsid w:val="002D47AE"/>
    <w:rsid w:val="002D4A94"/>
    <w:rsid w:val="002D4AFE"/>
    <w:rsid w:val="002D65FF"/>
    <w:rsid w:val="002D6D10"/>
    <w:rsid w:val="002D71E2"/>
    <w:rsid w:val="002D7B6A"/>
    <w:rsid w:val="002E0026"/>
    <w:rsid w:val="002E08E8"/>
    <w:rsid w:val="002E0918"/>
    <w:rsid w:val="002E0BAA"/>
    <w:rsid w:val="002E0D96"/>
    <w:rsid w:val="002E0EA5"/>
    <w:rsid w:val="002E0F1C"/>
    <w:rsid w:val="002E1E19"/>
    <w:rsid w:val="002E1FAC"/>
    <w:rsid w:val="002E283F"/>
    <w:rsid w:val="002E2854"/>
    <w:rsid w:val="002E2CE9"/>
    <w:rsid w:val="002E2E74"/>
    <w:rsid w:val="002E32D2"/>
    <w:rsid w:val="002E361B"/>
    <w:rsid w:val="002E37AB"/>
    <w:rsid w:val="002E3A80"/>
    <w:rsid w:val="002E41C7"/>
    <w:rsid w:val="002E51DF"/>
    <w:rsid w:val="002E57B9"/>
    <w:rsid w:val="002E6127"/>
    <w:rsid w:val="002E6885"/>
    <w:rsid w:val="002E72E4"/>
    <w:rsid w:val="002E739D"/>
    <w:rsid w:val="002F0F36"/>
    <w:rsid w:val="002F1276"/>
    <w:rsid w:val="002F1986"/>
    <w:rsid w:val="002F1E5F"/>
    <w:rsid w:val="002F1F98"/>
    <w:rsid w:val="002F2A49"/>
    <w:rsid w:val="002F3550"/>
    <w:rsid w:val="002F3B63"/>
    <w:rsid w:val="002F3C56"/>
    <w:rsid w:val="002F4271"/>
    <w:rsid w:val="002F46B0"/>
    <w:rsid w:val="002F4B17"/>
    <w:rsid w:val="002F5150"/>
    <w:rsid w:val="002F5463"/>
    <w:rsid w:val="002F58C2"/>
    <w:rsid w:val="002F5932"/>
    <w:rsid w:val="002F5C85"/>
    <w:rsid w:val="002F603B"/>
    <w:rsid w:val="002F6201"/>
    <w:rsid w:val="002F6493"/>
    <w:rsid w:val="002F724B"/>
    <w:rsid w:val="002F72BA"/>
    <w:rsid w:val="00300267"/>
    <w:rsid w:val="003004D2"/>
    <w:rsid w:val="00300D6B"/>
    <w:rsid w:val="00301380"/>
    <w:rsid w:val="00301D6A"/>
    <w:rsid w:val="00301E89"/>
    <w:rsid w:val="00302052"/>
    <w:rsid w:val="00302142"/>
    <w:rsid w:val="00302169"/>
    <w:rsid w:val="00302612"/>
    <w:rsid w:val="00303254"/>
    <w:rsid w:val="003044D9"/>
    <w:rsid w:val="0030457E"/>
    <w:rsid w:val="00304D8A"/>
    <w:rsid w:val="00305216"/>
    <w:rsid w:val="0030555B"/>
    <w:rsid w:val="003061F5"/>
    <w:rsid w:val="00306A49"/>
    <w:rsid w:val="00306D27"/>
    <w:rsid w:val="0030739C"/>
    <w:rsid w:val="00310D51"/>
    <w:rsid w:val="00311B36"/>
    <w:rsid w:val="00311C92"/>
    <w:rsid w:val="00312CC4"/>
    <w:rsid w:val="00313321"/>
    <w:rsid w:val="003133AE"/>
    <w:rsid w:val="0031371B"/>
    <w:rsid w:val="00314156"/>
    <w:rsid w:val="00314CF8"/>
    <w:rsid w:val="0031535B"/>
    <w:rsid w:val="003154DD"/>
    <w:rsid w:val="00316F76"/>
    <w:rsid w:val="003170F4"/>
    <w:rsid w:val="0032035D"/>
    <w:rsid w:val="003205E9"/>
    <w:rsid w:val="00320B28"/>
    <w:rsid w:val="0032123E"/>
    <w:rsid w:val="003216D5"/>
    <w:rsid w:val="003216FF"/>
    <w:rsid w:val="00321866"/>
    <w:rsid w:val="00321A83"/>
    <w:rsid w:val="00321C1A"/>
    <w:rsid w:val="00321F6B"/>
    <w:rsid w:val="00322389"/>
    <w:rsid w:val="003223CA"/>
    <w:rsid w:val="00322BE5"/>
    <w:rsid w:val="00322E87"/>
    <w:rsid w:val="0032312D"/>
    <w:rsid w:val="00323AA5"/>
    <w:rsid w:val="003242E4"/>
    <w:rsid w:val="0032468D"/>
    <w:rsid w:val="00324887"/>
    <w:rsid w:val="00324926"/>
    <w:rsid w:val="00324B25"/>
    <w:rsid w:val="0032522F"/>
    <w:rsid w:val="003253C4"/>
    <w:rsid w:val="0032550F"/>
    <w:rsid w:val="00325992"/>
    <w:rsid w:val="00325B74"/>
    <w:rsid w:val="0032638F"/>
    <w:rsid w:val="003263EA"/>
    <w:rsid w:val="00326B59"/>
    <w:rsid w:val="00326BD4"/>
    <w:rsid w:val="003272C6"/>
    <w:rsid w:val="00327752"/>
    <w:rsid w:val="00327C7C"/>
    <w:rsid w:val="00330009"/>
    <w:rsid w:val="003301E6"/>
    <w:rsid w:val="00330C9D"/>
    <w:rsid w:val="003310AB"/>
    <w:rsid w:val="003314D2"/>
    <w:rsid w:val="00331712"/>
    <w:rsid w:val="00331847"/>
    <w:rsid w:val="00331A3F"/>
    <w:rsid w:val="00332191"/>
    <w:rsid w:val="00332720"/>
    <w:rsid w:val="00332EED"/>
    <w:rsid w:val="003334A7"/>
    <w:rsid w:val="003337E8"/>
    <w:rsid w:val="00333A14"/>
    <w:rsid w:val="00333B2A"/>
    <w:rsid w:val="00333FD5"/>
    <w:rsid w:val="00334649"/>
    <w:rsid w:val="003350E9"/>
    <w:rsid w:val="003351BA"/>
    <w:rsid w:val="0033520F"/>
    <w:rsid w:val="0033588B"/>
    <w:rsid w:val="0033596B"/>
    <w:rsid w:val="00335A93"/>
    <w:rsid w:val="0033650E"/>
    <w:rsid w:val="00336907"/>
    <w:rsid w:val="003369DF"/>
    <w:rsid w:val="00336AD1"/>
    <w:rsid w:val="00336C71"/>
    <w:rsid w:val="00336D96"/>
    <w:rsid w:val="00336DFC"/>
    <w:rsid w:val="00337230"/>
    <w:rsid w:val="003377D0"/>
    <w:rsid w:val="00337D75"/>
    <w:rsid w:val="00340020"/>
    <w:rsid w:val="00340AFD"/>
    <w:rsid w:val="00341162"/>
    <w:rsid w:val="00341866"/>
    <w:rsid w:val="00341DAF"/>
    <w:rsid w:val="00342181"/>
    <w:rsid w:val="00342B37"/>
    <w:rsid w:val="00343560"/>
    <w:rsid w:val="00343A20"/>
    <w:rsid w:val="0034402B"/>
    <w:rsid w:val="0034449E"/>
    <w:rsid w:val="003449F4"/>
    <w:rsid w:val="00344D46"/>
    <w:rsid w:val="00345337"/>
    <w:rsid w:val="003465A5"/>
    <w:rsid w:val="00346817"/>
    <w:rsid w:val="00347440"/>
    <w:rsid w:val="003475EA"/>
    <w:rsid w:val="00347A27"/>
    <w:rsid w:val="00347CD4"/>
    <w:rsid w:val="00347E2E"/>
    <w:rsid w:val="00350A55"/>
    <w:rsid w:val="00350DF8"/>
    <w:rsid w:val="00351A8A"/>
    <w:rsid w:val="0035266A"/>
    <w:rsid w:val="0035279C"/>
    <w:rsid w:val="003535D2"/>
    <w:rsid w:val="0035384D"/>
    <w:rsid w:val="00353C0B"/>
    <w:rsid w:val="00354472"/>
    <w:rsid w:val="00354AE4"/>
    <w:rsid w:val="00354B0A"/>
    <w:rsid w:val="0035551B"/>
    <w:rsid w:val="003555ED"/>
    <w:rsid w:val="00355911"/>
    <w:rsid w:val="00355BFC"/>
    <w:rsid w:val="0035636B"/>
    <w:rsid w:val="003564CC"/>
    <w:rsid w:val="00357424"/>
    <w:rsid w:val="00357BE9"/>
    <w:rsid w:val="003601A2"/>
    <w:rsid w:val="00361789"/>
    <w:rsid w:val="0036196D"/>
    <w:rsid w:val="00361A59"/>
    <w:rsid w:val="00362136"/>
    <w:rsid w:val="003627BD"/>
    <w:rsid w:val="00362997"/>
    <w:rsid w:val="00362C59"/>
    <w:rsid w:val="00363040"/>
    <w:rsid w:val="003630B7"/>
    <w:rsid w:val="00363786"/>
    <w:rsid w:val="003638A4"/>
    <w:rsid w:val="003639BF"/>
    <w:rsid w:val="00363E41"/>
    <w:rsid w:val="00363FD2"/>
    <w:rsid w:val="00364653"/>
    <w:rsid w:val="003650F3"/>
    <w:rsid w:val="0036572E"/>
    <w:rsid w:val="00366168"/>
    <w:rsid w:val="003663D9"/>
    <w:rsid w:val="003666BF"/>
    <w:rsid w:val="00366707"/>
    <w:rsid w:val="00366FA9"/>
    <w:rsid w:val="00367B19"/>
    <w:rsid w:val="00367E49"/>
    <w:rsid w:val="003700E6"/>
    <w:rsid w:val="0037017C"/>
    <w:rsid w:val="00370490"/>
    <w:rsid w:val="00370C7E"/>
    <w:rsid w:val="00371C86"/>
    <w:rsid w:val="0037236C"/>
    <w:rsid w:val="003729DE"/>
    <w:rsid w:val="00372EA2"/>
    <w:rsid w:val="0037345A"/>
    <w:rsid w:val="003735D3"/>
    <w:rsid w:val="0037386D"/>
    <w:rsid w:val="00373956"/>
    <w:rsid w:val="00374153"/>
    <w:rsid w:val="00374671"/>
    <w:rsid w:val="003750E0"/>
    <w:rsid w:val="00375AF1"/>
    <w:rsid w:val="00375C2F"/>
    <w:rsid w:val="00375FC5"/>
    <w:rsid w:val="003769BA"/>
    <w:rsid w:val="00377871"/>
    <w:rsid w:val="003778B2"/>
    <w:rsid w:val="00377E58"/>
    <w:rsid w:val="003805E3"/>
    <w:rsid w:val="00380618"/>
    <w:rsid w:val="0038062E"/>
    <w:rsid w:val="003806D7"/>
    <w:rsid w:val="003807F7"/>
    <w:rsid w:val="00381610"/>
    <w:rsid w:val="00381C9E"/>
    <w:rsid w:val="00381CA8"/>
    <w:rsid w:val="00382106"/>
    <w:rsid w:val="00382657"/>
    <w:rsid w:val="00382708"/>
    <w:rsid w:val="00382B82"/>
    <w:rsid w:val="003844BF"/>
    <w:rsid w:val="00384E89"/>
    <w:rsid w:val="003854D5"/>
    <w:rsid w:val="0038552A"/>
    <w:rsid w:val="003859EA"/>
    <w:rsid w:val="0038709E"/>
    <w:rsid w:val="00387D30"/>
    <w:rsid w:val="003901A4"/>
    <w:rsid w:val="00391753"/>
    <w:rsid w:val="00391C7F"/>
    <w:rsid w:val="00392454"/>
    <w:rsid w:val="00392C85"/>
    <w:rsid w:val="00392FD8"/>
    <w:rsid w:val="00393E11"/>
    <w:rsid w:val="00394475"/>
    <w:rsid w:val="0039517A"/>
    <w:rsid w:val="003954FE"/>
    <w:rsid w:val="00395B51"/>
    <w:rsid w:val="00396796"/>
    <w:rsid w:val="00396EC6"/>
    <w:rsid w:val="003970BA"/>
    <w:rsid w:val="0039746C"/>
    <w:rsid w:val="00397DC6"/>
    <w:rsid w:val="003A0E82"/>
    <w:rsid w:val="003A0FAC"/>
    <w:rsid w:val="003A184D"/>
    <w:rsid w:val="003A1FB7"/>
    <w:rsid w:val="003A2773"/>
    <w:rsid w:val="003A371E"/>
    <w:rsid w:val="003A3957"/>
    <w:rsid w:val="003A3E29"/>
    <w:rsid w:val="003A439B"/>
    <w:rsid w:val="003A462A"/>
    <w:rsid w:val="003A595F"/>
    <w:rsid w:val="003A5EEC"/>
    <w:rsid w:val="003A6B7A"/>
    <w:rsid w:val="003A748F"/>
    <w:rsid w:val="003A79AE"/>
    <w:rsid w:val="003A7CA3"/>
    <w:rsid w:val="003B00B6"/>
    <w:rsid w:val="003B01C4"/>
    <w:rsid w:val="003B0BB0"/>
    <w:rsid w:val="003B11A0"/>
    <w:rsid w:val="003B11EE"/>
    <w:rsid w:val="003B15F8"/>
    <w:rsid w:val="003B166F"/>
    <w:rsid w:val="003B1B60"/>
    <w:rsid w:val="003B207E"/>
    <w:rsid w:val="003B230B"/>
    <w:rsid w:val="003B23BC"/>
    <w:rsid w:val="003B28BA"/>
    <w:rsid w:val="003B28F6"/>
    <w:rsid w:val="003B2DB5"/>
    <w:rsid w:val="003B2F05"/>
    <w:rsid w:val="003B3966"/>
    <w:rsid w:val="003B39B7"/>
    <w:rsid w:val="003B4754"/>
    <w:rsid w:val="003B4EB0"/>
    <w:rsid w:val="003B5094"/>
    <w:rsid w:val="003B5F6A"/>
    <w:rsid w:val="003B6B7F"/>
    <w:rsid w:val="003B7820"/>
    <w:rsid w:val="003C01A4"/>
    <w:rsid w:val="003C0219"/>
    <w:rsid w:val="003C0941"/>
    <w:rsid w:val="003C0C12"/>
    <w:rsid w:val="003C0DCD"/>
    <w:rsid w:val="003C0E6B"/>
    <w:rsid w:val="003C16EE"/>
    <w:rsid w:val="003C1C87"/>
    <w:rsid w:val="003C1D4D"/>
    <w:rsid w:val="003C2927"/>
    <w:rsid w:val="003C2C85"/>
    <w:rsid w:val="003C2F61"/>
    <w:rsid w:val="003C345E"/>
    <w:rsid w:val="003C4409"/>
    <w:rsid w:val="003C4997"/>
    <w:rsid w:val="003C4DA5"/>
    <w:rsid w:val="003C502A"/>
    <w:rsid w:val="003C5666"/>
    <w:rsid w:val="003C60A7"/>
    <w:rsid w:val="003C60CC"/>
    <w:rsid w:val="003C64F4"/>
    <w:rsid w:val="003C6D4E"/>
    <w:rsid w:val="003C6EB7"/>
    <w:rsid w:val="003C724B"/>
    <w:rsid w:val="003C73DB"/>
    <w:rsid w:val="003D0185"/>
    <w:rsid w:val="003D02CB"/>
    <w:rsid w:val="003D0382"/>
    <w:rsid w:val="003D069C"/>
    <w:rsid w:val="003D18F6"/>
    <w:rsid w:val="003D191E"/>
    <w:rsid w:val="003D1A19"/>
    <w:rsid w:val="003D2027"/>
    <w:rsid w:val="003D22A5"/>
    <w:rsid w:val="003D23A4"/>
    <w:rsid w:val="003D3414"/>
    <w:rsid w:val="003D3426"/>
    <w:rsid w:val="003D3654"/>
    <w:rsid w:val="003D3721"/>
    <w:rsid w:val="003D413A"/>
    <w:rsid w:val="003D6722"/>
    <w:rsid w:val="003D7428"/>
    <w:rsid w:val="003D77F2"/>
    <w:rsid w:val="003D78CC"/>
    <w:rsid w:val="003D7D01"/>
    <w:rsid w:val="003D7ED8"/>
    <w:rsid w:val="003E0003"/>
    <w:rsid w:val="003E0099"/>
    <w:rsid w:val="003E08C7"/>
    <w:rsid w:val="003E122B"/>
    <w:rsid w:val="003E1427"/>
    <w:rsid w:val="003E1A72"/>
    <w:rsid w:val="003E27B8"/>
    <w:rsid w:val="003E2880"/>
    <w:rsid w:val="003E28FB"/>
    <w:rsid w:val="003E2A00"/>
    <w:rsid w:val="003E382C"/>
    <w:rsid w:val="003E3D00"/>
    <w:rsid w:val="003E4487"/>
    <w:rsid w:val="003E4531"/>
    <w:rsid w:val="003E4771"/>
    <w:rsid w:val="003E52E3"/>
    <w:rsid w:val="003E541C"/>
    <w:rsid w:val="003E54A8"/>
    <w:rsid w:val="003E5833"/>
    <w:rsid w:val="003E5DA8"/>
    <w:rsid w:val="003E7109"/>
    <w:rsid w:val="003E77DC"/>
    <w:rsid w:val="003E7BC1"/>
    <w:rsid w:val="003F0453"/>
    <w:rsid w:val="003F0C9F"/>
    <w:rsid w:val="003F144A"/>
    <w:rsid w:val="003F1B02"/>
    <w:rsid w:val="003F1EFE"/>
    <w:rsid w:val="003F2240"/>
    <w:rsid w:val="003F2460"/>
    <w:rsid w:val="003F28DA"/>
    <w:rsid w:val="003F2E7B"/>
    <w:rsid w:val="003F3CD5"/>
    <w:rsid w:val="003F4473"/>
    <w:rsid w:val="003F4CF5"/>
    <w:rsid w:val="003F4E31"/>
    <w:rsid w:val="003F51EE"/>
    <w:rsid w:val="003F574E"/>
    <w:rsid w:val="003F60D6"/>
    <w:rsid w:val="003F68E9"/>
    <w:rsid w:val="003F728C"/>
    <w:rsid w:val="003F7E15"/>
    <w:rsid w:val="003F7FDA"/>
    <w:rsid w:val="00400E65"/>
    <w:rsid w:val="004013AD"/>
    <w:rsid w:val="00401E20"/>
    <w:rsid w:val="004021C0"/>
    <w:rsid w:val="004024F9"/>
    <w:rsid w:val="004028CE"/>
    <w:rsid w:val="0040313D"/>
    <w:rsid w:val="004043FA"/>
    <w:rsid w:val="00404970"/>
    <w:rsid w:val="00405181"/>
    <w:rsid w:val="0040567F"/>
    <w:rsid w:val="00405727"/>
    <w:rsid w:val="00405873"/>
    <w:rsid w:val="00405F09"/>
    <w:rsid w:val="004066F4"/>
    <w:rsid w:val="00406A32"/>
    <w:rsid w:val="0040760B"/>
    <w:rsid w:val="00410117"/>
    <w:rsid w:val="00410C32"/>
    <w:rsid w:val="0041122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D68"/>
    <w:rsid w:val="00414FD9"/>
    <w:rsid w:val="00415773"/>
    <w:rsid w:val="00415CAE"/>
    <w:rsid w:val="00415EE7"/>
    <w:rsid w:val="00415FD6"/>
    <w:rsid w:val="004160FA"/>
    <w:rsid w:val="0041669E"/>
    <w:rsid w:val="00416ACA"/>
    <w:rsid w:val="00416C56"/>
    <w:rsid w:val="00417294"/>
    <w:rsid w:val="004176B8"/>
    <w:rsid w:val="00417724"/>
    <w:rsid w:val="00417B99"/>
    <w:rsid w:val="00417CE0"/>
    <w:rsid w:val="004209D5"/>
    <w:rsid w:val="00420FAF"/>
    <w:rsid w:val="00421184"/>
    <w:rsid w:val="004212C1"/>
    <w:rsid w:val="004214B7"/>
    <w:rsid w:val="00421510"/>
    <w:rsid w:val="00421FB5"/>
    <w:rsid w:val="004226ED"/>
    <w:rsid w:val="00422AF4"/>
    <w:rsid w:val="004235F4"/>
    <w:rsid w:val="004236C9"/>
    <w:rsid w:val="00423CF3"/>
    <w:rsid w:val="00423E18"/>
    <w:rsid w:val="004245E4"/>
    <w:rsid w:val="00424B7C"/>
    <w:rsid w:val="0042500C"/>
    <w:rsid w:val="00425514"/>
    <w:rsid w:val="004256BD"/>
    <w:rsid w:val="00425863"/>
    <w:rsid w:val="00425D02"/>
    <w:rsid w:val="00425EDC"/>
    <w:rsid w:val="00426C3E"/>
    <w:rsid w:val="00426CF3"/>
    <w:rsid w:val="004275CD"/>
    <w:rsid w:val="00427E74"/>
    <w:rsid w:val="00427FEB"/>
    <w:rsid w:val="00427FF2"/>
    <w:rsid w:val="0043013F"/>
    <w:rsid w:val="004305C0"/>
    <w:rsid w:val="00430B20"/>
    <w:rsid w:val="00430B6C"/>
    <w:rsid w:val="0043227C"/>
    <w:rsid w:val="004330B1"/>
    <w:rsid w:val="004335C0"/>
    <w:rsid w:val="004337B7"/>
    <w:rsid w:val="00433B34"/>
    <w:rsid w:val="00435121"/>
    <w:rsid w:val="00435470"/>
    <w:rsid w:val="00435715"/>
    <w:rsid w:val="0043571B"/>
    <w:rsid w:val="00435EE0"/>
    <w:rsid w:val="00435F29"/>
    <w:rsid w:val="0043610C"/>
    <w:rsid w:val="004366FF"/>
    <w:rsid w:val="00437D83"/>
    <w:rsid w:val="004401DD"/>
    <w:rsid w:val="00440344"/>
    <w:rsid w:val="00441264"/>
    <w:rsid w:val="00441B0F"/>
    <w:rsid w:val="00441F06"/>
    <w:rsid w:val="004425C6"/>
    <w:rsid w:val="00443D5D"/>
    <w:rsid w:val="00445CBA"/>
    <w:rsid w:val="004463CB"/>
    <w:rsid w:val="004466F7"/>
    <w:rsid w:val="00446858"/>
    <w:rsid w:val="00447304"/>
    <w:rsid w:val="004476F6"/>
    <w:rsid w:val="00447CDD"/>
    <w:rsid w:val="00450127"/>
    <w:rsid w:val="0045075F"/>
    <w:rsid w:val="004516AD"/>
    <w:rsid w:val="00451E84"/>
    <w:rsid w:val="00451EA3"/>
    <w:rsid w:val="00451F01"/>
    <w:rsid w:val="00452433"/>
    <w:rsid w:val="00452576"/>
    <w:rsid w:val="00454660"/>
    <w:rsid w:val="004546A7"/>
    <w:rsid w:val="00454831"/>
    <w:rsid w:val="004548DF"/>
    <w:rsid w:val="00456CC0"/>
    <w:rsid w:val="00457933"/>
    <w:rsid w:val="00457C78"/>
    <w:rsid w:val="0046068D"/>
    <w:rsid w:val="00460735"/>
    <w:rsid w:val="00460AD5"/>
    <w:rsid w:val="00460EB8"/>
    <w:rsid w:val="00461090"/>
    <w:rsid w:val="00461991"/>
    <w:rsid w:val="00461ACB"/>
    <w:rsid w:val="00461C43"/>
    <w:rsid w:val="00462125"/>
    <w:rsid w:val="00463216"/>
    <w:rsid w:val="0046334D"/>
    <w:rsid w:val="00463911"/>
    <w:rsid w:val="00463C95"/>
    <w:rsid w:val="00463E1C"/>
    <w:rsid w:val="00464052"/>
    <w:rsid w:val="00465153"/>
    <w:rsid w:val="00465602"/>
    <w:rsid w:val="004656A4"/>
    <w:rsid w:val="00466488"/>
    <w:rsid w:val="00466A4A"/>
    <w:rsid w:val="00466AFD"/>
    <w:rsid w:val="00466DCD"/>
    <w:rsid w:val="00470696"/>
    <w:rsid w:val="004713A5"/>
    <w:rsid w:val="0047162F"/>
    <w:rsid w:val="00472177"/>
    <w:rsid w:val="00472234"/>
    <w:rsid w:val="004724C9"/>
    <w:rsid w:val="00472585"/>
    <w:rsid w:val="00472FC3"/>
    <w:rsid w:val="00474130"/>
    <w:rsid w:val="00474EDD"/>
    <w:rsid w:val="00475A6C"/>
    <w:rsid w:val="004764AF"/>
    <w:rsid w:val="00476D04"/>
    <w:rsid w:val="00476F58"/>
    <w:rsid w:val="0047775E"/>
    <w:rsid w:val="00477AAE"/>
    <w:rsid w:val="00477AF6"/>
    <w:rsid w:val="00477B3B"/>
    <w:rsid w:val="00477BCB"/>
    <w:rsid w:val="004801A7"/>
    <w:rsid w:val="00480E47"/>
    <w:rsid w:val="00480F16"/>
    <w:rsid w:val="00481666"/>
    <w:rsid w:val="0048181B"/>
    <w:rsid w:val="00481F2B"/>
    <w:rsid w:val="004820C5"/>
    <w:rsid w:val="00482198"/>
    <w:rsid w:val="004823D8"/>
    <w:rsid w:val="0048292A"/>
    <w:rsid w:val="00482F20"/>
    <w:rsid w:val="00483196"/>
    <w:rsid w:val="0048340F"/>
    <w:rsid w:val="0048423C"/>
    <w:rsid w:val="00484449"/>
    <w:rsid w:val="004852CE"/>
    <w:rsid w:val="0048540C"/>
    <w:rsid w:val="00485F92"/>
    <w:rsid w:val="004860BD"/>
    <w:rsid w:val="004866E1"/>
    <w:rsid w:val="00486C72"/>
    <w:rsid w:val="00487406"/>
    <w:rsid w:val="00487D3A"/>
    <w:rsid w:val="00490954"/>
    <w:rsid w:val="0049102F"/>
    <w:rsid w:val="0049277A"/>
    <w:rsid w:val="00492B38"/>
    <w:rsid w:val="00492FE4"/>
    <w:rsid w:val="00493035"/>
    <w:rsid w:val="0049330F"/>
    <w:rsid w:val="00493321"/>
    <w:rsid w:val="004936DE"/>
    <w:rsid w:val="004949B0"/>
    <w:rsid w:val="00494A50"/>
    <w:rsid w:val="0049544E"/>
    <w:rsid w:val="00495670"/>
    <w:rsid w:val="0049567B"/>
    <w:rsid w:val="0049604B"/>
    <w:rsid w:val="00496666"/>
    <w:rsid w:val="00496AC9"/>
    <w:rsid w:val="004A040E"/>
    <w:rsid w:val="004A042D"/>
    <w:rsid w:val="004A11E0"/>
    <w:rsid w:val="004A1953"/>
    <w:rsid w:val="004A1FC5"/>
    <w:rsid w:val="004A2158"/>
    <w:rsid w:val="004A29A5"/>
    <w:rsid w:val="004A3225"/>
    <w:rsid w:val="004A374A"/>
    <w:rsid w:val="004A395B"/>
    <w:rsid w:val="004A3C59"/>
    <w:rsid w:val="004A3FE2"/>
    <w:rsid w:val="004A4195"/>
    <w:rsid w:val="004A480D"/>
    <w:rsid w:val="004A4D76"/>
    <w:rsid w:val="004A5851"/>
    <w:rsid w:val="004A5A91"/>
    <w:rsid w:val="004A5B0F"/>
    <w:rsid w:val="004A5CF1"/>
    <w:rsid w:val="004A66E0"/>
    <w:rsid w:val="004A7AAE"/>
    <w:rsid w:val="004A7D49"/>
    <w:rsid w:val="004A7E52"/>
    <w:rsid w:val="004A7E98"/>
    <w:rsid w:val="004A7F21"/>
    <w:rsid w:val="004B08DB"/>
    <w:rsid w:val="004B1422"/>
    <w:rsid w:val="004B18F7"/>
    <w:rsid w:val="004B1DF2"/>
    <w:rsid w:val="004B24EB"/>
    <w:rsid w:val="004B29AC"/>
    <w:rsid w:val="004B3C8B"/>
    <w:rsid w:val="004B41EF"/>
    <w:rsid w:val="004B44A9"/>
    <w:rsid w:val="004B4509"/>
    <w:rsid w:val="004B452A"/>
    <w:rsid w:val="004B4871"/>
    <w:rsid w:val="004B4ADF"/>
    <w:rsid w:val="004B4C00"/>
    <w:rsid w:val="004B4E06"/>
    <w:rsid w:val="004B5493"/>
    <w:rsid w:val="004B5914"/>
    <w:rsid w:val="004B6C77"/>
    <w:rsid w:val="004B6D0A"/>
    <w:rsid w:val="004B6DA4"/>
    <w:rsid w:val="004B77F1"/>
    <w:rsid w:val="004B794C"/>
    <w:rsid w:val="004B7995"/>
    <w:rsid w:val="004C02B3"/>
    <w:rsid w:val="004C098E"/>
    <w:rsid w:val="004C0BBE"/>
    <w:rsid w:val="004C0E2F"/>
    <w:rsid w:val="004C1705"/>
    <w:rsid w:val="004C222E"/>
    <w:rsid w:val="004C2561"/>
    <w:rsid w:val="004C25B4"/>
    <w:rsid w:val="004C2806"/>
    <w:rsid w:val="004C3A7A"/>
    <w:rsid w:val="004C3ADD"/>
    <w:rsid w:val="004C428E"/>
    <w:rsid w:val="004C441A"/>
    <w:rsid w:val="004C4775"/>
    <w:rsid w:val="004C483D"/>
    <w:rsid w:val="004C48A9"/>
    <w:rsid w:val="004C49B3"/>
    <w:rsid w:val="004C4D05"/>
    <w:rsid w:val="004C4FF6"/>
    <w:rsid w:val="004C590B"/>
    <w:rsid w:val="004C6017"/>
    <w:rsid w:val="004C63C7"/>
    <w:rsid w:val="004C6D39"/>
    <w:rsid w:val="004C6D98"/>
    <w:rsid w:val="004C7217"/>
    <w:rsid w:val="004C7743"/>
    <w:rsid w:val="004C77A7"/>
    <w:rsid w:val="004D039E"/>
    <w:rsid w:val="004D04A3"/>
    <w:rsid w:val="004D0C9F"/>
    <w:rsid w:val="004D15FD"/>
    <w:rsid w:val="004D1A0A"/>
    <w:rsid w:val="004D2369"/>
    <w:rsid w:val="004D2485"/>
    <w:rsid w:val="004D25D5"/>
    <w:rsid w:val="004D3A57"/>
    <w:rsid w:val="004D47FF"/>
    <w:rsid w:val="004D4D35"/>
    <w:rsid w:val="004D4E0D"/>
    <w:rsid w:val="004D518F"/>
    <w:rsid w:val="004D54D7"/>
    <w:rsid w:val="004D5BB7"/>
    <w:rsid w:val="004D6053"/>
    <w:rsid w:val="004D6FA4"/>
    <w:rsid w:val="004D7034"/>
    <w:rsid w:val="004D7C23"/>
    <w:rsid w:val="004E01C6"/>
    <w:rsid w:val="004E0212"/>
    <w:rsid w:val="004E0ADC"/>
    <w:rsid w:val="004E0FB1"/>
    <w:rsid w:val="004E1043"/>
    <w:rsid w:val="004E1DCA"/>
    <w:rsid w:val="004E21B4"/>
    <w:rsid w:val="004E252B"/>
    <w:rsid w:val="004E2861"/>
    <w:rsid w:val="004E2A85"/>
    <w:rsid w:val="004E308A"/>
    <w:rsid w:val="004E3F72"/>
    <w:rsid w:val="004E4A78"/>
    <w:rsid w:val="004E551E"/>
    <w:rsid w:val="004E584D"/>
    <w:rsid w:val="004E58F6"/>
    <w:rsid w:val="004E5E37"/>
    <w:rsid w:val="004E5E4C"/>
    <w:rsid w:val="004E5F79"/>
    <w:rsid w:val="004E623E"/>
    <w:rsid w:val="004E6589"/>
    <w:rsid w:val="004E6CF9"/>
    <w:rsid w:val="004E7152"/>
    <w:rsid w:val="004E734E"/>
    <w:rsid w:val="004E7EC0"/>
    <w:rsid w:val="004E7F48"/>
    <w:rsid w:val="004F014E"/>
    <w:rsid w:val="004F023B"/>
    <w:rsid w:val="004F0BC6"/>
    <w:rsid w:val="004F1123"/>
    <w:rsid w:val="004F12D3"/>
    <w:rsid w:val="004F1715"/>
    <w:rsid w:val="004F17DA"/>
    <w:rsid w:val="004F355B"/>
    <w:rsid w:val="004F3BD2"/>
    <w:rsid w:val="004F3BEA"/>
    <w:rsid w:val="004F4372"/>
    <w:rsid w:val="004F43E0"/>
    <w:rsid w:val="004F45EB"/>
    <w:rsid w:val="004F49F4"/>
    <w:rsid w:val="004F4A33"/>
    <w:rsid w:val="004F5079"/>
    <w:rsid w:val="004F521B"/>
    <w:rsid w:val="004F52BB"/>
    <w:rsid w:val="004F5582"/>
    <w:rsid w:val="004F56B1"/>
    <w:rsid w:val="004F59B8"/>
    <w:rsid w:val="004F62A7"/>
    <w:rsid w:val="004F62F9"/>
    <w:rsid w:val="004F66B3"/>
    <w:rsid w:val="004F6FA7"/>
    <w:rsid w:val="004F72DA"/>
    <w:rsid w:val="004F7352"/>
    <w:rsid w:val="004F7889"/>
    <w:rsid w:val="00500098"/>
    <w:rsid w:val="0050015C"/>
    <w:rsid w:val="00500418"/>
    <w:rsid w:val="00500CCF"/>
    <w:rsid w:val="00500E62"/>
    <w:rsid w:val="00500FEC"/>
    <w:rsid w:val="005010DE"/>
    <w:rsid w:val="005011FD"/>
    <w:rsid w:val="0050164B"/>
    <w:rsid w:val="00501AA5"/>
    <w:rsid w:val="00502958"/>
    <w:rsid w:val="00502BD2"/>
    <w:rsid w:val="00502DA4"/>
    <w:rsid w:val="00503790"/>
    <w:rsid w:val="005038F3"/>
    <w:rsid w:val="00503F83"/>
    <w:rsid w:val="0050421C"/>
    <w:rsid w:val="005048FF"/>
    <w:rsid w:val="00504A9B"/>
    <w:rsid w:val="00504E9A"/>
    <w:rsid w:val="00504F83"/>
    <w:rsid w:val="005059B9"/>
    <w:rsid w:val="00505F64"/>
    <w:rsid w:val="00506DCD"/>
    <w:rsid w:val="00507325"/>
    <w:rsid w:val="00507583"/>
    <w:rsid w:val="00507C56"/>
    <w:rsid w:val="00507F13"/>
    <w:rsid w:val="005109D4"/>
    <w:rsid w:val="00510CF4"/>
    <w:rsid w:val="0051160A"/>
    <w:rsid w:val="005118BA"/>
    <w:rsid w:val="00511C56"/>
    <w:rsid w:val="00512A4D"/>
    <w:rsid w:val="00512D87"/>
    <w:rsid w:val="005130DA"/>
    <w:rsid w:val="00513DDA"/>
    <w:rsid w:val="00513E19"/>
    <w:rsid w:val="005148B4"/>
    <w:rsid w:val="00514B29"/>
    <w:rsid w:val="00514E8C"/>
    <w:rsid w:val="005152B1"/>
    <w:rsid w:val="005152F0"/>
    <w:rsid w:val="0051532D"/>
    <w:rsid w:val="00515856"/>
    <w:rsid w:val="005163E6"/>
    <w:rsid w:val="00516D23"/>
    <w:rsid w:val="005172EC"/>
    <w:rsid w:val="0051740D"/>
    <w:rsid w:val="005178CE"/>
    <w:rsid w:val="00521356"/>
    <w:rsid w:val="00521CAB"/>
    <w:rsid w:val="00521DFB"/>
    <w:rsid w:val="005224EF"/>
    <w:rsid w:val="00522654"/>
    <w:rsid w:val="00522835"/>
    <w:rsid w:val="0052293D"/>
    <w:rsid w:val="00522AF4"/>
    <w:rsid w:val="00523499"/>
    <w:rsid w:val="00523BC7"/>
    <w:rsid w:val="00523C08"/>
    <w:rsid w:val="00523C10"/>
    <w:rsid w:val="00523E23"/>
    <w:rsid w:val="005245D5"/>
    <w:rsid w:val="005247FE"/>
    <w:rsid w:val="00524889"/>
    <w:rsid w:val="0052575D"/>
    <w:rsid w:val="005259FC"/>
    <w:rsid w:val="00525A53"/>
    <w:rsid w:val="005260F1"/>
    <w:rsid w:val="00526569"/>
    <w:rsid w:val="00526726"/>
    <w:rsid w:val="00526F91"/>
    <w:rsid w:val="00527256"/>
    <w:rsid w:val="00527934"/>
    <w:rsid w:val="00527B57"/>
    <w:rsid w:val="00527C8D"/>
    <w:rsid w:val="00527C9C"/>
    <w:rsid w:val="005306B7"/>
    <w:rsid w:val="00530AC4"/>
    <w:rsid w:val="00531F7B"/>
    <w:rsid w:val="00532064"/>
    <w:rsid w:val="0053268A"/>
    <w:rsid w:val="0053309E"/>
    <w:rsid w:val="00533169"/>
    <w:rsid w:val="00533194"/>
    <w:rsid w:val="005332C8"/>
    <w:rsid w:val="00534021"/>
    <w:rsid w:val="0053464E"/>
    <w:rsid w:val="00534CBD"/>
    <w:rsid w:val="005352C8"/>
    <w:rsid w:val="005354C1"/>
    <w:rsid w:val="00535F99"/>
    <w:rsid w:val="005361DE"/>
    <w:rsid w:val="00536356"/>
    <w:rsid w:val="00536CBB"/>
    <w:rsid w:val="00536DDD"/>
    <w:rsid w:val="00537033"/>
    <w:rsid w:val="0054004B"/>
    <w:rsid w:val="00540A37"/>
    <w:rsid w:val="00540B49"/>
    <w:rsid w:val="005416D7"/>
    <w:rsid w:val="005418DB"/>
    <w:rsid w:val="0054230B"/>
    <w:rsid w:val="005434EA"/>
    <w:rsid w:val="00544ABA"/>
    <w:rsid w:val="00544F0B"/>
    <w:rsid w:val="00545D55"/>
    <w:rsid w:val="00545FE8"/>
    <w:rsid w:val="005461AB"/>
    <w:rsid w:val="00546C6A"/>
    <w:rsid w:val="00546FBA"/>
    <w:rsid w:val="00547F04"/>
    <w:rsid w:val="00550924"/>
    <w:rsid w:val="00550D63"/>
    <w:rsid w:val="00550EF1"/>
    <w:rsid w:val="00551075"/>
    <w:rsid w:val="005513C8"/>
    <w:rsid w:val="0055236E"/>
    <w:rsid w:val="0055352C"/>
    <w:rsid w:val="005538A6"/>
    <w:rsid w:val="00554F94"/>
    <w:rsid w:val="00555161"/>
    <w:rsid w:val="005557E2"/>
    <w:rsid w:val="00555A59"/>
    <w:rsid w:val="00555DE6"/>
    <w:rsid w:val="00555EB3"/>
    <w:rsid w:val="005567F6"/>
    <w:rsid w:val="00556E29"/>
    <w:rsid w:val="00557474"/>
    <w:rsid w:val="00557DAA"/>
    <w:rsid w:val="00557DAD"/>
    <w:rsid w:val="00561138"/>
    <w:rsid w:val="00561699"/>
    <w:rsid w:val="0056194F"/>
    <w:rsid w:val="005619E1"/>
    <w:rsid w:val="00562629"/>
    <w:rsid w:val="005628FE"/>
    <w:rsid w:val="0056364B"/>
    <w:rsid w:val="00563D49"/>
    <w:rsid w:val="00564191"/>
    <w:rsid w:val="00564557"/>
    <w:rsid w:val="0056458C"/>
    <w:rsid w:val="00564628"/>
    <w:rsid w:val="005648B9"/>
    <w:rsid w:val="00564A3C"/>
    <w:rsid w:val="00564F82"/>
    <w:rsid w:val="00564FF6"/>
    <w:rsid w:val="00565270"/>
    <w:rsid w:val="005653AF"/>
    <w:rsid w:val="00565501"/>
    <w:rsid w:val="00565755"/>
    <w:rsid w:val="0056601E"/>
    <w:rsid w:val="00566406"/>
    <w:rsid w:val="005664A6"/>
    <w:rsid w:val="00566538"/>
    <w:rsid w:val="0056725A"/>
    <w:rsid w:val="0056741F"/>
    <w:rsid w:val="00567647"/>
    <w:rsid w:val="0056781B"/>
    <w:rsid w:val="00567BE2"/>
    <w:rsid w:val="00570102"/>
    <w:rsid w:val="00570505"/>
    <w:rsid w:val="005712E6"/>
    <w:rsid w:val="00572942"/>
    <w:rsid w:val="005730DB"/>
    <w:rsid w:val="00573251"/>
    <w:rsid w:val="005733A8"/>
    <w:rsid w:val="005734F9"/>
    <w:rsid w:val="00573B5B"/>
    <w:rsid w:val="00573F55"/>
    <w:rsid w:val="00574070"/>
    <w:rsid w:val="00575148"/>
    <w:rsid w:val="0057540E"/>
    <w:rsid w:val="005757B6"/>
    <w:rsid w:val="005761E2"/>
    <w:rsid w:val="0058000F"/>
    <w:rsid w:val="00580557"/>
    <w:rsid w:val="0058074F"/>
    <w:rsid w:val="00580A76"/>
    <w:rsid w:val="00580B85"/>
    <w:rsid w:val="00581042"/>
    <w:rsid w:val="00581703"/>
    <w:rsid w:val="00581B15"/>
    <w:rsid w:val="005821DD"/>
    <w:rsid w:val="0058317A"/>
    <w:rsid w:val="00583908"/>
    <w:rsid w:val="00583C9C"/>
    <w:rsid w:val="00584757"/>
    <w:rsid w:val="00584E21"/>
    <w:rsid w:val="0058608B"/>
    <w:rsid w:val="005863C1"/>
    <w:rsid w:val="0058654D"/>
    <w:rsid w:val="00586786"/>
    <w:rsid w:val="00587729"/>
    <w:rsid w:val="00587886"/>
    <w:rsid w:val="00587A66"/>
    <w:rsid w:val="00590147"/>
    <w:rsid w:val="00590BD1"/>
    <w:rsid w:val="00590D26"/>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6E1"/>
    <w:rsid w:val="00594B8A"/>
    <w:rsid w:val="00595009"/>
    <w:rsid w:val="005954B7"/>
    <w:rsid w:val="00595A05"/>
    <w:rsid w:val="00595BB4"/>
    <w:rsid w:val="00595F17"/>
    <w:rsid w:val="00595F3D"/>
    <w:rsid w:val="00595F89"/>
    <w:rsid w:val="005960C7"/>
    <w:rsid w:val="005963FB"/>
    <w:rsid w:val="00596873"/>
    <w:rsid w:val="00596BB3"/>
    <w:rsid w:val="00596BD4"/>
    <w:rsid w:val="00596FA8"/>
    <w:rsid w:val="005971A7"/>
    <w:rsid w:val="00597310"/>
    <w:rsid w:val="005977AB"/>
    <w:rsid w:val="005A01C5"/>
    <w:rsid w:val="005A02DD"/>
    <w:rsid w:val="005A0532"/>
    <w:rsid w:val="005A071C"/>
    <w:rsid w:val="005A07E7"/>
    <w:rsid w:val="005A0A57"/>
    <w:rsid w:val="005A0B9F"/>
    <w:rsid w:val="005A0DBB"/>
    <w:rsid w:val="005A0EBD"/>
    <w:rsid w:val="005A1270"/>
    <w:rsid w:val="005A1295"/>
    <w:rsid w:val="005A1FBF"/>
    <w:rsid w:val="005A1FD5"/>
    <w:rsid w:val="005A29B1"/>
    <w:rsid w:val="005A2EBF"/>
    <w:rsid w:val="005A31E7"/>
    <w:rsid w:val="005A3750"/>
    <w:rsid w:val="005A380B"/>
    <w:rsid w:val="005A4890"/>
    <w:rsid w:val="005A49D4"/>
    <w:rsid w:val="005A4D7C"/>
    <w:rsid w:val="005A51C9"/>
    <w:rsid w:val="005A5A96"/>
    <w:rsid w:val="005A5D7F"/>
    <w:rsid w:val="005A5DC0"/>
    <w:rsid w:val="005A65C3"/>
    <w:rsid w:val="005A6B6D"/>
    <w:rsid w:val="005A6ED5"/>
    <w:rsid w:val="005A6F0E"/>
    <w:rsid w:val="005A6F57"/>
    <w:rsid w:val="005A7235"/>
    <w:rsid w:val="005A795B"/>
    <w:rsid w:val="005A7BAF"/>
    <w:rsid w:val="005B05FA"/>
    <w:rsid w:val="005B0652"/>
    <w:rsid w:val="005B1213"/>
    <w:rsid w:val="005B1B55"/>
    <w:rsid w:val="005B1DBD"/>
    <w:rsid w:val="005B26B0"/>
    <w:rsid w:val="005B314F"/>
    <w:rsid w:val="005B3EBD"/>
    <w:rsid w:val="005B3F0C"/>
    <w:rsid w:val="005B48E8"/>
    <w:rsid w:val="005B5464"/>
    <w:rsid w:val="005B564F"/>
    <w:rsid w:val="005B56D9"/>
    <w:rsid w:val="005B5BA3"/>
    <w:rsid w:val="005B5E62"/>
    <w:rsid w:val="005B6DBE"/>
    <w:rsid w:val="005B7E97"/>
    <w:rsid w:val="005B7F46"/>
    <w:rsid w:val="005B7F4F"/>
    <w:rsid w:val="005C059E"/>
    <w:rsid w:val="005C07D2"/>
    <w:rsid w:val="005C09A7"/>
    <w:rsid w:val="005C0EA8"/>
    <w:rsid w:val="005C102D"/>
    <w:rsid w:val="005C132C"/>
    <w:rsid w:val="005C17FB"/>
    <w:rsid w:val="005C1833"/>
    <w:rsid w:val="005C1838"/>
    <w:rsid w:val="005C18C2"/>
    <w:rsid w:val="005C2063"/>
    <w:rsid w:val="005C244F"/>
    <w:rsid w:val="005C2767"/>
    <w:rsid w:val="005C2922"/>
    <w:rsid w:val="005C2C01"/>
    <w:rsid w:val="005C2F60"/>
    <w:rsid w:val="005C323D"/>
    <w:rsid w:val="005C3772"/>
    <w:rsid w:val="005C39C3"/>
    <w:rsid w:val="005C3FCC"/>
    <w:rsid w:val="005C4229"/>
    <w:rsid w:val="005C4580"/>
    <w:rsid w:val="005C5065"/>
    <w:rsid w:val="005C52F3"/>
    <w:rsid w:val="005C564C"/>
    <w:rsid w:val="005C6234"/>
    <w:rsid w:val="005C64DC"/>
    <w:rsid w:val="005C6605"/>
    <w:rsid w:val="005C6CCB"/>
    <w:rsid w:val="005C71A0"/>
    <w:rsid w:val="005C7802"/>
    <w:rsid w:val="005C7B50"/>
    <w:rsid w:val="005D029E"/>
    <w:rsid w:val="005D0427"/>
    <w:rsid w:val="005D0776"/>
    <w:rsid w:val="005D07AE"/>
    <w:rsid w:val="005D08FD"/>
    <w:rsid w:val="005D0C83"/>
    <w:rsid w:val="005D113B"/>
    <w:rsid w:val="005D1732"/>
    <w:rsid w:val="005D2D9A"/>
    <w:rsid w:val="005D2DF1"/>
    <w:rsid w:val="005D3A6E"/>
    <w:rsid w:val="005D3B21"/>
    <w:rsid w:val="005D4019"/>
    <w:rsid w:val="005D41DC"/>
    <w:rsid w:val="005D460F"/>
    <w:rsid w:val="005D4DC5"/>
    <w:rsid w:val="005D5442"/>
    <w:rsid w:val="005D5C0A"/>
    <w:rsid w:val="005D5C22"/>
    <w:rsid w:val="005D5E6C"/>
    <w:rsid w:val="005D63A9"/>
    <w:rsid w:val="005D65D5"/>
    <w:rsid w:val="005D6C56"/>
    <w:rsid w:val="005D6CED"/>
    <w:rsid w:val="005D6F49"/>
    <w:rsid w:val="005D7E8A"/>
    <w:rsid w:val="005E06FA"/>
    <w:rsid w:val="005E0FD0"/>
    <w:rsid w:val="005E11A5"/>
    <w:rsid w:val="005E13D4"/>
    <w:rsid w:val="005E1435"/>
    <w:rsid w:val="005E21F3"/>
    <w:rsid w:val="005E235C"/>
    <w:rsid w:val="005E3078"/>
    <w:rsid w:val="005E34C0"/>
    <w:rsid w:val="005E45F3"/>
    <w:rsid w:val="005E49CA"/>
    <w:rsid w:val="005E5384"/>
    <w:rsid w:val="005E5427"/>
    <w:rsid w:val="005E5428"/>
    <w:rsid w:val="005E5A7C"/>
    <w:rsid w:val="005E5C33"/>
    <w:rsid w:val="005E6976"/>
    <w:rsid w:val="005E703B"/>
    <w:rsid w:val="005E721A"/>
    <w:rsid w:val="005E74EC"/>
    <w:rsid w:val="005E7917"/>
    <w:rsid w:val="005E7AB6"/>
    <w:rsid w:val="005E7B1E"/>
    <w:rsid w:val="005E7CBC"/>
    <w:rsid w:val="005E7DB0"/>
    <w:rsid w:val="005F0A62"/>
    <w:rsid w:val="005F0FA8"/>
    <w:rsid w:val="005F1C5D"/>
    <w:rsid w:val="005F2317"/>
    <w:rsid w:val="005F2550"/>
    <w:rsid w:val="005F2B2D"/>
    <w:rsid w:val="005F2FD5"/>
    <w:rsid w:val="005F340A"/>
    <w:rsid w:val="005F359B"/>
    <w:rsid w:val="005F3869"/>
    <w:rsid w:val="005F3AE8"/>
    <w:rsid w:val="005F3B09"/>
    <w:rsid w:val="005F3B47"/>
    <w:rsid w:val="005F47C1"/>
    <w:rsid w:val="005F4926"/>
    <w:rsid w:val="005F4B6F"/>
    <w:rsid w:val="005F5009"/>
    <w:rsid w:val="005F5054"/>
    <w:rsid w:val="005F530F"/>
    <w:rsid w:val="005F5D2A"/>
    <w:rsid w:val="005F65D9"/>
    <w:rsid w:val="005F6768"/>
    <w:rsid w:val="005F69CF"/>
    <w:rsid w:val="005F6B00"/>
    <w:rsid w:val="005F6E39"/>
    <w:rsid w:val="005F6E58"/>
    <w:rsid w:val="005F7031"/>
    <w:rsid w:val="005F704C"/>
    <w:rsid w:val="005F7A22"/>
    <w:rsid w:val="005F7B9D"/>
    <w:rsid w:val="00600501"/>
    <w:rsid w:val="00600B0C"/>
    <w:rsid w:val="00602DFA"/>
    <w:rsid w:val="006031D1"/>
    <w:rsid w:val="006033BF"/>
    <w:rsid w:val="00603702"/>
    <w:rsid w:val="00603B4B"/>
    <w:rsid w:val="00603F20"/>
    <w:rsid w:val="006046A9"/>
    <w:rsid w:val="0060471B"/>
    <w:rsid w:val="00604F37"/>
    <w:rsid w:val="0060508A"/>
    <w:rsid w:val="006055AF"/>
    <w:rsid w:val="00605942"/>
    <w:rsid w:val="00605C9F"/>
    <w:rsid w:val="006068E8"/>
    <w:rsid w:val="00606ADB"/>
    <w:rsid w:val="006072DE"/>
    <w:rsid w:val="006075F4"/>
    <w:rsid w:val="006078A8"/>
    <w:rsid w:val="00607BAD"/>
    <w:rsid w:val="00607EC7"/>
    <w:rsid w:val="0061048A"/>
    <w:rsid w:val="00610AE7"/>
    <w:rsid w:val="00611178"/>
    <w:rsid w:val="0061148D"/>
    <w:rsid w:val="00611D01"/>
    <w:rsid w:val="006122EC"/>
    <w:rsid w:val="006124B3"/>
    <w:rsid w:val="00612611"/>
    <w:rsid w:val="0061279A"/>
    <w:rsid w:val="00612A10"/>
    <w:rsid w:val="00613009"/>
    <w:rsid w:val="006132EA"/>
    <w:rsid w:val="00613481"/>
    <w:rsid w:val="00613CA5"/>
    <w:rsid w:val="0061401C"/>
    <w:rsid w:val="0061420B"/>
    <w:rsid w:val="00614A59"/>
    <w:rsid w:val="00614BD4"/>
    <w:rsid w:val="00614D33"/>
    <w:rsid w:val="00614E7E"/>
    <w:rsid w:val="0061537D"/>
    <w:rsid w:val="0061537F"/>
    <w:rsid w:val="006156D7"/>
    <w:rsid w:val="00615CF1"/>
    <w:rsid w:val="00615DEA"/>
    <w:rsid w:val="006165A4"/>
    <w:rsid w:val="00616A60"/>
    <w:rsid w:val="00616D0C"/>
    <w:rsid w:val="00616EE6"/>
    <w:rsid w:val="006171FB"/>
    <w:rsid w:val="00617283"/>
    <w:rsid w:val="00617A2A"/>
    <w:rsid w:val="006207F4"/>
    <w:rsid w:val="00620C67"/>
    <w:rsid w:val="00621646"/>
    <w:rsid w:val="00621803"/>
    <w:rsid w:val="00621A34"/>
    <w:rsid w:val="00621A7A"/>
    <w:rsid w:val="006220F1"/>
    <w:rsid w:val="00623E46"/>
    <w:rsid w:val="00623FEB"/>
    <w:rsid w:val="00624604"/>
    <w:rsid w:val="00624D2C"/>
    <w:rsid w:val="00624EBD"/>
    <w:rsid w:val="00624F7F"/>
    <w:rsid w:val="00625142"/>
    <w:rsid w:val="00625145"/>
    <w:rsid w:val="00626768"/>
    <w:rsid w:val="00626F9D"/>
    <w:rsid w:val="00627402"/>
    <w:rsid w:val="00627403"/>
    <w:rsid w:val="00627474"/>
    <w:rsid w:val="00627CEA"/>
    <w:rsid w:val="00627E37"/>
    <w:rsid w:val="00630480"/>
    <w:rsid w:val="0063058E"/>
    <w:rsid w:val="006305F8"/>
    <w:rsid w:val="0063197B"/>
    <w:rsid w:val="006319D0"/>
    <w:rsid w:val="00631DA7"/>
    <w:rsid w:val="00631F1D"/>
    <w:rsid w:val="006327BB"/>
    <w:rsid w:val="00632B9C"/>
    <w:rsid w:val="00632F18"/>
    <w:rsid w:val="006332D7"/>
    <w:rsid w:val="0063333D"/>
    <w:rsid w:val="00634225"/>
    <w:rsid w:val="00635003"/>
    <w:rsid w:val="006351CE"/>
    <w:rsid w:val="006352FD"/>
    <w:rsid w:val="00635B15"/>
    <w:rsid w:val="00636037"/>
    <w:rsid w:val="006362E1"/>
    <w:rsid w:val="006367DA"/>
    <w:rsid w:val="00636F62"/>
    <w:rsid w:val="006370E1"/>
    <w:rsid w:val="00637382"/>
    <w:rsid w:val="006375B2"/>
    <w:rsid w:val="006375BB"/>
    <w:rsid w:val="006409EE"/>
    <w:rsid w:val="00640BF7"/>
    <w:rsid w:val="00640FFF"/>
    <w:rsid w:val="00641040"/>
    <w:rsid w:val="00641761"/>
    <w:rsid w:val="006419AF"/>
    <w:rsid w:val="00642517"/>
    <w:rsid w:val="006425FC"/>
    <w:rsid w:val="00642631"/>
    <w:rsid w:val="00642DF5"/>
    <w:rsid w:val="0064304A"/>
    <w:rsid w:val="0064380B"/>
    <w:rsid w:val="00643A4F"/>
    <w:rsid w:val="00643FF5"/>
    <w:rsid w:val="006441FD"/>
    <w:rsid w:val="00644E5A"/>
    <w:rsid w:val="00644F2C"/>
    <w:rsid w:val="00644FA4"/>
    <w:rsid w:val="00645065"/>
    <w:rsid w:val="006450DD"/>
    <w:rsid w:val="00645141"/>
    <w:rsid w:val="00645AEE"/>
    <w:rsid w:val="00646428"/>
    <w:rsid w:val="00646AFD"/>
    <w:rsid w:val="0064707F"/>
    <w:rsid w:val="006471E8"/>
    <w:rsid w:val="00647E90"/>
    <w:rsid w:val="00647FA3"/>
    <w:rsid w:val="006500F7"/>
    <w:rsid w:val="00650641"/>
    <w:rsid w:val="00650769"/>
    <w:rsid w:val="0065106D"/>
    <w:rsid w:val="006516B7"/>
    <w:rsid w:val="006518E4"/>
    <w:rsid w:val="006519F4"/>
    <w:rsid w:val="00651FB8"/>
    <w:rsid w:val="0065203F"/>
    <w:rsid w:val="006520D5"/>
    <w:rsid w:val="0065239B"/>
    <w:rsid w:val="00652BA0"/>
    <w:rsid w:val="00653045"/>
    <w:rsid w:val="00653A25"/>
    <w:rsid w:val="00653D93"/>
    <w:rsid w:val="00653FDA"/>
    <w:rsid w:val="006541A0"/>
    <w:rsid w:val="00654E99"/>
    <w:rsid w:val="00655104"/>
    <w:rsid w:val="0065548F"/>
    <w:rsid w:val="00655633"/>
    <w:rsid w:val="006559BB"/>
    <w:rsid w:val="00655D93"/>
    <w:rsid w:val="00655E86"/>
    <w:rsid w:val="00656614"/>
    <w:rsid w:val="00656C4D"/>
    <w:rsid w:val="006577CD"/>
    <w:rsid w:val="006578D1"/>
    <w:rsid w:val="00657CCC"/>
    <w:rsid w:val="00660162"/>
    <w:rsid w:val="0066036D"/>
    <w:rsid w:val="006604FA"/>
    <w:rsid w:val="00660879"/>
    <w:rsid w:val="00660B3F"/>
    <w:rsid w:val="006610B1"/>
    <w:rsid w:val="00661639"/>
    <w:rsid w:val="00661655"/>
    <w:rsid w:val="0066174D"/>
    <w:rsid w:val="00661E36"/>
    <w:rsid w:val="0066288A"/>
    <w:rsid w:val="0066318A"/>
    <w:rsid w:val="006631D3"/>
    <w:rsid w:val="00663D0F"/>
    <w:rsid w:val="00664525"/>
    <w:rsid w:val="0066465B"/>
    <w:rsid w:val="00664C81"/>
    <w:rsid w:val="0066521A"/>
    <w:rsid w:val="0066540C"/>
    <w:rsid w:val="00665EAE"/>
    <w:rsid w:val="006661EA"/>
    <w:rsid w:val="00666909"/>
    <w:rsid w:val="00666EBC"/>
    <w:rsid w:val="00667189"/>
    <w:rsid w:val="0066749E"/>
    <w:rsid w:val="00667CCB"/>
    <w:rsid w:val="00667EFD"/>
    <w:rsid w:val="00670475"/>
    <w:rsid w:val="00670B8C"/>
    <w:rsid w:val="00670C4A"/>
    <w:rsid w:val="006712FE"/>
    <w:rsid w:val="00671F3E"/>
    <w:rsid w:val="00672482"/>
    <w:rsid w:val="00672A18"/>
    <w:rsid w:val="006735D0"/>
    <w:rsid w:val="006739E9"/>
    <w:rsid w:val="00674D52"/>
    <w:rsid w:val="00674F93"/>
    <w:rsid w:val="0067546F"/>
    <w:rsid w:val="00676287"/>
    <w:rsid w:val="00676CE4"/>
    <w:rsid w:val="00676EC2"/>
    <w:rsid w:val="00676F61"/>
    <w:rsid w:val="00676FA5"/>
    <w:rsid w:val="006771A4"/>
    <w:rsid w:val="006771AD"/>
    <w:rsid w:val="006774A8"/>
    <w:rsid w:val="00677572"/>
    <w:rsid w:val="00681156"/>
    <w:rsid w:val="00681229"/>
    <w:rsid w:val="00681514"/>
    <w:rsid w:val="0068185E"/>
    <w:rsid w:val="00681BE5"/>
    <w:rsid w:val="00681E30"/>
    <w:rsid w:val="0068379B"/>
    <w:rsid w:val="00683D98"/>
    <w:rsid w:val="00683D99"/>
    <w:rsid w:val="00684079"/>
    <w:rsid w:val="006848EE"/>
    <w:rsid w:val="0068629B"/>
    <w:rsid w:val="00686425"/>
    <w:rsid w:val="00686C12"/>
    <w:rsid w:val="00686D75"/>
    <w:rsid w:val="0068736A"/>
    <w:rsid w:val="00687D17"/>
    <w:rsid w:val="00690024"/>
    <w:rsid w:val="006903A4"/>
    <w:rsid w:val="00690CAA"/>
    <w:rsid w:val="00690EFB"/>
    <w:rsid w:val="006911A7"/>
    <w:rsid w:val="0069137B"/>
    <w:rsid w:val="006913EC"/>
    <w:rsid w:val="006914B7"/>
    <w:rsid w:val="00691742"/>
    <w:rsid w:val="00691DEE"/>
    <w:rsid w:val="00692242"/>
    <w:rsid w:val="0069236E"/>
    <w:rsid w:val="00692704"/>
    <w:rsid w:val="00692E67"/>
    <w:rsid w:val="00693ACF"/>
    <w:rsid w:val="00693EE5"/>
    <w:rsid w:val="006944C5"/>
    <w:rsid w:val="00694B8D"/>
    <w:rsid w:val="0069532F"/>
    <w:rsid w:val="0069561C"/>
    <w:rsid w:val="00695634"/>
    <w:rsid w:val="0069577E"/>
    <w:rsid w:val="0069600D"/>
    <w:rsid w:val="006963AE"/>
    <w:rsid w:val="00697053"/>
    <w:rsid w:val="006A066A"/>
    <w:rsid w:val="006A06CA"/>
    <w:rsid w:val="006A083E"/>
    <w:rsid w:val="006A0FFD"/>
    <w:rsid w:val="006A1170"/>
    <w:rsid w:val="006A14A3"/>
    <w:rsid w:val="006A159D"/>
    <w:rsid w:val="006A18BF"/>
    <w:rsid w:val="006A1F58"/>
    <w:rsid w:val="006A242E"/>
    <w:rsid w:val="006A26AB"/>
    <w:rsid w:val="006A282B"/>
    <w:rsid w:val="006A298D"/>
    <w:rsid w:val="006A2F80"/>
    <w:rsid w:val="006A3249"/>
    <w:rsid w:val="006A3A48"/>
    <w:rsid w:val="006A3FD6"/>
    <w:rsid w:val="006A4076"/>
    <w:rsid w:val="006A436F"/>
    <w:rsid w:val="006A4E5B"/>
    <w:rsid w:val="006A59D8"/>
    <w:rsid w:val="006A6B7B"/>
    <w:rsid w:val="006A78F8"/>
    <w:rsid w:val="006A7C26"/>
    <w:rsid w:val="006A7E27"/>
    <w:rsid w:val="006B010E"/>
    <w:rsid w:val="006B03CA"/>
    <w:rsid w:val="006B091F"/>
    <w:rsid w:val="006B0CAF"/>
    <w:rsid w:val="006B0ED0"/>
    <w:rsid w:val="006B0EED"/>
    <w:rsid w:val="006B147E"/>
    <w:rsid w:val="006B1DF6"/>
    <w:rsid w:val="006B233F"/>
    <w:rsid w:val="006B275E"/>
    <w:rsid w:val="006B28EA"/>
    <w:rsid w:val="006B2DA3"/>
    <w:rsid w:val="006B2FBB"/>
    <w:rsid w:val="006B378A"/>
    <w:rsid w:val="006B3BD5"/>
    <w:rsid w:val="006B4185"/>
    <w:rsid w:val="006B4224"/>
    <w:rsid w:val="006B4493"/>
    <w:rsid w:val="006B4B62"/>
    <w:rsid w:val="006B53DC"/>
    <w:rsid w:val="006B5423"/>
    <w:rsid w:val="006B5855"/>
    <w:rsid w:val="006B5AB2"/>
    <w:rsid w:val="006B5C67"/>
    <w:rsid w:val="006B6B5D"/>
    <w:rsid w:val="006B6BF6"/>
    <w:rsid w:val="006B6C0D"/>
    <w:rsid w:val="006B7657"/>
    <w:rsid w:val="006C166D"/>
    <w:rsid w:val="006C1818"/>
    <w:rsid w:val="006C1C4F"/>
    <w:rsid w:val="006C1F8B"/>
    <w:rsid w:val="006C2721"/>
    <w:rsid w:val="006C2BE5"/>
    <w:rsid w:val="006C377A"/>
    <w:rsid w:val="006C3868"/>
    <w:rsid w:val="006C38FF"/>
    <w:rsid w:val="006C3E6E"/>
    <w:rsid w:val="006C3EEA"/>
    <w:rsid w:val="006C3F92"/>
    <w:rsid w:val="006C43A6"/>
    <w:rsid w:val="006C4A4A"/>
    <w:rsid w:val="006C4E89"/>
    <w:rsid w:val="006C53EB"/>
    <w:rsid w:val="006C5434"/>
    <w:rsid w:val="006C5D29"/>
    <w:rsid w:val="006C650D"/>
    <w:rsid w:val="006C69A5"/>
    <w:rsid w:val="006C7740"/>
    <w:rsid w:val="006C7926"/>
    <w:rsid w:val="006D0389"/>
    <w:rsid w:val="006D0848"/>
    <w:rsid w:val="006D0BA5"/>
    <w:rsid w:val="006D0C15"/>
    <w:rsid w:val="006D0D8B"/>
    <w:rsid w:val="006D0FBF"/>
    <w:rsid w:val="006D10DC"/>
    <w:rsid w:val="006D1586"/>
    <w:rsid w:val="006D19C1"/>
    <w:rsid w:val="006D2827"/>
    <w:rsid w:val="006D2848"/>
    <w:rsid w:val="006D2B19"/>
    <w:rsid w:val="006D2EC9"/>
    <w:rsid w:val="006D3A05"/>
    <w:rsid w:val="006D3B62"/>
    <w:rsid w:val="006D3FDF"/>
    <w:rsid w:val="006D4527"/>
    <w:rsid w:val="006D4B05"/>
    <w:rsid w:val="006D4F86"/>
    <w:rsid w:val="006D5F98"/>
    <w:rsid w:val="006D6665"/>
    <w:rsid w:val="006D6A72"/>
    <w:rsid w:val="006D7098"/>
    <w:rsid w:val="006D740E"/>
    <w:rsid w:val="006D7F72"/>
    <w:rsid w:val="006E00B7"/>
    <w:rsid w:val="006E0E5B"/>
    <w:rsid w:val="006E2562"/>
    <w:rsid w:val="006E3023"/>
    <w:rsid w:val="006E3369"/>
    <w:rsid w:val="006E3D12"/>
    <w:rsid w:val="006E449C"/>
    <w:rsid w:val="006E4726"/>
    <w:rsid w:val="006E4E72"/>
    <w:rsid w:val="006E50D0"/>
    <w:rsid w:val="006E663E"/>
    <w:rsid w:val="006E6EDF"/>
    <w:rsid w:val="006E7BA5"/>
    <w:rsid w:val="006F01E8"/>
    <w:rsid w:val="006F02D7"/>
    <w:rsid w:val="006F03EC"/>
    <w:rsid w:val="006F059F"/>
    <w:rsid w:val="006F0EBB"/>
    <w:rsid w:val="006F1E96"/>
    <w:rsid w:val="006F2D24"/>
    <w:rsid w:val="006F352A"/>
    <w:rsid w:val="006F37F7"/>
    <w:rsid w:val="006F3909"/>
    <w:rsid w:val="006F4036"/>
    <w:rsid w:val="006F428E"/>
    <w:rsid w:val="006F48E1"/>
    <w:rsid w:val="006F4FA0"/>
    <w:rsid w:val="006F5096"/>
    <w:rsid w:val="006F5160"/>
    <w:rsid w:val="006F5374"/>
    <w:rsid w:val="006F57D7"/>
    <w:rsid w:val="006F60DF"/>
    <w:rsid w:val="006F64DE"/>
    <w:rsid w:val="006F6766"/>
    <w:rsid w:val="006F68C1"/>
    <w:rsid w:val="006F6CE2"/>
    <w:rsid w:val="006F6E10"/>
    <w:rsid w:val="007014F8"/>
    <w:rsid w:val="0070150D"/>
    <w:rsid w:val="007016D2"/>
    <w:rsid w:val="007018D8"/>
    <w:rsid w:val="00701979"/>
    <w:rsid w:val="00701C6E"/>
    <w:rsid w:val="007029E8"/>
    <w:rsid w:val="00703107"/>
    <w:rsid w:val="00703138"/>
    <w:rsid w:val="00703277"/>
    <w:rsid w:val="0070356D"/>
    <w:rsid w:val="007037BF"/>
    <w:rsid w:val="00703981"/>
    <w:rsid w:val="00703CDF"/>
    <w:rsid w:val="00703D7E"/>
    <w:rsid w:val="0070495F"/>
    <w:rsid w:val="00704B6E"/>
    <w:rsid w:val="00704F73"/>
    <w:rsid w:val="0070508D"/>
    <w:rsid w:val="0070542E"/>
    <w:rsid w:val="0070604A"/>
    <w:rsid w:val="007060D4"/>
    <w:rsid w:val="0070624C"/>
    <w:rsid w:val="00706451"/>
    <w:rsid w:val="00707E0F"/>
    <w:rsid w:val="0071068A"/>
    <w:rsid w:val="00710E19"/>
    <w:rsid w:val="00710E52"/>
    <w:rsid w:val="00711047"/>
    <w:rsid w:val="0071154B"/>
    <w:rsid w:val="0071174F"/>
    <w:rsid w:val="0071196A"/>
    <w:rsid w:val="00711B11"/>
    <w:rsid w:val="007131CF"/>
    <w:rsid w:val="007133C0"/>
    <w:rsid w:val="00713613"/>
    <w:rsid w:val="007137C6"/>
    <w:rsid w:val="007138FC"/>
    <w:rsid w:val="0071393D"/>
    <w:rsid w:val="00713E79"/>
    <w:rsid w:val="00714245"/>
    <w:rsid w:val="00714A14"/>
    <w:rsid w:val="00715441"/>
    <w:rsid w:val="00715739"/>
    <w:rsid w:val="0071576C"/>
    <w:rsid w:val="00715C94"/>
    <w:rsid w:val="007165F0"/>
    <w:rsid w:val="00716A09"/>
    <w:rsid w:val="007170DB"/>
    <w:rsid w:val="00717880"/>
    <w:rsid w:val="00717CA8"/>
    <w:rsid w:val="007205E7"/>
    <w:rsid w:val="007209C4"/>
    <w:rsid w:val="00720A9F"/>
    <w:rsid w:val="00721E9E"/>
    <w:rsid w:val="007227FE"/>
    <w:rsid w:val="00723295"/>
    <w:rsid w:val="007233C3"/>
    <w:rsid w:val="00723C95"/>
    <w:rsid w:val="007244E7"/>
    <w:rsid w:val="0072505F"/>
    <w:rsid w:val="00725B00"/>
    <w:rsid w:val="0072680C"/>
    <w:rsid w:val="00726B3D"/>
    <w:rsid w:val="00726C64"/>
    <w:rsid w:val="007310B7"/>
    <w:rsid w:val="00731237"/>
    <w:rsid w:val="00731A22"/>
    <w:rsid w:val="0073207E"/>
    <w:rsid w:val="00732523"/>
    <w:rsid w:val="0073254B"/>
    <w:rsid w:val="00732664"/>
    <w:rsid w:val="00732BA7"/>
    <w:rsid w:val="007333EA"/>
    <w:rsid w:val="00733601"/>
    <w:rsid w:val="00733A57"/>
    <w:rsid w:val="00733F36"/>
    <w:rsid w:val="007340CE"/>
    <w:rsid w:val="00734684"/>
    <w:rsid w:val="00734781"/>
    <w:rsid w:val="007349FC"/>
    <w:rsid w:val="00734B6F"/>
    <w:rsid w:val="007351A5"/>
    <w:rsid w:val="00735293"/>
    <w:rsid w:val="00735376"/>
    <w:rsid w:val="007363EA"/>
    <w:rsid w:val="00736A02"/>
    <w:rsid w:val="00736E06"/>
    <w:rsid w:val="00736E37"/>
    <w:rsid w:val="00737286"/>
    <w:rsid w:val="007373DB"/>
    <w:rsid w:val="00737847"/>
    <w:rsid w:val="00737F27"/>
    <w:rsid w:val="00737FD3"/>
    <w:rsid w:val="00740240"/>
    <w:rsid w:val="007406CB"/>
    <w:rsid w:val="007407DB"/>
    <w:rsid w:val="00740BFC"/>
    <w:rsid w:val="00740F76"/>
    <w:rsid w:val="00741037"/>
    <w:rsid w:val="007422B3"/>
    <w:rsid w:val="007424BF"/>
    <w:rsid w:val="007435F1"/>
    <w:rsid w:val="007437F3"/>
    <w:rsid w:val="00743BC1"/>
    <w:rsid w:val="00743DDD"/>
    <w:rsid w:val="00743F65"/>
    <w:rsid w:val="00744625"/>
    <w:rsid w:val="007446BB"/>
    <w:rsid w:val="00744AF1"/>
    <w:rsid w:val="00745882"/>
    <w:rsid w:val="00745A04"/>
    <w:rsid w:val="00745A0F"/>
    <w:rsid w:val="00745DFD"/>
    <w:rsid w:val="00746197"/>
    <w:rsid w:val="0074689C"/>
    <w:rsid w:val="00746B3F"/>
    <w:rsid w:val="00747117"/>
    <w:rsid w:val="007479C2"/>
    <w:rsid w:val="00747B0D"/>
    <w:rsid w:val="00751452"/>
    <w:rsid w:val="007521A5"/>
    <w:rsid w:val="00752E99"/>
    <w:rsid w:val="00753959"/>
    <w:rsid w:val="00753DD6"/>
    <w:rsid w:val="0075402F"/>
    <w:rsid w:val="00754A4A"/>
    <w:rsid w:val="00755F9F"/>
    <w:rsid w:val="007566FB"/>
    <w:rsid w:val="007567A8"/>
    <w:rsid w:val="00756D6A"/>
    <w:rsid w:val="007575F2"/>
    <w:rsid w:val="00757EE2"/>
    <w:rsid w:val="0076043F"/>
    <w:rsid w:val="00760F66"/>
    <w:rsid w:val="007611F8"/>
    <w:rsid w:val="00761200"/>
    <w:rsid w:val="00761931"/>
    <w:rsid w:val="00761BD1"/>
    <w:rsid w:val="007627BA"/>
    <w:rsid w:val="0076291E"/>
    <w:rsid w:val="00762C76"/>
    <w:rsid w:val="00762D81"/>
    <w:rsid w:val="0076317B"/>
    <w:rsid w:val="007643D5"/>
    <w:rsid w:val="00765366"/>
    <w:rsid w:val="00765914"/>
    <w:rsid w:val="0076614D"/>
    <w:rsid w:val="0076624C"/>
    <w:rsid w:val="0076627D"/>
    <w:rsid w:val="00766304"/>
    <w:rsid w:val="00767294"/>
    <w:rsid w:val="00767A28"/>
    <w:rsid w:val="00767DD2"/>
    <w:rsid w:val="00770264"/>
    <w:rsid w:val="0077082B"/>
    <w:rsid w:val="00770E60"/>
    <w:rsid w:val="00771324"/>
    <w:rsid w:val="00771C8F"/>
    <w:rsid w:val="0077266E"/>
    <w:rsid w:val="0077292E"/>
    <w:rsid w:val="007737D4"/>
    <w:rsid w:val="007737D8"/>
    <w:rsid w:val="0077391C"/>
    <w:rsid w:val="00773D24"/>
    <w:rsid w:val="00774576"/>
    <w:rsid w:val="007745DA"/>
    <w:rsid w:val="0077508A"/>
    <w:rsid w:val="00775475"/>
    <w:rsid w:val="00775567"/>
    <w:rsid w:val="00775E0D"/>
    <w:rsid w:val="00776343"/>
    <w:rsid w:val="00776416"/>
    <w:rsid w:val="00776C7B"/>
    <w:rsid w:val="00776CEF"/>
    <w:rsid w:val="007774AE"/>
    <w:rsid w:val="00777E7E"/>
    <w:rsid w:val="00777EFA"/>
    <w:rsid w:val="007804DD"/>
    <w:rsid w:val="00780EC1"/>
    <w:rsid w:val="00780F3B"/>
    <w:rsid w:val="0078115B"/>
    <w:rsid w:val="007816EE"/>
    <w:rsid w:val="00782071"/>
    <w:rsid w:val="00782783"/>
    <w:rsid w:val="00782946"/>
    <w:rsid w:val="00782ECD"/>
    <w:rsid w:val="00782F44"/>
    <w:rsid w:val="0078363B"/>
    <w:rsid w:val="00783CCF"/>
    <w:rsid w:val="00783F5B"/>
    <w:rsid w:val="00784609"/>
    <w:rsid w:val="00784720"/>
    <w:rsid w:val="0078481D"/>
    <w:rsid w:val="00785847"/>
    <w:rsid w:val="007859FC"/>
    <w:rsid w:val="00785F1E"/>
    <w:rsid w:val="00785F4C"/>
    <w:rsid w:val="0078609C"/>
    <w:rsid w:val="00786355"/>
    <w:rsid w:val="00787370"/>
    <w:rsid w:val="007874AE"/>
    <w:rsid w:val="0078750B"/>
    <w:rsid w:val="00787F5E"/>
    <w:rsid w:val="0079024D"/>
    <w:rsid w:val="00791069"/>
    <w:rsid w:val="007911B8"/>
    <w:rsid w:val="007919AC"/>
    <w:rsid w:val="00791DAE"/>
    <w:rsid w:val="007930E8"/>
    <w:rsid w:val="00793A57"/>
    <w:rsid w:val="00793A9C"/>
    <w:rsid w:val="00793F28"/>
    <w:rsid w:val="007944D2"/>
    <w:rsid w:val="00794B19"/>
    <w:rsid w:val="00794FFA"/>
    <w:rsid w:val="00795B8D"/>
    <w:rsid w:val="00795E34"/>
    <w:rsid w:val="00795F0E"/>
    <w:rsid w:val="00796495"/>
    <w:rsid w:val="00797063"/>
    <w:rsid w:val="00797D8F"/>
    <w:rsid w:val="007A0C00"/>
    <w:rsid w:val="007A0E15"/>
    <w:rsid w:val="007A176E"/>
    <w:rsid w:val="007A19BF"/>
    <w:rsid w:val="007A2A69"/>
    <w:rsid w:val="007A2CF1"/>
    <w:rsid w:val="007A384E"/>
    <w:rsid w:val="007A41B5"/>
    <w:rsid w:val="007A4486"/>
    <w:rsid w:val="007A4682"/>
    <w:rsid w:val="007A5879"/>
    <w:rsid w:val="007A58A8"/>
    <w:rsid w:val="007A5BDC"/>
    <w:rsid w:val="007A629D"/>
    <w:rsid w:val="007A6610"/>
    <w:rsid w:val="007A6D51"/>
    <w:rsid w:val="007A6DD3"/>
    <w:rsid w:val="007A6FF3"/>
    <w:rsid w:val="007A7169"/>
    <w:rsid w:val="007A71DC"/>
    <w:rsid w:val="007A76D9"/>
    <w:rsid w:val="007A7A04"/>
    <w:rsid w:val="007B03F4"/>
    <w:rsid w:val="007B04FF"/>
    <w:rsid w:val="007B0976"/>
    <w:rsid w:val="007B0CAC"/>
    <w:rsid w:val="007B15F3"/>
    <w:rsid w:val="007B1701"/>
    <w:rsid w:val="007B1C32"/>
    <w:rsid w:val="007B1DBB"/>
    <w:rsid w:val="007B2319"/>
    <w:rsid w:val="007B2FBF"/>
    <w:rsid w:val="007B3E13"/>
    <w:rsid w:val="007B4044"/>
    <w:rsid w:val="007B4046"/>
    <w:rsid w:val="007B4300"/>
    <w:rsid w:val="007B565C"/>
    <w:rsid w:val="007B595F"/>
    <w:rsid w:val="007B5B7E"/>
    <w:rsid w:val="007B5D75"/>
    <w:rsid w:val="007B6D5E"/>
    <w:rsid w:val="007B7115"/>
    <w:rsid w:val="007B736B"/>
    <w:rsid w:val="007C012E"/>
    <w:rsid w:val="007C055A"/>
    <w:rsid w:val="007C0853"/>
    <w:rsid w:val="007C0C90"/>
    <w:rsid w:val="007C0E07"/>
    <w:rsid w:val="007C0E86"/>
    <w:rsid w:val="007C192C"/>
    <w:rsid w:val="007C249E"/>
    <w:rsid w:val="007C26CF"/>
    <w:rsid w:val="007C271B"/>
    <w:rsid w:val="007C2C14"/>
    <w:rsid w:val="007C3A55"/>
    <w:rsid w:val="007C404B"/>
    <w:rsid w:val="007C4166"/>
    <w:rsid w:val="007C44E1"/>
    <w:rsid w:val="007C48DD"/>
    <w:rsid w:val="007C4A05"/>
    <w:rsid w:val="007C5711"/>
    <w:rsid w:val="007C57B9"/>
    <w:rsid w:val="007C6325"/>
    <w:rsid w:val="007C73A3"/>
    <w:rsid w:val="007C7975"/>
    <w:rsid w:val="007C7EF5"/>
    <w:rsid w:val="007D06AC"/>
    <w:rsid w:val="007D0741"/>
    <w:rsid w:val="007D0997"/>
    <w:rsid w:val="007D0A53"/>
    <w:rsid w:val="007D0FFC"/>
    <w:rsid w:val="007D1013"/>
    <w:rsid w:val="007D19EC"/>
    <w:rsid w:val="007D2608"/>
    <w:rsid w:val="007D30C3"/>
    <w:rsid w:val="007D35AC"/>
    <w:rsid w:val="007D36B1"/>
    <w:rsid w:val="007D36D7"/>
    <w:rsid w:val="007D3BA1"/>
    <w:rsid w:val="007D3EC8"/>
    <w:rsid w:val="007D40AC"/>
    <w:rsid w:val="007D4317"/>
    <w:rsid w:val="007D4C12"/>
    <w:rsid w:val="007D57E0"/>
    <w:rsid w:val="007D5946"/>
    <w:rsid w:val="007D5962"/>
    <w:rsid w:val="007D5A2B"/>
    <w:rsid w:val="007D6213"/>
    <w:rsid w:val="007D63B2"/>
    <w:rsid w:val="007D651D"/>
    <w:rsid w:val="007D71B7"/>
    <w:rsid w:val="007D7C66"/>
    <w:rsid w:val="007D7CF3"/>
    <w:rsid w:val="007E0274"/>
    <w:rsid w:val="007E02A7"/>
    <w:rsid w:val="007E0415"/>
    <w:rsid w:val="007E0991"/>
    <w:rsid w:val="007E0AFE"/>
    <w:rsid w:val="007E0B2C"/>
    <w:rsid w:val="007E0BD1"/>
    <w:rsid w:val="007E0CE0"/>
    <w:rsid w:val="007E107F"/>
    <w:rsid w:val="007E2FD7"/>
    <w:rsid w:val="007E310B"/>
    <w:rsid w:val="007E379E"/>
    <w:rsid w:val="007E38DA"/>
    <w:rsid w:val="007E3D65"/>
    <w:rsid w:val="007E3EE2"/>
    <w:rsid w:val="007E47E7"/>
    <w:rsid w:val="007E4A68"/>
    <w:rsid w:val="007E4A98"/>
    <w:rsid w:val="007E4EB6"/>
    <w:rsid w:val="007E5DD7"/>
    <w:rsid w:val="007E6831"/>
    <w:rsid w:val="007E6FB9"/>
    <w:rsid w:val="007E7139"/>
    <w:rsid w:val="007E7366"/>
    <w:rsid w:val="007E7EA1"/>
    <w:rsid w:val="007E7EA4"/>
    <w:rsid w:val="007F03CE"/>
    <w:rsid w:val="007F04D3"/>
    <w:rsid w:val="007F137D"/>
    <w:rsid w:val="007F17B5"/>
    <w:rsid w:val="007F23F3"/>
    <w:rsid w:val="007F245F"/>
    <w:rsid w:val="007F2D8D"/>
    <w:rsid w:val="007F2EBF"/>
    <w:rsid w:val="007F3044"/>
    <w:rsid w:val="007F3249"/>
    <w:rsid w:val="007F3704"/>
    <w:rsid w:val="007F4657"/>
    <w:rsid w:val="007F5609"/>
    <w:rsid w:val="007F5625"/>
    <w:rsid w:val="007F568A"/>
    <w:rsid w:val="007F59F7"/>
    <w:rsid w:val="007F5E21"/>
    <w:rsid w:val="007F6413"/>
    <w:rsid w:val="007F6761"/>
    <w:rsid w:val="007F676E"/>
    <w:rsid w:val="007F6B11"/>
    <w:rsid w:val="007F6E2B"/>
    <w:rsid w:val="007F7D12"/>
    <w:rsid w:val="007F7F02"/>
    <w:rsid w:val="00800258"/>
    <w:rsid w:val="00800C97"/>
    <w:rsid w:val="0080153D"/>
    <w:rsid w:val="0080220F"/>
    <w:rsid w:val="008026A7"/>
    <w:rsid w:val="00802735"/>
    <w:rsid w:val="008028C2"/>
    <w:rsid w:val="00802DDB"/>
    <w:rsid w:val="0080379D"/>
    <w:rsid w:val="008037D8"/>
    <w:rsid w:val="00803B7E"/>
    <w:rsid w:val="00803DA6"/>
    <w:rsid w:val="008040D9"/>
    <w:rsid w:val="0080436E"/>
    <w:rsid w:val="00804937"/>
    <w:rsid w:val="00804E1E"/>
    <w:rsid w:val="00804E43"/>
    <w:rsid w:val="00804F94"/>
    <w:rsid w:val="008050F5"/>
    <w:rsid w:val="0080519C"/>
    <w:rsid w:val="0080553F"/>
    <w:rsid w:val="008055C3"/>
    <w:rsid w:val="00805E48"/>
    <w:rsid w:val="00807ADD"/>
    <w:rsid w:val="00810BC2"/>
    <w:rsid w:val="00811683"/>
    <w:rsid w:val="00811AFF"/>
    <w:rsid w:val="00812373"/>
    <w:rsid w:val="00812D30"/>
    <w:rsid w:val="00813F3A"/>
    <w:rsid w:val="008140E8"/>
    <w:rsid w:val="008148D4"/>
    <w:rsid w:val="0081491F"/>
    <w:rsid w:val="00814941"/>
    <w:rsid w:val="00814A65"/>
    <w:rsid w:val="00814BD9"/>
    <w:rsid w:val="008158AC"/>
    <w:rsid w:val="00815D4D"/>
    <w:rsid w:val="00816755"/>
    <w:rsid w:val="00816805"/>
    <w:rsid w:val="00816BE8"/>
    <w:rsid w:val="00816CD5"/>
    <w:rsid w:val="00816DBD"/>
    <w:rsid w:val="00816FE2"/>
    <w:rsid w:val="00817062"/>
    <w:rsid w:val="00817991"/>
    <w:rsid w:val="00817F58"/>
    <w:rsid w:val="008203C5"/>
    <w:rsid w:val="0082046A"/>
    <w:rsid w:val="00820B84"/>
    <w:rsid w:val="0082199B"/>
    <w:rsid w:val="00821C2A"/>
    <w:rsid w:val="008227B7"/>
    <w:rsid w:val="008243A8"/>
    <w:rsid w:val="00824925"/>
    <w:rsid w:val="00824C8B"/>
    <w:rsid w:val="008252E8"/>
    <w:rsid w:val="00825BA8"/>
    <w:rsid w:val="00825C14"/>
    <w:rsid w:val="0082641D"/>
    <w:rsid w:val="008267CA"/>
    <w:rsid w:val="00826E45"/>
    <w:rsid w:val="008270EE"/>
    <w:rsid w:val="0082722B"/>
    <w:rsid w:val="0082745B"/>
    <w:rsid w:val="00827C1B"/>
    <w:rsid w:val="0083016B"/>
    <w:rsid w:val="008301F1"/>
    <w:rsid w:val="00830C0E"/>
    <w:rsid w:val="008313E0"/>
    <w:rsid w:val="008317EC"/>
    <w:rsid w:val="0083195D"/>
    <w:rsid w:val="00831B7B"/>
    <w:rsid w:val="00831D90"/>
    <w:rsid w:val="008324F3"/>
    <w:rsid w:val="00832691"/>
    <w:rsid w:val="0083296B"/>
    <w:rsid w:val="00832B8A"/>
    <w:rsid w:val="00833547"/>
    <w:rsid w:val="00833852"/>
    <w:rsid w:val="00833A31"/>
    <w:rsid w:val="00833AB9"/>
    <w:rsid w:val="00833B62"/>
    <w:rsid w:val="00834820"/>
    <w:rsid w:val="00834C82"/>
    <w:rsid w:val="00834DB6"/>
    <w:rsid w:val="00834F93"/>
    <w:rsid w:val="00835F6D"/>
    <w:rsid w:val="0083632E"/>
    <w:rsid w:val="008371D2"/>
    <w:rsid w:val="008375DA"/>
    <w:rsid w:val="00840C4A"/>
    <w:rsid w:val="008411B9"/>
    <w:rsid w:val="0084122F"/>
    <w:rsid w:val="00841573"/>
    <w:rsid w:val="00841955"/>
    <w:rsid w:val="00841D08"/>
    <w:rsid w:val="00842D43"/>
    <w:rsid w:val="00842F64"/>
    <w:rsid w:val="0084323E"/>
    <w:rsid w:val="00843D50"/>
    <w:rsid w:val="008441D9"/>
    <w:rsid w:val="0084464E"/>
    <w:rsid w:val="008455E6"/>
    <w:rsid w:val="008458BF"/>
    <w:rsid w:val="00846262"/>
    <w:rsid w:val="00846370"/>
    <w:rsid w:val="008463E8"/>
    <w:rsid w:val="00847665"/>
    <w:rsid w:val="00847BC5"/>
    <w:rsid w:val="00847F11"/>
    <w:rsid w:val="00850010"/>
    <w:rsid w:val="008503F4"/>
    <w:rsid w:val="008504A0"/>
    <w:rsid w:val="00850AC1"/>
    <w:rsid w:val="00850C2A"/>
    <w:rsid w:val="00850DFA"/>
    <w:rsid w:val="00851331"/>
    <w:rsid w:val="008516D1"/>
    <w:rsid w:val="00852003"/>
    <w:rsid w:val="0085212C"/>
    <w:rsid w:val="00852988"/>
    <w:rsid w:val="00852F9E"/>
    <w:rsid w:val="00854053"/>
    <w:rsid w:val="008543AC"/>
    <w:rsid w:val="008548B8"/>
    <w:rsid w:val="00854965"/>
    <w:rsid w:val="00855298"/>
    <w:rsid w:val="008554D1"/>
    <w:rsid w:val="008558E0"/>
    <w:rsid w:val="008569E0"/>
    <w:rsid w:val="00857AF7"/>
    <w:rsid w:val="00857BE5"/>
    <w:rsid w:val="00860109"/>
    <w:rsid w:val="008601BD"/>
    <w:rsid w:val="00860359"/>
    <w:rsid w:val="00860E43"/>
    <w:rsid w:val="008610F7"/>
    <w:rsid w:val="00861252"/>
    <w:rsid w:val="0086171A"/>
    <w:rsid w:val="0086226C"/>
    <w:rsid w:val="00863237"/>
    <w:rsid w:val="00863C07"/>
    <w:rsid w:val="008640B7"/>
    <w:rsid w:val="008644A4"/>
    <w:rsid w:val="00864A6C"/>
    <w:rsid w:val="00864BB1"/>
    <w:rsid w:val="00864DF7"/>
    <w:rsid w:val="00865278"/>
    <w:rsid w:val="008654F9"/>
    <w:rsid w:val="008658C0"/>
    <w:rsid w:val="00866388"/>
    <w:rsid w:val="0086644B"/>
    <w:rsid w:val="00866FE3"/>
    <w:rsid w:val="0086722D"/>
    <w:rsid w:val="00867AD8"/>
    <w:rsid w:val="00867D56"/>
    <w:rsid w:val="00867D70"/>
    <w:rsid w:val="00870646"/>
    <w:rsid w:val="008706C3"/>
    <w:rsid w:val="00870BAA"/>
    <w:rsid w:val="00870D91"/>
    <w:rsid w:val="0087144E"/>
    <w:rsid w:val="008716D1"/>
    <w:rsid w:val="008716ED"/>
    <w:rsid w:val="008718AD"/>
    <w:rsid w:val="0087193F"/>
    <w:rsid w:val="008724E6"/>
    <w:rsid w:val="008728C8"/>
    <w:rsid w:val="00873205"/>
    <w:rsid w:val="008735E8"/>
    <w:rsid w:val="00873626"/>
    <w:rsid w:val="0087377E"/>
    <w:rsid w:val="00874594"/>
    <w:rsid w:val="00874654"/>
    <w:rsid w:val="00874776"/>
    <w:rsid w:val="0087487C"/>
    <w:rsid w:val="00874A07"/>
    <w:rsid w:val="00874B75"/>
    <w:rsid w:val="00875007"/>
    <w:rsid w:val="008750DB"/>
    <w:rsid w:val="008751B4"/>
    <w:rsid w:val="0087527F"/>
    <w:rsid w:val="008754B5"/>
    <w:rsid w:val="00875AF3"/>
    <w:rsid w:val="00875D54"/>
    <w:rsid w:val="008765E9"/>
    <w:rsid w:val="00876605"/>
    <w:rsid w:val="00876B13"/>
    <w:rsid w:val="00880017"/>
    <w:rsid w:val="00880305"/>
    <w:rsid w:val="0088088A"/>
    <w:rsid w:val="00880A3F"/>
    <w:rsid w:val="00880EE2"/>
    <w:rsid w:val="008813BC"/>
    <w:rsid w:val="00881732"/>
    <w:rsid w:val="008818A2"/>
    <w:rsid w:val="00881FF9"/>
    <w:rsid w:val="0088213D"/>
    <w:rsid w:val="008821C6"/>
    <w:rsid w:val="0088243D"/>
    <w:rsid w:val="0088251A"/>
    <w:rsid w:val="00882554"/>
    <w:rsid w:val="00882D28"/>
    <w:rsid w:val="00883A67"/>
    <w:rsid w:val="008848E9"/>
    <w:rsid w:val="00884FD8"/>
    <w:rsid w:val="00885244"/>
    <w:rsid w:val="008857C7"/>
    <w:rsid w:val="008858B3"/>
    <w:rsid w:val="00885BF6"/>
    <w:rsid w:val="008866CF"/>
    <w:rsid w:val="00886782"/>
    <w:rsid w:val="008869A1"/>
    <w:rsid w:val="00886B3F"/>
    <w:rsid w:val="0088727A"/>
    <w:rsid w:val="008874C3"/>
    <w:rsid w:val="0089015D"/>
    <w:rsid w:val="0089021A"/>
    <w:rsid w:val="0089022E"/>
    <w:rsid w:val="00890475"/>
    <w:rsid w:val="00890A7C"/>
    <w:rsid w:val="00890D11"/>
    <w:rsid w:val="008910EE"/>
    <w:rsid w:val="00891A26"/>
    <w:rsid w:val="008923F8"/>
    <w:rsid w:val="008928F1"/>
    <w:rsid w:val="00892BBF"/>
    <w:rsid w:val="00892DB5"/>
    <w:rsid w:val="00893F27"/>
    <w:rsid w:val="008942BD"/>
    <w:rsid w:val="0089478A"/>
    <w:rsid w:val="0089480A"/>
    <w:rsid w:val="00894FE5"/>
    <w:rsid w:val="00895658"/>
    <w:rsid w:val="008956DA"/>
    <w:rsid w:val="00895BA9"/>
    <w:rsid w:val="00895D79"/>
    <w:rsid w:val="0089601B"/>
    <w:rsid w:val="0089647F"/>
    <w:rsid w:val="0089655D"/>
    <w:rsid w:val="00896784"/>
    <w:rsid w:val="00896C56"/>
    <w:rsid w:val="00897051"/>
    <w:rsid w:val="00897824"/>
    <w:rsid w:val="00897BCB"/>
    <w:rsid w:val="00897C07"/>
    <w:rsid w:val="00897DBA"/>
    <w:rsid w:val="008A02FA"/>
    <w:rsid w:val="008A06A8"/>
    <w:rsid w:val="008A1AAC"/>
    <w:rsid w:val="008A20CA"/>
    <w:rsid w:val="008A239B"/>
    <w:rsid w:val="008A2505"/>
    <w:rsid w:val="008A2956"/>
    <w:rsid w:val="008A2EA1"/>
    <w:rsid w:val="008A2EF6"/>
    <w:rsid w:val="008A3480"/>
    <w:rsid w:val="008A3642"/>
    <w:rsid w:val="008A4F3C"/>
    <w:rsid w:val="008A51AD"/>
    <w:rsid w:val="008A53BA"/>
    <w:rsid w:val="008A551D"/>
    <w:rsid w:val="008A56BA"/>
    <w:rsid w:val="008A570A"/>
    <w:rsid w:val="008A58E4"/>
    <w:rsid w:val="008A58E7"/>
    <w:rsid w:val="008A5C1D"/>
    <w:rsid w:val="008A615A"/>
    <w:rsid w:val="008A6357"/>
    <w:rsid w:val="008A650C"/>
    <w:rsid w:val="008A6A36"/>
    <w:rsid w:val="008A6CB9"/>
    <w:rsid w:val="008A6DC1"/>
    <w:rsid w:val="008A7083"/>
    <w:rsid w:val="008A7100"/>
    <w:rsid w:val="008A7139"/>
    <w:rsid w:val="008A776D"/>
    <w:rsid w:val="008A7C74"/>
    <w:rsid w:val="008B03BD"/>
    <w:rsid w:val="008B04C0"/>
    <w:rsid w:val="008B09E1"/>
    <w:rsid w:val="008B0A83"/>
    <w:rsid w:val="008B0DCF"/>
    <w:rsid w:val="008B0E93"/>
    <w:rsid w:val="008B0F8D"/>
    <w:rsid w:val="008B198D"/>
    <w:rsid w:val="008B23A8"/>
    <w:rsid w:val="008B29A4"/>
    <w:rsid w:val="008B2BB4"/>
    <w:rsid w:val="008B2C30"/>
    <w:rsid w:val="008B3C2B"/>
    <w:rsid w:val="008B4679"/>
    <w:rsid w:val="008B4D00"/>
    <w:rsid w:val="008B4D13"/>
    <w:rsid w:val="008B4E78"/>
    <w:rsid w:val="008B4FE2"/>
    <w:rsid w:val="008B61A1"/>
    <w:rsid w:val="008B66D8"/>
    <w:rsid w:val="008B66EE"/>
    <w:rsid w:val="008B6793"/>
    <w:rsid w:val="008B6E87"/>
    <w:rsid w:val="008B75C2"/>
    <w:rsid w:val="008B787A"/>
    <w:rsid w:val="008C0A89"/>
    <w:rsid w:val="008C0AA9"/>
    <w:rsid w:val="008C0E71"/>
    <w:rsid w:val="008C1852"/>
    <w:rsid w:val="008C2CFF"/>
    <w:rsid w:val="008C2E1E"/>
    <w:rsid w:val="008C2E22"/>
    <w:rsid w:val="008C2ED2"/>
    <w:rsid w:val="008C35CE"/>
    <w:rsid w:val="008C3612"/>
    <w:rsid w:val="008C3D4D"/>
    <w:rsid w:val="008C4026"/>
    <w:rsid w:val="008C417E"/>
    <w:rsid w:val="008C4E31"/>
    <w:rsid w:val="008C5B51"/>
    <w:rsid w:val="008C5F0A"/>
    <w:rsid w:val="008C6105"/>
    <w:rsid w:val="008C6124"/>
    <w:rsid w:val="008C6334"/>
    <w:rsid w:val="008C66BD"/>
    <w:rsid w:val="008C6968"/>
    <w:rsid w:val="008C742A"/>
    <w:rsid w:val="008C74C7"/>
    <w:rsid w:val="008C7714"/>
    <w:rsid w:val="008C7F4F"/>
    <w:rsid w:val="008D00F3"/>
    <w:rsid w:val="008D0241"/>
    <w:rsid w:val="008D0B34"/>
    <w:rsid w:val="008D0F27"/>
    <w:rsid w:val="008D11F0"/>
    <w:rsid w:val="008D15A2"/>
    <w:rsid w:val="008D18CD"/>
    <w:rsid w:val="008D1F86"/>
    <w:rsid w:val="008D20E0"/>
    <w:rsid w:val="008D2B6E"/>
    <w:rsid w:val="008D335C"/>
    <w:rsid w:val="008D35B7"/>
    <w:rsid w:val="008D4007"/>
    <w:rsid w:val="008D436A"/>
    <w:rsid w:val="008D4C72"/>
    <w:rsid w:val="008D4CF8"/>
    <w:rsid w:val="008D5246"/>
    <w:rsid w:val="008D5291"/>
    <w:rsid w:val="008D5368"/>
    <w:rsid w:val="008D561B"/>
    <w:rsid w:val="008D582B"/>
    <w:rsid w:val="008D5CF9"/>
    <w:rsid w:val="008D5D0A"/>
    <w:rsid w:val="008D6199"/>
    <w:rsid w:val="008D64B9"/>
    <w:rsid w:val="008D6794"/>
    <w:rsid w:val="008D77B0"/>
    <w:rsid w:val="008D7F65"/>
    <w:rsid w:val="008E0178"/>
    <w:rsid w:val="008E02F8"/>
    <w:rsid w:val="008E12AF"/>
    <w:rsid w:val="008E1342"/>
    <w:rsid w:val="008E1DC9"/>
    <w:rsid w:val="008E211C"/>
    <w:rsid w:val="008E28EC"/>
    <w:rsid w:val="008E2BB3"/>
    <w:rsid w:val="008E2BC5"/>
    <w:rsid w:val="008E2C79"/>
    <w:rsid w:val="008E3176"/>
    <w:rsid w:val="008E3564"/>
    <w:rsid w:val="008E3A0B"/>
    <w:rsid w:val="008E3A90"/>
    <w:rsid w:val="008E3AAB"/>
    <w:rsid w:val="008E3F34"/>
    <w:rsid w:val="008E4043"/>
    <w:rsid w:val="008E4520"/>
    <w:rsid w:val="008E4A53"/>
    <w:rsid w:val="008E54E8"/>
    <w:rsid w:val="008E5740"/>
    <w:rsid w:val="008E5868"/>
    <w:rsid w:val="008E5ADB"/>
    <w:rsid w:val="008E5DC8"/>
    <w:rsid w:val="008E6465"/>
    <w:rsid w:val="008E6C57"/>
    <w:rsid w:val="008E7082"/>
    <w:rsid w:val="008E72AF"/>
    <w:rsid w:val="008F0952"/>
    <w:rsid w:val="008F1154"/>
    <w:rsid w:val="008F1B84"/>
    <w:rsid w:val="008F1B9D"/>
    <w:rsid w:val="008F1DB6"/>
    <w:rsid w:val="008F337C"/>
    <w:rsid w:val="008F39C0"/>
    <w:rsid w:val="008F39E4"/>
    <w:rsid w:val="008F51F0"/>
    <w:rsid w:val="008F57CD"/>
    <w:rsid w:val="008F5960"/>
    <w:rsid w:val="008F5CD0"/>
    <w:rsid w:val="008F629A"/>
    <w:rsid w:val="008F6A9B"/>
    <w:rsid w:val="008F6F01"/>
    <w:rsid w:val="008F6F03"/>
    <w:rsid w:val="008F7603"/>
    <w:rsid w:val="008F769D"/>
    <w:rsid w:val="008F76B7"/>
    <w:rsid w:val="008F76DC"/>
    <w:rsid w:val="008F7D2F"/>
    <w:rsid w:val="009013C5"/>
    <w:rsid w:val="0090147B"/>
    <w:rsid w:val="00901649"/>
    <w:rsid w:val="00901CBA"/>
    <w:rsid w:val="00901DC6"/>
    <w:rsid w:val="009021DC"/>
    <w:rsid w:val="00902EFD"/>
    <w:rsid w:val="00903026"/>
    <w:rsid w:val="0090357B"/>
    <w:rsid w:val="00903832"/>
    <w:rsid w:val="009042D0"/>
    <w:rsid w:val="009044BE"/>
    <w:rsid w:val="009048EB"/>
    <w:rsid w:val="00904913"/>
    <w:rsid w:val="00904C15"/>
    <w:rsid w:val="009050B3"/>
    <w:rsid w:val="00905298"/>
    <w:rsid w:val="00905945"/>
    <w:rsid w:val="00905FEB"/>
    <w:rsid w:val="00906164"/>
    <w:rsid w:val="00906252"/>
    <w:rsid w:val="0090672E"/>
    <w:rsid w:val="00906A4F"/>
    <w:rsid w:val="00906BD6"/>
    <w:rsid w:val="00907074"/>
    <w:rsid w:val="009073C7"/>
    <w:rsid w:val="009078BA"/>
    <w:rsid w:val="009079C7"/>
    <w:rsid w:val="009079F7"/>
    <w:rsid w:val="00907B44"/>
    <w:rsid w:val="00907C33"/>
    <w:rsid w:val="0091062D"/>
    <w:rsid w:val="009108D2"/>
    <w:rsid w:val="00910C20"/>
    <w:rsid w:val="00910FE1"/>
    <w:rsid w:val="0091106A"/>
    <w:rsid w:val="00911C09"/>
    <w:rsid w:val="00911D1C"/>
    <w:rsid w:val="00912F38"/>
    <w:rsid w:val="0091340D"/>
    <w:rsid w:val="00913C58"/>
    <w:rsid w:val="009140B4"/>
    <w:rsid w:val="00914174"/>
    <w:rsid w:val="0091428A"/>
    <w:rsid w:val="00914733"/>
    <w:rsid w:val="0091495E"/>
    <w:rsid w:val="00914AA5"/>
    <w:rsid w:val="00915428"/>
    <w:rsid w:val="009162DD"/>
    <w:rsid w:val="009163E7"/>
    <w:rsid w:val="009165E4"/>
    <w:rsid w:val="0091670A"/>
    <w:rsid w:val="0091671A"/>
    <w:rsid w:val="009169F6"/>
    <w:rsid w:val="0091719D"/>
    <w:rsid w:val="00917903"/>
    <w:rsid w:val="00917BEA"/>
    <w:rsid w:val="00920189"/>
    <w:rsid w:val="00920203"/>
    <w:rsid w:val="00920997"/>
    <w:rsid w:val="00920B1E"/>
    <w:rsid w:val="00920DD5"/>
    <w:rsid w:val="00921161"/>
    <w:rsid w:val="00922492"/>
    <w:rsid w:val="009224EB"/>
    <w:rsid w:val="0092272F"/>
    <w:rsid w:val="00922BE2"/>
    <w:rsid w:val="00922EDE"/>
    <w:rsid w:val="009237D9"/>
    <w:rsid w:val="0092406C"/>
    <w:rsid w:val="00924096"/>
    <w:rsid w:val="009243BC"/>
    <w:rsid w:val="009244D5"/>
    <w:rsid w:val="0092523A"/>
    <w:rsid w:val="009252F1"/>
    <w:rsid w:val="00925588"/>
    <w:rsid w:val="00925733"/>
    <w:rsid w:val="00925AF5"/>
    <w:rsid w:val="00926268"/>
    <w:rsid w:val="009264A2"/>
    <w:rsid w:val="00926FC2"/>
    <w:rsid w:val="0092715D"/>
    <w:rsid w:val="00927299"/>
    <w:rsid w:val="00930069"/>
    <w:rsid w:val="00930632"/>
    <w:rsid w:val="009310BC"/>
    <w:rsid w:val="00931D3F"/>
    <w:rsid w:val="009320C6"/>
    <w:rsid w:val="009324C4"/>
    <w:rsid w:val="00932671"/>
    <w:rsid w:val="00932A7A"/>
    <w:rsid w:val="00932D26"/>
    <w:rsid w:val="009330BF"/>
    <w:rsid w:val="00933817"/>
    <w:rsid w:val="00933BB1"/>
    <w:rsid w:val="009340EB"/>
    <w:rsid w:val="00934510"/>
    <w:rsid w:val="0093476C"/>
    <w:rsid w:val="00934C7D"/>
    <w:rsid w:val="00935A1E"/>
    <w:rsid w:val="00935AA3"/>
    <w:rsid w:val="00935B7C"/>
    <w:rsid w:val="00935E3A"/>
    <w:rsid w:val="00936005"/>
    <w:rsid w:val="0093607C"/>
    <w:rsid w:val="00940008"/>
    <w:rsid w:val="00940FFA"/>
    <w:rsid w:val="00941010"/>
    <w:rsid w:val="00941503"/>
    <w:rsid w:val="0094187D"/>
    <w:rsid w:val="009423ED"/>
    <w:rsid w:val="00942C90"/>
    <w:rsid w:val="00942F29"/>
    <w:rsid w:val="00942FB6"/>
    <w:rsid w:val="009430E1"/>
    <w:rsid w:val="009434EB"/>
    <w:rsid w:val="00943EA6"/>
    <w:rsid w:val="009443F2"/>
    <w:rsid w:val="009448F2"/>
    <w:rsid w:val="009451E0"/>
    <w:rsid w:val="0094524B"/>
    <w:rsid w:val="009456E3"/>
    <w:rsid w:val="00945759"/>
    <w:rsid w:val="00945925"/>
    <w:rsid w:val="009466E9"/>
    <w:rsid w:val="00946CB3"/>
    <w:rsid w:val="00946D20"/>
    <w:rsid w:val="00946E51"/>
    <w:rsid w:val="009473F4"/>
    <w:rsid w:val="0094767D"/>
    <w:rsid w:val="00950231"/>
    <w:rsid w:val="00950794"/>
    <w:rsid w:val="009507AA"/>
    <w:rsid w:val="009509EF"/>
    <w:rsid w:val="009515CA"/>
    <w:rsid w:val="00951691"/>
    <w:rsid w:val="00951FCE"/>
    <w:rsid w:val="009521CC"/>
    <w:rsid w:val="0095226C"/>
    <w:rsid w:val="0095269B"/>
    <w:rsid w:val="00952C05"/>
    <w:rsid w:val="00952D52"/>
    <w:rsid w:val="009540B7"/>
    <w:rsid w:val="009543D0"/>
    <w:rsid w:val="00954AF9"/>
    <w:rsid w:val="00954DAE"/>
    <w:rsid w:val="00955410"/>
    <w:rsid w:val="009558EE"/>
    <w:rsid w:val="009559D5"/>
    <w:rsid w:val="00955C17"/>
    <w:rsid w:val="00955FFA"/>
    <w:rsid w:val="00956170"/>
    <w:rsid w:val="009561F8"/>
    <w:rsid w:val="00956BA1"/>
    <w:rsid w:val="00956BE7"/>
    <w:rsid w:val="00956D42"/>
    <w:rsid w:val="00956F0F"/>
    <w:rsid w:val="0095727F"/>
    <w:rsid w:val="009572AF"/>
    <w:rsid w:val="00957E41"/>
    <w:rsid w:val="0096016E"/>
    <w:rsid w:val="0096023A"/>
    <w:rsid w:val="009607AB"/>
    <w:rsid w:val="00961154"/>
    <w:rsid w:val="009615DB"/>
    <w:rsid w:val="00962683"/>
    <w:rsid w:val="00962ADC"/>
    <w:rsid w:val="00962E23"/>
    <w:rsid w:val="0096487C"/>
    <w:rsid w:val="00964BC2"/>
    <w:rsid w:val="00964C0A"/>
    <w:rsid w:val="00964D4A"/>
    <w:rsid w:val="00964EAE"/>
    <w:rsid w:val="00965023"/>
    <w:rsid w:val="009650B7"/>
    <w:rsid w:val="0096515D"/>
    <w:rsid w:val="0096554B"/>
    <w:rsid w:val="00965841"/>
    <w:rsid w:val="00966623"/>
    <w:rsid w:val="009678DB"/>
    <w:rsid w:val="00970728"/>
    <w:rsid w:val="009707C9"/>
    <w:rsid w:val="00971303"/>
    <w:rsid w:val="00971E0B"/>
    <w:rsid w:val="00972101"/>
    <w:rsid w:val="00972285"/>
    <w:rsid w:val="00972FB5"/>
    <w:rsid w:val="00973607"/>
    <w:rsid w:val="009736FE"/>
    <w:rsid w:val="00973B96"/>
    <w:rsid w:val="00973E3C"/>
    <w:rsid w:val="00974763"/>
    <w:rsid w:val="009757CA"/>
    <w:rsid w:val="00976E76"/>
    <w:rsid w:val="009771D3"/>
    <w:rsid w:val="00977A14"/>
    <w:rsid w:val="00977E9B"/>
    <w:rsid w:val="009807BF"/>
    <w:rsid w:val="009809CE"/>
    <w:rsid w:val="0098131F"/>
    <w:rsid w:val="00981479"/>
    <w:rsid w:val="00981F74"/>
    <w:rsid w:val="0098237C"/>
    <w:rsid w:val="0098270E"/>
    <w:rsid w:val="009829B3"/>
    <w:rsid w:val="009829EE"/>
    <w:rsid w:val="00982C31"/>
    <w:rsid w:val="00982D45"/>
    <w:rsid w:val="00983165"/>
    <w:rsid w:val="00983343"/>
    <w:rsid w:val="009833C4"/>
    <w:rsid w:val="009834E0"/>
    <w:rsid w:val="009838FF"/>
    <w:rsid w:val="00984149"/>
    <w:rsid w:val="00984788"/>
    <w:rsid w:val="00984909"/>
    <w:rsid w:val="00984FF3"/>
    <w:rsid w:val="00984FF9"/>
    <w:rsid w:val="009850C5"/>
    <w:rsid w:val="0098516C"/>
    <w:rsid w:val="00986326"/>
    <w:rsid w:val="00986849"/>
    <w:rsid w:val="00986BB7"/>
    <w:rsid w:val="00986D4B"/>
    <w:rsid w:val="00986F6D"/>
    <w:rsid w:val="0098727C"/>
    <w:rsid w:val="00987708"/>
    <w:rsid w:val="00987DF0"/>
    <w:rsid w:val="00987E2E"/>
    <w:rsid w:val="0099008B"/>
    <w:rsid w:val="00990E77"/>
    <w:rsid w:val="0099177B"/>
    <w:rsid w:val="00991B8C"/>
    <w:rsid w:val="0099367E"/>
    <w:rsid w:val="00993FE4"/>
    <w:rsid w:val="0099425E"/>
    <w:rsid w:val="00994BF3"/>
    <w:rsid w:val="00994CDC"/>
    <w:rsid w:val="00994DE1"/>
    <w:rsid w:val="009969CD"/>
    <w:rsid w:val="0099770A"/>
    <w:rsid w:val="00997769"/>
    <w:rsid w:val="00997A2E"/>
    <w:rsid w:val="009A048E"/>
    <w:rsid w:val="009A119F"/>
    <w:rsid w:val="009A1609"/>
    <w:rsid w:val="009A16A3"/>
    <w:rsid w:val="009A1A7E"/>
    <w:rsid w:val="009A3480"/>
    <w:rsid w:val="009A3DB8"/>
    <w:rsid w:val="009A43B3"/>
    <w:rsid w:val="009A464D"/>
    <w:rsid w:val="009A496F"/>
    <w:rsid w:val="009A4B78"/>
    <w:rsid w:val="009A4D73"/>
    <w:rsid w:val="009A4E41"/>
    <w:rsid w:val="009A5297"/>
    <w:rsid w:val="009A5851"/>
    <w:rsid w:val="009A5C0C"/>
    <w:rsid w:val="009A5D40"/>
    <w:rsid w:val="009A5E10"/>
    <w:rsid w:val="009A6665"/>
    <w:rsid w:val="009A6EE2"/>
    <w:rsid w:val="009A743F"/>
    <w:rsid w:val="009A74F7"/>
    <w:rsid w:val="009B00F2"/>
    <w:rsid w:val="009B0E67"/>
    <w:rsid w:val="009B0FB2"/>
    <w:rsid w:val="009B1113"/>
    <w:rsid w:val="009B1C34"/>
    <w:rsid w:val="009B1D22"/>
    <w:rsid w:val="009B1E86"/>
    <w:rsid w:val="009B27C4"/>
    <w:rsid w:val="009B2BE6"/>
    <w:rsid w:val="009B2D92"/>
    <w:rsid w:val="009B31DE"/>
    <w:rsid w:val="009B3250"/>
    <w:rsid w:val="009B35A6"/>
    <w:rsid w:val="009B42A4"/>
    <w:rsid w:val="009B42D2"/>
    <w:rsid w:val="009B4A06"/>
    <w:rsid w:val="009B60EA"/>
    <w:rsid w:val="009B6E71"/>
    <w:rsid w:val="009B70C8"/>
    <w:rsid w:val="009B737C"/>
    <w:rsid w:val="009B742E"/>
    <w:rsid w:val="009B7A33"/>
    <w:rsid w:val="009C0AC6"/>
    <w:rsid w:val="009C11B2"/>
    <w:rsid w:val="009C1456"/>
    <w:rsid w:val="009C164F"/>
    <w:rsid w:val="009C1C30"/>
    <w:rsid w:val="009C22DD"/>
    <w:rsid w:val="009C29D5"/>
    <w:rsid w:val="009C30A0"/>
    <w:rsid w:val="009C359E"/>
    <w:rsid w:val="009C37FE"/>
    <w:rsid w:val="009C4082"/>
    <w:rsid w:val="009C4A38"/>
    <w:rsid w:val="009C4A72"/>
    <w:rsid w:val="009C4AD8"/>
    <w:rsid w:val="009C4D3D"/>
    <w:rsid w:val="009C55E2"/>
    <w:rsid w:val="009C5A4E"/>
    <w:rsid w:val="009C5EE5"/>
    <w:rsid w:val="009C61E3"/>
    <w:rsid w:val="009C6357"/>
    <w:rsid w:val="009C6B56"/>
    <w:rsid w:val="009C7DB8"/>
    <w:rsid w:val="009C7FF0"/>
    <w:rsid w:val="009D010D"/>
    <w:rsid w:val="009D0244"/>
    <w:rsid w:val="009D0F71"/>
    <w:rsid w:val="009D111C"/>
    <w:rsid w:val="009D17A0"/>
    <w:rsid w:val="009D1F7A"/>
    <w:rsid w:val="009D2873"/>
    <w:rsid w:val="009D2942"/>
    <w:rsid w:val="009D2BB8"/>
    <w:rsid w:val="009D3A1A"/>
    <w:rsid w:val="009D426A"/>
    <w:rsid w:val="009D5BDB"/>
    <w:rsid w:val="009D6B03"/>
    <w:rsid w:val="009D6B3D"/>
    <w:rsid w:val="009D7422"/>
    <w:rsid w:val="009D7499"/>
    <w:rsid w:val="009D78E7"/>
    <w:rsid w:val="009E0293"/>
    <w:rsid w:val="009E0742"/>
    <w:rsid w:val="009E0B29"/>
    <w:rsid w:val="009E1291"/>
    <w:rsid w:val="009E12BC"/>
    <w:rsid w:val="009E139D"/>
    <w:rsid w:val="009E224D"/>
    <w:rsid w:val="009E26D5"/>
    <w:rsid w:val="009E2A07"/>
    <w:rsid w:val="009E3398"/>
    <w:rsid w:val="009E3577"/>
    <w:rsid w:val="009E37A5"/>
    <w:rsid w:val="009E395B"/>
    <w:rsid w:val="009E3D2B"/>
    <w:rsid w:val="009E3DC2"/>
    <w:rsid w:val="009E3E84"/>
    <w:rsid w:val="009E4053"/>
    <w:rsid w:val="009E4097"/>
    <w:rsid w:val="009E4664"/>
    <w:rsid w:val="009E4D8E"/>
    <w:rsid w:val="009E4E90"/>
    <w:rsid w:val="009E4EB7"/>
    <w:rsid w:val="009E5601"/>
    <w:rsid w:val="009E57C1"/>
    <w:rsid w:val="009E624A"/>
    <w:rsid w:val="009E63CE"/>
    <w:rsid w:val="009E6B32"/>
    <w:rsid w:val="009E7039"/>
    <w:rsid w:val="009E70F3"/>
    <w:rsid w:val="009E7E98"/>
    <w:rsid w:val="009F00EE"/>
    <w:rsid w:val="009F079C"/>
    <w:rsid w:val="009F0827"/>
    <w:rsid w:val="009F0BED"/>
    <w:rsid w:val="009F1673"/>
    <w:rsid w:val="009F3255"/>
    <w:rsid w:val="009F341D"/>
    <w:rsid w:val="009F34AA"/>
    <w:rsid w:val="009F3DCE"/>
    <w:rsid w:val="009F44FF"/>
    <w:rsid w:val="009F46E8"/>
    <w:rsid w:val="009F472D"/>
    <w:rsid w:val="009F4CF0"/>
    <w:rsid w:val="009F4E88"/>
    <w:rsid w:val="009F50D1"/>
    <w:rsid w:val="009F573B"/>
    <w:rsid w:val="009F5918"/>
    <w:rsid w:val="009F596D"/>
    <w:rsid w:val="009F6A91"/>
    <w:rsid w:val="009F71A6"/>
    <w:rsid w:val="009F71AA"/>
    <w:rsid w:val="009F754A"/>
    <w:rsid w:val="009F791F"/>
    <w:rsid w:val="009F79A0"/>
    <w:rsid w:val="009F7F86"/>
    <w:rsid w:val="00A0034D"/>
    <w:rsid w:val="00A00BFB"/>
    <w:rsid w:val="00A00DCF"/>
    <w:rsid w:val="00A0126C"/>
    <w:rsid w:val="00A012DA"/>
    <w:rsid w:val="00A0187E"/>
    <w:rsid w:val="00A02543"/>
    <w:rsid w:val="00A026F0"/>
    <w:rsid w:val="00A02F2D"/>
    <w:rsid w:val="00A02F61"/>
    <w:rsid w:val="00A03529"/>
    <w:rsid w:val="00A03671"/>
    <w:rsid w:val="00A03E0E"/>
    <w:rsid w:val="00A040D1"/>
    <w:rsid w:val="00A044B7"/>
    <w:rsid w:val="00A04A0A"/>
    <w:rsid w:val="00A050A8"/>
    <w:rsid w:val="00A056A3"/>
    <w:rsid w:val="00A059AF"/>
    <w:rsid w:val="00A05A59"/>
    <w:rsid w:val="00A05B51"/>
    <w:rsid w:val="00A06286"/>
    <w:rsid w:val="00A06318"/>
    <w:rsid w:val="00A063BC"/>
    <w:rsid w:val="00A068E1"/>
    <w:rsid w:val="00A06A80"/>
    <w:rsid w:val="00A06D8A"/>
    <w:rsid w:val="00A0711F"/>
    <w:rsid w:val="00A07B0B"/>
    <w:rsid w:val="00A102A0"/>
    <w:rsid w:val="00A1065D"/>
    <w:rsid w:val="00A10860"/>
    <w:rsid w:val="00A109FB"/>
    <w:rsid w:val="00A114FA"/>
    <w:rsid w:val="00A11629"/>
    <w:rsid w:val="00A11AF3"/>
    <w:rsid w:val="00A12ACF"/>
    <w:rsid w:val="00A12B42"/>
    <w:rsid w:val="00A12BD4"/>
    <w:rsid w:val="00A12C09"/>
    <w:rsid w:val="00A13084"/>
    <w:rsid w:val="00A1327F"/>
    <w:rsid w:val="00A13817"/>
    <w:rsid w:val="00A138D3"/>
    <w:rsid w:val="00A13E0F"/>
    <w:rsid w:val="00A144B7"/>
    <w:rsid w:val="00A149B4"/>
    <w:rsid w:val="00A152D3"/>
    <w:rsid w:val="00A15F4F"/>
    <w:rsid w:val="00A160AB"/>
    <w:rsid w:val="00A16745"/>
    <w:rsid w:val="00A16747"/>
    <w:rsid w:val="00A169A7"/>
    <w:rsid w:val="00A1704E"/>
    <w:rsid w:val="00A17E93"/>
    <w:rsid w:val="00A20013"/>
    <w:rsid w:val="00A2056F"/>
    <w:rsid w:val="00A20582"/>
    <w:rsid w:val="00A20C65"/>
    <w:rsid w:val="00A21767"/>
    <w:rsid w:val="00A21FD5"/>
    <w:rsid w:val="00A22751"/>
    <w:rsid w:val="00A22940"/>
    <w:rsid w:val="00A23102"/>
    <w:rsid w:val="00A233D8"/>
    <w:rsid w:val="00A2343F"/>
    <w:rsid w:val="00A23505"/>
    <w:rsid w:val="00A2428B"/>
    <w:rsid w:val="00A247E5"/>
    <w:rsid w:val="00A248BD"/>
    <w:rsid w:val="00A24D81"/>
    <w:rsid w:val="00A24EA5"/>
    <w:rsid w:val="00A25173"/>
    <w:rsid w:val="00A252F0"/>
    <w:rsid w:val="00A259F2"/>
    <w:rsid w:val="00A26463"/>
    <w:rsid w:val="00A2660E"/>
    <w:rsid w:val="00A26916"/>
    <w:rsid w:val="00A26B47"/>
    <w:rsid w:val="00A26FF1"/>
    <w:rsid w:val="00A27547"/>
    <w:rsid w:val="00A2770B"/>
    <w:rsid w:val="00A27806"/>
    <w:rsid w:val="00A3068C"/>
    <w:rsid w:val="00A3127F"/>
    <w:rsid w:val="00A31922"/>
    <w:rsid w:val="00A31BCC"/>
    <w:rsid w:val="00A31C70"/>
    <w:rsid w:val="00A31C87"/>
    <w:rsid w:val="00A325BB"/>
    <w:rsid w:val="00A3297A"/>
    <w:rsid w:val="00A32A58"/>
    <w:rsid w:val="00A32EEC"/>
    <w:rsid w:val="00A336C5"/>
    <w:rsid w:val="00A339D9"/>
    <w:rsid w:val="00A33BD6"/>
    <w:rsid w:val="00A3510A"/>
    <w:rsid w:val="00A3515F"/>
    <w:rsid w:val="00A35751"/>
    <w:rsid w:val="00A3577F"/>
    <w:rsid w:val="00A35BBC"/>
    <w:rsid w:val="00A35DAB"/>
    <w:rsid w:val="00A36724"/>
    <w:rsid w:val="00A367AF"/>
    <w:rsid w:val="00A36C13"/>
    <w:rsid w:val="00A377C2"/>
    <w:rsid w:val="00A37A31"/>
    <w:rsid w:val="00A40B1F"/>
    <w:rsid w:val="00A40B4D"/>
    <w:rsid w:val="00A411E2"/>
    <w:rsid w:val="00A41373"/>
    <w:rsid w:val="00A41638"/>
    <w:rsid w:val="00A41B15"/>
    <w:rsid w:val="00A4224E"/>
    <w:rsid w:val="00A4229F"/>
    <w:rsid w:val="00A428A9"/>
    <w:rsid w:val="00A42ACA"/>
    <w:rsid w:val="00A4327C"/>
    <w:rsid w:val="00A43496"/>
    <w:rsid w:val="00A43665"/>
    <w:rsid w:val="00A43AAB"/>
    <w:rsid w:val="00A43AFE"/>
    <w:rsid w:val="00A441CC"/>
    <w:rsid w:val="00A447E3"/>
    <w:rsid w:val="00A44AAD"/>
    <w:rsid w:val="00A44D3B"/>
    <w:rsid w:val="00A45241"/>
    <w:rsid w:val="00A45280"/>
    <w:rsid w:val="00A452B8"/>
    <w:rsid w:val="00A45BF7"/>
    <w:rsid w:val="00A463B5"/>
    <w:rsid w:val="00A463BA"/>
    <w:rsid w:val="00A46675"/>
    <w:rsid w:val="00A46A5F"/>
    <w:rsid w:val="00A471A3"/>
    <w:rsid w:val="00A47597"/>
    <w:rsid w:val="00A47E44"/>
    <w:rsid w:val="00A47F91"/>
    <w:rsid w:val="00A507D7"/>
    <w:rsid w:val="00A50A5C"/>
    <w:rsid w:val="00A50BE2"/>
    <w:rsid w:val="00A50CC6"/>
    <w:rsid w:val="00A50E40"/>
    <w:rsid w:val="00A51462"/>
    <w:rsid w:val="00A51946"/>
    <w:rsid w:val="00A51FF7"/>
    <w:rsid w:val="00A52079"/>
    <w:rsid w:val="00A52143"/>
    <w:rsid w:val="00A521E9"/>
    <w:rsid w:val="00A5298E"/>
    <w:rsid w:val="00A52B3E"/>
    <w:rsid w:val="00A5313B"/>
    <w:rsid w:val="00A5320E"/>
    <w:rsid w:val="00A53F7B"/>
    <w:rsid w:val="00A54090"/>
    <w:rsid w:val="00A541F3"/>
    <w:rsid w:val="00A54282"/>
    <w:rsid w:val="00A549D3"/>
    <w:rsid w:val="00A54DF0"/>
    <w:rsid w:val="00A57E98"/>
    <w:rsid w:val="00A60017"/>
    <w:rsid w:val="00A60849"/>
    <w:rsid w:val="00A6105B"/>
    <w:rsid w:val="00A61355"/>
    <w:rsid w:val="00A61668"/>
    <w:rsid w:val="00A621D3"/>
    <w:rsid w:val="00A628F8"/>
    <w:rsid w:val="00A62B7A"/>
    <w:rsid w:val="00A631A1"/>
    <w:rsid w:val="00A632EA"/>
    <w:rsid w:val="00A6339D"/>
    <w:rsid w:val="00A634BE"/>
    <w:rsid w:val="00A63AD7"/>
    <w:rsid w:val="00A63BFD"/>
    <w:rsid w:val="00A63E61"/>
    <w:rsid w:val="00A6491F"/>
    <w:rsid w:val="00A64A9C"/>
    <w:rsid w:val="00A64A9E"/>
    <w:rsid w:val="00A64C72"/>
    <w:rsid w:val="00A64D1A"/>
    <w:rsid w:val="00A65320"/>
    <w:rsid w:val="00A65BA5"/>
    <w:rsid w:val="00A66354"/>
    <w:rsid w:val="00A66E37"/>
    <w:rsid w:val="00A66ECF"/>
    <w:rsid w:val="00A67681"/>
    <w:rsid w:val="00A67E38"/>
    <w:rsid w:val="00A703E4"/>
    <w:rsid w:val="00A704C9"/>
    <w:rsid w:val="00A70DC6"/>
    <w:rsid w:val="00A71080"/>
    <w:rsid w:val="00A71986"/>
    <w:rsid w:val="00A71E3D"/>
    <w:rsid w:val="00A71E73"/>
    <w:rsid w:val="00A72740"/>
    <w:rsid w:val="00A73A64"/>
    <w:rsid w:val="00A742AD"/>
    <w:rsid w:val="00A746D7"/>
    <w:rsid w:val="00A74AB2"/>
    <w:rsid w:val="00A75A27"/>
    <w:rsid w:val="00A75A46"/>
    <w:rsid w:val="00A75B36"/>
    <w:rsid w:val="00A7623B"/>
    <w:rsid w:val="00A7660A"/>
    <w:rsid w:val="00A7663A"/>
    <w:rsid w:val="00A7696B"/>
    <w:rsid w:val="00A769D4"/>
    <w:rsid w:val="00A8008F"/>
    <w:rsid w:val="00A804C7"/>
    <w:rsid w:val="00A80857"/>
    <w:rsid w:val="00A80A39"/>
    <w:rsid w:val="00A80DF0"/>
    <w:rsid w:val="00A80E64"/>
    <w:rsid w:val="00A81A16"/>
    <w:rsid w:val="00A823A7"/>
    <w:rsid w:val="00A824D4"/>
    <w:rsid w:val="00A825C8"/>
    <w:rsid w:val="00A82742"/>
    <w:rsid w:val="00A82A29"/>
    <w:rsid w:val="00A83984"/>
    <w:rsid w:val="00A83A1E"/>
    <w:rsid w:val="00A84198"/>
    <w:rsid w:val="00A841AB"/>
    <w:rsid w:val="00A849C5"/>
    <w:rsid w:val="00A84FFD"/>
    <w:rsid w:val="00A86104"/>
    <w:rsid w:val="00A8655A"/>
    <w:rsid w:val="00A87203"/>
    <w:rsid w:val="00A87744"/>
    <w:rsid w:val="00A87AE6"/>
    <w:rsid w:val="00A87B09"/>
    <w:rsid w:val="00A87C22"/>
    <w:rsid w:val="00A90590"/>
    <w:rsid w:val="00A90A97"/>
    <w:rsid w:val="00A90CB4"/>
    <w:rsid w:val="00A910DA"/>
    <w:rsid w:val="00A920E1"/>
    <w:rsid w:val="00A933AE"/>
    <w:rsid w:val="00A93863"/>
    <w:rsid w:val="00A93928"/>
    <w:rsid w:val="00A93F73"/>
    <w:rsid w:val="00A9415E"/>
    <w:rsid w:val="00A9423F"/>
    <w:rsid w:val="00A94722"/>
    <w:rsid w:val="00A94EBD"/>
    <w:rsid w:val="00A9510D"/>
    <w:rsid w:val="00A95580"/>
    <w:rsid w:val="00A956AC"/>
    <w:rsid w:val="00A95A84"/>
    <w:rsid w:val="00A95D2A"/>
    <w:rsid w:val="00A961D6"/>
    <w:rsid w:val="00A96214"/>
    <w:rsid w:val="00A967E8"/>
    <w:rsid w:val="00A97F4B"/>
    <w:rsid w:val="00AA04C5"/>
    <w:rsid w:val="00AA10B1"/>
    <w:rsid w:val="00AA2803"/>
    <w:rsid w:val="00AA2BF2"/>
    <w:rsid w:val="00AA2D68"/>
    <w:rsid w:val="00AA2D6F"/>
    <w:rsid w:val="00AA2E92"/>
    <w:rsid w:val="00AA3987"/>
    <w:rsid w:val="00AA3B68"/>
    <w:rsid w:val="00AA3DAE"/>
    <w:rsid w:val="00AA3E79"/>
    <w:rsid w:val="00AA4FB4"/>
    <w:rsid w:val="00AA5C0B"/>
    <w:rsid w:val="00AA5E3B"/>
    <w:rsid w:val="00AA63AD"/>
    <w:rsid w:val="00AA65B4"/>
    <w:rsid w:val="00AA6A75"/>
    <w:rsid w:val="00AA745E"/>
    <w:rsid w:val="00AA787F"/>
    <w:rsid w:val="00AB04AB"/>
    <w:rsid w:val="00AB0733"/>
    <w:rsid w:val="00AB09D2"/>
    <w:rsid w:val="00AB0B64"/>
    <w:rsid w:val="00AB0C30"/>
    <w:rsid w:val="00AB16DA"/>
    <w:rsid w:val="00AB176B"/>
    <w:rsid w:val="00AB2C5F"/>
    <w:rsid w:val="00AB37E6"/>
    <w:rsid w:val="00AB3DBA"/>
    <w:rsid w:val="00AB431C"/>
    <w:rsid w:val="00AB470E"/>
    <w:rsid w:val="00AB4C80"/>
    <w:rsid w:val="00AB506B"/>
    <w:rsid w:val="00AB5467"/>
    <w:rsid w:val="00AB5883"/>
    <w:rsid w:val="00AB5A7E"/>
    <w:rsid w:val="00AB7538"/>
    <w:rsid w:val="00AB77F3"/>
    <w:rsid w:val="00AC0256"/>
    <w:rsid w:val="00AC0AAD"/>
    <w:rsid w:val="00AC1231"/>
    <w:rsid w:val="00AC1992"/>
    <w:rsid w:val="00AC1E14"/>
    <w:rsid w:val="00AC2CFA"/>
    <w:rsid w:val="00AC3263"/>
    <w:rsid w:val="00AC337E"/>
    <w:rsid w:val="00AC3E12"/>
    <w:rsid w:val="00AC406E"/>
    <w:rsid w:val="00AC417C"/>
    <w:rsid w:val="00AC430C"/>
    <w:rsid w:val="00AC4951"/>
    <w:rsid w:val="00AC49C9"/>
    <w:rsid w:val="00AC4A6B"/>
    <w:rsid w:val="00AC5C19"/>
    <w:rsid w:val="00AC60F0"/>
    <w:rsid w:val="00AC63C7"/>
    <w:rsid w:val="00AC6657"/>
    <w:rsid w:val="00AC6D7A"/>
    <w:rsid w:val="00AC7363"/>
    <w:rsid w:val="00AC7401"/>
    <w:rsid w:val="00AC7901"/>
    <w:rsid w:val="00AC79F3"/>
    <w:rsid w:val="00AC7FDD"/>
    <w:rsid w:val="00AD0949"/>
    <w:rsid w:val="00AD0F1D"/>
    <w:rsid w:val="00AD1179"/>
    <w:rsid w:val="00AD1359"/>
    <w:rsid w:val="00AD19F0"/>
    <w:rsid w:val="00AD1FCE"/>
    <w:rsid w:val="00AD26E1"/>
    <w:rsid w:val="00AD29CC"/>
    <w:rsid w:val="00AD3268"/>
    <w:rsid w:val="00AD3652"/>
    <w:rsid w:val="00AD3DE2"/>
    <w:rsid w:val="00AD4261"/>
    <w:rsid w:val="00AD46F5"/>
    <w:rsid w:val="00AD51A3"/>
    <w:rsid w:val="00AD598B"/>
    <w:rsid w:val="00AD7154"/>
    <w:rsid w:val="00AD797D"/>
    <w:rsid w:val="00AD7E02"/>
    <w:rsid w:val="00AE0034"/>
    <w:rsid w:val="00AE0483"/>
    <w:rsid w:val="00AE08DD"/>
    <w:rsid w:val="00AE13BD"/>
    <w:rsid w:val="00AE154B"/>
    <w:rsid w:val="00AE1ABF"/>
    <w:rsid w:val="00AE1AF9"/>
    <w:rsid w:val="00AE1E60"/>
    <w:rsid w:val="00AE2068"/>
    <w:rsid w:val="00AE2258"/>
    <w:rsid w:val="00AE277E"/>
    <w:rsid w:val="00AE29C3"/>
    <w:rsid w:val="00AE2A36"/>
    <w:rsid w:val="00AE2BC6"/>
    <w:rsid w:val="00AE3251"/>
    <w:rsid w:val="00AE33DA"/>
    <w:rsid w:val="00AE3FE0"/>
    <w:rsid w:val="00AE5058"/>
    <w:rsid w:val="00AE51CD"/>
    <w:rsid w:val="00AE5471"/>
    <w:rsid w:val="00AE54AA"/>
    <w:rsid w:val="00AE60E4"/>
    <w:rsid w:val="00AE6872"/>
    <w:rsid w:val="00AE6C58"/>
    <w:rsid w:val="00AE72C4"/>
    <w:rsid w:val="00AE7F05"/>
    <w:rsid w:val="00AE7F38"/>
    <w:rsid w:val="00AF054D"/>
    <w:rsid w:val="00AF0939"/>
    <w:rsid w:val="00AF0981"/>
    <w:rsid w:val="00AF0F9C"/>
    <w:rsid w:val="00AF10F0"/>
    <w:rsid w:val="00AF18E2"/>
    <w:rsid w:val="00AF24E7"/>
    <w:rsid w:val="00AF272B"/>
    <w:rsid w:val="00AF291B"/>
    <w:rsid w:val="00AF2DAA"/>
    <w:rsid w:val="00AF2EBD"/>
    <w:rsid w:val="00AF33AE"/>
    <w:rsid w:val="00AF3CDC"/>
    <w:rsid w:val="00AF44B1"/>
    <w:rsid w:val="00AF5800"/>
    <w:rsid w:val="00AF61E2"/>
    <w:rsid w:val="00AF6986"/>
    <w:rsid w:val="00AF69FE"/>
    <w:rsid w:val="00AF6A77"/>
    <w:rsid w:val="00AF6D1B"/>
    <w:rsid w:val="00AF73ED"/>
    <w:rsid w:val="00AF7D69"/>
    <w:rsid w:val="00AF7ED2"/>
    <w:rsid w:val="00B004D8"/>
    <w:rsid w:val="00B00830"/>
    <w:rsid w:val="00B00CC5"/>
    <w:rsid w:val="00B016D2"/>
    <w:rsid w:val="00B02091"/>
    <w:rsid w:val="00B02B43"/>
    <w:rsid w:val="00B03697"/>
    <w:rsid w:val="00B03D36"/>
    <w:rsid w:val="00B04540"/>
    <w:rsid w:val="00B046F1"/>
    <w:rsid w:val="00B05116"/>
    <w:rsid w:val="00B051A7"/>
    <w:rsid w:val="00B05F1A"/>
    <w:rsid w:val="00B07B33"/>
    <w:rsid w:val="00B07FA2"/>
    <w:rsid w:val="00B100CF"/>
    <w:rsid w:val="00B1074F"/>
    <w:rsid w:val="00B10E82"/>
    <w:rsid w:val="00B111A6"/>
    <w:rsid w:val="00B115E5"/>
    <w:rsid w:val="00B118EE"/>
    <w:rsid w:val="00B11B03"/>
    <w:rsid w:val="00B11C5B"/>
    <w:rsid w:val="00B121CD"/>
    <w:rsid w:val="00B12343"/>
    <w:rsid w:val="00B12529"/>
    <w:rsid w:val="00B128C5"/>
    <w:rsid w:val="00B12B11"/>
    <w:rsid w:val="00B12C94"/>
    <w:rsid w:val="00B135AB"/>
    <w:rsid w:val="00B13797"/>
    <w:rsid w:val="00B137BF"/>
    <w:rsid w:val="00B13A1B"/>
    <w:rsid w:val="00B13A76"/>
    <w:rsid w:val="00B142D9"/>
    <w:rsid w:val="00B145D5"/>
    <w:rsid w:val="00B14BC4"/>
    <w:rsid w:val="00B158A3"/>
    <w:rsid w:val="00B15B25"/>
    <w:rsid w:val="00B15C36"/>
    <w:rsid w:val="00B15E95"/>
    <w:rsid w:val="00B15EA0"/>
    <w:rsid w:val="00B16069"/>
    <w:rsid w:val="00B1745A"/>
    <w:rsid w:val="00B17785"/>
    <w:rsid w:val="00B17A4E"/>
    <w:rsid w:val="00B17B30"/>
    <w:rsid w:val="00B17C2F"/>
    <w:rsid w:val="00B17CDA"/>
    <w:rsid w:val="00B2153E"/>
    <w:rsid w:val="00B218CB"/>
    <w:rsid w:val="00B21FA7"/>
    <w:rsid w:val="00B22022"/>
    <w:rsid w:val="00B225E4"/>
    <w:rsid w:val="00B23223"/>
    <w:rsid w:val="00B23F7A"/>
    <w:rsid w:val="00B240B1"/>
    <w:rsid w:val="00B24208"/>
    <w:rsid w:val="00B24374"/>
    <w:rsid w:val="00B24728"/>
    <w:rsid w:val="00B248A9"/>
    <w:rsid w:val="00B2490A"/>
    <w:rsid w:val="00B24BE3"/>
    <w:rsid w:val="00B24D28"/>
    <w:rsid w:val="00B24F1C"/>
    <w:rsid w:val="00B25D76"/>
    <w:rsid w:val="00B27032"/>
    <w:rsid w:val="00B27085"/>
    <w:rsid w:val="00B27583"/>
    <w:rsid w:val="00B30003"/>
    <w:rsid w:val="00B3015C"/>
    <w:rsid w:val="00B30642"/>
    <w:rsid w:val="00B31201"/>
    <w:rsid w:val="00B31B4B"/>
    <w:rsid w:val="00B31E36"/>
    <w:rsid w:val="00B32E26"/>
    <w:rsid w:val="00B338B7"/>
    <w:rsid w:val="00B34061"/>
    <w:rsid w:val="00B34376"/>
    <w:rsid w:val="00B3440A"/>
    <w:rsid w:val="00B34441"/>
    <w:rsid w:val="00B35533"/>
    <w:rsid w:val="00B35534"/>
    <w:rsid w:val="00B35A87"/>
    <w:rsid w:val="00B35AFD"/>
    <w:rsid w:val="00B35F9A"/>
    <w:rsid w:val="00B3609C"/>
    <w:rsid w:val="00B36100"/>
    <w:rsid w:val="00B36236"/>
    <w:rsid w:val="00B3662E"/>
    <w:rsid w:val="00B36645"/>
    <w:rsid w:val="00B366D2"/>
    <w:rsid w:val="00B366FA"/>
    <w:rsid w:val="00B36E86"/>
    <w:rsid w:val="00B379BA"/>
    <w:rsid w:val="00B40B30"/>
    <w:rsid w:val="00B40E47"/>
    <w:rsid w:val="00B412FD"/>
    <w:rsid w:val="00B41E1C"/>
    <w:rsid w:val="00B422BE"/>
    <w:rsid w:val="00B4241D"/>
    <w:rsid w:val="00B426BB"/>
    <w:rsid w:val="00B42EB9"/>
    <w:rsid w:val="00B436F0"/>
    <w:rsid w:val="00B441FE"/>
    <w:rsid w:val="00B44821"/>
    <w:rsid w:val="00B44AD3"/>
    <w:rsid w:val="00B450EB"/>
    <w:rsid w:val="00B45152"/>
    <w:rsid w:val="00B454DD"/>
    <w:rsid w:val="00B45E54"/>
    <w:rsid w:val="00B460B8"/>
    <w:rsid w:val="00B464E4"/>
    <w:rsid w:val="00B4689A"/>
    <w:rsid w:val="00B46D5F"/>
    <w:rsid w:val="00B46E7B"/>
    <w:rsid w:val="00B47DC5"/>
    <w:rsid w:val="00B50395"/>
    <w:rsid w:val="00B505B3"/>
    <w:rsid w:val="00B50882"/>
    <w:rsid w:val="00B50A74"/>
    <w:rsid w:val="00B5199C"/>
    <w:rsid w:val="00B520A0"/>
    <w:rsid w:val="00B5257E"/>
    <w:rsid w:val="00B525CE"/>
    <w:rsid w:val="00B52CFD"/>
    <w:rsid w:val="00B545A8"/>
    <w:rsid w:val="00B56527"/>
    <w:rsid w:val="00B56706"/>
    <w:rsid w:val="00B57019"/>
    <w:rsid w:val="00B576DA"/>
    <w:rsid w:val="00B57710"/>
    <w:rsid w:val="00B601C9"/>
    <w:rsid w:val="00B60D04"/>
    <w:rsid w:val="00B6158F"/>
    <w:rsid w:val="00B61EE8"/>
    <w:rsid w:val="00B633A3"/>
    <w:rsid w:val="00B63533"/>
    <w:rsid w:val="00B63BDB"/>
    <w:rsid w:val="00B64A0E"/>
    <w:rsid w:val="00B64DDF"/>
    <w:rsid w:val="00B6601E"/>
    <w:rsid w:val="00B663AA"/>
    <w:rsid w:val="00B66DD5"/>
    <w:rsid w:val="00B670D0"/>
    <w:rsid w:val="00B67722"/>
    <w:rsid w:val="00B67B97"/>
    <w:rsid w:val="00B67F01"/>
    <w:rsid w:val="00B67FED"/>
    <w:rsid w:val="00B70329"/>
    <w:rsid w:val="00B711AB"/>
    <w:rsid w:val="00B714F0"/>
    <w:rsid w:val="00B71A40"/>
    <w:rsid w:val="00B71C8C"/>
    <w:rsid w:val="00B71CB4"/>
    <w:rsid w:val="00B71FD7"/>
    <w:rsid w:val="00B725E7"/>
    <w:rsid w:val="00B72C07"/>
    <w:rsid w:val="00B72DF7"/>
    <w:rsid w:val="00B72F42"/>
    <w:rsid w:val="00B73E44"/>
    <w:rsid w:val="00B74290"/>
    <w:rsid w:val="00B74510"/>
    <w:rsid w:val="00B74BD4"/>
    <w:rsid w:val="00B74BF7"/>
    <w:rsid w:val="00B760FD"/>
    <w:rsid w:val="00B76185"/>
    <w:rsid w:val="00B76BCD"/>
    <w:rsid w:val="00B779E6"/>
    <w:rsid w:val="00B804E2"/>
    <w:rsid w:val="00B811B2"/>
    <w:rsid w:val="00B815B0"/>
    <w:rsid w:val="00B81BA3"/>
    <w:rsid w:val="00B82213"/>
    <w:rsid w:val="00B8276E"/>
    <w:rsid w:val="00B82912"/>
    <w:rsid w:val="00B839A9"/>
    <w:rsid w:val="00B83A62"/>
    <w:rsid w:val="00B83B59"/>
    <w:rsid w:val="00B84252"/>
    <w:rsid w:val="00B8468F"/>
    <w:rsid w:val="00B849F1"/>
    <w:rsid w:val="00B84FC6"/>
    <w:rsid w:val="00B857F5"/>
    <w:rsid w:val="00B86D6C"/>
    <w:rsid w:val="00B86EB5"/>
    <w:rsid w:val="00B86F47"/>
    <w:rsid w:val="00B874B4"/>
    <w:rsid w:val="00B8787A"/>
    <w:rsid w:val="00B87887"/>
    <w:rsid w:val="00B90123"/>
    <w:rsid w:val="00B90196"/>
    <w:rsid w:val="00B911C1"/>
    <w:rsid w:val="00B91374"/>
    <w:rsid w:val="00B922C3"/>
    <w:rsid w:val="00B9272E"/>
    <w:rsid w:val="00B927A7"/>
    <w:rsid w:val="00B92B9E"/>
    <w:rsid w:val="00B93315"/>
    <w:rsid w:val="00B93519"/>
    <w:rsid w:val="00B9372A"/>
    <w:rsid w:val="00B9425C"/>
    <w:rsid w:val="00B94AAF"/>
    <w:rsid w:val="00B953FF"/>
    <w:rsid w:val="00B9622D"/>
    <w:rsid w:val="00B96263"/>
    <w:rsid w:val="00B968A5"/>
    <w:rsid w:val="00B972CD"/>
    <w:rsid w:val="00B97D02"/>
    <w:rsid w:val="00BA0304"/>
    <w:rsid w:val="00BA0557"/>
    <w:rsid w:val="00BA19C4"/>
    <w:rsid w:val="00BA3038"/>
    <w:rsid w:val="00BA370A"/>
    <w:rsid w:val="00BA48BC"/>
    <w:rsid w:val="00BA4A29"/>
    <w:rsid w:val="00BA4BE7"/>
    <w:rsid w:val="00BA5F20"/>
    <w:rsid w:val="00BA5F44"/>
    <w:rsid w:val="00BA68D9"/>
    <w:rsid w:val="00BA695F"/>
    <w:rsid w:val="00BA6FD8"/>
    <w:rsid w:val="00BA7172"/>
    <w:rsid w:val="00BA7B01"/>
    <w:rsid w:val="00BB02D7"/>
    <w:rsid w:val="00BB0D9F"/>
    <w:rsid w:val="00BB0DEE"/>
    <w:rsid w:val="00BB0F93"/>
    <w:rsid w:val="00BB1031"/>
    <w:rsid w:val="00BB1B33"/>
    <w:rsid w:val="00BB2480"/>
    <w:rsid w:val="00BB27FD"/>
    <w:rsid w:val="00BB2C4E"/>
    <w:rsid w:val="00BB2E29"/>
    <w:rsid w:val="00BB2F74"/>
    <w:rsid w:val="00BB3206"/>
    <w:rsid w:val="00BB3277"/>
    <w:rsid w:val="00BB32C2"/>
    <w:rsid w:val="00BB350B"/>
    <w:rsid w:val="00BB3B0D"/>
    <w:rsid w:val="00BB524C"/>
    <w:rsid w:val="00BB5DAB"/>
    <w:rsid w:val="00BB6195"/>
    <w:rsid w:val="00BB61A3"/>
    <w:rsid w:val="00BB67EA"/>
    <w:rsid w:val="00BB707E"/>
    <w:rsid w:val="00BB7568"/>
    <w:rsid w:val="00BC007C"/>
    <w:rsid w:val="00BC0986"/>
    <w:rsid w:val="00BC0AB2"/>
    <w:rsid w:val="00BC1308"/>
    <w:rsid w:val="00BC1BF4"/>
    <w:rsid w:val="00BC2600"/>
    <w:rsid w:val="00BC2F24"/>
    <w:rsid w:val="00BC33BE"/>
    <w:rsid w:val="00BC3A47"/>
    <w:rsid w:val="00BC3EEB"/>
    <w:rsid w:val="00BC4780"/>
    <w:rsid w:val="00BC52C8"/>
    <w:rsid w:val="00BC5485"/>
    <w:rsid w:val="00BC549C"/>
    <w:rsid w:val="00BC570E"/>
    <w:rsid w:val="00BC5A6C"/>
    <w:rsid w:val="00BC5AF6"/>
    <w:rsid w:val="00BC5B4B"/>
    <w:rsid w:val="00BC5E93"/>
    <w:rsid w:val="00BC5EDB"/>
    <w:rsid w:val="00BC69A2"/>
    <w:rsid w:val="00BC6ED6"/>
    <w:rsid w:val="00BC6F03"/>
    <w:rsid w:val="00BC6FA1"/>
    <w:rsid w:val="00BC7487"/>
    <w:rsid w:val="00BD0570"/>
    <w:rsid w:val="00BD0853"/>
    <w:rsid w:val="00BD112D"/>
    <w:rsid w:val="00BD214E"/>
    <w:rsid w:val="00BD2395"/>
    <w:rsid w:val="00BD25B8"/>
    <w:rsid w:val="00BD2842"/>
    <w:rsid w:val="00BD3033"/>
    <w:rsid w:val="00BD3120"/>
    <w:rsid w:val="00BD3354"/>
    <w:rsid w:val="00BD384E"/>
    <w:rsid w:val="00BD3E76"/>
    <w:rsid w:val="00BD3EE2"/>
    <w:rsid w:val="00BD3FCF"/>
    <w:rsid w:val="00BD42D2"/>
    <w:rsid w:val="00BD47D7"/>
    <w:rsid w:val="00BD4EFB"/>
    <w:rsid w:val="00BD5076"/>
    <w:rsid w:val="00BD5551"/>
    <w:rsid w:val="00BD6D43"/>
    <w:rsid w:val="00BD7090"/>
    <w:rsid w:val="00BD7490"/>
    <w:rsid w:val="00BD767F"/>
    <w:rsid w:val="00BD7DA0"/>
    <w:rsid w:val="00BE096B"/>
    <w:rsid w:val="00BE09C3"/>
    <w:rsid w:val="00BE0C27"/>
    <w:rsid w:val="00BE0F9B"/>
    <w:rsid w:val="00BE15BB"/>
    <w:rsid w:val="00BE198F"/>
    <w:rsid w:val="00BE2FA0"/>
    <w:rsid w:val="00BE330E"/>
    <w:rsid w:val="00BE39EB"/>
    <w:rsid w:val="00BE4875"/>
    <w:rsid w:val="00BE4CCF"/>
    <w:rsid w:val="00BE5964"/>
    <w:rsid w:val="00BE660B"/>
    <w:rsid w:val="00BE6AFE"/>
    <w:rsid w:val="00BE6BBE"/>
    <w:rsid w:val="00BE7021"/>
    <w:rsid w:val="00BE7300"/>
    <w:rsid w:val="00BE76F7"/>
    <w:rsid w:val="00BE784F"/>
    <w:rsid w:val="00BE79C6"/>
    <w:rsid w:val="00BF0019"/>
    <w:rsid w:val="00BF0238"/>
    <w:rsid w:val="00BF0717"/>
    <w:rsid w:val="00BF1750"/>
    <w:rsid w:val="00BF178E"/>
    <w:rsid w:val="00BF189F"/>
    <w:rsid w:val="00BF1B44"/>
    <w:rsid w:val="00BF1D88"/>
    <w:rsid w:val="00BF1F01"/>
    <w:rsid w:val="00BF1FC2"/>
    <w:rsid w:val="00BF23CC"/>
    <w:rsid w:val="00BF243F"/>
    <w:rsid w:val="00BF2708"/>
    <w:rsid w:val="00BF4C2B"/>
    <w:rsid w:val="00BF507A"/>
    <w:rsid w:val="00BF53F1"/>
    <w:rsid w:val="00BF5717"/>
    <w:rsid w:val="00BF5B9D"/>
    <w:rsid w:val="00BF5C45"/>
    <w:rsid w:val="00BF5FA3"/>
    <w:rsid w:val="00BF62F2"/>
    <w:rsid w:val="00BF63A5"/>
    <w:rsid w:val="00BF72A7"/>
    <w:rsid w:val="00BF7558"/>
    <w:rsid w:val="00BF7DD2"/>
    <w:rsid w:val="00C0111E"/>
    <w:rsid w:val="00C02676"/>
    <w:rsid w:val="00C029AB"/>
    <w:rsid w:val="00C02D74"/>
    <w:rsid w:val="00C03BD5"/>
    <w:rsid w:val="00C03C8B"/>
    <w:rsid w:val="00C03F3C"/>
    <w:rsid w:val="00C0425C"/>
    <w:rsid w:val="00C049BE"/>
    <w:rsid w:val="00C04A71"/>
    <w:rsid w:val="00C04DF0"/>
    <w:rsid w:val="00C05A4C"/>
    <w:rsid w:val="00C05A67"/>
    <w:rsid w:val="00C0632D"/>
    <w:rsid w:val="00C0641F"/>
    <w:rsid w:val="00C06C9A"/>
    <w:rsid w:val="00C06E6F"/>
    <w:rsid w:val="00C075DB"/>
    <w:rsid w:val="00C07EBA"/>
    <w:rsid w:val="00C07FBC"/>
    <w:rsid w:val="00C100E2"/>
    <w:rsid w:val="00C100E7"/>
    <w:rsid w:val="00C11113"/>
    <w:rsid w:val="00C11687"/>
    <w:rsid w:val="00C11E28"/>
    <w:rsid w:val="00C11F66"/>
    <w:rsid w:val="00C1225B"/>
    <w:rsid w:val="00C122F9"/>
    <w:rsid w:val="00C1253A"/>
    <w:rsid w:val="00C12730"/>
    <w:rsid w:val="00C128C9"/>
    <w:rsid w:val="00C12CF3"/>
    <w:rsid w:val="00C12F88"/>
    <w:rsid w:val="00C131A8"/>
    <w:rsid w:val="00C1322D"/>
    <w:rsid w:val="00C135A3"/>
    <w:rsid w:val="00C1455F"/>
    <w:rsid w:val="00C1477A"/>
    <w:rsid w:val="00C14A62"/>
    <w:rsid w:val="00C158EB"/>
    <w:rsid w:val="00C159B1"/>
    <w:rsid w:val="00C15D51"/>
    <w:rsid w:val="00C161F5"/>
    <w:rsid w:val="00C16C92"/>
    <w:rsid w:val="00C16ED6"/>
    <w:rsid w:val="00C1706B"/>
    <w:rsid w:val="00C17DB7"/>
    <w:rsid w:val="00C17E48"/>
    <w:rsid w:val="00C17F0B"/>
    <w:rsid w:val="00C201E7"/>
    <w:rsid w:val="00C20506"/>
    <w:rsid w:val="00C20AA2"/>
    <w:rsid w:val="00C20B91"/>
    <w:rsid w:val="00C21155"/>
    <w:rsid w:val="00C2146C"/>
    <w:rsid w:val="00C214D7"/>
    <w:rsid w:val="00C21561"/>
    <w:rsid w:val="00C217EE"/>
    <w:rsid w:val="00C22784"/>
    <w:rsid w:val="00C22FAA"/>
    <w:rsid w:val="00C23A4C"/>
    <w:rsid w:val="00C2419D"/>
    <w:rsid w:val="00C243A4"/>
    <w:rsid w:val="00C24416"/>
    <w:rsid w:val="00C248DB"/>
    <w:rsid w:val="00C255D9"/>
    <w:rsid w:val="00C26170"/>
    <w:rsid w:val="00C26734"/>
    <w:rsid w:val="00C26B5A"/>
    <w:rsid w:val="00C26BB1"/>
    <w:rsid w:val="00C26D52"/>
    <w:rsid w:val="00C303E4"/>
    <w:rsid w:val="00C30775"/>
    <w:rsid w:val="00C30B8D"/>
    <w:rsid w:val="00C30BED"/>
    <w:rsid w:val="00C30DBE"/>
    <w:rsid w:val="00C3134E"/>
    <w:rsid w:val="00C315D8"/>
    <w:rsid w:val="00C31C4A"/>
    <w:rsid w:val="00C31D2D"/>
    <w:rsid w:val="00C3209A"/>
    <w:rsid w:val="00C32639"/>
    <w:rsid w:val="00C32808"/>
    <w:rsid w:val="00C32AD2"/>
    <w:rsid w:val="00C33114"/>
    <w:rsid w:val="00C3415E"/>
    <w:rsid w:val="00C34193"/>
    <w:rsid w:val="00C347FD"/>
    <w:rsid w:val="00C34DAE"/>
    <w:rsid w:val="00C34DF8"/>
    <w:rsid w:val="00C34E1E"/>
    <w:rsid w:val="00C34E5A"/>
    <w:rsid w:val="00C35553"/>
    <w:rsid w:val="00C35D9C"/>
    <w:rsid w:val="00C36219"/>
    <w:rsid w:val="00C36656"/>
    <w:rsid w:val="00C3698E"/>
    <w:rsid w:val="00C36CCA"/>
    <w:rsid w:val="00C36E1C"/>
    <w:rsid w:val="00C36F42"/>
    <w:rsid w:val="00C3718A"/>
    <w:rsid w:val="00C379C5"/>
    <w:rsid w:val="00C37EEE"/>
    <w:rsid w:val="00C40037"/>
    <w:rsid w:val="00C40453"/>
    <w:rsid w:val="00C404A7"/>
    <w:rsid w:val="00C40BCA"/>
    <w:rsid w:val="00C40E71"/>
    <w:rsid w:val="00C41879"/>
    <w:rsid w:val="00C41A7C"/>
    <w:rsid w:val="00C41CCD"/>
    <w:rsid w:val="00C42CEF"/>
    <w:rsid w:val="00C42D55"/>
    <w:rsid w:val="00C43080"/>
    <w:rsid w:val="00C4370E"/>
    <w:rsid w:val="00C43823"/>
    <w:rsid w:val="00C4384B"/>
    <w:rsid w:val="00C4393C"/>
    <w:rsid w:val="00C43F2D"/>
    <w:rsid w:val="00C44068"/>
    <w:rsid w:val="00C442AE"/>
    <w:rsid w:val="00C44C2B"/>
    <w:rsid w:val="00C4518B"/>
    <w:rsid w:val="00C45780"/>
    <w:rsid w:val="00C458D6"/>
    <w:rsid w:val="00C45919"/>
    <w:rsid w:val="00C4655A"/>
    <w:rsid w:val="00C466BF"/>
    <w:rsid w:val="00C47385"/>
    <w:rsid w:val="00C474C0"/>
    <w:rsid w:val="00C47555"/>
    <w:rsid w:val="00C476AC"/>
    <w:rsid w:val="00C47E67"/>
    <w:rsid w:val="00C47FD9"/>
    <w:rsid w:val="00C50C1A"/>
    <w:rsid w:val="00C50E1E"/>
    <w:rsid w:val="00C51132"/>
    <w:rsid w:val="00C51508"/>
    <w:rsid w:val="00C51D73"/>
    <w:rsid w:val="00C52A05"/>
    <w:rsid w:val="00C52E97"/>
    <w:rsid w:val="00C52EAF"/>
    <w:rsid w:val="00C52FBA"/>
    <w:rsid w:val="00C53189"/>
    <w:rsid w:val="00C534E5"/>
    <w:rsid w:val="00C534F4"/>
    <w:rsid w:val="00C5375B"/>
    <w:rsid w:val="00C53AD3"/>
    <w:rsid w:val="00C53B15"/>
    <w:rsid w:val="00C53DA9"/>
    <w:rsid w:val="00C53EF7"/>
    <w:rsid w:val="00C54280"/>
    <w:rsid w:val="00C54929"/>
    <w:rsid w:val="00C550B6"/>
    <w:rsid w:val="00C556B1"/>
    <w:rsid w:val="00C55A05"/>
    <w:rsid w:val="00C55F8D"/>
    <w:rsid w:val="00C56101"/>
    <w:rsid w:val="00C564FB"/>
    <w:rsid w:val="00C565F2"/>
    <w:rsid w:val="00C567E3"/>
    <w:rsid w:val="00C56C45"/>
    <w:rsid w:val="00C573CC"/>
    <w:rsid w:val="00C57B81"/>
    <w:rsid w:val="00C57FB9"/>
    <w:rsid w:val="00C6077B"/>
    <w:rsid w:val="00C60950"/>
    <w:rsid w:val="00C60C68"/>
    <w:rsid w:val="00C60DD1"/>
    <w:rsid w:val="00C61565"/>
    <w:rsid w:val="00C61574"/>
    <w:rsid w:val="00C615B4"/>
    <w:rsid w:val="00C6184A"/>
    <w:rsid w:val="00C61AC6"/>
    <w:rsid w:val="00C61ACF"/>
    <w:rsid w:val="00C6211D"/>
    <w:rsid w:val="00C62B32"/>
    <w:rsid w:val="00C63DED"/>
    <w:rsid w:val="00C63E88"/>
    <w:rsid w:val="00C6436D"/>
    <w:rsid w:val="00C64F97"/>
    <w:rsid w:val="00C65585"/>
    <w:rsid w:val="00C656EB"/>
    <w:rsid w:val="00C65DF4"/>
    <w:rsid w:val="00C667F0"/>
    <w:rsid w:val="00C66AC8"/>
    <w:rsid w:val="00C67598"/>
    <w:rsid w:val="00C67B49"/>
    <w:rsid w:val="00C711F5"/>
    <w:rsid w:val="00C713A1"/>
    <w:rsid w:val="00C71828"/>
    <w:rsid w:val="00C72105"/>
    <w:rsid w:val="00C74520"/>
    <w:rsid w:val="00C74954"/>
    <w:rsid w:val="00C76028"/>
    <w:rsid w:val="00C76184"/>
    <w:rsid w:val="00C76462"/>
    <w:rsid w:val="00C7673D"/>
    <w:rsid w:val="00C76A80"/>
    <w:rsid w:val="00C76C27"/>
    <w:rsid w:val="00C76E09"/>
    <w:rsid w:val="00C76F07"/>
    <w:rsid w:val="00C77EF6"/>
    <w:rsid w:val="00C80B4B"/>
    <w:rsid w:val="00C80D63"/>
    <w:rsid w:val="00C80E85"/>
    <w:rsid w:val="00C8129D"/>
    <w:rsid w:val="00C812D5"/>
    <w:rsid w:val="00C81BEA"/>
    <w:rsid w:val="00C81DF5"/>
    <w:rsid w:val="00C82188"/>
    <w:rsid w:val="00C8242B"/>
    <w:rsid w:val="00C82A50"/>
    <w:rsid w:val="00C83240"/>
    <w:rsid w:val="00C83381"/>
    <w:rsid w:val="00C83607"/>
    <w:rsid w:val="00C83768"/>
    <w:rsid w:val="00C83B18"/>
    <w:rsid w:val="00C840C3"/>
    <w:rsid w:val="00C841B4"/>
    <w:rsid w:val="00C84266"/>
    <w:rsid w:val="00C8466F"/>
    <w:rsid w:val="00C8489E"/>
    <w:rsid w:val="00C849E0"/>
    <w:rsid w:val="00C84B74"/>
    <w:rsid w:val="00C8512A"/>
    <w:rsid w:val="00C85378"/>
    <w:rsid w:val="00C85970"/>
    <w:rsid w:val="00C85E9B"/>
    <w:rsid w:val="00C874C8"/>
    <w:rsid w:val="00C90165"/>
    <w:rsid w:val="00C902DA"/>
    <w:rsid w:val="00C90733"/>
    <w:rsid w:val="00C921C4"/>
    <w:rsid w:val="00C9235F"/>
    <w:rsid w:val="00C9257F"/>
    <w:rsid w:val="00C9319C"/>
    <w:rsid w:val="00C9330C"/>
    <w:rsid w:val="00C934F6"/>
    <w:rsid w:val="00C93874"/>
    <w:rsid w:val="00C93A4C"/>
    <w:rsid w:val="00C944EB"/>
    <w:rsid w:val="00C94FD2"/>
    <w:rsid w:val="00C95341"/>
    <w:rsid w:val="00C95B76"/>
    <w:rsid w:val="00C962CB"/>
    <w:rsid w:val="00C964C3"/>
    <w:rsid w:val="00C964D6"/>
    <w:rsid w:val="00C96635"/>
    <w:rsid w:val="00C966B7"/>
    <w:rsid w:val="00C969DB"/>
    <w:rsid w:val="00C96A6E"/>
    <w:rsid w:val="00C97A4A"/>
    <w:rsid w:val="00C97DC9"/>
    <w:rsid w:val="00C97EE3"/>
    <w:rsid w:val="00CA042A"/>
    <w:rsid w:val="00CA12BA"/>
    <w:rsid w:val="00CA165C"/>
    <w:rsid w:val="00CA1C0D"/>
    <w:rsid w:val="00CA1DAE"/>
    <w:rsid w:val="00CA1E62"/>
    <w:rsid w:val="00CA2267"/>
    <w:rsid w:val="00CA38AD"/>
    <w:rsid w:val="00CA3EEE"/>
    <w:rsid w:val="00CA5098"/>
    <w:rsid w:val="00CA5503"/>
    <w:rsid w:val="00CA612D"/>
    <w:rsid w:val="00CA66C3"/>
    <w:rsid w:val="00CA6CAD"/>
    <w:rsid w:val="00CA6E65"/>
    <w:rsid w:val="00CA70A8"/>
    <w:rsid w:val="00CA70D0"/>
    <w:rsid w:val="00CA74A4"/>
    <w:rsid w:val="00CA7683"/>
    <w:rsid w:val="00CA77AE"/>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4728"/>
    <w:rsid w:val="00CB59E7"/>
    <w:rsid w:val="00CB5D27"/>
    <w:rsid w:val="00CB5E4A"/>
    <w:rsid w:val="00CB6FCA"/>
    <w:rsid w:val="00CB724D"/>
    <w:rsid w:val="00CB73EA"/>
    <w:rsid w:val="00CB76E3"/>
    <w:rsid w:val="00CB7D4E"/>
    <w:rsid w:val="00CB7F1F"/>
    <w:rsid w:val="00CC002B"/>
    <w:rsid w:val="00CC07E5"/>
    <w:rsid w:val="00CC09F0"/>
    <w:rsid w:val="00CC0C11"/>
    <w:rsid w:val="00CC1F52"/>
    <w:rsid w:val="00CC233F"/>
    <w:rsid w:val="00CC27FD"/>
    <w:rsid w:val="00CC29A4"/>
    <w:rsid w:val="00CC31E8"/>
    <w:rsid w:val="00CC3AB9"/>
    <w:rsid w:val="00CC3C9E"/>
    <w:rsid w:val="00CC45E0"/>
    <w:rsid w:val="00CC4BBE"/>
    <w:rsid w:val="00CC4BC3"/>
    <w:rsid w:val="00CC50C7"/>
    <w:rsid w:val="00CC55AC"/>
    <w:rsid w:val="00CC5859"/>
    <w:rsid w:val="00CC66CB"/>
    <w:rsid w:val="00CC6D1C"/>
    <w:rsid w:val="00CC71DD"/>
    <w:rsid w:val="00CC71F3"/>
    <w:rsid w:val="00CC72C0"/>
    <w:rsid w:val="00CC757D"/>
    <w:rsid w:val="00CC7C74"/>
    <w:rsid w:val="00CD00DB"/>
    <w:rsid w:val="00CD0119"/>
    <w:rsid w:val="00CD07FD"/>
    <w:rsid w:val="00CD0866"/>
    <w:rsid w:val="00CD1169"/>
    <w:rsid w:val="00CD15F1"/>
    <w:rsid w:val="00CD16C7"/>
    <w:rsid w:val="00CD1A40"/>
    <w:rsid w:val="00CD1B33"/>
    <w:rsid w:val="00CD25F3"/>
    <w:rsid w:val="00CD27FF"/>
    <w:rsid w:val="00CD2875"/>
    <w:rsid w:val="00CD2DF3"/>
    <w:rsid w:val="00CD305C"/>
    <w:rsid w:val="00CD3A6D"/>
    <w:rsid w:val="00CD3B07"/>
    <w:rsid w:val="00CD3E5A"/>
    <w:rsid w:val="00CD3E63"/>
    <w:rsid w:val="00CD40A3"/>
    <w:rsid w:val="00CD457E"/>
    <w:rsid w:val="00CD4CD3"/>
    <w:rsid w:val="00CD589F"/>
    <w:rsid w:val="00CD5B17"/>
    <w:rsid w:val="00CD60C9"/>
    <w:rsid w:val="00CD6345"/>
    <w:rsid w:val="00CD6835"/>
    <w:rsid w:val="00CD6AEA"/>
    <w:rsid w:val="00CD6BBB"/>
    <w:rsid w:val="00CD7482"/>
    <w:rsid w:val="00CE07C1"/>
    <w:rsid w:val="00CE1567"/>
    <w:rsid w:val="00CE1859"/>
    <w:rsid w:val="00CE186F"/>
    <w:rsid w:val="00CE20E3"/>
    <w:rsid w:val="00CE273A"/>
    <w:rsid w:val="00CE321C"/>
    <w:rsid w:val="00CE32E8"/>
    <w:rsid w:val="00CE353C"/>
    <w:rsid w:val="00CE3700"/>
    <w:rsid w:val="00CE3B69"/>
    <w:rsid w:val="00CE4559"/>
    <w:rsid w:val="00CE5118"/>
    <w:rsid w:val="00CE5487"/>
    <w:rsid w:val="00CE59B5"/>
    <w:rsid w:val="00CE59DB"/>
    <w:rsid w:val="00CE5D3A"/>
    <w:rsid w:val="00CE67D8"/>
    <w:rsid w:val="00CE68EA"/>
    <w:rsid w:val="00CE7381"/>
    <w:rsid w:val="00CE7447"/>
    <w:rsid w:val="00CE74CE"/>
    <w:rsid w:val="00CE7510"/>
    <w:rsid w:val="00CE7ACE"/>
    <w:rsid w:val="00CF065B"/>
    <w:rsid w:val="00CF0829"/>
    <w:rsid w:val="00CF0E74"/>
    <w:rsid w:val="00CF1833"/>
    <w:rsid w:val="00CF1AEA"/>
    <w:rsid w:val="00CF2091"/>
    <w:rsid w:val="00CF21F6"/>
    <w:rsid w:val="00CF2278"/>
    <w:rsid w:val="00CF2C62"/>
    <w:rsid w:val="00CF2F66"/>
    <w:rsid w:val="00CF337B"/>
    <w:rsid w:val="00CF3828"/>
    <w:rsid w:val="00CF3FE7"/>
    <w:rsid w:val="00CF4416"/>
    <w:rsid w:val="00CF5762"/>
    <w:rsid w:val="00CF65B4"/>
    <w:rsid w:val="00CF6806"/>
    <w:rsid w:val="00CF69B0"/>
    <w:rsid w:val="00CF6C05"/>
    <w:rsid w:val="00CF7485"/>
    <w:rsid w:val="00CF7E56"/>
    <w:rsid w:val="00D01744"/>
    <w:rsid w:val="00D01C03"/>
    <w:rsid w:val="00D025CE"/>
    <w:rsid w:val="00D026A3"/>
    <w:rsid w:val="00D02A0F"/>
    <w:rsid w:val="00D02CA6"/>
    <w:rsid w:val="00D02DF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07B44"/>
    <w:rsid w:val="00D10076"/>
    <w:rsid w:val="00D101FA"/>
    <w:rsid w:val="00D1033B"/>
    <w:rsid w:val="00D10477"/>
    <w:rsid w:val="00D107E2"/>
    <w:rsid w:val="00D11D76"/>
    <w:rsid w:val="00D121F5"/>
    <w:rsid w:val="00D126E4"/>
    <w:rsid w:val="00D12A53"/>
    <w:rsid w:val="00D131BF"/>
    <w:rsid w:val="00D13A90"/>
    <w:rsid w:val="00D140E6"/>
    <w:rsid w:val="00D14C7E"/>
    <w:rsid w:val="00D158EF"/>
    <w:rsid w:val="00D15C14"/>
    <w:rsid w:val="00D15E74"/>
    <w:rsid w:val="00D15FAA"/>
    <w:rsid w:val="00D16ECB"/>
    <w:rsid w:val="00D16EEE"/>
    <w:rsid w:val="00D17167"/>
    <w:rsid w:val="00D17BA5"/>
    <w:rsid w:val="00D2058D"/>
    <w:rsid w:val="00D2176E"/>
    <w:rsid w:val="00D2182A"/>
    <w:rsid w:val="00D218BC"/>
    <w:rsid w:val="00D2193D"/>
    <w:rsid w:val="00D22105"/>
    <w:rsid w:val="00D2211C"/>
    <w:rsid w:val="00D22B55"/>
    <w:rsid w:val="00D22C81"/>
    <w:rsid w:val="00D23055"/>
    <w:rsid w:val="00D230AD"/>
    <w:rsid w:val="00D2320E"/>
    <w:rsid w:val="00D2327A"/>
    <w:rsid w:val="00D251AB"/>
    <w:rsid w:val="00D25240"/>
    <w:rsid w:val="00D25AC6"/>
    <w:rsid w:val="00D25BCD"/>
    <w:rsid w:val="00D25BF1"/>
    <w:rsid w:val="00D261D3"/>
    <w:rsid w:val="00D27086"/>
    <w:rsid w:val="00D319DF"/>
    <w:rsid w:val="00D31C02"/>
    <w:rsid w:val="00D3225E"/>
    <w:rsid w:val="00D324BC"/>
    <w:rsid w:val="00D32B9F"/>
    <w:rsid w:val="00D32DF7"/>
    <w:rsid w:val="00D331A5"/>
    <w:rsid w:val="00D33565"/>
    <w:rsid w:val="00D33761"/>
    <w:rsid w:val="00D33762"/>
    <w:rsid w:val="00D34BD1"/>
    <w:rsid w:val="00D35177"/>
    <w:rsid w:val="00D356E1"/>
    <w:rsid w:val="00D40609"/>
    <w:rsid w:val="00D40983"/>
    <w:rsid w:val="00D40B3B"/>
    <w:rsid w:val="00D41188"/>
    <w:rsid w:val="00D417D3"/>
    <w:rsid w:val="00D418D5"/>
    <w:rsid w:val="00D41DB1"/>
    <w:rsid w:val="00D4276D"/>
    <w:rsid w:val="00D42798"/>
    <w:rsid w:val="00D42970"/>
    <w:rsid w:val="00D43468"/>
    <w:rsid w:val="00D43AED"/>
    <w:rsid w:val="00D44916"/>
    <w:rsid w:val="00D45AE4"/>
    <w:rsid w:val="00D45CA4"/>
    <w:rsid w:val="00D45EA7"/>
    <w:rsid w:val="00D45F22"/>
    <w:rsid w:val="00D47178"/>
    <w:rsid w:val="00D4752E"/>
    <w:rsid w:val="00D47842"/>
    <w:rsid w:val="00D47BEF"/>
    <w:rsid w:val="00D50826"/>
    <w:rsid w:val="00D51104"/>
    <w:rsid w:val="00D51675"/>
    <w:rsid w:val="00D51F73"/>
    <w:rsid w:val="00D52827"/>
    <w:rsid w:val="00D529BE"/>
    <w:rsid w:val="00D52CF6"/>
    <w:rsid w:val="00D53D3E"/>
    <w:rsid w:val="00D547E0"/>
    <w:rsid w:val="00D54992"/>
    <w:rsid w:val="00D55291"/>
    <w:rsid w:val="00D55C48"/>
    <w:rsid w:val="00D55E47"/>
    <w:rsid w:val="00D56392"/>
    <w:rsid w:val="00D56997"/>
    <w:rsid w:val="00D56BF7"/>
    <w:rsid w:val="00D570E6"/>
    <w:rsid w:val="00D5730F"/>
    <w:rsid w:val="00D5774F"/>
    <w:rsid w:val="00D60809"/>
    <w:rsid w:val="00D60D7F"/>
    <w:rsid w:val="00D61C9C"/>
    <w:rsid w:val="00D61E7B"/>
    <w:rsid w:val="00D62111"/>
    <w:rsid w:val="00D62229"/>
    <w:rsid w:val="00D625B8"/>
    <w:rsid w:val="00D626F8"/>
    <w:rsid w:val="00D62ABB"/>
    <w:rsid w:val="00D636DC"/>
    <w:rsid w:val="00D63F4C"/>
    <w:rsid w:val="00D64613"/>
    <w:rsid w:val="00D64702"/>
    <w:rsid w:val="00D649DC"/>
    <w:rsid w:val="00D66BFD"/>
    <w:rsid w:val="00D66C91"/>
    <w:rsid w:val="00D674EE"/>
    <w:rsid w:val="00D67535"/>
    <w:rsid w:val="00D67BC9"/>
    <w:rsid w:val="00D67DBC"/>
    <w:rsid w:val="00D704D9"/>
    <w:rsid w:val="00D70612"/>
    <w:rsid w:val="00D70934"/>
    <w:rsid w:val="00D70BD2"/>
    <w:rsid w:val="00D713F2"/>
    <w:rsid w:val="00D721B1"/>
    <w:rsid w:val="00D72705"/>
    <w:rsid w:val="00D738BF"/>
    <w:rsid w:val="00D73B93"/>
    <w:rsid w:val="00D73C95"/>
    <w:rsid w:val="00D7400F"/>
    <w:rsid w:val="00D745C1"/>
    <w:rsid w:val="00D74784"/>
    <w:rsid w:val="00D74F42"/>
    <w:rsid w:val="00D756F6"/>
    <w:rsid w:val="00D75731"/>
    <w:rsid w:val="00D75B45"/>
    <w:rsid w:val="00D75B5C"/>
    <w:rsid w:val="00D75F8C"/>
    <w:rsid w:val="00D76050"/>
    <w:rsid w:val="00D76309"/>
    <w:rsid w:val="00D76423"/>
    <w:rsid w:val="00D767BF"/>
    <w:rsid w:val="00D77278"/>
    <w:rsid w:val="00D775B5"/>
    <w:rsid w:val="00D77961"/>
    <w:rsid w:val="00D77A47"/>
    <w:rsid w:val="00D77B20"/>
    <w:rsid w:val="00D77B3B"/>
    <w:rsid w:val="00D77BFF"/>
    <w:rsid w:val="00D8007C"/>
    <w:rsid w:val="00D806F7"/>
    <w:rsid w:val="00D8079F"/>
    <w:rsid w:val="00D8103B"/>
    <w:rsid w:val="00D8111B"/>
    <w:rsid w:val="00D81242"/>
    <w:rsid w:val="00D812D2"/>
    <w:rsid w:val="00D82259"/>
    <w:rsid w:val="00D82347"/>
    <w:rsid w:val="00D82C80"/>
    <w:rsid w:val="00D82D02"/>
    <w:rsid w:val="00D82D0F"/>
    <w:rsid w:val="00D82D1B"/>
    <w:rsid w:val="00D8344D"/>
    <w:rsid w:val="00D83A5A"/>
    <w:rsid w:val="00D84157"/>
    <w:rsid w:val="00D84AB8"/>
    <w:rsid w:val="00D84BD7"/>
    <w:rsid w:val="00D84DCA"/>
    <w:rsid w:val="00D85114"/>
    <w:rsid w:val="00D857BC"/>
    <w:rsid w:val="00D85CC6"/>
    <w:rsid w:val="00D86A92"/>
    <w:rsid w:val="00D871B6"/>
    <w:rsid w:val="00D875E1"/>
    <w:rsid w:val="00D90275"/>
    <w:rsid w:val="00D902F5"/>
    <w:rsid w:val="00D9075D"/>
    <w:rsid w:val="00D90959"/>
    <w:rsid w:val="00D91410"/>
    <w:rsid w:val="00D91438"/>
    <w:rsid w:val="00D91594"/>
    <w:rsid w:val="00D91ABE"/>
    <w:rsid w:val="00D91DFB"/>
    <w:rsid w:val="00D921DA"/>
    <w:rsid w:val="00D92A4A"/>
    <w:rsid w:val="00D92C2F"/>
    <w:rsid w:val="00D92F7F"/>
    <w:rsid w:val="00D930AC"/>
    <w:rsid w:val="00D9459D"/>
    <w:rsid w:val="00D94730"/>
    <w:rsid w:val="00D94858"/>
    <w:rsid w:val="00D9487D"/>
    <w:rsid w:val="00D94972"/>
    <w:rsid w:val="00D954A1"/>
    <w:rsid w:val="00D95519"/>
    <w:rsid w:val="00D95744"/>
    <w:rsid w:val="00D958FC"/>
    <w:rsid w:val="00D959AE"/>
    <w:rsid w:val="00D95DC2"/>
    <w:rsid w:val="00D96678"/>
    <w:rsid w:val="00D9673A"/>
    <w:rsid w:val="00D96C73"/>
    <w:rsid w:val="00D96D46"/>
    <w:rsid w:val="00D97C27"/>
    <w:rsid w:val="00DA032C"/>
    <w:rsid w:val="00DA0526"/>
    <w:rsid w:val="00DA0639"/>
    <w:rsid w:val="00DA0B8C"/>
    <w:rsid w:val="00DA0CF7"/>
    <w:rsid w:val="00DA0E96"/>
    <w:rsid w:val="00DA1203"/>
    <w:rsid w:val="00DA14A0"/>
    <w:rsid w:val="00DA15AC"/>
    <w:rsid w:val="00DA18DA"/>
    <w:rsid w:val="00DA1F0C"/>
    <w:rsid w:val="00DA2B06"/>
    <w:rsid w:val="00DA2B20"/>
    <w:rsid w:val="00DA3565"/>
    <w:rsid w:val="00DA3A5B"/>
    <w:rsid w:val="00DA3D0B"/>
    <w:rsid w:val="00DA3F51"/>
    <w:rsid w:val="00DA45A0"/>
    <w:rsid w:val="00DA45DB"/>
    <w:rsid w:val="00DA48D9"/>
    <w:rsid w:val="00DA49F8"/>
    <w:rsid w:val="00DA4AAE"/>
    <w:rsid w:val="00DA5572"/>
    <w:rsid w:val="00DA5D5D"/>
    <w:rsid w:val="00DA6A15"/>
    <w:rsid w:val="00DA6B3A"/>
    <w:rsid w:val="00DA6CC2"/>
    <w:rsid w:val="00DA7029"/>
    <w:rsid w:val="00DA77A0"/>
    <w:rsid w:val="00DB09A2"/>
    <w:rsid w:val="00DB103D"/>
    <w:rsid w:val="00DB1448"/>
    <w:rsid w:val="00DB1907"/>
    <w:rsid w:val="00DB1998"/>
    <w:rsid w:val="00DB1FC4"/>
    <w:rsid w:val="00DB21F0"/>
    <w:rsid w:val="00DB2C5F"/>
    <w:rsid w:val="00DB3A58"/>
    <w:rsid w:val="00DB3BDF"/>
    <w:rsid w:val="00DB3C58"/>
    <w:rsid w:val="00DB3D46"/>
    <w:rsid w:val="00DB401C"/>
    <w:rsid w:val="00DB46C8"/>
    <w:rsid w:val="00DB52F0"/>
    <w:rsid w:val="00DB540E"/>
    <w:rsid w:val="00DB5A63"/>
    <w:rsid w:val="00DB6166"/>
    <w:rsid w:val="00DB6520"/>
    <w:rsid w:val="00DB656B"/>
    <w:rsid w:val="00DB691E"/>
    <w:rsid w:val="00DB6C99"/>
    <w:rsid w:val="00DB75A3"/>
    <w:rsid w:val="00DC02F5"/>
    <w:rsid w:val="00DC0574"/>
    <w:rsid w:val="00DC0C65"/>
    <w:rsid w:val="00DC10E5"/>
    <w:rsid w:val="00DC16BF"/>
    <w:rsid w:val="00DC16E1"/>
    <w:rsid w:val="00DC16FC"/>
    <w:rsid w:val="00DC1881"/>
    <w:rsid w:val="00DC1ED7"/>
    <w:rsid w:val="00DC294E"/>
    <w:rsid w:val="00DC3A6F"/>
    <w:rsid w:val="00DC3D1C"/>
    <w:rsid w:val="00DC43E1"/>
    <w:rsid w:val="00DC5199"/>
    <w:rsid w:val="00DC5A32"/>
    <w:rsid w:val="00DC5E4E"/>
    <w:rsid w:val="00DC651B"/>
    <w:rsid w:val="00DC662F"/>
    <w:rsid w:val="00DC6961"/>
    <w:rsid w:val="00DC6E78"/>
    <w:rsid w:val="00DC707F"/>
    <w:rsid w:val="00DC729A"/>
    <w:rsid w:val="00DC73B1"/>
    <w:rsid w:val="00DC7519"/>
    <w:rsid w:val="00DC7630"/>
    <w:rsid w:val="00DC7EB5"/>
    <w:rsid w:val="00DD04AC"/>
    <w:rsid w:val="00DD04DD"/>
    <w:rsid w:val="00DD0891"/>
    <w:rsid w:val="00DD0B35"/>
    <w:rsid w:val="00DD0C4D"/>
    <w:rsid w:val="00DD0F9F"/>
    <w:rsid w:val="00DD11A7"/>
    <w:rsid w:val="00DD1298"/>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C53"/>
    <w:rsid w:val="00DD7198"/>
    <w:rsid w:val="00DD7752"/>
    <w:rsid w:val="00DD7CB6"/>
    <w:rsid w:val="00DE0077"/>
    <w:rsid w:val="00DE0137"/>
    <w:rsid w:val="00DE01BA"/>
    <w:rsid w:val="00DE061F"/>
    <w:rsid w:val="00DE0DCF"/>
    <w:rsid w:val="00DE137B"/>
    <w:rsid w:val="00DE19D9"/>
    <w:rsid w:val="00DE1DC6"/>
    <w:rsid w:val="00DE1F77"/>
    <w:rsid w:val="00DE21C6"/>
    <w:rsid w:val="00DE22AA"/>
    <w:rsid w:val="00DE288F"/>
    <w:rsid w:val="00DE2C45"/>
    <w:rsid w:val="00DE2D49"/>
    <w:rsid w:val="00DE2ED5"/>
    <w:rsid w:val="00DE2F4E"/>
    <w:rsid w:val="00DE3E66"/>
    <w:rsid w:val="00DE3F75"/>
    <w:rsid w:val="00DE41FC"/>
    <w:rsid w:val="00DE45F5"/>
    <w:rsid w:val="00DE497D"/>
    <w:rsid w:val="00DE4AAD"/>
    <w:rsid w:val="00DE4C0C"/>
    <w:rsid w:val="00DE4FC8"/>
    <w:rsid w:val="00DE53B5"/>
    <w:rsid w:val="00DE5A50"/>
    <w:rsid w:val="00DE60C5"/>
    <w:rsid w:val="00DE7323"/>
    <w:rsid w:val="00DE75F0"/>
    <w:rsid w:val="00DE77CB"/>
    <w:rsid w:val="00DE7EBA"/>
    <w:rsid w:val="00DF04BD"/>
    <w:rsid w:val="00DF050A"/>
    <w:rsid w:val="00DF068D"/>
    <w:rsid w:val="00DF0D3A"/>
    <w:rsid w:val="00DF140A"/>
    <w:rsid w:val="00DF1A9A"/>
    <w:rsid w:val="00DF1C2D"/>
    <w:rsid w:val="00DF1F8A"/>
    <w:rsid w:val="00DF2209"/>
    <w:rsid w:val="00DF248E"/>
    <w:rsid w:val="00DF2715"/>
    <w:rsid w:val="00DF3577"/>
    <w:rsid w:val="00DF4063"/>
    <w:rsid w:val="00DF514C"/>
    <w:rsid w:val="00DF5F13"/>
    <w:rsid w:val="00DF63DD"/>
    <w:rsid w:val="00DF6B62"/>
    <w:rsid w:val="00DF6D27"/>
    <w:rsid w:val="00DF7BD0"/>
    <w:rsid w:val="00DF7BDF"/>
    <w:rsid w:val="00E00303"/>
    <w:rsid w:val="00E00A62"/>
    <w:rsid w:val="00E010A0"/>
    <w:rsid w:val="00E010A2"/>
    <w:rsid w:val="00E0125E"/>
    <w:rsid w:val="00E01668"/>
    <w:rsid w:val="00E0173A"/>
    <w:rsid w:val="00E01849"/>
    <w:rsid w:val="00E020D1"/>
    <w:rsid w:val="00E02B64"/>
    <w:rsid w:val="00E02EAD"/>
    <w:rsid w:val="00E03453"/>
    <w:rsid w:val="00E03D3F"/>
    <w:rsid w:val="00E03DED"/>
    <w:rsid w:val="00E0437C"/>
    <w:rsid w:val="00E0452C"/>
    <w:rsid w:val="00E04CA0"/>
    <w:rsid w:val="00E04D61"/>
    <w:rsid w:val="00E0504C"/>
    <w:rsid w:val="00E05074"/>
    <w:rsid w:val="00E052DA"/>
    <w:rsid w:val="00E05489"/>
    <w:rsid w:val="00E05741"/>
    <w:rsid w:val="00E05F7F"/>
    <w:rsid w:val="00E06549"/>
    <w:rsid w:val="00E06930"/>
    <w:rsid w:val="00E06971"/>
    <w:rsid w:val="00E07D90"/>
    <w:rsid w:val="00E105B3"/>
    <w:rsid w:val="00E10846"/>
    <w:rsid w:val="00E10883"/>
    <w:rsid w:val="00E108F4"/>
    <w:rsid w:val="00E10D36"/>
    <w:rsid w:val="00E10D4E"/>
    <w:rsid w:val="00E1100C"/>
    <w:rsid w:val="00E11489"/>
    <w:rsid w:val="00E11711"/>
    <w:rsid w:val="00E11E63"/>
    <w:rsid w:val="00E11EEC"/>
    <w:rsid w:val="00E11F94"/>
    <w:rsid w:val="00E12696"/>
    <w:rsid w:val="00E1310D"/>
    <w:rsid w:val="00E13359"/>
    <w:rsid w:val="00E138BF"/>
    <w:rsid w:val="00E13A3E"/>
    <w:rsid w:val="00E14EFA"/>
    <w:rsid w:val="00E151B9"/>
    <w:rsid w:val="00E158C4"/>
    <w:rsid w:val="00E15CC4"/>
    <w:rsid w:val="00E161E6"/>
    <w:rsid w:val="00E167C9"/>
    <w:rsid w:val="00E1698C"/>
    <w:rsid w:val="00E16BDB"/>
    <w:rsid w:val="00E172BE"/>
    <w:rsid w:val="00E17CF7"/>
    <w:rsid w:val="00E205D6"/>
    <w:rsid w:val="00E209AB"/>
    <w:rsid w:val="00E216EC"/>
    <w:rsid w:val="00E2189A"/>
    <w:rsid w:val="00E21A60"/>
    <w:rsid w:val="00E22B5A"/>
    <w:rsid w:val="00E22B68"/>
    <w:rsid w:val="00E231C9"/>
    <w:rsid w:val="00E23EBF"/>
    <w:rsid w:val="00E23FD5"/>
    <w:rsid w:val="00E24669"/>
    <w:rsid w:val="00E24A70"/>
    <w:rsid w:val="00E24C48"/>
    <w:rsid w:val="00E24EE4"/>
    <w:rsid w:val="00E25981"/>
    <w:rsid w:val="00E26056"/>
    <w:rsid w:val="00E26141"/>
    <w:rsid w:val="00E266F5"/>
    <w:rsid w:val="00E2673E"/>
    <w:rsid w:val="00E270D3"/>
    <w:rsid w:val="00E27FC7"/>
    <w:rsid w:val="00E3050B"/>
    <w:rsid w:val="00E30700"/>
    <w:rsid w:val="00E31115"/>
    <w:rsid w:val="00E31360"/>
    <w:rsid w:val="00E31D28"/>
    <w:rsid w:val="00E32425"/>
    <w:rsid w:val="00E3252C"/>
    <w:rsid w:val="00E325FF"/>
    <w:rsid w:val="00E32CB8"/>
    <w:rsid w:val="00E32F67"/>
    <w:rsid w:val="00E3440F"/>
    <w:rsid w:val="00E34F3A"/>
    <w:rsid w:val="00E35F99"/>
    <w:rsid w:val="00E35F9A"/>
    <w:rsid w:val="00E3637F"/>
    <w:rsid w:val="00E364B6"/>
    <w:rsid w:val="00E36723"/>
    <w:rsid w:val="00E3713C"/>
    <w:rsid w:val="00E3767B"/>
    <w:rsid w:val="00E37E1C"/>
    <w:rsid w:val="00E40079"/>
    <w:rsid w:val="00E40126"/>
    <w:rsid w:val="00E4013B"/>
    <w:rsid w:val="00E402CC"/>
    <w:rsid w:val="00E40916"/>
    <w:rsid w:val="00E40C85"/>
    <w:rsid w:val="00E40CBF"/>
    <w:rsid w:val="00E40E7D"/>
    <w:rsid w:val="00E40EE4"/>
    <w:rsid w:val="00E413C6"/>
    <w:rsid w:val="00E420D5"/>
    <w:rsid w:val="00E42517"/>
    <w:rsid w:val="00E42948"/>
    <w:rsid w:val="00E42D55"/>
    <w:rsid w:val="00E42FFE"/>
    <w:rsid w:val="00E4316E"/>
    <w:rsid w:val="00E435AB"/>
    <w:rsid w:val="00E44275"/>
    <w:rsid w:val="00E44705"/>
    <w:rsid w:val="00E44777"/>
    <w:rsid w:val="00E44F67"/>
    <w:rsid w:val="00E4535F"/>
    <w:rsid w:val="00E455E3"/>
    <w:rsid w:val="00E466BC"/>
    <w:rsid w:val="00E4686A"/>
    <w:rsid w:val="00E479FD"/>
    <w:rsid w:val="00E47A76"/>
    <w:rsid w:val="00E504D6"/>
    <w:rsid w:val="00E507F7"/>
    <w:rsid w:val="00E50B6F"/>
    <w:rsid w:val="00E50C48"/>
    <w:rsid w:val="00E50EBE"/>
    <w:rsid w:val="00E50F69"/>
    <w:rsid w:val="00E50FC6"/>
    <w:rsid w:val="00E52372"/>
    <w:rsid w:val="00E5272D"/>
    <w:rsid w:val="00E52786"/>
    <w:rsid w:val="00E52F05"/>
    <w:rsid w:val="00E540CA"/>
    <w:rsid w:val="00E54C83"/>
    <w:rsid w:val="00E54E99"/>
    <w:rsid w:val="00E55460"/>
    <w:rsid w:val="00E5596B"/>
    <w:rsid w:val="00E55B28"/>
    <w:rsid w:val="00E56D4A"/>
    <w:rsid w:val="00E57119"/>
    <w:rsid w:val="00E5719E"/>
    <w:rsid w:val="00E57D7B"/>
    <w:rsid w:val="00E57F4B"/>
    <w:rsid w:val="00E601A5"/>
    <w:rsid w:val="00E602E5"/>
    <w:rsid w:val="00E602F8"/>
    <w:rsid w:val="00E6085B"/>
    <w:rsid w:val="00E60964"/>
    <w:rsid w:val="00E60FBA"/>
    <w:rsid w:val="00E60FBF"/>
    <w:rsid w:val="00E611AE"/>
    <w:rsid w:val="00E616F9"/>
    <w:rsid w:val="00E61852"/>
    <w:rsid w:val="00E61A0C"/>
    <w:rsid w:val="00E61D22"/>
    <w:rsid w:val="00E61D96"/>
    <w:rsid w:val="00E61E4B"/>
    <w:rsid w:val="00E61E57"/>
    <w:rsid w:val="00E62F6E"/>
    <w:rsid w:val="00E63DA2"/>
    <w:rsid w:val="00E641E8"/>
    <w:rsid w:val="00E642AF"/>
    <w:rsid w:val="00E644C6"/>
    <w:rsid w:val="00E64555"/>
    <w:rsid w:val="00E64595"/>
    <w:rsid w:val="00E646BB"/>
    <w:rsid w:val="00E64D24"/>
    <w:rsid w:val="00E64FAF"/>
    <w:rsid w:val="00E653A6"/>
    <w:rsid w:val="00E6549C"/>
    <w:rsid w:val="00E654B9"/>
    <w:rsid w:val="00E6589D"/>
    <w:rsid w:val="00E65E8C"/>
    <w:rsid w:val="00E663BF"/>
    <w:rsid w:val="00E665E7"/>
    <w:rsid w:val="00E6661C"/>
    <w:rsid w:val="00E66C96"/>
    <w:rsid w:val="00E674D0"/>
    <w:rsid w:val="00E70130"/>
    <w:rsid w:val="00E703FE"/>
    <w:rsid w:val="00E706DE"/>
    <w:rsid w:val="00E71063"/>
    <w:rsid w:val="00E715FC"/>
    <w:rsid w:val="00E71A45"/>
    <w:rsid w:val="00E71C21"/>
    <w:rsid w:val="00E72F23"/>
    <w:rsid w:val="00E730FC"/>
    <w:rsid w:val="00E73481"/>
    <w:rsid w:val="00E7385A"/>
    <w:rsid w:val="00E7391F"/>
    <w:rsid w:val="00E73CE6"/>
    <w:rsid w:val="00E74780"/>
    <w:rsid w:val="00E74956"/>
    <w:rsid w:val="00E752F7"/>
    <w:rsid w:val="00E75848"/>
    <w:rsid w:val="00E759D4"/>
    <w:rsid w:val="00E76A3C"/>
    <w:rsid w:val="00E76F9B"/>
    <w:rsid w:val="00E771FC"/>
    <w:rsid w:val="00E773E5"/>
    <w:rsid w:val="00E77A98"/>
    <w:rsid w:val="00E77BDD"/>
    <w:rsid w:val="00E806D3"/>
    <w:rsid w:val="00E8104D"/>
    <w:rsid w:val="00E81C34"/>
    <w:rsid w:val="00E81D83"/>
    <w:rsid w:val="00E821BB"/>
    <w:rsid w:val="00E822E9"/>
    <w:rsid w:val="00E826FE"/>
    <w:rsid w:val="00E8275E"/>
    <w:rsid w:val="00E827AF"/>
    <w:rsid w:val="00E82DE9"/>
    <w:rsid w:val="00E83253"/>
    <w:rsid w:val="00E83714"/>
    <w:rsid w:val="00E83831"/>
    <w:rsid w:val="00E844AB"/>
    <w:rsid w:val="00E84C97"/>
    <w:rsid w:val="00E85005"/>
    <w:rsid w:val="00E85296"/>
    <w:rsid w:val="00E8533B"/>
    <w:rsid w:val="00E8595B"/>
    <w:rsid w:val="00E85E4E"/>
    <w:rsid w:val="00E86327"/>
    <w:rsid w:val="00E86DF0"/>
    <w:rsid w:val="00E87BD2"/>
    <w:rsid w:val="00E87CDC"/>
    <w:rsid w:val="00E90B33"/>
    <w:rsid w:val="00E910E4"/>
    <w:rsid w:val="00E911E0"/>
    <w:rsid w:val="00E92115"/>
    <w:rsid w:val="00E93407"/>
    <w:rsid w:val="00E9348C"/>
    <w:rsid w:val="00E940A8"/>
    <w:rsid w:val="00E94307"/>
    <w:rsid w:val="00E947E8"/>
    <w:rsid w:val="00E94B0F"/>
    <w:rsid w:val="00E9503F"/>
    <w:rsid w:val="00E956F3"/>
    <w:rsid w:val="00E95AA7"/>
    <w:rsid w:val="00E96E68"/>
    <w:rsid w:val="00E97013"/>
    <w:rsid w:val="00E97EA1"/>
    <w:rsid w:val="00EA0BBE"/>
    <w:rsid w:val="00EA18B9"/>
    <w:rsid w:val="00EA1FBC"/>
    <w:rsid w:val="00EA20A1"/>
    <w:rsid w:val="00EA212B"/>
    <w:rsid w:val="00EA24B5"/>
    <w:rsid w:val="00EA2AAA"/>
    <w:rsid w:val="00EA2D44"/>
    <w:rsid w:val="00EA3A1D"/>
    <w:rsid w:val="00EA3CD7"/>
    <w:rsid w:val="00EA3E2D"/>
    <w:rsid w:val="00EA4010"/>
    <w:rsid w:val="00EA429D"/>
    <w:rsid w:val="00EA43AF"/>
    <w:rsid w:val="00EA4676"/>
    <w:rsid w:val="00EA47FB"/>
    <w:rsid w:val="00EA4C7C"/>
    <w:rsid w:val="00EA4D4C"/>
    <w:rsid w:val="00EA554F"/>
    <w:rsid w:val="00EA6250"/>
    <w:rsid w:val="00EA66A4"/>
    <w:rsid w:val="00EA6819"/>
    <w:rsid w:val="00EA6A1E"/>
    <w:rsid w:val="00EA6CAC"/>
    <w:rsid w:val="00EA75BD"/>
    <w:rsid w:val="00EA7C47"/>
    <w:rsid w:val="00EB0F0F"/>
    <w:rsid w:val="00EB12A5"/>
    <w:rsid w:val="00EB24D8"/>
    <w:rsid w:val="00EB277B"/>
    <w:rsid w:val="00EB2F20"/>
    <w:rsid w:val="00EB2F35"/>
    <w:rsid w:val="00EB31DB"/>
    <w:rsid w:val="00EB3422"/>
    <w:rsid w:val="00EB3A31"/>
    <w:rsid w:val="00EB4EAF"/>
    <w:rsid w:val="00EB548E"/>
    <w:rsid w:val="00EB5C41"/>
    <w:rsid w:val="00EB5F5A"/>
    <w:rsid w:val="00EB656C"/>
    <w:rsid w:val="00EB657E"/>
    <w:rsid w:val="00EB695E"/>
    <w:rsid w:val="00EB69D1"/>
    <w:rsid w:val="00EB69D4"/>
    <w:rsid w:val="00EB6FE9"/>
    <w:rsid w:val="00EB72FF"/>
    <w:rsid w:val="00EB756F"/>
    <w:rsid w:val="00EB79C8"/>
    <w:rsid w:val="00EB7E3F"/>
    <w:rsid w:val="00EB7E78"/>
    <w:rsid w:val="00EC0301"/>
    <w:rsid w:val="00EC08B5"/>
    <w:rsid w:val="00EC09C6"/>
    <w:rsid w:val="00EC0EA5"/>
    <w:rsid w:val="00EC1056"/>
    <w:rsid w:val="00EC1470"/>
    <w:rsid w:val="00EC222E"/>
    <w:rsid w:val="00EC2716"/>
    <w:rsid w:val="00EC2DBB"/>
    <w:rsid w:val="00EC358E"/>
    <w:rsid w:val="00EC3FD2"/>
    <w:rsid w:val="00EC4095"/>
    <w:rsid w:val="00EC43B5"/>
    <w:rsid w:val="00EC4537"/>
    <w:rsid w:val="00EC4960"/>
    <w:rsid w:val="00EC4AE3"/>
    <w:rsid w:val="00EC5414"/>
    <w:rsid w:val="00EC54EE"/>
    <w:rsid w:val="00EC59B2"/>
    <w:rsid w:val="00EC5A3B"/>
    <w:rsid w:val="00EC615A"/>
    <w:rsid w:val="00EC6424"/>
    <w:rsid w:val="00EC786C"/>
    <w:rsid w:val="00EC7ADD"/>
    <w:rsid w:val="00EC7C26"/>
    <w:rsid w:val="00ED04FE"/>
    <w:rsid w:val="00ED0DD0"/>
    <w:rsid w:val="00ED1122"/>
    <w:rsid w:val="00ED1989"/>
    <w:rsid w:val="00ED28F2"/>
    <w:rsid w:val="00ED2F3E"/>
    <w:rsid w:val="00ED3145"/>
    <w:rsid w:val="00ED3309"/>
    <w:rsid w:val="00ED356E"/>
    <w:rsid w:val="00ED3792"/>
    <w:rsid w:val="00ED3BDA"/>
    <w:rsid w:val="00ED5648"/>
    <w:rsid w:val="00ED5A3B"/>
    <w:rsid w:val="00ED5C30"/>
    <w:rsid w:val="00ED5E02"/>
    <w:rsid w:val="00ED5EED"/>
    <w:rsid w:val="00ED612A"/>
    <w:rsid w:val="00ED6B1C"/>
    <w:rsid w:val="00ED6CF7"/>
    <w:rsid w:val="00ED6F33"/>
    <w:rsid w:val="00ED70A5"/>
    <w:rsid w:val="00ED7716"/>
    <w:rsid w:val="00ED7737"/>
    <w:rsid w:val="00ED7747"/>
    <w:rsid w:val="00ED7CF4"/>
    <w:rsid w:val="00ED7FA2"/>
    <w:rsid w:val="00EE0786"/>
    <w:rsid w:val="00EE1B0E"/>
    <w:rsid w:val="00EE22FB"/>
    <w:rsid w:val="00EE2407"/>
    <w:rsid w:val="00EE26AE"/>
    <w:rsid w:val="00EE29C8"/>
    <w:rsid w:val="00EE2A54"/>
    <w:rsid w:val="00EE2FC2"/>
    <w:rsid w:val="00EE3B6B"/>
    <w:rsid w:val="00EE3B88"/>
    <w:rsid w:val="00EE4B75"/>
    <w:rsid w:val="00EE4D34"/>
    <w:rsid w:val="00EE4DBD"/>
    <w:rsid w:val="00EE6AC6"/>
    <w:rsid w:val="00EE6E26"/>
    <w:rsid w:val="00EE784F"/>
    <w:rsid w:val="00EE7A1D"/>
    <w:rsid w:val="00EE7DBD"/>
    <w:rsid w:val="00EF0500"/>
    <w:rsid w:val="00EF0808"/>
    <w:rsid w:val="00EF1002"/>
    <w:rsid w:val="00EF143F"/>
    <w:rsid w:val="00EF1D3B"/>
    <w:rsid w:val="00EF23D8"/>
    <w:rsid w:val="00EF2A5A"/>
    <w:rsid w:val="00EF2A87"/>
    <w:rsid w:val="00EF3A74"/>
    <w:rsid w:val="00EF3AE9"/>
    <w:rsid w:val="00EF3EA5"/>
    <w:rsid w:val="00EF49FB"/>
    <w:rsid w:val="00EF55D6"/>
    <w:rsid w:val="00EF644D"/>
    <w:rsid w:val="00EF6BAD"/>
    <w:rsid w:val="00EF6D29"/>
    <w:rsid w:val="00EF6E79"/>
    <w:rsid w:val="00EF7138"/>
    <w:rsid w:val="00EF7E0B"/>
    <w:rsid w:val="00F00881"/>
    <w:rsid w:val="00F00917"/>
    <w:rsid w:val="00F00B65"/>
    <w:rsid w:val="00F00EFE"/>
    <w:rsid w:val="00F010BB"/>
    <w:rsid w:val="00F012C1"/>
    <w:rsid w:val="00F0175F"/>
    <w:rsid w:val="00F01A41"/>
    <w:rsid w:val="00F03280"/>
    <w:rsid w:val="00F0362A"/>
    <w:rsid w:val="00F0385C"/>
    <w:rsid w:val="00F03ABE"/>
    <w:rsid w:val="00F03B69"/>
    <w:rsid w:val="00F04345"/>
    <w:rsid w:val="00F047A4"/>
    <w:rsid w:val="00F04B40"/>
    <w:rsid w:val="00F04F52"/>
    <w:rsid w:val="00F0510F"/>
    <w:rsid w:val="00F0563F"/>
    <w:rsid w:val="00F064EF"/>
    <w:rsid w:val="00F06558"/>
    <w:rsid w:val="00F06F42"/>
    <w:rsid w:val="00F07122"/>
    <w:rsid w:val="00F074C9"/>
    <w:rsid w:val="00F07588"/>
    <w:rsid w:val="00F07C82"/>
    <w:rsid w:val="00F07F5E"/>
    <w:rsid w:val="00F1001E"/>
    <w:rsid w:val="00F1055F"/>
    <w:rsid w:val="00F106BB"/>
    <w:rsid w:val="00F10BA6"/>
    <w:rsid w:val="00F11027"/>
    <w:rsid w:val="00F111BA"/>
    <w:rsid w:val="00F1155D"/>
    <w:rsid w:val="00F116DD"/>
    <w:rsid w:val="00F11D9F"/>
    <w:rsid w:val="00F11E31"/>
    <w:rsid w:val="00F12C53"/>
    <w:rsid w:val="00F1360C"/>
    <w:rsid w:val="00F13AA1"/>
    <w:rsid w:val="00F13F2A"/>
    <w:rsid w:val="00F14D9E"/>
    <w:rsid w:val="00F15097"/>
    <w:rsid w:val="00F153F8"/>
    <w:rsid w:val="00F15671"/>
    <w:rsid w:val="00F1643E"/>
    <w:rsid w:val="00F16695"/>
    <w:rsid w:val="00F17159"/>
    <w:rsid w:val="00F1733F"/>
    <w:rsid w:val="00F177F3"/>
    <w:rsid w:val="00F202E3"/>
    <w:rsid w:val="00F20C6E"/>
    <w:rsid w:val="00F20D6C"/>
    <w:rsid w:val="00F20F03"/>
    <w:rsid w:val="00F2255F"/>
    <w:rsid w:val="00F225CF"/>
    <w:rsid w:val="00F22882"/>
    <w:rsid w:val="00F22985"/>
    <w:rsid w:val="00F22AEF"/>
    <w:rsid w:val="00F22F7A"/>
    <w:rsid w:val="00F2343C"/>
    <w:rsid w:val="00F23CFC"/>
    <w:rsid w:val="00F24076"/>
    <w:rsid w:val="00F240CB"/>
    <w:rsid w:val="00F2492F"/>
    <w:rsid w:val="00F24A19"/>
    <w:rsid w:val="00F2500D"/>
    <w:rsid w:val="00F251B2"/>
    <w:rsid w:val="00F2596D"/>
    <w:rsid w:val="00F25CAA"/>
    <w:rsid w:val="00F26AD6"/>
    <w:rsid w:val="00F2711C"/>
    <w:rsid w:val="00F2720E"/>
    <w:rsid w:val="00F27253"/>
    <w:rsid w:val="00F277E8"/>
    <w:rsid w:val="00F27ADE"/>
    <w:rsid w:val="00F27B04"/>
    <w:rsid w:val="00F27E3D"/>
    <w:rsid w:val="00F27EB2"/>
    <w:rsid w:val="00F301D0"/>
    <w:rsid w:val="00F3069F"/>
    <w:rsid w:val="00F30A02"/>
    <w:rsid w:val="00F30C3F"/>
    <w:rsid w:val="00F30C60"/>
    <w:rsid w:val="00F30CFA"/>
    <w:rsid w:val="00F30F38"/>
    <w:rsid w:val="00F311D1"/>
    <w:rsid w:val="00F3158A"/>
    <w:rsid w:val="00F318DB"/>
    <w:rsid w:val="00F3199C"/>
    <w:rsid w:val="00F31F7D"/>
    <w:rsid w:val="00F31FB9"/>
    <w:rsid w:val="00F326F6"/>
    <w:rsid w:val="00F32AFF"/>
    <w:rsid w:val="00F33825"/>
    <w:rsid w:val="00F33A8B"/>
    <w:rsid w:val="00F33D3B"/>
    <w:rsid w:val="00F34A96"/>
    <w:rsid w:val="00F34EBF"/>
    <w:rsid w:val="00F34F05"/>
    <w:rsid w:val="00F356D5"/>
    <w:rsid w:val="00F359A5"/>
    <w:rsid w:val="00F361AE"/>
    <w:rsid w:val="00F36240"/>
    <w:rsid w:val="00F363EB"/>
    <w:rsid w:val="00F365DE"/>
    <w:rsid w:val="00F366DA"/>
    <w:rsid w:val="00F367CF"/>
    <w:rsid w:val="00F36D37"/>
    <w:rsid w:val="00F3719A"/>
    <w:rsid w:val="00F37283"/>
    <w:rsid w:val="00F379BF"/>
    <w:rsid w:val="00F37EA7"/>
    <w:rsid w:val="00F40805"/>
    <w:rsid w:val="00F40B93"/>
    <w:rsid w:val="00F40C5E"/>
    <w:rsid w:val="00F40E3E"/>
    <w:rsid w:val="00F4163A"/>
    <w:rsid w:val="00F41873"/>
    <w:rsid w:val="00F419C3"/>
    <w:rsid w:val="00F41D91"/>
    <w:rsid w:val="00F41E2B"/>
    <w:rsid w:val="00F423BE"/>
    <w:rsid w:val="00F424A5"/>
    <w:rsid w:val="00F425EF"/>
    <w:rsid w:val="00F428AC"/>
    <w:rsid w:val="00F42AAD"/>
    <w:rsid w:val="00F42EE3"/>
    <w:rsid w:val="00F43149"/>
    <w:rsid w:val="00F43660"/>
    <w:rsid w:val="00F43B91"/>
    <w:rsid w:val="00F444CC"/>
    <w:rsid w:val="00F44542"/>
    <w:rsid w:val="00F448DD"/>
    <w:rsid w:val="00F44D6A"/>
    <w:rsid w:val="00F44DB8"/>
    <w:rsid w:val="00F45760"/>
    <w:rsid w:val="00F45925"/>
    <w:rsid w:val="00F462B1"/>
    <w:rsid w:val="00F468E7"/>
    <w:rsid w:val="00F46BA6"/>
    <w:rsid w:val="00F46C97"/>
    <w:rsid w:val="00F4703E"/>
    <w:rsid w:val="00F4775F"/>
    <w:rsid w:val="00F47B16"/>
    <w:rsid w:val="00F50781"/>
    <w:rsid w:val="00F50CA3"/>
    <w:rsid w:val="00F517ED"/>
    <w:rsid w:val="00F51F3F"/>
    <w:rsid w:val="00F528B5"/>
    <w:rsid w:val="00F528E7"/>
    <w:rsid w:val="00F52C8A"/>
    <w:rsid w:val="00F5352D"/>
    <w:rsid w:val="00F53615"/>
    <w:rsid w:val="00F53A91"/>
    <w:rsid w:val="00F54466"/>
    <w:rsid w:val="00F54783"/>
    <w:rsid w:val="00F547E9"/>
    <w:rsid w:val="00F5494E"/>
    <w:rsid w:val="00F54ABE"/>
    <w:rsid w:val="00F55804"/>
    <w:rsid w:val="00F55F1A"/>
    <w:rsid w:val="00F56310"/>
    <w:rsid w:val="00F5684C"/>
    <w:rsid w:val="00F57210"/>
    <w:rsid w:val="00F577FC"/>
    <w:rsid w:val="00F602F0"/>
    <w:rsid w:val="00F60C90"/>
    <w:rsid w:val="00F619EE"/>
    <w:rsid w:val="00F61CF5"/>
    <w:rsid w:val="00F61FF9"/>
    <w:rsid w:val="00F62069"/>
    <w:rsid w:val="00F62159"/>
    <w:rsid w:val="00F62A7C"/>
    <w:rsid w:val="00F62B93"/>
    <w:rsid w:val="00F633E5"/>
    <w:rsid w:val="00F63C89"/>
    <w:rsid w:val="00F647EC"/>
    <w:rsid w:val="00F64FAB"/>
    <w:rsid w:val="00F65AC8"/>
    <w:rsid w:val="00F65CEA"/>
    <w:rsid w:val="00F65F15"/>
    <w:rsid w:val="00F66443"/>
    <w:rsid w:val="00F675EA"/>
    <w:rsid w:val="00F7073B"/>
    <w:rsid w:val="00F7074A"/>
    <w:rsid w:val="00F70AD6"/>
    <w:rsid w:val="00F71687"/>
    <w:rsid w:val="00F71708"/>
    <w:rsid w:val="00F717C1"/>
    <w:rsid w:val="00F71AAE"/>
    <w:rsid w:val="00F71CDB"/>
    <w:rsid w:val="00F725D3"/>
    <w:rsid w:val="00F7281E"/>
    <w:rsid w:val="00F72C1A"/>
    <w:rsid w:val="00F72C3D"/>
    <w:rsid w:val="00F737AB"/>
    <w:rsid w:val="00F74216"/>
    <w:rsid w:val="00F74F0F"/>
    <w:rsid w:val="00F74F77"/>
    <w:rsid w:val="00F75731"/>
    <w:rsid w:val="00F75841"/>
    <w:rsid w:val="00F76333"/>
    <w:rsid w:val="00F770C6"/>
    <w:rsid w:val="00F77100"/>
    <w:rsid w:val="00F8090F"/>
    <w:rsid w:val="00F80A8A"/>
    <w:rsid w:val="00F8139A"/>
    <w:rsid w:val="00F82AAE"/>
    <w:rsid w:val="00F834BE"/>
    <w:rsid w:val="00F838A9"/>
    <w:rsid w:val="00F849E3"/>
    <w:rsid w:val="00F84B4E"/>
    <w:rsid w:val="00F84C44"/>
    <w:rsid w:val="00F84F30"/>
    <w:rsid w:val="00F851B7"/>
    <w:rsid w:val="00F8566C"/>
    <w:rsid w:val="00F858D4"/>
    <w:rsid w:val="00F85C65"/>
    <w:rsid w:val="00F860EB"/>
    <w:rsid w:val="00F868B6"/>
    <w:rsid w:val="00F86968"/>
    <w:rsid w:val="00F86E42"/>
    <w:rsid w:val="00F876E6"/>
    <w:rsid w:val="00F87825"/>
    <w:rsid w:val="00F87838"/>
    <w:rsid w:val="00F879E8"/>
    <w:rsid w:val="00F87FCE"/>
    <w:rsid w:val="00F9008B"/>
    <w:rsid w:val="00F909C7"/>
    <w:rsid w:val="00F91669"/>
    <w:rsid w:val="00F916DE"/>
    <w:rsid w:val="00F9184F"/>
    <w:rsid w:val="00F91943"/>
    <w:rsid w:val="00F9231D"/>
    <w:rsid w:val="00F92A66"/>
    <w:rsid w:val="00F931CF"/>
    <w:rsid w:val="00F93261"/>
    <w:rsid w:val="00F93A31"/>
    <w:rsid w:val="00F93D6E"/>
    <w:rsid w:val="00F9423D"/>
    <w:rsid w:val="00F942C2"/>
    <w:rsid w:val="00F94609"/>
    <w:rsid w:val="00F94F16"/>
    <w:rsid w:val="00F95182"/>
    <w:rsid w:val="00F957D2"/>
    <w:rsid w:val="00F95D94"/>
    <w:rsid w:val="00F95FAD"/>
    <w:rsid w:val="00F966D7"/>
    <w:rsid w:val="00F96F86"/>
    <w:rsid w:val="00FA02B8"/>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7D1"/>
    <w:rsid w:val="00FA67E3"/>
    <w:rsid w:val="00FA7157"/>
    <w:rsid w:val="00FA73A6"/>
    <w:rsid w:val="00FA7698"/>
    <w:rsid w:val="00FA78C2"/>
    <w:rsid w:val="00FA7917"/>
    <w:rsid w:val="00FA7A2D"/>
    <w:rsid w:val="00FA7B4F"/>
    <w:rsid w:val="00FA7DA6"/>
    <w:rsid w:val="00FB02F8"/>
    <w:rsid w:val="00FB06E7"/>
    <w:rsid w:val="00FB0822"/>
    <w:rsid w:val="00FB0AC3"/>
    <w:rsid w:val="00FB1093"/>
    <w:rsid w:val="00FB13A0"/>
    <w:rsid w:val="00FB2142"/>
    <w:rsid w:val="00FB227E"/>
    <w:rsid w:val="00FB25DA"/>
    <w:rsid w:val="00FB267D"/>
    <w:rsid w:val="00FB2A18"/>
    <w:rsid w:val="00FB2BF4"/>
    <w:rsid w:val="00FB2C8D"/>
    <w:rsid w:val="00FB2DC6"/>
    <w:rsid w:val="00FB414C"/>
    <w:rsid w:val="00FB4267"/>
    <w:rsid w:val="00FB59D4"/>
    <w:rsid w:val="00FB5E81"/>
    <w:rsid w:val="00FB6E6C"/>
    <w:rsid w:val="00FB71B0"/>
    <w:rsid w:val="00FB7ABA"/>
    <w:rsid w:val="00FB7C21"/>
    <w:rsid w:val="00FB7C46"/>
    <w:rsid w:val="00FC04E0"/>
    <w:rsid w:val="00FC06CE"/>
    <w:rsid w:val="00FC0D98"/>
    <w:rsid w:val="00FC0E2F"/>
    <w:rsid w:val="00FC1042"/>
    <w:rsid w:val="00FC11C6"/>
    <w:rsid w:val="00FC17D8"/>
    <w:rsid w:val="00FC279A"/>
    <w:rsid w:val="00FC324D"/>
    <w:rsid w:val="00FC39A1"/>
    <w:rsid w:val="00FC3BC3"/>
    <w:rsid w:val="00FC3E47"/>
    <w:rsid w:val="00FC4B53"/>
    <w:rsid w:val="00FC4BAE"/>
    <w:rsid w:val="00FC4F75"/>
    <w:rsid w:val="00FC5160"/>
    <w:rsid w:val="00FC5A36"/>
    <w:rsid w:val="00FC6353"/>
    <w:rsid w:val="00FC69CF"/>
    <w:rsid w:val="00FC6B0B"/>
    <w:rsid w:val="00FC713B"/>
    <w:rsid w:val="00FC7862"/>
    <w:rsid w:val="00FC79D5"/>
    <w:rsid w:val="00FC7B35"/>
    <w:rsid w:val="00FC7B53"/>
    <w:rsid w:val="00FC7BD8"/>
    <w:rsid w:val="00FD0177"/>
    <w:rsid w:val="00FD0AE7"/>
    <w:rsid w:val="00FD0B44"/>
    <w:rsid w:val="00FD0F70"/>
    <w:rsid w:val="00FD1A3F"/>
    <w:rsid w:val="00FD2315"/>
    <w:rsid w:val="00FD29A7"/>
    <w:rsid w:val="00FD2B15"/>
    <w:rsid w:val="00FD3092"/>
    <w:rsid w:val="00FD3D48"/>
    <w:rsid w:val="00FD412E"/>
    <w:rsid w:val="00FD420F"/>
    <w:rsid w:val="00FD4339"/>
    <w:rsid w:val="00FD4B0C"/>
    <w:rsid w:val="00FD4F2F"/>
    <w:rsid w:val="00FD51F7"/>
    <w:rsid w:val="00FD5258"/>
    <w:rsid w:val="00FD5602"/>
    <w:rsid w:val="00FD5661"/>
    <w:rsid w:val="00FD5A2A"/>
    <w:rsid w:val="00FD5AE2"/>
    <w:rsid w:val="00FD62B4"/>
    <w:rsid w:val="00FD7142"/>
    <w:rsid w:val="00FD750F"/>
    <w:rsid w:val="00FE011C"/>
    <w:rsid w:val="00FE0458"/>
    <w:rsid w:val="00FE07DC"/>
    <w:rsid w:val="00FE08FB"/>
    <w:rsid w:val="00FE1116"/>
    <w:rsid w:val="00FE2075"/>
    <w:rsid w:val="00FE2080"/>
    <w:rsid w:val="00FE27B9"/>
    <w:rsid w:val="00FE2E37"/>
    <w:rsid w:val="00FE30EF"/>
    <w:rsid w:val="00FE3640"/>
    <w:rsid w:val="00FE36B6"/>
    <w:rsid w:val="00FE3780"/>
    <w:rsid w:val="00FE3954"/>
    <w:rsid w:val="00FE3CF7"/>
    <w:rsid w:val="00FE4071"/>
    <w:rsid w:val="00FE42E3"/>
    <w:rsid w:val="00FE4ECD"/>
    <w:rsid w:val="00FE52B7"/>
    <w:rsid w:val="00FE53C5"/>
    <w:rsid w:val="00FE56A8"/>
    <w:rsid w:val="00FE5807"/>
    <w:rsid w:val="00FE5C39"/>
    <w:rsid w:val="00FE5C57"/>
    <w:rsid w:val="00FE624E"/>
    <w:rsid w:val="00FE6415"/>
    <w:rsid w:val="00FE69E7"/>
    <w:rsid w:val="00FE6BB8"/>
    <w:rsid w:val="00FE6E76"/>
    <w:rsid w:val="00FF027B"/>
    <w:rsid w:val="00FF0A0F"/>
    <w:rsid w:val="00FF1174"/>
    <w:rsid w:val="00FF165A"/>
    <w:rsid w:val="00FF1B72"/>
    <w:rsid w:val="00FF1CF1"/>
    <w:rsid w:val="00FF1F4C"/>
    <w:rsid w:val="00FF1F90"/>
    <w:rsid w:val="00FF228F"/>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B6C"/>
    <w:rsid w:val="00FF6DD4"/>
    <w:rsid w:val="010B1261"/>
    <w:rsid w:val="01457570"/>
    <w:rsid w:val="016F43BB"/>
    <w:rsid w:val="01AA2C10"/>
    <w:rsid w:val="01AC75F0"/>
    <w:rsid w:val="01E64116"/>
    <w:rsid w:val="01F80EA2"/>
    <w:rsid w:val="02813948"/>
    <w:rsid w:val="02B21FFC"/>
    <w:rsid w:val="03193843"/>
    <w:rsid w:val="032004FB"/>
    <w:rsid w:val="032A2EC2"/>
    <w:rsid w:val="032E1CD4"/>
    <w:rsid w:val="036F7D2F"/>
    <w:rsid w:val="037738D8"/>
    <w:rsid w:val="03AC114D"/>
    <w:rsid w:val="04272850"/>
    <w:rsid w:val="04B82889"/>
    <w:rsid w:val="04CB3F6F"/>
    <w:rsid w:val="04DA3121"/>
    <w:rsid w:val="04DD11BF"/>
    <w:rsid w:val="05264E82"/>
    <w:rsid w:val="054F67F2"/>
    <w:rsid w:val="0569190D"/>
    <w:rsid w:val="05B4379B"/>
    <w:rsid w:val="05BF5CC8"/>
    <w:rsid w:val="05DB1EAA"/>
    <w:rsid w:val="060B0240"/>
    <w:rsid w:val="065155EA"/>
    <w:rsid w:val="065E2E82"/>
    <w:rsid w:val="0664230B"/>
    <w:rsid w:val="0671473D"/>
    <w:rsid w:val="068955F4"/>
    <w:rsid w:val="06A133D6"/>
    <w:rsid w:val="06D7523A"/>
    <w:rsid w:val="07124399"/>
    <w:rsid w:val="071E3E19"/>
    <w:rsid w:val="071F0864"/>
    <w:rsid w:val="07230354"/>
    <w:rsid w:val="0729334D"/>
    <w:rsid w:val="072B545A"/>
    <w:rsid w:val="0744651C"/>
    <w:rsid w:val="07553B26"/>
    <w:rsid w:val="075F0692"/>
    <w:rsid w:val="07831AC0"/>
    <w:rsid w:val="07905B50"/>
    <w:rsid w:val="079E5B2A"/>
    <w:rsid w:val="07D4521B"/>
    <w:rsid w:val="07DB054A"/>
    <w:rsid w:val="08055804"/>
    <w:rsid w:val="08165225"/>
    <w:rsid w:val="083D2AF4"/>
    <w:rsid w:val="08C2364C"/>
    <w:rsid w:val="08D32F8F"/>
    <w:rsid w:val="08F53B23"/>
    <w:rsid w:val="090715AF"/>
    <w:rsid w:val="092D6169"/>
    <w:rsid w:val="09310F40"/>
    <w:rsid w:val="095011A8"/>
    <w:rsid w:val="098944A3"/>
    <w:rsid w:val="09A514F4"/>
    <w:rsid w:val="0A053C89"/>
    <w:rsid w:val="0A070656"/>
    <w:rsid w:val="0A651725"/>
    <w:rsid w:val="0A6878BB"/>
    <w:rsid w:val="0A913ED8"/>
    <w:rsid w:val="0A970DEF"/>
    <w:rsid w:val="0AA65618"/>
    <w:rsid w:val="0AB35B81"/>
    <w:rsid w:val="0AD578B8"/>
    <w:rsid w:val="0B24171E"/>
    <w:rsid w:val="0B5C3243"/>
    <w:rsid w:val="0B5E59FA"/>
    <w:rsid w:val="0B782F29"/>
    <w:rsid w:val="0B9A36F3"/>
    <w:rsid w:val="0BA12052"/>
    <w:rsid w:val="0BAD59A4"/>
    <w:rsid w:val="0BC11EE9"/>
    <w:rsid w:val="0BDF6813"/>
    <w:rsid w:val="0BF745E4"/>
    <w:rsid w:val="0C357211"/>
    <w:rsid w:val="0C466B45"/>
    <w:rsid w:val="0C746CE6"/>
    <w:rsid w:val="0C8D626F"/>
    <w:rsid w:val="0C9155D8"/>
    <w:rsid w:val="0CB101B0"/>
    <w:rsid w:val="0CCC58E6"/>
    <w:rsid w:val="0CD10852"/>
    <w:rsid w:val="0CD1596F"/>
    <w:rsid w:val="0CDE6F16"/>
    <w:rsid w:val="0D004744"/>
    <w:rsid w:val="0D1E1D5F"/>
    <w:rsid w:val="0D563CC5"/>
    <w:rsid w:val="0D584403"/>
    <w:rsid w:val="0D60177E"/>
    <w:rsid w:val="0D775FE2"/>
    <w:rsid w:val="0D856B35"/>
    <w:rsid w:val="0DAC0511"/>
    <w:rsid w:val="0DEE7765"/>
    <w:rsid w:val="0DF02F5A"/>
    <w:rsid w:val="0E6504E4"/>
    <w:rsid w:val="0E664FCA"/>
    <w:rsid w:val="0E867D51"/>
    <w:rsid w:val="0EBD415F"/>
    <w:rsid w:val="0ECC7E79"/>
    <w:rsid w:val="0EF3685E"/>
    <w:rsid w:val="0F08305D"/>
    <w:rsid w:val="0F107990"/>
    <w:rsid w:val="0F144A26"/>
    <w:rsid w:val="0F204221"/>
    <w:rsid w:val="0F2B5D1F"/>
    <w:rsid w:val="0F45621F"/>
    <w:rsid w:val="0F9067A2"/>
    <w:rsid w:val="0FA45DAA"/>
    <w:rsid w:val="0FBF0C03"/>
    <w:rsid w:val="0FCA06F9"/>
    <w:rsid w:val="0FE05351"/>
    <w:rsid w:val="100903D4"/>
    <w:rsid w:val="101C0A97"/>
    <w:rsid w:val="102B4703"/>
    <w:rsid w:val="10433D31"/>
    <w:rsid w:val="107C0AD5"/>
    <w:rsid w:val="10B82D25"/>
    <w:rsid w:val="10C607DE"/>
    <w:rsid w:val="10D42A8B"/>
    <w:rsid w:val="10DE168E"/>
    <w:rsid w:val="10F67974"/>
    <w:rsid w:val="11051CC3"/>
    <w:rsid w:val="110E5707"/>
    <w:rsid w:val="11495112"/>
    <w:rsid w:val="117C3B8E"/>
    <w:rsid w:val="11936674"/>
    <w:rsid w:val="11DD18E2"/>
    <w:rsid w:val="11E40DBA"/>
    <w:rsid w:val="11F43E80"/>
    <w:rsid w:val="121A6430"/>
    <w:rsid w:val="123478B9"/>
    <w:rsid w:val="123C0533"/>
    <w:rsid w:val="12414C51"/>
    <w:rsid w:val="12685FCD"/>
    <w:rsid w:val="128F6633"/>
    <w:rsid w:val="12B15FBE"/>
    <w:rsid w:val="12C7072D"/>
    <w:rsid w:val="12F74050"/>
    <w:rsid w:val="133833D9"/>
    <w:rsid w:val="135759C1"/>
    <w:rsid w:val="135F0ED4"/>
    <w:rsid w:val="137469CA"/>
    <w:rsid w:val="138C1BEB"/>
    <w:rsid w:val="13A02D2C"/>
    <w:rsid w:val="13B04DAC"/>
    <w:rsid w:val="13B41253"/>
    <w:rsid w:val="13D64F6E"/>
    <w:rsid w:val="13D80718"/>
    <w:rsid w:val="13EF0479"/>
    <w:rsid w:val="13FC4A98"/>
    <w:rsid w:val="1416555A"/>
    <w:rsid w:val="14223741"/>
    <w:rsid w:val="143571AB"/>
    <w:rsid w:val="143A34B9"/>
    <w:rsid w:val="146F2C7A"/>
    <w:rsid w:val="148301A4"/>
    <w:rsid w:val="148F6460"/>
    <w:rsid w:val="149E4992"/>
    <w:rsid w:val="14A968EE"/>
    <w:rsid w:val="14E0178F"/>
    <w:rsid w:val="152E2E60"/>
    <w:rsid w:val="1581420C"/>
    <w:rsid w:val="1585042C"/>
    <w:rsid w:val="16464112"/>
    <w:rsid w:val="164F66A2"/>
    <w:rsid w:val="166E4572"/>
    <w:rsid w:val="167835BA"/>
    <w:rsid w:val="16AF39B2"/>
    <w:rsid w:val="16EF70D4"/>
    <w:rsid w:val="16F8046E"/>
    <w:rsid w:val="16FF5CCD"/>
    <w:rsid w:val="16FF6D87"/>
    <w:rsid w:val="170E5D26"/>
    <w:rsid w:val="17694B12"/>
    <w:rsid w:val="176D5C4E"/>
    <w:rsid w:val="17753BE6"/>
    <w:rsid w:val="17852965"/>
    <w:rsid w:val="17BE59A2"/>
    <w:rsid w:val="17DA4A5F"/>
    <w:rsid w:val="17FE5263"/>
    <w:rsid w:val="18185849"/>
    <w:rsid w:val="182B350C"/>
    <w:rsid w:val="18464068"/>
    <w:rsid w:val="189248ED"/>
    <w:rsid w:val="18BA0D0B"/>
    <w:rsid w:val="18D35CED"/>
    <w:rsid w:val="19335864"/>
    <w:rsid w:val="195C37DD"/>
    <w:rsid w:val="19C77265"/>
    <w:rsid w:val="19D21766"/>
    <w:rsid w:val="19F64B3B"/>
    <w:rsid w:val="1A376583"/>
    <w:rsid w:val="1A442DE9"/>
    <w:rsid w:val="1A662169"/>
    <w:rsid w:val="1A6B53C8"/>
    <w:rsid w:val="1A910448"/>
    <w:rsid w:val="1ADA6B24"/>
    <w:rsid w:val="1AE030E5"/>
    <w:rsid w:val="1AFB2E83"/>
    <w:rsid w:val="1B232898"/>
    <w:rsid w:val="1B973A55"/>
    <w:rsid w:val="1BBA6DB0"/>
    <w:rsid w:val="1BC03F6C"/>
    <w:rsid w:val="1BC17CE4"/>
    <w:rsid w:val="1BC305D3"/>
    <w:rsid w:val="1BD134B8"/>
    <w:rsid w:val="1BD9300C"/>
    <w:rsid w:val="1C130409"/>
    <w:rsid w:val="1C2323A3"/>
    <w:rsid w:val="1C3A5A50"/>
    <w:rsid w:val="1C484763"/>
    <w:rsid w:val="1C6C5EA1"/>
    <w:rsid w:val="1CA23671"/>
    <w:rsid w:val="1CB53E21"/>
    <w:rsid w:val="1CB54B59"/>
    <w:rsid w:val="1CD01313"/>
    <w:rsid w:val="1CD55680"/>
    <w:rsid w:val="1CDF6673"/>
    <w:rsid w:val="1CFF5090"/>
    <w:rsid w:val="1D321E13"/>
    <w:rsid w:val="1D61678E"/>
    <w:rsid w:val="1D63299D"/>
    <w:rsid w:val="1D721AE5"/>
    <w:rsid w:val="1D951428"/>
    <w:rsid w:val="1DBC044E"/>
    <w:rsid w:val="1DED1E8D"/>
    <w:rsid w:val="1E00077D"/>
    <w:rsid w:val="1E0F688E"/>
    <w:rsid w:val="1E136732"/>
    <w:rsid w:val="1E571BEC"/>
    <w:rsid w:val="1EBB4EBE"/>
    <w:rsid w:val="1EE90A0A"/>
    <w:rsid w:val="1EEE0DF0"/>
    <w:rsid w:val="1F2167A3"/>
    <w:rsid w:val="1F3F2BD4"/>
    <w:rsid w:val="1F4849CA"/>
    <w:rsid w:val="1F5053F0"/>
    <w:rsid w:val="1F873477"/>
    <w:rsid w:val="1F891175"/>
    <w:rsid w:val="1FA51677"/>
    <w:rsid w:val="1FCD447E"/>
    <w:rsid w:val="200521DD"/>
    <w:rsid w:val="2033244A"/>
    <w:rsid w:val="208A6DFA"/>
    <w:rsid w:val="20966FF2"/>
    <w:rsid w:val="20B00655"/>
    <w:rsid w:val="20DB7AF0"/>
    <w:rsid w:val="21050DBD"/>
    <w:rsid w:val="210C7C53"/>
    <w:rsid w:val="211508B6"/>
    <w:rsid w:val="212F12B7"/>
    <w:rsid w:val="21364A0F"/>
    <w:rsid w:val="21455F84"/>
    <w:rsid w:val="21B35628"/>
    <w:rsid w:val="21BF1A86"/>
    <w:rsid w:val="21CA43CD"/>
    <w:rsid w:val="21CF15C2"/>
    <w:rsid w:val="21F11323"/>
    <w:rsid w:val="220A1EE8"/>
    <w:rsid w:val="2230171F"/>
    <w:rsid w:val="224B4640"/>
    <w:rsid w:val="22765384"/>
    <w:rsid w:val="228F40D1"/>
    <w:rsid w:val="22BC1770"/>
    <w:rsid w:val="230318A9"/>
    <w:rsid w:val="230D3B35"/>
    <w:rsid w:val="231B7B5C"/>
    <w:rsid w:val="231F33A3"/>
    <w:rsid w:val="233209BF"/>
    <w:rsid w:val="23734B64"/>
    <w:rsid w:val="2392443F"/>
    <w:rsid w:val="23AE574A"/>
    <w:rsid w:val="23E9458B"/>
    <w:rsid w:val="23FC7C17"/>
    <w:rsid w:val="24382045"/>
    <w:rsid w:val="245B0C78"/>
    <w:rsid w:val="246C493C"/>
    <w:rsid w:val="247B2AA1"/>
    <w:rsid w:val="24977600"/>
    <w:rsid w:val="24B831E2"/>
    <w:rsid w:val="24BF61EC"/>
    <w:rsid w:val="24E21FE9"/>
    <w:rsid w:val="250B120F"/>
    <w:rsid w:val="251E0143"/>
    <w:rsid w:val="252C7220"/>
    <w:rsid w:val="252D7084"/>
    <w:rsid w:val="254A2AF8"/>
    <w:rsid w:val="254F42BB"/>
    <w:rsid w:val="25DE12EA"/>
    <w:rsid w:val="26301D50"/>
    <w:rsid w:val="26395B91"/>
    <w:rsid w:val="26A50560"/>
    <w:rsid w:val="26BD128D"/>
    <w:rsid w:val="26FD1CCB"/>
    <w:rsid w:val="270C4509"/>
    <w:rsid w:val="270F55EE"/>
    <w:rsid w:val="272F1A96"/>
    <w:rsid w:val="27565040"/>
    <w:rsid w:val="27731952"/>
    <w:rsid w:val="277A413B"/>
    <w:rsid w:val="27A77198"/>
    <w:rsid w:val="27BB6298"/>
    <w:rsid w:val="27BB73E5"/>
    <w:rsid w:val="27F52753"/>
    <w:rsid w:val="27F84FA1"/>
    <w:rsid w:val="27FF5E1C"/>
    <w:rsid w:val="28362A72"/>
    <w:rsid w:val="284C7B9B"/>
    <w:rsid w:val="28520641"/>
    <w:rsid w:val="286B34B1"/>
    <w:rsid w:val="287610F2"/>
    <w:rsid w:val="2879797C"/>
    <w:rsid w:val="289B2B0B"/>
    <w:rsid w:val="28F55108"/>
    <w:rsid w:val="28F94ACB"/>
    <w:rsid w:val="29086F52"/>
    <w:rsid w:val="292E4C0A"/>
    <w:rsid w:val="29491934"/>
    <w:rsid w:val="29585E62"/>
    <w:rsid w:val="29600A1E"/>
    <w:rsid w:val="297B0CF7"/>
    <w:rsid w:val="29CA7085"/>
    <w:rsid w:val="29FF2103"/>
    <w:rsid w:val="2A0C5717"/>
    <w:rsid w:val="2A12304A"/>
    <w:rsid w:val="2A3A7A42"/>
    <w:rsid w:val="2AC122F0"/>
    <w:rsid w:val="2ACA2711"/>
    <w:rsid w:val="2B4F0E68"/>
    <w:rsid w:val="2B6C4449"/>
    <w:rsid w:val="2B822DA1"/>
    <w:rsid w:val="2BB7668C"/>
    <w:rsid w:val="2BBB02AC"/>
    <w:rsid w:val="2BD1121A"/>
    <w:rsid w:val="2C1D399B"/>
    <w:rsid w:val="2C3923E3"/>
    <w:rsid w:val="2C3B1E3C"/>
    <w:rsid w:val="2C490D4B"/>
    <w:rsid w:val="2C8F68B4"/>
    <w:rsid w:val="2C937C52"/>
    <w:rsid w:val="2D132B12"/>
    <w:rsid w:val="2D2325AC"/>
    <w:rsid w:val="2D25466F"/>
    <w:rsid w:val="2D2563CC"/>
    <w:rsid w:val="2D5A78BE"/>
    <w:rsid w:val="2D662499"/>
    <w:rsid w:val="2D886EC1"/>
    <w:rsid w:val="2DBC044D"/>
    <w:rsid w:val="2DD00FFA"/>
    <w:rsid w:val="2DD75257"/>
    <w:rsid w:val="2E024E2F"/>
    <w:rsid w:val="2E0E6DB8"/>
    <w:rsid w:val="2E220AB6"/>
    <w:rsid w:val="2E266E54"/>
    <w:rsid w:val="2E3E5816"/>
    <w:rsid w:val="2E4C78E1"/>
    <w:rsid w:val="2E586286"/>
    <w:rsid w:val="2EA133AF"/>
    <w:rsid w:val="2ED20E13"/>
    <w:rsid w:val="2ED85206"/>
    <w:rsid w:val="2EDB1886"/>
    <w:rsid w:val="2EDD2DD9"/>
    <w:rsid w:val="2F0C27F3"/>
    <w:rsid w:val="2F335980"/>
    <w:rsid w:val="2F336759"/>
    <w:rsid w:val="2F3B1D20"/>
    <w:rsid w:val="2F410368"/>
    <w:rsid w:val="2F422E59"/>
    <w:rsid w:val="2F5D6410"/>
    <w:rsid w:val="2F723467"/>
    <w:rsid w:val="2F922149"/>
    <w:rsid w:val="2FAD50FF"/>
    <w:rsid w:val="2FD46F7C"/>
    <w:rsid w:val="2FE851A7"/>
    <w:rsid w:val="2FEF0366"/>
    <w:rsid w:val="30661471"/>
    <w:rsid w:val="306835D0"/>
    <w:rsid w:val="309B4287"/>
    <w:rsid w:val="30AA08EF"/>
    <w:rsid w:val="30D07FA5"/>
    <w:rsid w:val="30F32296"/>
    <w:rsid w:val="3137221E"/>
    <w:rsid w:val="31480833"/>
    <w:rsid w:val="317473A5"/>
    <w:rsid w:val="31DD737B"/>
    <w:rsid w:val="320A28B0"/>
    <w:rsid w:val="32153FA4"/>
    <w:rsid w:val="32682E54"/>
    <w:rsid w:val="328B5E32"/>
    <w:rsid w:val="32A0292F"/>
    <w:rsid w:val="32A02B99"/>
    <w:rsid w:val="32DD0826"/>
    <w:rsid w:val="32E95EDD"/>
    <w:rsid w:val="32FA790B"/>
    <w:rsid w:val="33055B07"/>
    <w:rsid w:val="330F2BAA"/>
    <w:rsid w:val="331D2279"/>
    <w:rsid w:val="332B5D17"/>
    <w:rsid w:val="33675AA7"/>
    <w:rsid w:val="337D5F7B"/>
    <w:rsid w:val="337E44B5"/>
    <w:rsid w:val="3390570F"/>
    <w:rsid w:val="33953AD8"/>
    <w:rsid w:val="33C06C05"/>
    <w:rsid w:val="33D414D0"/>
    <w:rsid w:val="33ED121E"/>
    <w:rsid w:val="3411197D"/>
    <w:rsid w:val="34603E67"/>
    <w:rsid w:val="347034BB"/>
    <w:rsid w:val="347831DE"/>
    <w:rsid w:val="347A51A5"/>
    <w:rsid w:val="3483666A"/>
    <w:rsid w:val="348A2F11"/>
    <w:rsid w:val="34952A9C"/>
    <w:rsid w:val="34A23D27"/>
    <w:rsid w:val="34B309A3"/>
    <w:rsid w:val="35123069"/>
    <w:rsid w:val="35284C04"/>
    <w:rsid w:val="355643C5"/>
    <w:rsid w:val="359C2256"/>
    <w:rsid w:val="35CD358A"/>
    <w:rsid w:val="35E16DD3"/>
    <w:rsid w:val="36050AA1"/>
    <w:rsid w:val="36232DB0"/>
    <w:rsid w:val="36445687"/>
    <w:rsid w:val="36482B5D"/>
    <w:rsid w:val="36A33D10"/>
    <w:rsid w:val="36A50485"/>
    <w:rsid w:val="36D31069"/>
    <w:rsid w:val="37136570"/>
    <w:rsid w:val="371B0D30"/>
    <w:rsid w:val="37252074"/>
    <w:rsid w:val="37471EDD"/>
    <w:rsid w:val="374C0952"/>
    <w:rsid w:val="37742786"/>
    <w:rsid w:val="378123A9"/>
    <w:rsid w:val="379F3D2C"/>
    <w:rsid w:val="37DF20DE"/>
    <w:rsid w:val="37FE110B"/>
    <w:rsid w:val="385F359C"/>
    <w:rsid w:val="38865F6E"/>
    <w:rsid w:val="388B3D55"/>
    <w:rsid w:val="38970C19"/>
    <w:rsid w:val="38E250CA"/>
    <w:rsid w:val="38FD6768"/>
    <w:rsid w:val="395105A2"/>
    <w:rsid w:val="39794115"/>
    <w:rsid w:val="399307E1"/>
    <w:rsid w:val="39D8513B"/>
    <w:rsid w:val="3A0B4AF4"/>
    <w:rsid w:val="3A120C1D"/>
    <w:rsid w:val="3A1E073A"/>
    <w:rsid w:val="3A664C10"/>
    <w:rsid w:val="3A965CFC"/>
    <w:rsid w:val="3B051543"/>
    <w:rsid w:val="3B1C64B2"/>
    <w:rsid w:val="3B2A3362"/>
    <w:rsid w:val="3B514788"/>
    <w:rsid w:val="3B547DD5"/>
    <w:rsid w:val="3B5F6EA5"/>
    <w:rsid w:val="3B746489"/>
    <w:rsid w:val="3B7937C1"/>
    <w:rsid w:val="3BA80B19"/>
    <w:rsid w:val="3BCF67ED"/>
    <w:rsid w:val="3C0A6FF7"/>
    <w:rsid w:val="3C2A67D5"/>
    <w:rsid w:val="3C402271"/>
    <w:rsid w:val="3C4240EC"/>
    <w:rsid w:val="3CA229D2"/>
    <w:rsid w:val="3CD42104"/>
    <w:rsid w:val="3CEB1DA8"/>
    <w:rsid w:val="3D1255B0"/>
    <w:rsid w:val="3D222457"/>
    <w:rsid w:val="3D711B40"/>
    <w:rsid w:val="3D801B10"/>
    <w:rsid w:val="3DE10046"/>
    <w:rsid w:val="3DFE0BF8"/>
    <w:rsid w:val="3E32264F"/>
    <w:rsid w:val="3E397E76"/>
    <w:rsid w:val="3E594D47"/>
    <w:rsid w:val="3E800AA6"/>
    <w:rsid w:val="3E907BE3"/>
    <w:rsid w:val="3F3A1FEB"/>
    <w:rsid w:val="3F411969"/>
    <w:rsid w:val="3F653727"/>
    <w:rsid w:val="3FB837B0"/>
    <w:rsid w:val="40117D74"/>
    <w:rsid w:val="406F4F58"/>
    <w:rsid w:val="407A541B"/>
    <w:rsid w:val="407F5A7C"/>
    <w:rsid w:val="408E3D89"/>
    <w:rsid w:val="40977C03"/>
    <w:rsid w:val="40A67243"/>
    <w:rsid w:val="40C07BCB"/>
    <w:rsid w:val="40C477AB"/>
    <w:rsid w:val="40CD2B03"/>
    <w:rsid w:val="40D36339"/>
    <w:rsid w:val="40D82819"/>
    <w:rsid w:val="41236C02"/>
    <w:rsid w:val="41524275"/>
    <w:rsid w:val="41561C25"/>
    <w:rsid w:val="416B225B"/>
    <w:rsid w:val="417411D9"/>
    <w:rsid w:val="41ED50AC"/>
    <w:rsid w:val="41FB0363"/>
    <w:rsid w:val="42224ABA"/>
    <w:rsid w:val="42253D73"/>
    <w:rsid w:val="422C7D41"/>
    <w:rsid w:val="42DC4764"/>
    <w:rsid w:val="42E51598"/>
    <w:rsid w:val="43010A9A"/>
    <w:rsid w:val="430B16C1"/>
    <w:rsid w:val="43140575"/>
    <w:rsid w:val="43206AD1"/>
    <w:rsid w:val="433A199D"/>
    <w:rsid w:val="433A31B9"/>
    <w:rsid w:val="433D1C73"/>
    <w:rsid w:val="43AB0A4F"/>
    <w:rsid w:val="43E10029"/>
    <w:rsid w:val="442962A2"/>
    <w:rsid w:val="445D7CFA"/>
    <w:rsid w:val="446B419A"/>
    <w:rsid w:val="448A5C2A"/>
    <w:rsid w:val="449F5EAC"/>
    <w:rsid w:val="44AC48CA"/>
    <w:rsid w:val="44E4602A"/>
    <w:rsid w:val="44E558FF"/>
    <w:rsid w:val="44FE1897"/>
    <w:rsid w:val="45086A83"/>
    <w:rsid w:val="450B1AF4"/>
    <w:rsid w:val="4561381A"/>
    <w:rsid w:val="45B778DE"/>
    <w:rsid w:val="45B80788"/>
    <w:rsid w:val="45BE6EBE"/>
    <w:rsid w:val="46235014"/>
    <w:rsid w:val="462E708D"/>
    <w:rsid w:val="462E7BA0"/>
    <w:rsid w:val="463D7DE3"/>
    <w:rsid w:val="466622E2"/>
    <w:rsid w:val="46704557"/>
    <w:rsid w:val="46A60D9B"/>
    <w:rsid w:val="46B5206F"/>
    <w:rsid w:val="46C84729"/>
    <w:rsid w:val="46DB30D4"/>
    <w:rsid w:val="46EE37D3"/>
    <w:rsid w:val="46FD6CEB"/>
    <w:rsid w:val="47024B89"/>
    <w:rsid w:val="470D3404"/>
    <w:rsid w:val="47120827"/>
    <w:rsid w:val="471B73BB"/>
    <w:rsid w:val="471F4D18"/>
    <w:rsid w:val="47473562"/>
    <w:rsid w:val="474927B8"/>
    <w:rsid w:val="47731209"/>
    <w:rsid w:val="47B73BC5"/>
    <w:rsid w:val="47D93032"/>
    <w:rsid w:val="47E9061B"/>
    <w:rsid w:val="484245C7"/>
    <w:rsid w:val="48447FD7"/>
    <w:rsid w:val="488D7CFE"/>
    <w:rsid w:val="48C40C98"/>
    <w:rsid w:val="48C56FFE"/>
    <w:rsid w:val="48ED0C4F"/>
    <w:rsid w:val="4900334A"/>
    <w:rsid w:val="49323FD7"/>
    <w:rsid w:val="493F3132"/>
    <w:rsid w:val="49747FC0"/>
    <w:rsid w:val="49917034"/>
    <w:rsid w:val="49AC7F85"/>
    <w:rsid w:val="49B733E4"/>
    <w:rsid w:val="49C30532"/>
    <w:rsid w:val="49D06B92"/>
    <w:rsid w:val="49D17D6F"/>
    <w:rsid w:val="49F46678"/>
    <w:rsid w:val="4A11580F"/>
    <w:rsid w:val="4A371147"/>
    <w:rsid w:val="4A931818"/>
    <w:rsid w:val="4AB16081"/>
    <w:rsid w:val="4AF30DD3"/>
    <w:rsid w:val="4B132170"/>
    <w:rsid w:val="4B2449EC"/>
    <w:rsid w:val="4B3D426F"/>
    <w:rsid w:val="4B533803"/>
    <w:rsid w:val="4B553E21"/>
    <w:rsid w:val="4B69167A"/>
    <w:rsid w:val="4B813E1D"/>
    <w:rsid w:val="4BA53EF1"/>
    <w:rsid w:val="4BB529B2"/>
    <w:rsid w:val="4BD570D2"/>
    <w:rsid w:val="4BF21A7A"/>
    <w:rsid w:val="4C12409B"/>
    <w:rsid w:val="4C213D03"/>
    <w:rsid w:val="4C292770"/>
    <w:rsid w:val="4C315FBB"/>
    <w:rsid w:val="4C4C1CAD"/>
    <w:rsid w:val="4C514CFA"/>
    <w:rsid w:val="4C59524B"/>
    <w:rsid w:val="4C68672E"/>
    <w:rsid w:val="4CC457CA"/>
    <w:rsid w:val="4CF403FF"/>
    <w:rsid w:val="4D301F69"/>
    <w:rsid w:val="4D5601C7"/>
    <w:rsid w:val="4D783DF7"/>
    <w:rsid w:val="4DAA392F"/>
    <w:rsid w:val="4DCD5EF0"/>
    <w:rsid w:val="4DDA057B"/>
    <w:rsid w:val="4DF85F23"/>
    <w:rsid w:val="4E2953E4"/>
    <w:rsid w:val="4E324FB1"/>
    <w:rsid w:val="4E5E7F75"/>
    <w:rsid w:val="4E6E433D"/>
    <w:rsid w:val="4E7803E9"/>
    <w:rsid w:val="4EAC5711"/>
    <w:rsid w:val="4EE94897"/>
    <w:rsid w:val="4EF70D4B"/>
    <w:rsid w:val="4F1576CB"/>
    <w:rsid w:val="4F5E48FD"/>
    <w:rsid w:val="4FAE1D52"/>
    <w:rsid w:val="4FF260E2"/>
    <w:rsid w:val="500A411E"/>
    <w:rsid w:val="50173012"/>
    <w:rsid w:val="50373E78"/>
    <w:rsid w:val="504D4821"/>
    <w:rsid w:val="50AC1958"/>
    <w:rsid w:val="51273B6A"/>
    <w:rsid w:val="51363DAD"/>
    <w:rsid w:val="51414746"/>
    <w:rsid w:val="518D6B97"/>
    <w:rsid w:val="51B2004B"/>
    <w:rsid w:val="51EB71A0"/>
    <w:rsid w:val="52253F45"/>
    <w:rsid w:val="523739C7"/>
    <w:rsid w:val="52500E9E"/>
    <w:rsid w:val="52825E86"/>
    <w:rsid w:val="52A25052"/>
    <w:rsid w:val="52A707CD"/>
    <w:rsid w:val="52B0193D"/>
    <w:rsid w:val="52CD348D"/>
    <w:rsid w:val="52F757BE"/>
    <w:rsid w:val="53190690"/>
    <w:rsid w:val="534704F3"/>
    <w:rsid w:val="53575FFF"/>
    <w:rsid w:val="535E5F6B"/>
    <w:rsid w:val="537B1F4B"/>
    <w:rsid w:val="537D468A"/>
    <w:rsid w:val="53A70F92"/>
    <w:rsid w:val="53B03F05"/>
    <w:rsid w:val="53BF2783"/>
    <w:rsid w:val="53D11CA6"/>
    <w:rsid w:val="53E2646E"/>
    <w:rsid w:val="542F6351"/>
    <w:rsid w:val="54556AEA"/>
    <w:rsid w:val="545A24A8"/>
    <w:rsid w:val="546B6463"/>
    <w:rsid w:val="546F6918"/>
    <w:rsid w:val="5472041A"/>
    <w:rsid w:val="54A74638"/>
    <w:rsid w:val="54E83A9F"/>
    <w:rsid w:val="54F77CF7"/>
    <w:rsid w:val="55131A57"/>
    <w:rsid w:val="553B5E36"/>
    <w:rsid w:val="5547596F"/>
    <w:rsid w:val="55622629"/>
    <w:rsid w:val="559F45C9"/>
    <w:rsid w:val="55A71CA4"/>
    <w:rsid w:val="55F04E72"/>
    <w:rsid w:val="56372F6E"/>
    <w:rsid w:val="56625644"/>
    <w:rsid w:val="568A6EF6"/>
    <w:rsid w:val="5697353F"/>
    <w:rsid w:val="569F39BB"/>
    <w:rsid w:val="56EA0868"/>
    <w:rsid w:val="57296C8A"/>
    <w:rsid w:val="57406F77"/>
    <w:rsid w:val="57467AE9"/>
    <w:rsid w:val="577D71D5"/>
    <w:rsid w:val="57800F01"/>
    <w:rsid w:val="57852178"/>
    <w:rsid w:val="57A94ECD"/>
    <w:rsid w:val="58214F74"/>
    <w:rsid w:val="585F764D"/>
    <w:rsid w:val="58B65B9B"/>
    <w:rsid w:val="58C16652"/>
    <w:rsid w:val="58ED38EB"/>
    <w:rsid w:val="58FA4291"/>
    <w:rsid w:val="59087B9A"/>
    <w:rsid w:val="59637709"/>
    <w:rsid w:val="596C3BD8"/>
    <w:rsid w:val="59A659EE"/>
    <w:rsid w:val="59E536AD"/>
    <w:rsid w:val="5A3115B5"/>
    <w:rsid w:val="5A3A2DDD"/>
    <w:rsid w:val="5A737E20"/>
    <w:rsid w:val="5A82078C"/>
    <w:rsid w:val="5A845CF1"/>
    <w:rsid w:val="5A8F0385"/>
    <w:rsid w:val="5AA224B3"/>
    <w:rsid w:val="5AC82171"/>
    <w:rsid w:val="5ACA4A36"/>
    <w:rsid w:val="5B046CCA"/>
    <w:rsid w:val="5B6B6A35"/>
    <w:rsid w:val="5B747FA2"/>
    <w:rsid w:val="5BB13D97"/>
    <w:rsid w:val="5BC367AE"/>
    <w:rsid w:val="5BEA15F7"/>
    <w:rsid w:val="5BF918A2"/>
    <w:rsid w:val="5C1775E7"/>
    <w:rsid w:val="5C622ED3"/>
    <w:rsid w:val="5C6739B4"/>
    <w:rsid w:val="5C71213D"/>
    <w:rsid w:val="5C786B7F"/>
    <w:rsid w:val="5C977CD5"/>
    <w:rsid w:val="5CC11316"/>
    <w:rsid w:val="5CD05F7C"/>
    <w:rsid w:val="5CDF25FD"/>
    <w:rsid w:val="5CE0276D"/>
    <w:rsid w:val="5CE0291F"/>
    <w:rsid w:val="5D011801"/>
    <w:rsid w:val="5D0C1E6E"/>
    <w:rsid w:val="5D3B4348"/>
    <w:rsid w:val="5D5C27B2"/>
    <w:rsid w:val="5D7E7207"/>
    <w:rsid w:val="5D80414E"/>
    <w:rsid w:val="5D81328C"/>
    <w:rsid w:val="5D8A5BAC"/>
    <w:rsid w:val="5DBE7604"/>
    <w:rsid w:val="5DF64BBB"/>
    <w:rsid w:val="5E03201B"/>
    <w:rsid w:val="5E086AD1"/>
    <w:rsid w:val="5E2A6A47"/>
    <w:rsid w:val="5E8F0FA0"/>
    <w:rsid w:val="5E960298"/>
    <w:rsid w:val="5EEB2D9E"/>
    <w:rsid w:val="5EF26008"/>
    <w:rsid w:val="5F011E9E"/>
    <w:rsid w:val="5F3D1CF1"/>
    <w:rsid w:val="5F6366B5"/>
    <w:rsid w:val="5F7912CB"/>
    <w:rsid w:val="5F7A30E0"/>
    <w:rsid w:val="5F9E662B"/>
    <w:rsid w:val="5FA40A7B"/>
    <w:rsid w:val="5FCF3808"/>
    <w:rsid w:val="5FE1759B"/>
    <w:rsid w:val="5FF7D708"/>
    <w:rsid w:val="60317303"/>
    <w:rsid w:val="6035775C"/>
    <w:rsid w:val="603C575F"/>
    <w:rsid w:val="607D37A6"/>
    <w:rsid w:val="60852FE3"/>
    <w:rsid w:val="60BE3C27"/>
    <w:rsid w:val="60D945A9"/>
    <w:rsid w:val="61081F46"/>
    <w:rsid w:val="610B7004"/>
    <w:rsid w:val="61480D21"/>
    <w:rsid w:val="61721872"/>
    <w:rsid w:val="61786E1D"/>
    <w:rsid w:val="61806B66"/>
    <w:rsid w:val="619237B2"/>
    <w:rsid w:val="61A94AF6"/>
    <w:rsid w:val="62093465"/>
    <w:rsid w:val="62142FEB"/>
    <w:rsid w:val="62315204"/>
    <w:rsid w:val="625203F3"/>
    <w:rsid w:val="625658CD"/>
    <w:rsid w:val="62730229"/>
    <w:rsid w:val="62765685"/>
    <w:rsid w:val="627D7494"/>
    <w:rsid w:val="628E5ED5"/>
    <w:rsid w:val="62B8336A"/>
    <w:rsid w:val="62DB0C58"/>
    <w:rsid w:val="63057A83"/>
    <w:rsid w:val="635C2D61"/>
    <w:rsid w:val="635C7BA4"/>
    <w:rsid w:val="63626220"/>
    <w:rsid w:val="638B7D32"/>
    <w:rsid w:val="638C7755"/>
    <w:rsid w:val="639C3F43"/>
    <w:rsid w:val="63CB2BF0"/>
    <w:rsid w:val="63E678B4"/>
    <w:rsid w:val="63E94CAF"/>
    <w:rsid w:val="63EC6DF5"/>
    <w:rsid w:val="63F7561D"/>
    <w:rsid w:val="63FC4B56"/>
    <w:rsid w:val="642235E3"/>
    <w:rsid w:val="642B3713"/>
    <w:rsid w:val="64337579"/>
    <w:rsid w:val="643A375C"/>
    <w:rsid w:val="64441196"/>
    <w:rsid w:val="647508DA"/>
    <w:rsid w:val="64A83BAD"/>
    <w:rsid w:val="64AC3EB3"/>
    <w:rsid w:val="64B646C3"/>
    <w:rsid w:val="65072020"/>
    <w:rsid w:val="65091B75"/>
    <w:rsid w:val="65254A6D"/>
    <w:rsid w:val="65378BD8"/>
    <w:rsid w:val="65BC6440"/>
    <w:rsid w:val="65C36E7F"/>
    <w:rsid w:val="65D11B88"/>
    <w:rsid w:val="65D21A26"/>
    <w:rsid w:val="660F5F18"/>
    <w:rsid w:val="6622615E"/>
    <w:rsid w:val="663B7430"/>
    <w:rsid w:val="66567CBC"/>
    <w:rsid w:val="66A172F9"/>
    <w:rsid w:val="66CE73AC"/>
    <w:rsid w:val="66EA3218"/>
    <w:rsid w:val="66FE1316"/>
    <w:rsid w:val="6727621A"/>
    <w:rsid w:val="672A0BC3"/>
    <w:rsid w:val="67604452"/>
    <w:rsid w:val="67B51A77"/>
    <w:rsid w:val="67EE6D37"/>
    <w:rsid w:val="682448B7"/>
    <w:rsid w:val="687775B2"/>
    <w:rsid w:val="68B41F83"/>
    <w:rsid w:val="68D72FB6"/>
    <w:rsid w:val="68F0088D"/>
    <w:rsid w:val="69251E09"/>
    <w:rsid w:val="6940715E"/>
    <w:rsid w:val="69576081"/>
    <w:rsid w:val="69F40BE1"/>
    <w:rsid w:val="69FB26CA"/>
    <w:rsid w:val="6A1B14A7"/>
    <w:rsid w:val="6A200354"/>
    <w:rsid w:val="6A917F09"/>
    <w:rsid w:val="6AA302AD"/>
    <w:rsid w:val="6AE13192"/>
    <w:rsid w:val="6AE5012B"/>
    <w:rsid w:val="6B06168D"/>
    <w:rsid w:val="6B1271E1"/>
    <w:rsid w:val="6B222DD6"/>
    <w:rsid w:val="6B241A17"/>
    <w:rsid w:val="6B432AA4"/>
    <w:rsid w:val="6B7636D8"/>
    <w:rsid w:val="6B891A21"/>
    <w:rsid w:val="6BE44FCC"/>
    <w:rsid w:val="6BEC4054"/>
    <w:rsid w:val="6BF948B8"/>
    <w:rsid w:val="6C503249"/>
    <w:rsid w:val="6C5E7628"/>
    <w:rsid w:val="6C7E0D8E"/>
    <w:rsid w:val="6CCB7647"/>
    <w:rsid w:val="6CF04454"/>
    <w:rsid w:val="6D0010E2"/>
    <w:rsid w:val="6D0520F7"/>
    <w:rsid w:val="6D064B23"/>
    <w:rsid w:val="6D0C0E01"/>
    <w:rsid w:val="6D3F3B91"/>
    <w:rsid w:val="6D5855C1"/>
    <w:rsid w:val="6DE50270"/>
    <w:rsid w:val="6E072901"/>
    <w:rsid w:val="6E1148C4"/>
    <w:rsid w:val="6E274D51"/>
    <w:rsid w:val="6E315382"/>
    <w:rsid w:val="6E5518BE"/>
    <w:rsid w:val="6E634A12"/>
    <w:rsid w:val="6E914282"/>
    <w:rsid w:val="6E9C0F6F"/>
    <w:rsid w:val="6F0B0EB6"/>
    <w:rsid w:val="6F0E4EC3"/>
    <w:rsid w:val="6F1D039F"/>
    <w:rsid w:val="6F4274B2"/>
    <w:rsid w:val="6FA973ED"/>
    <w:rsid w:val="6FC860C0"/>
    <w:rsid w:val="6FDB4045"/>
    <w:rsid w:val="70104A39"/>
    <w:rsid w:val="70202FB4"/>
    <w:rsid w:val="70557737"/>
    <w:rsid w:val="705D4C56"/>
    <w:rsid w:val="70751679"/>
    <w:rsid w:val="70F01D72"/>
    <w:rsid w:val="711904E4"/>
    <w:rsid w:val="71397275"/>
    <w:rsid w:val="7146565B"/>
    <w:rsid w:val="71473A67"/>
    <w:rsid w:val="71671D9D"/>
    <w:rsid w:val="7199730D"/>
    <w:rsid w:val="71AD7318"/>
    <w:rsid w:val="71BC7EA6"/>
    <w:rsid w:val="71C37A53"/>
    <w:rsid w:val="71E3050D"/>
    <w:rsid w:val="71F118FE"/>
    <w:rsid w:val="721675B7"/>
    <w:rsid w:val="721C4020"/>
    <w:rsid w:val="72553376"/>
    <w:rsid w:val="726D70E7"/>
    <w:rsid w:val="726F754F"/>
    <w:rsid w:val="72A63D8F"/>
    <w:rsid w:val="72C5502F"/>
    <w:rsid w:val="72EE4EBF"/>
    <w:rsid w:val="73406045"/>
    <w:rsid w:val="734D12CF"/>
    <w:rsid w:val="7363098C"/>
    <w:rsid w:val="736A39A2"/>
    <w:rsid w:val="73763D1E"/>
    <w:rsid w:val="73DD4830"/>
    <w:rsid w:val="73E31570"/>
    <w:rsid w:val="73EA0EDA"/>
    <w:rsid w:val="74100036"/>
    <w:rsid w:val="743662F5"/>
    <w:rsid w:val="743F19B9"/>
    <w:rsid w:val="746C1710"/>
    <w:rsid w:val="74736C60"/>
    <w:rsid w:val="74783080"/>
    <w:rsid w:val="747D74F0"/>
    <w:rsid w:val="74C31ECB"/>
    <w:rsid w:val="74CB28DA"/>
    <w:rsid w:val="74CD717F"/>
    <w:rsid w:val="74E2017E"/>
    <w:rsid w:val="74F34CB3"/>
    <w:rsid w:val="755E1BC6"/>
    <w:rsid w:val="756F7C68"/>
    <w:rsid w:val="75905010"/>
    <w:rsid w:val="75942919"/>
    <w:rsid w:val="75B27C6E"/>
    <w:rsid w:val="75B92311"/>
    <w:rsid w:val="75D5481F"/>
    <w:rsid w:val="75DD5AAF"/>
    <w:rsid w:val="75F11F6A"/>
    <w:rsid w:val="761558C9"/>
    <w:rsid w:val="762F6E99"/>
    <w:rsid w:val="764E6D27"/>
    <w:rsid w:val="76673540"/>
    <w:rsid w:val="768F16E6"/>
    <w:rsid w:val="76CC708D"/>
    <w:rsid w:val="76D17F50"/>
    <w:rsid w:val="76DC005F"/>
    <w:rsid w:val="76DE441B"/>
    <w:rsid w:val="76FB218F"/>
    <w:rsid w:val="7709196E"/>
    <w:rsid w:val="77291B3A"/>
    <w:rsid w:val="7759418B"/>
    <w:rsid w:val="778E5E41"/>
    <w:rsid w:val="779D47ED"/>
    <w:rsid w:val="77AA57AB"/>
    <w:rsid w:val="77D77194"/>
    <w:rsid w:val="77D8360D"/>
    <w:rsid w:val="781D0D71"/>
    <w:rsid w:val="789631FF"/>
    <w:rsid w:val="78A54023"/>
    <w:rsid w:val="78AE6916"/>
    <w:rsid w:val="78C145E9"/>
    <w:rsid w:val="78CC4E73"/>
    <w:rsid w:val="796055BB"/>
    <w:rsid w:val="79D00993"/>
    <w:rsid w:val="79E104AA"/>
    <w:rsid w:val="79E81839"/>
    <w:rsid w:val="79FF352D"/>
    <w:rsid w:val="7A056C5C"/>
    <w:rsid w:val="7A4342FF"/>
    <w:rsid w:val="7A797175"/>
    <w:rsid w:val="7A815C9A"/>
    <w:rsid w:val="7A8E216A"/>
    <w:rsid w:val="7AAA36FF"/>
    <w:rsid w:val="7AFA4DC2"/>
    <w:rsid w:val="7B00281D"/>
    <w:rsid w:val="7B034D60"/>
    <w:rsid w:val="7B04743F"/>
    <w:rsid w:val="7B594B51"/>
    <w:rsid w:val="7B7E4076"/>
    <w:rsid w:val="7B982755"/>
    <w:rsid w:val="7BA06CCE"/>
    <w:rsid w:val="7BA21EBB"/>
    <w:rsid w:val="7BB265A2"/>
    <w:rsid w:val="7BB73BB8"/>
    <w:rsid w:val="7BE11BBF"/>
    <w:rsid w:val="7BE14767"/>
    <w:rsid w:val="7C1F03DB"/>
    <w:rsid w:val="7C321491"/>
    <w:rsid w:val="7C5B5D0B"/>
    <w:rsid w:val="7C907F65"/>
    <w:rsid w:val="7C9C4E59"/>
    <w:rsid w:val="7CA428F9"/>
    <w:rsid w:val="7CE64029"/>
    <w:rsid w:val="7D361F0F"/>
    <w:rsid w:val="7D685BC6"/>
    <w:rsid w:val="7D8335F7"/>
    <w:rsid w:val="7D8C2F70"/>
    <w:rsid w:val="7DB609FF"/>
    <w:rsid w:val="7DBD4C18"/>
    <w:rsid w:val="7DBF3E97"/>
    <w:rsid w:val="7E2F1D63"/>
    <w:rsid w:val="7E3119A9"/>
    <w:rsid w:val="7E59665A"/>
    <w:rsid w:val="7E6D10D6"/>
    <w:rsid w:val="7E722949"/>
    <w:rsid w:val="7E831383"/>
    <w:rsid w:val="7EC3792C"/>
    <w:rsid w:val="7EE8052D"/>
    <w:rsid w:val="7EEB17D0"/>
    <w:rsid w:val="7F0A04A3"/>
    <w:rsid w:val="7F472BBC"/>
    <w:rsid w:val="7F4A4D43"/>
    <w:rsid w:val="7F4E3729"/>
    <w:rsid w:val="7F796D86"/>
    <w:rsid w:val="7F89586C"/>
    <w:rsid w:val="7F995383"/>
    <w:rsid w:val="7F9D2B3C"/>
    <w:rsid w:val="7FA2248A"/>
    <w:rsid w:val="7FFBF5B5"/>
    <w:rsid w:val="8ED750F3"/>
    <w:rsid w:val="8FE3B95D"/>
    <w:rsid w:val="D3FFBC44"/>
    <w:rsid w:val="EBDF4A5C"/>
    <w:rsid w:val="EEFF86FD"/>
    <w:rsid w:val="F753382A"/>
    <w:rsid w:val="FEF708B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1"/>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62"/>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63"/>
    <w:qFormat/>
    <w:uiPriority w:val="0"/>
    <w:pPr>
      <w:keepNext/>
      <w:keepLines/>
      <w:numPr>
        <w:ilvl w:val="4"/>
        <w:numId w:val="1"/>
      </w:numPr>
      <w:spacing w:before="280" w:after="290" w:line="376" w:lineRule="auto"/>
      <w:outlineLvl w:val="4"/>
    </w:pPr>
    <w:rPr>
      <w:b/>
      <w:sz w:val="28"/>
    </w:rPr>
  </w:style>
  <w:style w:type="paragraph" w:styleId="7">
    <w:name w:val="heading 6"/>
    <w:basedOn w:val="1"/>
    <w:next w:val="8"/>
    <w:link w:val="64"/>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8"/>
    <w:link w:val="65"/>
    <w:qFormat/>
    <w:uiPriority w:val="0"/>
    <w:pPr>
      <w:keepNext/>
      <w:keepLines/>
      <w:numPr>
        <w:ilvl w:val="6"/>
        <w:numId w:val="1"/>
      </w:numPr>
      <w:spacing w:before="240" w:after="64" w:line="320" w:lineRule="auto"/>
      <w:outlineLvl w:val="6"/>
    </w:pPr>
    <w:rPr>
      <w:b/>
      <w:sz w:val="24"/>
    </w:rPr>
  </w:style>
  <w:style w:type="paragraph" w:styleId="10">
    <w:name w:val="heading 8"/>
    <w:basedOn w:val="1"/>
    <w:next w:val="8"/>
    <w:link w:val="66"/>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8"/>
    <w:link w:val="67"/>
    <w:qFormat/>
    <w:uiPriority w:val="0"/>
    <w:pPr>
      <w:keepNext/>
      <w:keepLines/>
      <w:numPr>
        <w:ilvl w:val="8"/>
        <w:numId w:val="1"/>
      </w:numPr>
      <w:spacing w:before="240" w:after="64" w:line="320" w:lineRule="auto"/>
      <w:outlineLvl w:val="8"/>
    </w:pPr>
    <w:rPr>
      <w:rFonts w:ascii="Arial" w:hAnsi="Arial" w:eastAsia="黑体"/>
    </w:rPr>
  </w:style>
  <w:style w:type="character" w:default="1" w:styleId="51">
    <w:name w:val="Default Paragraph Font"/>
    <w:unhideWhenUsed/>
    <w:qFormat/>
    <w:uiPriority w:val="1"/>
  </w:style>
  <w:style w:type="table" w:default="1" w:styleId="49">
    <w:name w:val="Normal Table"/>
    <w:unhideWhenUsed/>
    <w:qFormat/>
    <w:uiPriority w:val="99"/>
    <w:tblPr>
      <w:tblCellMar>
        <w:top w:w="0" w:type="dxa"/>
        <w:left w:w="108" w:type="dxa"/>
        <w:bottom w:w="0" w:type="dxa"/>
        <w:right w:w="108" w:type="dxa"/>
      </w:tblCellMar>
    </w:tblPr>
  </w:style>
  <w:style w:type="paragraph" w:styleId="8">
    <w:name w:val="Normal Indent"/>
    <w:basedOn w:val="1"/>
    <w:qFormat/>
    <w:uiPriority w:val="0"/>
    <w:pPr>
      <w:ind w:firstLine="420"/>
    </w:pPr>
    <w:rPr>
      <w:szCs w:val="20"/>
    </w:rPr>
  </w:style>
  <w:style w:type="paragraph" w:styleId="12">
    <w:name w:val="toc 7"/>
    <w:basedOn w:val="1"/>
    <w:next w:val="1"/>
    <w:unhideWhenUsed/>
    <w:qFormat/>
    <w:uiPriority w:val="39"/>
    <w:pPr>
      <w:ind w:left="2520" w:leftChars="1200"/>
    </w:pPr>
    <w:rPr>
      <w:rFonts w:ascii="Calibri" w:hAnsi="Calibri" w:eastAsia="宋体" w:cs="Times New Roman"/>
      <w:szCs w:val="22"/>
    </w:rPr>
  </w:style>
  <w:style w:type="paragraph" w:styleId="13">
    <w:name w:val="Note Heading"/>
    <w:basedOn w:val="1"/>
    <w:next w:val="1"/>
    <w:qFormat/>
    <w:uiPriority w:val="0"/>
    <w:pPr>
      <w:spacing w:line="360" w:lineRule="auto"/>
      <w:jc w:val="center"/>
    </w:pPr>
    <w:rPr>
      <w:sz w:val="24"/>
    </w:rPr>
  </w:style>
  <w:style w:type="paragraph" w:styleId="14">
    <w:name w:val="index 8"/>
    <w:basedOn w:val="1"/>
    <w:next w:val="1"/>
    <w:qFormat/>
    <w:uiPriority w:val="0"/>
    <w:pPr>
      <w:ind w:left="2940"/>
    </w:pPr>
  </w:style>
  <w:style w:type="paragraph" w:styleId="15">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link w:val="68"/>
    <w:unhideWhenUsed/>
    <w:qFormat/>
    <w:uiPriority w:val="0"/>
    <w:pPr>
      <w:shd w:val="clear" w:color="auto" w:fill="000080"/>
    </w:pPr>
    <w:rPr>
      <w:rFonts w:hint="eastAsia" w:ascii="宋体" w:hAnsi="宋体"/>
      <w:kern w:val="0"/>
      <w:sz w:val="20"/>
      <w:szCs w:val="20"/>
    </w:rPr>
  </w:style>
  <w:style w:type="paragraph" w:styleId="18">
    <w:name w:val="annotation text"/>
    <w:basedOn w:val="1"/>
    <w:link w:val="69"/>
    <w:unhideWhenUsed/>
    <w:qFormat/>
    <w:uiPriority w:val="0"/>
    <w:pPr>
      <w:jc w:val="left"/>
    </w:pPr>
  </w:style>
  <w:style w:type="paragraph" w:styleId="19">
    <w:name w:val="Body Text 3"/>
    <w:basedOn w:val="1"/>
    <w:link w:val="70"/>
    <w:qFormat/>
    <w:uiPriority w:val="0"/>
    <w:pPr>
      <w:spacing w:line="500" w:lineRule="exact"/>
    </w:pPr>
    <w:rPr>
      <w:b/>
      <w:bCs/>
      <w:kern w:val="0"/>
      <w:sz w:val="24"/>
    </w:rPr>
  </w:style>
  <w:style w:type="paragraph" w:styleId="20">
    <w:name w:val="Body Text"/>
    <w:basedOn w:val="1"/>
    <w:next w:val="21"/>
    <w:link w:val="71"/>
    <w:qFormat/>
    <w:uiPriority w:val="99"/>
    <w:pPr>
      <w:spacing w:line="380" w:lineRule="exact"/>
    </w:pPr>
    <w:rPr>
      <w:kern w:val="0"/>
      <w:sz w:val="24"/>
    </w:rPr>
  </w:style>
  <w:style w:type="paragraph" w:styleId="21">
    <w:name w:val="Body Text First Indent 2"/>
    <w:basedOn w:val="22"/>
    <w:qFormat/>
    <w:uiPriority w:val="0"/>
    <w:pPr>
      <w:spacing w:after="120" w:afterLines="0"/>
      <w:ind w:left="420" w:leftChars="200" w:firstLine="420" w:firstLineChars="200"/>
    </w:pPr>
  </w:style>
  <w:style w:type="paragraph" w:styleId="22">
    <w:name w:val="Body Text Indent"/>
    <w:basedOn w:val="1"/>
    <w:link w:val="72"/>
    <w:qFormat/>
    <w:uiPriority w:val="0"/>
    <w:pPr>
      <w:ind w:firstLine="830" w:firstLineChars="352"/>
    </w:pPr>
    <w:rPr>
      <w:rFonts w:ascii="仿宋_GB2312" w:eastAsia="仿宋_GB2312"/>
      <w:kern w:val="0"/>
      <w:sz w:val="32"/>
      <w:szCs w:val="20"/>
    </w:rPr>
  </w:style>
  <w:style w:type="paragraph" w:styleId="23">
    <w:name w:val="List Number 3"/>
    <w:basedOn w:val="1"/>
    <w:qFormat/>
    <w:uiPriority w:val="0"/>
    <w:pPr>
      <w:numPr>
        <w:ilvl w:val="0"/>
        <w:numId w:val="2"/>
      </w:numPr>
    </w:pPr>
  </w:style>
  <w:style w:type="paragraph" w:styleId="24">
    <w:name w:val="List 2"/>
    <w:basedOn w:val="1"/>
    <w:qFormat/>
    <w:uiPriority w:val="0"/>
    <w:pPr>
      <w:ind w:left="100" w:leftChars="200" w:hanging="200" w:hangingChars="200"/>
    </w:pPr>
    <w:rPr>
      <w:sz w:val="28"/>
    </w:rPr>
  </w:style>
  <w:style w:type="paragraph" w:styleId="25">
    <w:name w:val="toc 5"/>
    <w:basedOn w:val="1"/>
    <w:next w:val="1"/>
    <w:unhideWhenUsed/>
    <w:qFormat/>
    <w:uiPriority w:val="39"/>
    <w:pPr>
      <w:ind w:left="1680" w:leftChars="800"/>
    </w:pPr>
    <w:rPr>
      <w:rFonts w:ascii="Calibri" w:hAnsi="Calibri" w:eastAsia="宋体" w:cs="Times New Roman"/>
      <w:szCs w:val="22"/>
    </w:rPr>
  </w:style>
  <w:style w:type="paragraph" w:styleId="26">
    <w:name w:val="toc 3"/>
    <w:basedOn w:val="1"/>
    <w:next w:val="1"/>
    <w:unhideWhenUsed/>
    <w:qFormat/>
    <w:uiPriority w:val="39"/>
    <w:pPr>
      <w:ind w:left="840" w:leftChars="400"/>
    </w:pPr>
    <w:rPr>
      <w:rFonts w:ascii="Calibri" w:hAnsi="Calibri" w:eastAsia="宋体" w:cs="Times New Roman"/>
      <w:szCs w:val="22"/>
    </w:rPr>
  </w:style>
  <w:style w:type="paragraph" w:styleId="27">
    <w:name w:val="Plain Text"/>
    <w:basedOn w:val="1"/>
    <w:link w:val="73"/>
    <w:qFormat/>
    <w:uiPriority w:val="0"/>
    <w:rPr>
      <w:rFonts w:ascii="宋体" w:hAnsi="Courier New"/>
      <w:kern w:val="0"/>
      <w:sz w:val="20"/>
      <w:szCs w:val="21"/>
    </w:rPr>
  </w:style>
  <w:style w:type="paragraph" w:styleId="28">
    <w:name w:val="toc 8"/>
    <w:basedOn w:val="1"/>
    <w:next w:val="1"/>
    <w:unhideWhenUsed/>
    <w:qFormat/>
    <w:uiPriority w:val="39"/>
    <w:pPr>
      <w:ind w:left="2940" w:leftChars="1400"/>
    </w:pPr>
    <w:rPr>
      <w:rFonts w:ascii="Calibri" w:hAnsi="Calibri" w:eastAsia="宋体" w:cs="Times New Roman"/>
      <w:szCs w:val="22"/>
    </w:rPr>
  </w:style>
  <w:style w:type="paragraph" w:styleId="29">
    <w:name w:val="Date"/>
    <w:basedOn w:val="1"/>
    <w:next w:val="1"/>
    <w:link w:val="74"/>
    <w:qFormat/>
    <w:uiPriority w:val="0"/>
    <w:pPr>
      <w:ind w:left="100" w:leftChars="2500"/>
    </w:pPr>
    <w:rPr>
      <w:rFonts w:ascii="宋体" w:hAnsi="Courier New"/>
      <w:kern w:val="0"/>
      <w:sz w:val="20"/>
      <w:szCs w:val="21"/>
    </w:rPr>
  </w:style>
  <w:style w:type="paragraph" w:styleId="30">
    <w:name w:val="Body Text Indent 2"/>
    <w:basedOn w:val="1"/>
    <w:link w:val="75"/>
    <w:qFormat/>
    <w:uiPriority w:val="0"/>
    <w:pPr>
      <w:ind w:firstLine="630"/>
    </w:pPr>
    <w:rPr>
      <w:kern w:val="0"/>
      <w:sz w:val="32"/>
      <w:szCs w:val="20"/>
    </w:rPr>
  </w:style>
  <w:style w:type="paragraph" w:styleId="31">
    <w:name w:val="endnote text"/>
    <w:basedOn w:val="1"/>
    <w:link w:val="76"/>
    <w:unhideWhenUsed/>
    <w:qFormat/>
    <w:uiPriority w:val="99"/>
    <w:pPr>
      <w:snapToGrid w:val="0"/>
      <w:jc w:val="left"/>
    </w:pPr>
  </w:style>
  <w:style w:type="paragraph" w:styleId="32">
    <w:name w:val="Balloon Text"/>
    <w:basedOn w:val="1"/>
    <w:link w:val="77"/>
    <w:semiHidden/>
    <w:qFormat/>
    <w:uiPriority w:val="0"/>
    <w:rPr>
      <w:kern w:val="0"/>
      <w:sz w:val="18"/>
      <w:szCs w:val="18"/>
    </w:rPr>
  </w:style>
  <w:style w:type="paragraph" w:styleId="33">
    <w:name w:val="footer"/>
    <w:basedOn w:val="1"/>
    <w:next w:val="1"/>
    <w:link w:val="78"/>
    <w:unhideWhenUsed/>
    <w:qFormat/>
    <w:uiPriority w:val="99"/>
    <w:pPr>
      <w:tabs>
        <w:tab w:val="center" w:pos="4153"/>
        <w:tab w:val="right" w:pos="8306"/>
      </w:tabs>
      <w:snapToGrid w:val="0"/>
      <w:jc w:val="left"/>
    </w:pPr>
    <w:rPr>
      <w:kern w:val="0"/>
      <w:sz w:val="18"/>
      <w:szCs w:val="18"/>
    </w:rPr>
  </w:style>
  <w:style w:type="paragraph" w:styleId="34">
    <w:name w:val="header"/>
    <w:basedOn w:val="1"/>
    <w:link w:val="79"/>
    <w:unhideWhenUsed/>
    <w:qFormat/>
    <w:uiPriority w:val="99"/>
    <w:pPr>
      <w:pBdr>
        <w:bottom w:val="single" w:color="auto" w:sz="6" w:space="1"/>
      </w:pBdr>
      <w:tabs>
        <w:tab w:val="center" w:pos="0"/>
        <w:tab w:val="left" w:pos="8306"/>
      </w:tabs>
      <w:snapToGrid w:val="0"/>
      <w:jc w:val="center"/>
    </w:pPr>
    <w:rPr>
      <w:sz w:val="18"/>
      <w:szCs w:val="18"/>
    </w:rPr>
  </w:style>
  <w:style w:type="paragraph" w:styleId="35">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6">
    <w:name w:val="toc 4"/>
    <w:basedOn w:val="1"/>
    <w:next w:val="1"/>
    <w:unhideWhenUsed/>
    <w:qFormat/>
    <w:uiPriority w:val="39"/>
    <w:pPr>
      <w:ind w:left="1260" w:leftChars="600"/>
    </w:pPr>
    <w:rPr>
      <w:rFonts w:ascii="Calibri" w:hAnsi="Calibri" w:eastAsia="宋体" w:cs="Times New Roman"/>
      <w:szCs w:val="22"/>
    </w:rPr>
  </w:style>
  <w:style w:type="paragraph" w:styleId="37">
    <w:name w:val="List"/>
    <w:basedOn w:val="1"/>
    <w:qFormat/>
    <w:uiPriority w:val="0"/>
    <w:pPr>
      <w:ind w:left="200" w:hanging="200" w:hangingChars="200"/>
    </w:pPr>
    <w:rPr>
      <w:sz w:val="28"/>
    </w:rPr>
  </w:style>
  <w:style w:type="paragraph" w:styleId="38">
    <w:name w:val="footnote text"/>
    <w:basedOn w:val="1"/>
    <w:link w:val="80"/>
    <w:unhideWhenUsed/>
    <w:qFormat/>
    <w:uiPriority w:val="99"/>
    <w:pPr>
      <w:snapToGrid w:val="0"/>
      <w:jc w:val="left"/>
    </w:pPr>
    <w:rPr>
      <w:sz w:val="18"/>
      <w:szCs w:val="18"/>
    </w:rPr>
  </w:style>
  <w:style w:type="paragraph" w:styleId="39">
    <w:name w:val="toc 6"/>
    <w:basedOn w:val="1"/>
    <w:next w:val="1"/>
    <w:unhideWhenUsed/>
    <w:qFormat/>
    <w:uiPriority w:val="39"/>
    <w:pPr>
      <w:ind w:left="2100" w:leftChars="1000"/>
    </w:pPr>
    <w:rPr>
      <w:rFonts w:ascii="Calibri" w:hAnsi="Calibri" w:eastAsia="宋体" w:cs="Times New Roman"/>
      <w:szCs w:val="22"/>
    </w:rPr>
  </w:style>
  <w:style w:type="paragraph" w:styleId="40">
    <w:name w:val="Body Text Indent 3"/>
    <w:basedOn w:val="1"/>
    <w:link w:val="81"/>
    <w:qFormat/>
    <w:uiPriority w:val="0"/>
    <w:pPr>
      <w:spacing w:after="120"/>
      <w:ind w:left="420" w:leftChars="200"/>
    </w:pPr>
    <w:rPr>
      <w:kern w:val="0"/>
      <w:sz w:val="16"/>
      <w:szCs w:val="16"/>
    </w:rPr>
  </w:style>
  <w:style w:type="paragraph" w:styleId="41">
    <w:name w:val="toc 2"/>
    <w:basedOn w:val="1"/>
    <w:next w:val="1"/>
    <w:unhideWhenUsed/>
    <w:qFormat/>
    <w:uiPriority w:val="39"/>
    <w:pPr>
      <w:ind w:left="420" w:leftChars="200"/>
    </w:pPr>
  </w:style>
  <w:style w:type="paragraph" w:styleId="42">
    <w:name w:val="toc 9"/>
    <w:basedOn w:val="1"/>
    <w:next w:val="1"/>
    <w:unhideWhenUsed/>
    <w:qFormat/>
    <w:uiPriority w:val="39"/>
    <w:pPr>
      <w:ind w:left="3360" w:leftChars="1600"/>
    </w:pPr>
    <w:rPr>
      <w:rFonts w:ascii="Calibri" w:hAnsi="Calibri" w:eastAsia="宋体" w:cs="Times New Roman"/>
      <w:szCs w:val="22"/>
    </w:rPr>
  </w:style>
  <w:style w:type="paragraph" w:styleId="43">
    <w:name w:val="Body Text 2"/>
    <w:basedOn w:val="1"/>
    <w:link w:val="82"/>
    <w:qFormat/>
    <w:uiPriority w:val="0"/>
    <w:pPr>
      <w:spacing w:after="120" w:line="480" w:lineRule="auto"/>
    </w:pPr>
    <w:rPr>
      <w:kern w:val="0"/>
      <w:sz w:val="20"/>
    </w:rPr>
  </w:style>
  <w:style w:type="paragraph" w:styleId="44">
    <w:name w:val="Normal (Web)"/>
    <w:basedOn w:val="1"/>
    <w:qFormat/>
    <w:uiPriority w:val="99"/>
    <w:pPr>
      <w:widowControl/>
      <w:spacing w:before="100" w:beforeAutospacing="1" w:after="100" w:afterAutospacing="1"/>
      <w:jc w:val="left"/>
    </w:pPr>
    <w:rPr>
      <w:rFonts w:ascii="宋体" w:hAnsi="宋体"/>
      <w:kern w:val="0"/>
      <w:sz w:val="24"/>
    </w:rPr>
  </w:style>
  <w:style w:type="paragraph" w:styleId="45">
    <w:name w:val="index 1"/>
    <w:basedOn w:val="1"/>
    <w:next w:val="1"/>
    <w:semiHidden/>
    <w:qFormat/>
    <w:uiPriority w:val="0"/>
    <w:pPr>
      <w:spacing w:line="400" w:lineRule="exact"/>
      <w:ind w:firstLine="420" w:firstLineChars="200"/>
    </w:pPr>
    <w:rPr>
      <w:rFonts w:ascii="宋体" w:hAnsi="Courier New"/>
      <w:b/>
      <w:szCs w:val="20"/>
    </w:rPr>
  </w:style>
  <w:style w:type="paragraph" w:styleId="46">
    <w:name w:val="Title"/>
    <w:basedOn w:val="1"/>
    <w:next w:val="1"/>
    <w:link w:val="83"/>
    <w:qFormat/>
    <w:uiPriority w:val="10"/>
    <w:pPr>
      <w:spacing w:before="240" w:after="60"/>
      <w:jc w:val="center"/>
      <w:outlineLvl w:val="0"/>
    </w:pPr>
    <w:rPr>
      <w:rFonts w:ascii="Cambria" w:hAnsi="Cambria"/>
      <w:b/>
      <w:bCs/>
      <w:sz w:val="32"/>
      <w:szCs w:val="32"/>
    </w:rPr>
  </w:style>
  <w:style w:type="paragraph" w:styleId="47">
    <w:name w:val="annotation subject"/>
    <w:basedOn w:val="18"/>
    <w:next w:val="18"/>
    <w:link w:val="84"/>
    <w:unhideWhenUsed/>
    <w:qFormat/>
    <w:uiPriority w:val="99"/>
    <w:rPr>
      <w:b/>
      <w:bCs/>
    </w:rPr>
  </w:style>
  <w:style w:type="paragraph" w:styleId="48">
    <w:name w:val="Body Text First Indent"/>
    <w:basedOn w:val="20"/>
    <w:next w:val="21"/>
    <w:qFormat/>
    <w:uiPriority w:val="0"/>
    <w:pPr>
      <w:ind w:firstLine="420" w:firstLineChars="100"/>
    </w:pPr>
    <w:rPr>
      <w:rFonts w:ascii="宋体" w:hAnsi="Courier New"/>
      <w:kern w:val="0"/>
      <w:sz w:val="20"/>
      <w:szCs w:val="21"/>
    </w:rPr>
  </w:style>
  <w:style w:type="table" w:styleId="50">
    <w:name w:val="Table Grid"/>
    <w:basedOn w:val="4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basedOn w:val="51"/>
    <w:qFormat/>
    <w:uiPriority w:val="22"/>
    <w:rPr>
      <w:b/>
    </w:rPr>
  </w:style>
  <w:style w:type="character" w:styleId="53">
    <w:name w:val="endnote reference"/>
    <w:unhideWhenUsed/>
    <w:qFormat/>
    <w:uiPriority w:val="99"/>
    <w:rPr>
      <w:vertAlign w:val="superscript"/>
    </w:rPr>
  </w:style>
  <w:style w:type="character" w:styleId="54">
    <w:name w:val="page number"/>
    <w:qFormat/>
    <w:uiPriority w:val="0"/>
  </w:style>
  <w:style w:type="character" w:styleId="55">
    <w:name w:val="FollowedHyperlink"/>
    <w:qFormat/>
    <w:uiPriority w:val="0"/>
    <w:rPr>
      <w:color w:val="000000"/>
      <w:u w:val="none"/>
    </w:rPr>
  </w:style>
  <w:style w:type="character" w:styleId="56">
    <w:name w:val="Emphasis"/>
    <w:basedOn w:val="51"/>
    <w:qFormat/>
    <w:uiPriority w:val="20"/>
    <w:rPr>
      <w:i/>
    </w:rPr>
  </w:style>
  <w:style w:type="character" w:styleId="57">
    <w:name w:val="Hyperlink"/>
    <w:qFormat/>
    <w:uiPriority w:val="99"/>
    <w:rPr>
      <w:color w:val="000000"/>
      <w:u w:val="none"/>
    </w:rPr>
  </w:style>
  <w:style w:type="character" w:styleId="58">
    <w:name w:val="annotation reference"/>
    <w:unhideWhenUsed/>
    <w:qFormat/>
    <w:uiPriority w:val="0"/>
    <w:rPr>
      <w:sz w:val="21"/>
      <w:szCs w:val="21"/>
    </w:rPr>
  </w:style>
  <w:style w:type="character" w:styleId="59">
    <w:name w:val="footnote reference"/>
    <w:unhideWhenUsed/>
    <w:qFormat/>
    <w:uiPriority w:val="99"/>
    <w:rPr>
      <w:vertAlign w:val="superscript"/>
    </w:rPr>
  </w:style>
  <w:style w:type="character" w:customStyle="1" w:styleId="60">
    <w:name w:val="标题 1 字符1"/>
    <w:link w:val="2"/>
    <w:qFormat/>
    <w:uiPriority w:val="0"/>
    <w:rPr>
      <w:rFonts w:ascii="Times New Roman" w:hAnsi="Times New Roman" w:eastAsia="宋体" w:cs="Times New Roman"/>
      <w:b/>
      <w:bCs/>
      <w:kern w:val="44"/>
      <w:sz w:val="44"/>
      <w:szCs w:val="44"/>
    </w:rPr>
  </w:style>
  <w:style w:type="character" w:customStyle="1" w:styleId="61">
    <w:name w:val="标题 2 字符"/>
    <w:link w:val="3"/>
    <w:qFormat/>
    <w:uiPriority w:val="0"/>
    <w:rPr>
      <w:rFonts w:ascii="Arial" w:hAnsi="Arial" w:eastAsia="黑体" w:cs="Times New Roman"/>
      <w:b/>
      <w:bCs/>
      <w:sz w:val="32"/>
      <w:szCs w:val="32"/>
    </w:rPr>
  </w:style>
  <w:style w:type="character" w:customStyle="1" w:styleId="62">
    <w:name w:val="标题 3 字符"/>
    <w:link w:val="4"/>
    <w:qFormat/>
    <w:uiPriority w:val="0"/>
    <w:rPr>
      <w:rFonts w:ascii="Times New Roman" w:hAnsi="Times New Roman" w:eastAsia="宋体" w:cs="Times New Roman"/>
      <w:b/>
      <w:bCs/>
      <w:sz w:val="32"/>
      <w:szCs w:val="32"/>
    </w:rPr>
  </w:style>
  <w:style w:type="character" w:customStyle="1" w:styleId="63">
    <w:name w:val="标题 5 字符"/>
    <w:link w:val="6"/>
    <w:qFormat/>
    <w:uiPriority w:val="0"/>
    <w:rPr>
      <w:b/>
      <w:kern w:val="2"/>
      <w:sz w:val="28"/>
      <w:szCs w:val="24"/>
    </w:rPr>
  </w:style>
  <w:style w:type="character" w:customStyle="1" w:styleId="64">
    <w:name w:val="标题 6 字符1"/>
    <w:link w:val="7"/>
    <w:qFormat/>
    <w:uiPriority w:val="0"/>
    <w:rPr>
      <w:rFonts w:ascii="Arial" w:hAnsi="Arial" w:eastAsia="黑体"/>
      <w:b/>
      <w:kern w:val="2"/>
      <w:sz w:val="24"/>
      <w:szCs w:val="24"/>
    </w:rPr>
  </w:style>
  <w:style w:type="character" w:customStyle="1" w:styleId="65">
    <w:name w:val="标题 7 字符"/>
    <w:link w:val="9"/>
    <w:qFormat/>
    <w:uiPriority w:val="0"/>
    <w:rPr>
      <w:rFonts w:ascii="Times New Roman" w:hAnsi="Times New Roman"/>
      <w:b/>
      <w:kern w:val="2"/>
      <w:sz w:val="24"/>
      <w:szCs w:val="24"/>
    </w:rPr>
  </w:style>
  <w:style w:type="character" w:customStyle="1" w:styleId="66">
    <w:name w:val="标题 8 字符"/>
    <w:link w:val="10"/>
    <w:qFormat/>
    <w:uiPriority w:val="0"/>
    <w:rPr>
      <w:rFonts w:ascii="Arial" w:hAnsi="Arial" w:eastAsia="黑体"/>
      <w:kern w:val="2"/>
      <w:sz w:val="24"/>
      <w:szCs w:val="24"/>
    </w:rPr>
  </w:style>
  <w:style w:type="character" w:customStyle="1" w:styleId="67">
    <w:name w:val="标题 9 字符"/>
    <w:link w:val="11"/>
    <w:qFormat/>
    <w:uiPriority w:val="0"/>
    <w:rPr>
      <w:rFonts w:ascii="Arial" w:hAnsi="Arial" w:eastAsia="黑体"/>
      <w:kern w:val="2"/>
      <w:sz w:val="21"/>
      <w:szCs w:val="24"/>
    </w:rPr>
  </w:style>
  <w:style w:type="character" w:customStyle="1" w:styleId="68">
    <w:name w:val="文档结构图 字符"/>
    <w:link w:val="17"/>
    <w:qFormat/>
    <w:uiPriority w:val="0"/>
    <w:rPr>
      <w:rFonts w:hint="eastAsia" w:ascii="宋体" w:hAnsi="宋体" w:eastAsia="宋体" w:cs="宋体"/>
    </w:rPr>
  </w:style>
  <w:style w:type="character" w:customStyle="1" w:styleId="69">
    <w:name w:val="批注文字 字符2"/>
    <w:link w:val="18"/>
    <w:qFormat/>
    <w:uiPriority w:val="0"/>
    <w:rPr>
      <w:rFonts w:ascii="Times New Roman" w:hAnsi="Times New Roman"/>
      <w:kern w:val="2"/>
      <w:sz w:val="21"/>
      <w:szCs w:val="24"/>
    </w:rPr>
  </w:style>
  <w:style w:type="character" w:customStyle="1" w:styleId="70">
    <w:name w:val="正文文本 3 字符"/>
    <w:link w:val="19"/>
    <w:qFormat/>
    <w:uiPriority w:val="0"/>
    <w:rPr>
      <w:rFonts w:ascii="Times New Roman" w:hAnsi="Times New Roman" w:eastAsia="宋体" w:cs="Times New Roman"/>
      <w:b/>
      <w:bCs/>
      <w:sz w:val="24"/>
      <w:szCs w:val="24"/>
    </w:rPr>
  </w:style>
  <w:style w:type="character" w:customStyle="1" w:styleId="71">
    <w:name w:val="正文文本 字符"/>
    <w:link w:val="20"/>
    <w:qFormat/>
    <w:uiPriority w:val="99"/>
    <w:rPr>
      <w:rFonts w:ascii="Times New Roman" w:hAnsi="Times New Roman" w:eastAsia="宋体" w:cs="Times New Roman"/>
      <w:sz w:val="24"/>
      <w:szCs w:val="24"/>
    </w:rPr>
  </w:style>
  <w:style w:type="character" w:customStyle="1" w:styleId="72">
    <w:name w:val="正文文本缩进 字符1"/>
    <w:link w:val="22"/>
    <w:qFormat/>
    <w:uiPriority w:val="0"/>
    <w:rPr>
      <w:rFonts w:ascii="仿宋_GB2312" w:hAnsi="Times New Roman" w:eastAsia="仿宋_GB2312" w:cs="Times New Roman"/>
      <w:sz w:val="32"/>
      <w:szCs w:val="20"/>
    </w:rPr>
  </w:style>
  <w:style w:type="character" w:customStyle="1" w:styleId="73">
    <w:name w:val="纯文本 字符2"/>
    <w:link w:val="27"/>
    <w:qFormat/>
    <w:uiPriority w:val="0"/>
    <w:rPr>
      <w:rFonts w:ascii="宋体" w:hAnsi="Courier New" w:eastAsia="宋体" w:cs="Courier New"/>
      <w:szCs w:val="21"/>
    </w:rPr>
  </w:style>
  <w:style w:type="character" w:customStyle="1" w:styleId="74">
    <w:name w:val="日期 字符"/>
    <w:link w:val="29"/>
    <w:qFormat/>
    <w:uiPriority w:val="0"/>
    <w:rPr>
      <w:rFonts w:ascii="宋体" w:hAnsi="Courier New" w:eastAsia="宋体" w:cs="Courier New"/>
      <w:szCs w:val="21"/>
    </w:rPr>
  </w:style>
  <w:style w:type="character" w:customStyle="1" w:styleId="75">
    <w:name w:val="正文文本缩进 2 字符"/>
    <w:link w:val="30"/>
    <w:qFormat/>
    <w:uiPriority w:val="0"/>
    <w:rPr>
      <w:rFonts w:ascii="Times New Roman" w:hAnsi="Times New Roman" w:eastAsia="宋体" w:cs="Times New Roman"/>
      <w:sz w:val="32"/>
      <w:szCs w:val="20"/>
    </w:rPr>
  </w:style>
  <w:style w:type="character" w:customStyle="1" w:styleId="76">
    <w:name w:val="尾注文本 字符"/>
    <w:link w:val="31"/>
    <w:semiHidden/>
    <w:qFormat/>
    <w:uiPriority w:val="99"/>
    <w:rPr>
      <w:rFonts w:ascii="Times New Roman" w:hAnsi="Times New Roman"/>
      <w:kern w:val="2"/>
      <w:sz w:val="21"/>
      <w:szCs w:val="24"/>
    </w:rPr>
  </w:style>
  <w:style w:type="character" w:customStyle="1" w:styleId="77">
    <w:name w:val="批注框文本 字符"/>
    <w:link w:val="32"/>
    <w:semiHidden/>
    <w:qFormat/>
    <w:uiPriority w:val="0"/>
    <w:rPr>
      <w:rFonts w:ascii="Times New Roman" w:hAnsi="Times New Roman" w:eastAsia="宋体" w:cs="Times New Roman"/>
      <w:sz w:val="18"/>
      <w:szCs w:val="18"/>
    </w:rPr>
  </w:style>
  <w:style w:type="character" w:customStyle="1" w:styleId="78">
    <w:name w:val="页脚 字符1"/>
    <w:link w:val="33"/>
    <w:qFormat/>
    <w:uiPriority w:val="99"/>
    <w:rPr>
      <w:sz w:val="18"/>
      <w:szCs w:val="18"/>
    </w:rPr>
  </w:style>
  <w:style w:type="character" w:customStyle="1" w:styleId="79">
    <w:name w:val="页眉 字符"/>
    <w:link w:val="34"/>
    <w:qFormat/>
    <w:uiPriority w:val="99"/>
    <w:rPr>
      <w:rFonts w:ascii="Times New Roman" w:hAnsi="Times New Roman"/>
      <w:kern w:val="2"/>
      <w:sz w:val="18"/>
      <w:szCs w:val="18"/>
    </w:rPr>
  </w:style>
  <w:style w:type="character" w:customStyle="1" w:styleId="80">
    <w:name w:val="脚注文本 字符"/>
    <w:link w:val="38"/>
    <w:semiHidden/>
    <w:qFormat/>
    <w:uiPriority w:val="99"/>
    <w:rPr>
      <w:rFonts w:ascii="Times New Roman" w:hAnsi="Times New Roman"/>
      <w:kern w:val="2"/>
      <w:sz w:val="18"/>
      <w:szCs w:val="18"/>
    </w:rPr>
  </w:style>
  <w:style w:type="character" w:customStyle="1" w:styleId="81">
    <w:name w:val="正文文本缩进 3 字符"/>
    <w:link w:val="40"/>
    <w:qFormat/>
    <w:uiPriority w:val="0"/>
    <w:rPr>
      <w:rFonts w:ascii="Times New Roman" w:hAnsi="Times New Roman" w:eastAsia="宋体" w:cs="Times New Roman"/>
      <w:sz w:val="16"/>
      <w:szCs w:val="16"/>
    </w:rPr>
  </w:style>
  <w:style w:type="character" w:customStyle="1" w:styleId="82">
    <w:name w:val="正文文本 2 字符"/>
    <w:link w:val="43"/>
    <w:qFormat/>
    <w:uiPriority w:val="0"/>
    <w:rPr>
      <w:rFonts w:ascii="Times New Roman" w:hAnsi="Times New Roman" w:eastAsia="宋体" w:cs="Times New Roman"/>
      <w:szCs w:val="24"/>
    </w:rPr>
  </w:style>
  <w:style w:type="character" w:customStyle="1" w:styleId="83">
    <w:name w:val="标题 字符"/>
    <w:link w:val="46"/>
    <w:qFormat/>
    <w:uiPriority w:val="10"/>
    <w:rPr>
      <w:rFonts w:ascii="Cambria" w:hAnsi="Cambria" w:cs="Times New Roman"/>
      <w:b/>
      <w:bCs/>
      <w:kern w:val="2"/>
      <w:sz w:val="32"/>
      <w:szCs w:val="32"/>
    </w:rPr>
  </w:style>
  <w:style w:type="character" w:customStyle="1" w:styleId="84">
    <w:name w:val="批注主题 字符"/>
    <w:link w:val="47"/>
    <w:semiHidden/>
    <w:qFormat/>
    <w:uiPriority w:val="99"/>
    <w:rPr>
      <w:rFonts w:ascii="Times New Roman" w:hAnsi="Times New Roman"/>
      <w:b/>
      <w:bCs/>
      <w:kern w:val="2"/>
      <w:sz w:val="21"/>
      <w:szCs w:val="24"/>
    </w:rPr>
  </w:style>
  <w:style w:type="paragraph" w:customStyle="1" w:styleId="85">
    <w:name w:val="表格文字"/>
    <w:basedOn w:val="1"/>
    <w:qFormat/>
    <w:uiPriority w:val="99"/>
    <w:pPr>
      <w:spacing w:before="25" w:after="25"/>
      <w:jc w:val="left"/>
    </w:pPr>
    <w:rPr>
      <w:bCs/>
      <w:spacing w:val="10"/>
      <w:kern w:val="0"/>
      <w:sz w:val="24"/>
      <w:szCs w:val="22"/>
    </w:rPr>
  </w:style>
  <w:style w:type="paragraph" w:customStyle="1" w:styleId="8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87">
    <w:name w:val="批注文字 Char1"/>
    <w:qFormat/>
    <w:locked/>
    <w:uiPriority w:val="0"/>
    <w:rPr>
      <w:rFonts w:ascii="Times New Roman" w:hAnsi="Times New Roman"/>
      <w:kern w:val="2"/>
      <w:sz w:val="21"/>
      <w:szCs w:val="24"/>
    </w:rPr>
  </w:style>
  <w:style w:type="character" w:customStyle="1" w:styleId="88">
    <w:name w:val="case31"/>
    <w:qFormat/>
    <w:uiPriority w:val="0"/>
    <w:rPr>
      <w:rFonts w:hint="default" w:ascii="_x000B__x000C_" w:hAnsi="_x000B__x000C_"/>
      <w:sz w:val="21"/>
      <w:szCs w:val="21"/>
    </w:rPr>
  </w:style>
  <w:style w:type="character" w:customStyle="1" w:styleId="89">
    <w:name w:val="批注文字 Char"/>
    <w:qFormat/>
    <w:uiPriority w:val="0"/>
    <w:rPr>
      <w:rFonts w:ascii="Times New Roman" w:hAnsi="Times New Roman"/>
      <w:kern w:val="2"/>
      <w:sz w:val="21"/>
      <w:szCs w:val="24"/>
    </w:rPr>
  </w:style>
  <w:style w:type="character" w:customStyle="1" w:styleId="90">
    <w:name w:val="纯文本 Char"/>
    <w:qFormat/>
    <w:uiPriority w:val="0"/>
    <w:rPr>
      <w:rFonts w:ascii="宋体" w:hAnsi="Courier New" w:eastAsia="宋体"/>
      <w:kern w:val="2"/>
      <w:sz w:val="21"/>
      <w:lang w:val="en-US" w:eastAsia="zh-CN" w:bidi="ar-SA"/>
    </w:rPr>
  </w:style>
  <w:style w:type="character" w:customStyle="1" w:styleId="91">
    <w:name w:val="纯文本 字符1"/>
    <w:qFormat/>
    <w:uiPriority w:val="0"/>
    <w:rPr>
      <w:rFonts w:ascii="宋体" w:hAnsi="Courier New"/>
    </w:rPr>
  </w:style>
  <w:style w:type="character" w:customStyle="1" w:styleId="92">
    <w:name w:val="批注文字 字符1"/>
    <w:qFormat/>
    <w:uiPriority w:val="0"/>
    <w:rPr>
      <w:rFonts w:ascii="Times New Roman" w:hAnsi="Times New Roman"/>
      <w:kern w:val="2"/>
      <w:sz w:val="21"/>
      <w:szCs w:val="24"/>
    </w:rPr>
  </w:style>
  <w:style w:type="character" w:customStyle="1" w:styleId="93">
    <w:name w:val="正文文本 Char1"/>
    <w:semiHidden/>
    <w:qFormat/>
    <w:locked/>
    <w:uiPriority w:val="99"/>
    <w:rPr>
      <w:sz w:val="24"/>
      <w:szCs w:val="24"/>
    </w:rPr>
  </w:style>
  <w:style w:type="character" w:customStyle="1" w:styleId="94">
    <w:name w:val="apple-style-span"/>
    <w:qFormat/>
    <w:uiPriority w:val="0"/>
  </w:style>
  <w:style w:type="character" w:customStyle="1" w:styleId="95">
    <w:name w:val="textcontents"/>
    <w:qFormat/>
    <w:uiPriority w:val="0"/>
  </w:style>
  <w:style w:type="character" w:customStyle="1" w:styleId="96">
    <w:name w:val="普通文字 Char Char2"/>
    <w:qFormat/>
    <w:uiPriority w:val="0"/>
    <w:rPr>
      <w:rFonts w:ascii="宋体" w:hAnsi="Courier New" w:eastAsia="宋体"/>
      <w:kern w:val="2"/>
      <w:sz w:val="21"/>
      <w:lang w:val="en-US" w:eastAsia="zh-CN" w:bidi="ar-SA"/>
    </w:rPr>
  </w:style>
  <w:style w:type="character" w:customStyle="1" w:styleId="97">
    <w:name w:val="标题 5 Char"/>
    <w:qFormat/>
    <w:uiPriority w:val="9"/>
    <w:rPr>
      <w:b/>
      <w:kern w:val="2"/>
      <w:sz w:val="28"/>
      <w:szCs w:val="24"/>
    </w:rPr>
  </w:style>
  <w:style w:type="character" w:customStyle="1" w:styleId="98">
    <w:name w:val="批注文字 字符"/>
    <w:qFormat/>
    <w:uiPriority w:val="0"/>
    <w:rPr>
      <w:rFonts w:ascii="Times New Roman" w:hAnsi="Times New Roman"/>
      <w:kern w:val="2"/>
      <w:sz w:val="21"/>
      <w:szCs w:val="24"/>
    </w:rPr>
  </w:style>
  <w:style w:type="character" w:customStyle="1" w:styleId="99">
    <w:name w:val="标题 1 字符"/>
    <w:qFormat/>
    <w:uiPriority w:val="9"/>
    <w:rPr>
      <w:rFonts w:ascii="Times New Roman" w:hAnsi="Times New Roman" w:eastAsia="宋体" w:cs="Times New Roman"/>
      <w:b/>
      <w:bCs/>
      <w:kern w:val="44"/>
      <w:sz w:val="44"/>
      <w:szCs w:val="44"/>
    </w:rPr>
  </w:style>
  <w:style w:type="character" w:customStyle="1" w:styleId="100">
    <w:name w:val="纯文本 字符"/>
    <w:qFormat/>
    <w:uiPriority w:val="0"/>
    <w:rPr>
      <w:rFonts w:ascii="宋体" w:hAnsi="Courier New" w:eastAsia="宋体" w:cs="Courier New"/>
      <w:szCs w:val="21"/>
    </w:rPr>
  </w:style>
  <w:style w:type="character" w:customStyle="1" w:styleId="101">
    <w:name w:val="headline-content4"/>
    <w:qFormat/>
    <w:uiPriority w:val="0"/>
  </w:style>
  <w:style w:type="character" w:customStyle="1" w:styleId="102">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03">
    <w:name w:val="正文文本缩进 字符"/>
    <w:qFormat/>
    <w:uiPriority w:val="0"/>
    <w:rPr>
      <w:rFonts w:ascii="仿宋_GB2312" w:hAnsi="Times New Roman" w:eastAsia="仿宋_GB2312" w:cs="Times New Roman"/>
      <w:sz w:val="32"/>
      <w:szCs w:val="20"/>
    </w:rPr>
  </w:style>
  <w:style w:type="paragraph" w:customStyle="1" w:styleId="104">
    <w:name w:val="Char1"/>
    <w:basedOn w:val="1"/>
    <w:qFormat/>
    <w:uiPriority w:val="0"/>
    <w:rPr>
      <w:szCs w:val="21"/>
    </w:rPr>
  </w:style>
  <w:style w:type="paragraph" w:styleId="105">
    <w:name w:val="List Paragraph"/>
    <w:basedOn w:val="1"/>
    <w:qFormat/>
    <w:uiPriority w:val="34"/>
    <w:pPr>
      <w:ind w:firstLine="420" w:firstLineChars="200"/>
    </w:pPr>
  </w:style>
  <w:style w:type="paragraph" w:customStyle="1" w:styleId="10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07">
    <w:name w:val="默认段落字体 Para Char Char Char Char Char Char Char Char Char1 Char Char Char Char"/>
    <w:basedOn w:val="1"/>
    <w:qFormat/>
    <w:uiPriority w:val="0"/>
    <w:rPr>
      <w:rFonts w:ascii="Tahoma" w:hAnsi="Tahoma"/>
      <w:sz w:val="24"/>
      <w:szCs w:val="20"/>
    </w:rPr>
  </w:style>
  <w:style w:type="paragraph" w:customStyle="1" w:styleId="108">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9">
    <w:name w:val="Plain Text"/>
    <w:basedOn w:val="1"/>
    <w:qFormat/>
    <w:uiPriority w:val="0"/>
    <w:rPr>
      <w:rFonts w:ascii="宋体" w:hAnsi="Courier New" w:cs="Century"/>
      <w:szCs w:val="21"/>
    </w:rPr>
  </w:style>
  <w:style w:type="paragraph" w:customStyle="1" w:styleId="110">
    <w:name w:val="Table Paragraph"/>
    <w:basedOn w:val="1"/>
    <w:qFormat/>
    <w:uiPriority w:val="1"/>
    <w:pPr>
      <w:jc w:val="left"/>
    </w:pPr>
    <w:rPr>
      <w:rFonts w:ascii="Calibri" w:hAnsi="Calibri" w:eastAsia="宋体" w:cs="Times New Roman"/>
      <w:kern w:val="0"/>
      <w:sz w:val="22"/>
      <w:szCs w:val="22"/>
      <w:lang w:eastAsia="en-US"/>
    </w:rPr>
  </w:style>
  <w:style w:type="paragraph" w:customStyle="1" w:styleId="11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12">
    <w:name w:val="表格"/>
    <w:basedOn w:val="1"/>
    <w:qFormat/>
    <w:uiPriority w:val="0"/>
    <w:pPr>
      <w:spacing w:line="400" w:lineRule="exact"/>
    </w:pPr>
    <w:rPr>
      <w:sz w:val="24"/>
    </w:rPr>
  </w:style>
  <w:style w:type="paragraph" w:customStyle="1" w:styleId="113">
    <w:name w:val="样式 首行缩进:  2 字符"/>
    <w:basedOn w:val="1"/>
    <w:qFormat/>
    <w:uiPriority w:val="0"/>
    <w:pPr>
      <w:spacing w:line="400" w:lineRule="exact"/>
      <w:ind w:firstLine="200" w:firstLineChars="200"/>
    </w:pPr>
    <w:rPr>
      <w:rFonts w:cs="宋体"/>
      <w:sz w:val="24"/>
    </w:rPr>
  </w:style>
  <w:style w:type="paragraph" w:customStyle="1" w:styleId="114">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15">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16">
    <w:name w:val="正文首行缩进两字符"/>
    <w:basedOn w:val="1"/>
    <w:qFormat/>
    <w:uiPriority w:val="0"/>
    <w:pPr>
      <w:spacing w:line="360" w:lineRule="auto"/>
      <w:ind w:firstLine="200" w:firstLineChars="200"/>
    </w:pPr>
  </w:style>
  <w:style w:type="paragraph" w:customStyle="1" w:styleId="117">
    <w:name w:val="正文段"/>
    <w:basedOn w:val="1"/>
    <w:qFormat/>
    <w:uiPriority w:val="0"/>
    <w:pPr>
      <w:widowControl/>
      <w:snapToGrid w:val="0"/>
      <w:spacing w:after="50" w:afterLines="50"/>
      <w:ind w:firstLine="200" w:firstLineChars="200"/>
    </w:pPr>
    <w:rPr>
      <w:kern w:val="0"/>
      <w:sz w:val="24"/>
      <w:szCs w:val="20"/>
    </w:rPr>
  </w:style>
  <w:style w:type="table" w:customStyle="1" w:styleId="118">
    <w:name w:val="Table Normal"/>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style>
  <w:style w:type="character" w:customStyle="1" w:styleId="119">
    <w:name w:val="页脚 字符"/>
    <w:qFormat/>
    <w:uiPriority w:val="99"/>
  </w:style>
  <w:style w:type="character" w:customStyle="1" w:styleId="120">
    <w:name w:val="标题 1 Char1"/>
    <w:qFormat/>
    <w:uiPriority w:val="0"/>
    <w:rPr>
      <w:rFonts w:eastAsia="宋体"/>
      <w:b/>
      <w:bCs/>
      <w:kern w:val="44"/>
      <w:sz w:val="44"/>
      <w:szCs w:val="44"/>
      <w:lang w:val="en-US" w:eastAsia="zh-CN" w:bidi="ar-SA"/>
    </w:rPr>
  </w:style>
  <w:style w:type="character" w:customStyle="1" w:styleId="121">
    <w:name w:val="纯文本 Char2"/>
    <w:qFormat/>
    <w:uiPriority w:val="0"/>
    <w:rPr>
      <w:rFonts w:ascii="宋体" w:hAnsi="Courier New" w:eastAsia="宋体" w:cs="Courier New"/>
      <w:szCs w:val="21"/>
    </w:rPr>
  </w:style>
  <w:style w:type="paragraph" w:styleId="122">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123">
    <w:name w:val="标题 6 字符"/>
    <w:qFormat/>
    <w:uiPriority w:val="0"/>
    <w:rPr>
      <w:rFonts w:ascii="Arial" w:hAnsi="Arial" w:eastAsia="黑体"/>
      <w:b/>
      <w:kern w:val="2"/>
      <w:sz w:val="24"/>
      <w:szCs w:val="24"/>
    </w:rPr>
  </w:style>
  <w:style w:type="paragraph" w:styleId="124">
    <w:name w:val="Intense Quote"/>
    <w:next w:val="1"/>
    <w:qFormat/>
    <w:uiPriority w:val="0"/>
    <w:pPr>
      <w:wordWrap w:val="0"/>
      <w:spacing w:before="360" w:after="360"/>
      <w:ind w:left="950" w:right="950"/>
      <w:jc w:val="center"/>
    </w:pPr>
    <w:rPr>
      <w:rFonts w:ascii="Calibri" w:hAnsi="Calibri" w:eastAsia="宋体" w:cs="Times New Roman"/>
      <w:i/>
      <w:sz w:val="21"/>
      <w:lang w:val="en-US" w:eastAsia="zh-CN" w:bidi="ar-SA"/>
    </w:rPr>
  </w:style>
  <w:style w:type="character" w:customStyle="1" w:styleId="125">
    <w:name w:val="font61"/>
    <w:qFormat/>
    <w:uiPriority w:val="0"/>
    <w:rPr>
      <w:rFonts w:hint="eastAsia" w:ascii="宋体" w:hAnsi="宋体" w:eastAsia="宋体" w:cs="宋体"/>
      <w:b/>
      <w:bCs/>
      <w:color w:val="000000"/>
      <w:sz w:val="21"/>
      <w:szCs w:val="21"/>
      <w:u w:val="none"/>
      <w:vertAlign w:val="superscript"/>
    </w:rPr>
  </w:style>
  <w:style w:type="character" w:customStyle="1" w:styleId="126">
    <w:name w:val="font01"/>
    <w:qFormat/>
    <w:uiPriority w:val="0"/>
    <w:rPr>
      <w:rFonts w:hint="eastAsia" w:ascii="宋体" w:hAnsi="宋体" w:eastAsia="宋体" w:cs="宋体"/>
      <w:b/>
      <w:bCs/>
      <w:color w:val="000000"/>
      <w:sz w:val="21"/>
      <w:szCs w:val="21"/>
      <w:u w:val="none"/>
    </w:rPr>
  </w:style>
  <w:style w:type="character" w:customStyle="1" w:styleId="127">
    <w:name w:val="font41"/>
    <w:qFormat/>
    <w:uiPriority w:val="0"/>
    <w:rPr>
      <w:rFonts w:hint="eastAsia" w:ascii="宋体" w:hAnsi="宋体" w:eastAsia="宋体" w:cs="宋体"/>
      <w:color w:val="000000"/>
      <w:sz w:val="19"/>
      <w:szCs w:val="19"/>
      <w:u w:val="none"/>
    </w:rPr>
  </w:style>
  <w:style w:type="character" w:customStyle="1" w:styleId="128">
    <w:name w:val="font31"/>
    <w:qFormat/>
    <w:uiPriority w:val="0"/>
    <w:rPr>
      <w:rFonts w:hint="eastAsia" w:ascii="宋体" w:hAnsi="宋体" w:eastAsia="宋体" w:cs="宋体"/>
      <w:color w:val="000000"/>
      <w:sz w:val="21"/>
      <w:szCs w:val="21"/>
      <w:u w:val="none"/>
    </w:rPr>
  </w:style>
  <w:style w:type="character" w:customStyle="1" w:styleId="129">
    <w:name w:val="font51"/>
    <w:qFormat/>
    <w:uiPriority w:val="0"/>
    <w:rPr>
      <w:rFonts w:hint="default" w:ascii="Calibri" w:hAnsi="Calibri" w:cs="Calibri"/>
      <w:color w:val="000000"/>
      <w:sz w:val="21"/>
      <w:szCs w:val="21"/>
      <w:u w:val="none"/>
    </w:rPr>
  </w:style>
  <w:style w:type="paragraph" w:customStyle="1" w:styleId="130">
    <w:name w:val="null3"/>
    <w:qFormat/>
    <w:uiPriority w:val="0"/>
    <w:rPr>
      <w:rFonts w:hint="eastAsia" w:ascii="Calibri" w:hAnsi="Calibri" w:eastAsia="宋体" w:cs="Times New Roman"/>
      <w:lang w:val="en-US" w:eastAsia="zh-CN" w:bidi="ar-SA"/>
    </w:rPr>
  </w:style>
  <w:style w:type="paragraph" w:customStyle="1" w:styleId="131">
    <w:name w:val="_Style 128"/>
    <w:unhideWhenUsed/>
    <w:qFormat/>
    <w:uiPriority w:val="99"/>
    <w:rPr>
      <w:rFonts w:ascii="Times New Roman" w:hAnsi="Times New Roman" w:eastAsia="宋体" w:cs="Times New Roman"/>
      <w:kern w:val="2"/>
      <w:sz w:val="21"/>
      <w:szCs w:val="24"/>
      <w:lang w:val="en-US" w:eastAsia="zh-CN" w:bidi="ar-SA"/>
    </w:rPr>
  </w:style>
  <w:style w:type="paragraph" w:customStyle="1" w:styleId="132">
    <w:name w:val="Table Text"/>
    <w:basedOn w:val="1"/>
    <w:semiHidden/>
    <w:qFormat/>
    <w:uiPriority w:val="0"/>
    <w:rPr>
      <w:rFonts w:ascii="宋体" w:hAnsi="宋体" w:eastAsia="宋体" w:cs="宋体"/>
      <w:sz w:val="22"/>
      <w:szCs w:val="22"/>
      <w:lang w:val="en-US" w:eastAsia="en-US" w:bidi="ar-SA"/>
    </w:rPr>
  </w:style>
  <w:style w:type="paragraph" w:customStyle="1" w:styleId="133">
    <w:name w:val="p16"/>
    <w:basedOn w:val="1"/>
    <w:qFormat/>
    <w:uiPriority w:val="99"/>
    <w:pPr>
      <w:widowControl/>
    </w:pPr>
    <w:rPr>
      <w:rFonts w:ascii="宋体" w:hAnsi="宋体" w:cs="宋体"/>
      <w:kern w:val="0"/>
      <w:szCs w:val="21"/>
    </w:rPr>
  </w:style>
  <w:style w:type="character" w:customStyle="1" w:styleId="134">
    <w:name w:val="font11"/>
    <w:qFormat/>
    <w:uiPriority w:val="0"/>
    <w:rPr>
      <w:rFonts w:hint="eastAsia" w:ascii="宋体" w:hAnsi="宋体" w:eastAsia="宋体" w:cs="宋体"/>
      <w:color w:val="000000"/>
      <w:sz w:val="21"/>
      <w:szCs w:val="21"/>
      <w:u w:val="none"/>
    </w:rPr>
  </w:style>
  <w:style w:type="character" w:customStyle="1" w:styleId="135">
    <w:name w:val="font21"/>
    <w:qFormat/>
    <w:uiPriority w:val="0"/>
    <w:rPr>
      <w:rFonts w:hint="default" w:ascii="Times New Roman" w:hAnsi="Times New Roman" w:cs="Times New Roman"/>
      <w:color w:val="000000"/>
      <w:sz w:val="21"/>
      <w:szCs w:val="21"/>
      <w:u w:val="none"/>
    </w:rPr>
  </w:style>
  <w:style w:type="character" w:customStyle="1" w:styleId="136">
    <w:name w:val="font91"/>
    <w:qFormat/>
    <w:uiPriority w:val="0"/>
    <w:rPr>
      <w:rFonts w:hint="default" w:ascii="Times New Roman" w:hAnsi="Times New Roman" w:cs="Times New Roman"/>
      <w:color w:val="000000"/>
      <w:sz w:val="14"/>
      <w:szCs w:val="14"/>
      <w:u w:val="none"/>
    </w:rPr>
  </w:style>
  <w:style w:type="paragraph" w:customStyle="1" w:styleId="137">
    <w:name w:val="样式 正文缩进 + 首行缩进:  2 字符"/>
    <w:basedOn w:val="8"/>
    <w:qFormat/>
    <w:uiPriority w:val="0"/>
    <w:pPr>
      <w:spacing w:line="360" w:lineRule="auto"/>
      <w:ind w:firstLine="200"/>
    </w:pPr>
    <w:rPr>
      <w:rFonts w:ascii="Times New Roman" w:hAnsi="Times New Roman" w:eastAsia="宋体" w:cs="Times New Roman"/>
      <w:sz w:val="24"/>
      <w:szCs w:val="20"/>
    </w:rPr>
  </w:style>
  <w:style w:type="paragraph" w:customStyle="1" w:styleId="138">
    <w:name w:val="数字编号带点"/>
    <w:basedOn w:val="1"/>
    <w:qFormat/>
    <w:uiPriority w:val="0"/>
    <w:pPr>
      <w:numPr>
        <w:ilvl w:val="0"/>
        <w:numId w:val="3"/>
      </w:numPr>
      <w:adjustRightInd w:val="0"/>
      <w:snapToGrid w:val="0"/>
      <w:spacing w:before="50" w:beforeLines="50"/>
      <w:ind w:firstLineChars="0"/>
    </w:pPr>
    <w:rPr>
      <w:rFonts w:hint="eastAsia" w:ascii="宋体" w:hAnsi="宋体" w:eastAsia="宋体"/>
      <w:szCs w:val="21"/>
    </w:rPr>
  </w:style>
  <w:style w:type="paragraph" w:customStyle="1" w:styleId="139">
    <w:name w:val="数字编号双括号"/>
    <w:basedOn w:val="1"/>
    <w:qFormat/>
    <w:uiPriority w:val="0"/>
    <w:pPr>
      <w:numPr>
        <w:ilvl w:val="0"/>
        <w:numId w:val="4"/>
      </w:numPr>
      <w:adjustRightInd w:val="0"/>
      <w:snapToGrid w:val="0"/>
      <w:ind w:firstLineChars="0"/>
    </w:pPr>
    <w:rPr>
      <w:rFonts w:hint="eastAsia" w:ascii="宋体" w:hAnsi="宋体" w:eastAsia="宋体"/>
      <w:sz w:val="24"/>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KWZB;</Company>
  <Pages>79</Pages>
  <Words>5152</Words>
  <Characters>5785</Characters>
  <Lines>506</Lines>
  <Paragraphs>142</Paragraphs>
  <TotalTime>28</TotalTime>
  <ScaleCrop>false</ScaleCrop>
  <LinksUpToDate>false</LinksUpToDate>
  <CharactersWithSpaces>5918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2025-03-23T00:07:00Z</dcterms:created>
  <dc:creator>KWZB</dc:creator>
  <cp:lastModifiedBy>代理公司</cp:lastModifiedBy>
  <cp:lastPrinted>2025-07-12T01:58:00Z</cp:lastPrinted>
  <dcterms:modified xsi:type="dcterms:W3CDTF">2026-06-02T10:10:51Z</dcterms:modified>
  <dc:title>公开招标采购文件范本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1ECA30C8040D4A05B8E9C1AF9287F82D_13</vt:lpwstr>
  </property>
  <property fmtid="{D5CDD505-2E9C-101B-9397-08002B2CF9AE}" pid="4" name="KSOTemplateDocerSaveRecord">
    <vt:lpwstr>eyJoZGlkIjoiMmU5MWE3OGI2Yzk0NTQ5N2IyNTgxZTU4ZTYxMzg3ZGMiLCJ1c2VySWQiOiI2MzU4NTg4ODcifQ==</vt:lpwstr>
  </property>
</Properties>
</file>