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heme="minorEastAsia" w:hAnsiTheme="minorEastAsia" w:eastAsiaTheme="minorEastAsia"/>
          <w:b/>
          <w:color w:val="auto"/>
          <w:sz w:val="52"/>
          <w:szCs w:val="52"/>
        </w:rPr>
      </w:pPr>
      <w:r>
        <w:rPr>
          <w:rFonts w:hint="eastAsia" w:cs="宋体" w:asciiTheme="minorEastAsia" w:hAnsiTheme="minorEastAsia" w:eastAsiaTheme="minorEastAsia"/>
          <w:b/>
          <w:color w:val="auto"/>
          <w:sz w:val="52"/>
          <w:szCs w:val="52"/>
        </w:rPr>
        <w:t>广西北投建信建设项目管理有限公司</w:t>
      </w:r>
    </w:p>
    <w:p>
      <w:pPr>
        <w:spacing w:line="360" w:lineRule="auto"/>
        <w:jc w:val="center"/>
        <w:rPr>
          <w:rFonts w:cs="宋体" w:asciiTheme="minorEastAsia" w:hAnsiTheme="minorEastAsia" w:eastAsiaTheme="minorEastAsia"/>
          <w:color w:val="auto"/>
          <w:sz w:val="48"/>
          <w:szCs w:val="48"/>
        </w:rPr>
      </w:pPr>
      <w:r>
        <w:rPr>
          <w:rFonts w:hint="eastAsia" w:cs="宋体" w:asciiTheme="minorEastAsia" w:hAnsiTheme="minorEastAsia" w:eastAsiaTheme="minorEastAsia"/>
          <w:color w:val="auto"/>
          <w:sz w:val="48"/>
          <w:szCs w:val="48"/>
        </w:rPr>
        <w:t xml:space="preserve"> </w:t>
      </w:r>
      <w:r>
        <w:rPr>
          <w:rFonts w:hint="eastAsia" w:cs="宋体" w:asciiTheme="minorEastAsia" w:hAnsiTheme="minorEastAsia" w:eastAsiaTheme="minorEastAsia"/>
          <w:color w:val="auto"/>
          <w:sz w:val="48"/>
          <w:szCs w:val="48"/>
        </w:rPr>
        <w:cr/>
      </w:r>
    </w:p>
    <w:p>
      <w:pPr>
        <w:spacing w:line="360" w:lineRule="auto"/>
        <w:jc w:val="center"/>
        <w:rPr>
          <w:rFonts w:cs="宋体" w:asciiTheme="minorEastAsia" w:hAnsiTheme="minorEastAsia" w:eastAsiaTheme="minorEastAsia"/>
          <w:color w:val="auto"/>
          <w:sz w:val="52"/>
        </w:rPr>
      </w:pPr>
    </w:p>
    <w:p>
      <w:pPr>
        <w:spacing w:line="360" w:lineRule="auto"/>
        <w:jc w:val="center"/>
        <w:rPr>
          <w:rFonts w:cs="宋体" w:asciiTheme="minorEastAsia" w:hAnsiTheme="minorEastAsia" w:eastAsiaTheme="minorEastAsia"/>
          <w:color w:val="auto"/>
          <w:sz w:val="52"/>
        </w:rPr>
      </w:pPr>
    </w:p>
    <w:p>
      <w:pPr>
        <w:spacing w:line="360" w:lineRule="auto"/>
        <w:jc w:val="center"/>
        <w:rPr>
          <w:rFonts w:cs="宋体" w:asciiTheme="minorEastAsia" w:hAnsiTheme="minorEastAsia" w:eastAsiaTheme="minorEastAsia"/>
          <w:color w:val="auto"/>
          <w:sz w:val="52"/>
        </w:rPr>
      </w:pPr>
    </w:p>
    <w:p>
      <w:pPr>
        <w:spacing w:line="360" w:lineRule="auto"/>
        <w:jc w:val="center"/>
        <w:rPr>
          <w:rFonts w:cs="宋体" w:asciiTheme="minorEastAsia" w:hAnsiTheme="minorEastAsia" w:eastAsiaTheme="minorEastAsia"/>
          <w:b/>
          <w:bCs/>
          <w:color w:val="auto"/>
          <w:sz w:val="32"/>
        </w:rPr>
      </w:pPr>
      <w:r>
        <w:rPr>
          <w:rFonts w:hint="eastAsia" w:cs="宋体" w:asciiTheme="minorEastAsia" w:hAnsiTheme="minorEastAsia" w:eastAsiaTheme="minorEastAsia"/>
          <w:b/>
          <w:color w:val="auto"/>
          <w:sz w:val="84"/>
          <w:szCs w:val="84"/>
        </w:rPr>
        <w:t>竞争性谈判文件</w:t>
      </w:r>
      <w:r>
        <w:rPr>
          <w:rFonts w:hint="eastAsia" w:cs="宋体" w:asciiTheme="minorEastAsia" w:hAnsiTheme="minorEastAsia" w:eastAsiaTheme="minorEastAsia"/>
          <w:b/>
          <w:color w:val="auto"/>
          <w:sz w:val="84"/>
          <w:szCs w:val="84"/>
        </w:rPr>
        <w:cr/>
      </w:r>
      <w:r>
        <w:rPr>
          <w:rFonts w:hint="eastAsia" w:cs="宋体" w:asciiTheme="minorEastAsia" w:hAnsiTheme="minorEastAsia" w:eastAsiaTheme="minorEastAsia"/>
          <w:b/>
          <w:color w:val="auto"/>
          <w:sz w:val="84"/>
          <w:szCs w:val="84"/>
        </w:rPr>
        <w:cr/>
      </w:r>
      <w:r>
        <w:rPr>
          <w:rFonts w:hint="eastAsia" w:cs="宋体" w:asciiTheme="minorEastAsia" w:hAnsiTheme="minorEastAsia" w:eastAsiaTheme="minorEastAsia"/>
          <w:b/>
          <w:bCs/>
          <w:color w:val="auto"/>
          <w:sz w:val="32"/>
        </w:rPr>
        <w:t>项目名称：2026-2027年食堂运转经费项目食材采购</w:t>
      </w:r>
    </w:p>
    <w:p>
      <w:pPr>
        <w:spacing w:line="360" w:lineRule="auto"/>
        <w:jc w:val="center"/>
        <w:rPr>
          <w:rFonts w:hint="eastAsia" w:cs="宋体" w:asciiTheme="minorEastAsia" w:hAnsiTheme="minorEastAsia" w:eastAsiaTheme="minorEastAsia"/>
          <w:color w:val="auto"/>
          <w:lang w:eastAsia="zh-CN"/>
        </w:rPr>
      </w:pPr>
      <w:r>
        <w:rPr>
          <w:rFonts w:hint="eastAsia" w:cs="宋体" w:asciiTheme="minorEastAsia" w:hAnsiTheme="minorEastAsia" w:eastAsiaTheme="minorEastAsia"/>
          <w:b/>
          <w:bCs/>
          <w:color w:val="auto"/>
          <w:sz w:val="32"/>
        </w:rPr>
        <w:t>项目编号：</w:t>
      </w:r>
      <w:r>
        <w:rPr>
          <w:rFonts w:hint="eastAsia" w:asciiTheme="minorEastAsia" w:hAnsiTheme="minorEastAsia" w:eastAsiaTheme="minorEastAsia"/>
          <w:b/>
          <w:color w:val="auto"/>
          <w:sz w:val="32"/>
          <w:szCs w:val="32"/>
          <w:lang w:eastAsia="zh-CN"/>
        </w:rPr>
        <w:t>GXZC2026-J1-002876-GXJX</w:t>
      </w:r>
    </w:p>
    <w:p>
      <w:pPr>
        <w:spacing w:line="360" w:lineRule="auto"/>
        <w:ind w:firstLine="1050" w:firstLineChars="500"/>
        <w:rPr>
          <w:rFonts w:cs="宋体" w:asciiTheme="minorEastAsia" w:hAnsiTheme="minorEastAsia" w:eastAsiaTheme="minorEastAsia"/>
          <w:color w:val="auto"/>
        </w:rPr>
      </w:pPr>
      <w:r>
        <w:rPr>
          <w:rFonts w:hint="eastAsia" w:cs="宋体" w:asciiTheme="minorEastAsia" w:hAnsiTheme="minorEastAsia" w:eastAsiaTheme="minorEastAsia"/>
          <w:color w:val="auto"/>
        </w:rPr>
        <w:cr/>
      </w:r>
    </w:p>
    <w:p>
      <w:pPr>
        <w:spacing w:line="360" w:lineRule="auto"/>
        <w:ind w:firstLine="1050" w:firstLineChars="500"/>
        <w:rPr>
          <w:rFonts w:cs="宋体" w:asciiTheme="minorEastAsia" w:hAnsiTheme="minorEastAsia" w:eastAsiaTheme="minorEastAsia"/>
          <w:color w:val="auto"/>
        </w:rPr>
      </w:pPr>
    </w:p>
    <w:p>
      <w:pPr>
        <w:spacing w:line="360" w:lineRule="auto"/>
        <w:ind w:firstLine="1050" w:firstLineChars="500"/>
        <w:rPr>
          <w:rFonts w:cs="宋体" w:asciiTheme="minorEastAsia" w:hAnsiTheme="minorEastAsia" w:eastAsiaTheme="minorEastAsia"/>
          <w:color w:val="auto"/>
        </w:rPr>
      </w:pPr>
    </w:p>
    <w:p>
      <w:pPr>
        <w:spacing w:line="360" w:lineRule="auto"/>
        <w:ind w:firstLine="1050" w:firstLineChars="500"/>
        <w:rPr>
          <w:rFonts w:cs="宋体" w:asciiTheme="minorEastAsia" w:hAnsiTheme="minorEastAsia" w:eastAsiaTheme="minorEastAsia"/>
          <w:color w:val="auto"/>
        </w:rPr>
      </w:pPr>
    </w:p>
    <w:p>
      <w:pPr>
        <w:spacing w:line="360" w:lineRule="auto"/>
        <w:jc w:val="center"/>
        <w:rPr>
          <w:rFonts w:cs="宋体" w:asciiTheme="minorEastAsia" w:hAnsiTheme="minorEastAsia" w:eastAsiaTheme="minorEastAsia"/>
          <w:b/>
          <w:bCs/>
          <w:color w:val="auto"/>
          <w:sz w:val="32"/>
        </w:rPr>
      </w:pPr>
      <w:r>
        <w:rPr>
          <w:rFonts w:hint="eastAsia" w:cs="宋体" w:asciiTheme="minorEastAsia" w:hAnsiTheme="minorEastAsia" w:eastAsiaTheme="minorEastAsia"/>
          <w:color w:val="auto"/>
        </w:rPr>
        <w:cr/>
      </w:r>
      <w:r>
        <w:rPr>
          <w:rFonts w:hint="eastAsia" w:cs="宋体" w:asciiTheme="minorEastAsia" w:hAnsiTheme="minorEastAsia" w:eastAsiaTheme="minorEastAsia"/>
          <w:b/>
          <w:bCs/>
          <w:color w:val="auto"/>
          <w:sz w:val="32"/>
        </w:rPr>
        <w:t>采购代理机构：广西北投建信建设项目管理有限公司</w:t>
      </w:r>
    </w:p>
    <w:p>
      <w:pPr>
        <w:tabs>
          <w:tab w:val="left" w:pos="1080"/>
        </w:tabs>
        <w:spacing w:line="360" w:lineRule="auto"/>
        <w:ind w:firstLine="480"/>
        <w:jc w:val="center"/>
        <w:rPr>
          <w:rFonts w:asciiTheme="minorEastAsia" w:hAnsiTheme="minorEastAsia" w:eastAsiaTheme="minorEastAsia"/>
          <w:b/>
          <w:color w:val="auto"/>
          <w:sz w:val="44"/>
          <w:szCs w:val="44"/>
        </w:rPr>
      </w:pPr>
      <w:r>
        <w:rPr>
          <w:rFonts w:hint="eastAsia" w:cs="宋体" w:asciiTheme="minorEastAsia" w:hAnsiTheme="minorEastAsia" w:eastAsiaTheme="minorEastAsia"/>
          <w:b/>
          <w:color w:val="auto"/>
          <w:sz w:val="32"/>
          <w:szCs w:val="32"/>
        </w:rPr>
        <w:t>2026年8月</w:t>
      </w:r>
      <w:r>
        <w:rPr>
          <w:rFonts w:asciiTheme="minorEastAsia" w:hAnsiTheme="minorEastAsia" w:eastAsiaTheme="minorEastAsia"/>
          <w:b/>
          <w:color w:val="auto"/>
          <w:sz w:val="30"/>
          <w:szCs w:val="30"/>
        </w:rPr>
        <w:br w:type="page"/>
      </w:r>
    </w:p>
    <w:p>
      <w:pPr>
        <w:spacing w:line="360" w:lineRule="auto"/>
        <w:jc w:val="center"/>
        <w:rPr>
          <w:rFonts w:asciiTheme="minorEastAsia" w:hAnsiTheme="minorEastAsia" w:eastAsiaTheme="minorEastAsia"/>
          <w:b/>
          <w:color w:val="auto"/>
          <w:sz w:val="44"/>
          <w:szCs w:val="44"/>
        </w:rPr>
      </w:pPr>
      <w:r>
        <w:rPr>
          <w:rFonts w:hint="eastAsia" w:asciiTheme="minorEastAsia" w:hAnsiTheme="minorEastAsia" w:eastAsiaTheme="minorEastAsia"/>
          <w:b/>
          <w:color w:val="auto"/>
          <w:sz w:val="44"/>
          <w:szCs w:val="44"/>
        </w:rPr>
        <w:t>目  录</w:t>
      </w:r>
    </w:p>
    <w:p>
      <w:pPr>
        <w:spacing w:line="360" w:lineRule="auto"/>
        <w:jc w:val="center"/>
        <w:rPr>
          <w:rFonts w:asciiTheme="minorEastAsia" w:hAnsiTheme="minorEastAsia" w:eastAsiaTheme="minorEastAsia"/>
          <w:b/>
          <w:color w:val="auto"/>
          <w:sz w:val="44"/>
          <w:szCs w:val="44"/>
        </w:rPr>
      </w:pPr>
    </w:p>
    <w:p>
      <w:pPr>
        <w:pStyle w:val="19"/>
        <w:tabs>
          <w:tab w:val="right" w:leader="dot" w:pos="8869"/>
        </w:tabs>
        <w:snapToGrid w:val="0"/>
        <w:spacing w:line="360" w:lineRule="auto"/>
        <w:rPr>
          <w:rFonts w:asciiTheme="minorEastAsia" w:hAnsiTheme="minorEastAsia" w:eastAsiaTheme="minorEastAsia"/>
          <w:b/>
          <w:color w:val="auto"/>
          <w:sz w:val="30"/>
          <w:szCs w:val="30"/>
        </w:rPr>
      </w:pPr>
      <w:r>
        <w:rPr>
          <w:rFonts w:asciiTheme="minorEastAsia" w:hAnsiTheme="minorEastAsia" w:eastAsiaTheme="minorEastAsia"/>
          <w:b/>
          <w:color w:val="auto"/>
          <w:sz w:val="24"/>
        </w:rPr>
        <w:fldChar w:fldCharType="begin"/>
      </w:r>
      <w:r>
        <w:rPr>
          <w:rFonts w:asciiTheme="minorEastAsia" w:hAnsiTheme="minorEastAsia" w:eastAsiaTheme="minorEastAsia"/>
          <w:b/>
          <w:color w:val="auto"/>
          <w:sz w:val="24"/>
        </w:rPr>
        <w:instrText xml:space="preserve"> </w:instrText>
      </w:r>
      <w:r>
        <w:rPr>
          <w:rFonts w:hint="eastAsia" w:asciiTheme="minorEastAsia" w:hAnsiTheme="minorEastAsia" w:eastAsiaTheme="minorEastAsia"/>
          <w:b/>
          <w:color w:val="auto"/>
          <w:sz w:val="24"/>
        </w:rPr>
        <w:instrText xml:space="preserve">TOC \o "1-3" \h \z \u</w:instrText>
      </w:r>
      <w:r>
        <w:rPr>
          <w:rFonts w:asciiTheme="minorEastAsia" w:hAnsiTheme="minorEastAsia" w:eastAsiaTheme="minorEastAsia"/>
          <w:b/>
          <w:color w:val="auto"/>
          <w:sz w:val="24"/>
        </w:rPr>
        <w:instrText xml:space="preserve"> </w:instrText>
      </w:r>
      <w:r>
        <w:rPr>
          <w:rFonts w:asciiTheme="minorEastAsia" w:hAnsiTheme="minorEastAsia" w:eastAsiaTheme="minorEastAsia"/>
          <w:b/>
          <w:color w:val="auto"/>
          <w:sz w:val="24"/>
        </w:rPr>
        <w:fldChar w:fldCharType="separate"/>
      </w:r>
      <w:r>
        <w:rPr>
          <w:color w:val="auto"/>
        </w:rPr>
        <w:fldChar w:fldCharType="begin"/>
      </w:r>
      <w:r>
        <w:rPr>
          <w:color w:val="auto"/>
        </w:rPr>
        <w:instrText xml:space="preserve"> HYPERLINK \l "_Toc74322008" </w:instrText>
      </w:r>
      <w:r>
        <w:rPr>
          <w:color w:val="auto"/>
        </w:rPr>
        <w:fldChar w:fldCharType="separate"/>
      </w:r>
      <w:r>
        <w:rPr>
          <w:rStyle w:val="28"/>
          <w:rFonts w:hint="eastAsia" w:asciiTheme="minorEastAsia" w:hAnsiTheme="minorEastAsia" w:eastAsiaTheme="minorEastAsia"/>
          <w:b/>
          <w:color w:val="auto"/>
          <w:sz w:val="30"/>
          <w:szCs w:val="30"/>
        </w:rPr>
        <w:t>第一章</w:t>
      </w:r>
      <w:r>
        <w:rPr>
          <w:rStyle w:val="28"/>
          <w:rFonts w:asciiTheme="minorEastAsia" w:hAnsiTheme="minorEastAsia" w:eastAsiaTheme="minorEastAsia"/>
          <w:b/>
          <w:color w:val="auto"/>
          <w:sz w:val="30"/>
          <w:szCs w:val="30"/>
        </w:rPr>
        <w:t xml:space="preserve"> </w:t>
      </w:r>
      <w:r>
        <w:rPr>
          <w:rStyle w:val="28"/>
          <w:rFonts w:hint="eastAsia" w:asciiTheme="minorEastAsia" w:hAnsiTheme="minorEastAsia" w:eastAsiaTheme="minorEastAsia"/>
          <w:b/>
          <w:color w:val="auto"/>
          <w:sz w:val="30"/>
          <w:szCs w:val="30"/>
        </w:rPr>
        <w:t>竞争性谈判公告</w:t>
      </w:r>
      <w:r>
        <w:rPr>
          <w:rFonts w:asciiTheme="minorEastAsia" w:hAnsiTheme="minorEastAsia" w:eastAsiaTheme="minorEastAsia"/>
          <w:b/>
          <w:color w:val="auto"/>
          <w:sz w:val="30"/>
          <w:szCs w:val="30"/>
        </w:rPr>
        <w:tab/>
      </w:r>
      <w:r>
        <w:rPr>
          <w:rFonts w:asciiTheme="minorEastAsia" w:hAnsiTheme="minorEastAsia" w:eastAsiaTheme="minorEastAsia"/>
          <w:b/>
          <w:color w:val="auto"/>
          <w:sz w:val="30"/>
          <w:szCs w:val="30"/>
        </w:rPr>
        <w:fldChar w:fldCharType="begin"/>
      </w:r>
      <w:r>
        <w:rPr>
          <w:rFonts w:asciiTheme="minorEastAsia" w:hAnsiTheme="minorEastAsia" w:eastAsiaTheme="minorEastAsia"/>
          <w:b/>
          <w:color w:val="auto"/>
          <w:sz w:val="30"/>
          <w:szCs w:val="30"/>
        </w:rPr>
        <w:instrText xml:space="preserve"> PAGEREF _Toc74322008 \h </w:instrText>
      </w:r>
      <w:r>
        <w:rPr>
          <w:rFonts w:asciiTheme="minorEastAsia" w:hAnsiTheme="minorEastAsia" w:eastAsiaTheme="minorEastAsia"/>
          <w:b/>
          <w:color w:val="auto"/>
          <w:sz w:val="30"/>
          <w:szCs w:val="30"/>
        </w:rPr>
        <w:fldChar w:fldCharType="separate"/>
      </w:r>
      <w:r>
        <w:rPr>
          <w:rFonts w:asciiTheme="minorEastAsia" w:hAnsiTheme="minorEastAsia" w:eastAsiaTheme="minorEastAsia"/>
          <w:b/>
          <w:color w:val="auto"/>
          <w:sz w:val="30"/>
          <w:szCs w:val="30"/>
        </w:rPr>
        <w:t>2</w:t>
      </w:r>
      <w:r>
        <w:rPr>
          <w:rFonts w:asciiTheme="minorEastAsia" w:hAnsiTheme="minorEastAsia" w:eastAsiaTheme="minorEastAsia"/>
          <w:b/>
          <w:color w:val="auto"/>
          <w:sz w:val="30"/>
          <w:szCs w:val="30"/>
        </w:rPr>
        <w:fldChar w:fldCharType="end"/>
      </w:r>
      <w:r>
        <w:rPr>
          <w:rFonts w:asciiTheme="minorEastAsia" w:hAnsiTheme="minorEastAsia" w:eastAsiaTheme="minorEastAsia"/>
          <w:b/>
          <w:color w:val="auto"/>
          <w:sz w:val="30"/>
          <w:szCs w:val="30"/>
        </w:rPr>
        <w:fldChar w:fldCharType="end"/>
      </w:r>
    </w:p>
    <w:p>
      <w:pPr>
        <w:pStyle w:val="19"/>
        <w:tabs>
          <w:tab w:val="right" w:leader="dot" w:pos="8869"/>
        </w:tabs>
        <w:snapToGrid w:val="0"/>
        <w:spacing w:line="360" w:lineRule="auto"/>
        <w:rPr>
          <w:rFonts w:asciiTheme="minorEastAsia" w:hAnsiTheme="minorEastAsia" w:eastAsiaTheme="minorEastAsia"/>
          <w:b/>
          <w:color w:val="auto"/>
          <w:sz w:val="30"/>
          <w:szCs w:val="30"/>
        </w:rPr>
      </w:pPr>
      <w:r>
        <w:rPr>
          <w:color w:val="auto"/>
        </w:rPr>
        <w:fldChar w:fldCharType="begin"/>
      </w:r>
      <w:r>
        <w:rPr>
          <w:color w:val="auto"/>
        </w:rPr>
        <w:instrText xml:space="preserve"> HYPERLINK \l "_Toc74322009" </w:instrText>
      </w:r>
      <w:r>
        <w:rPr>
          <w:color w:val="auto"/>
        </w:rPr>
        <w:fldChar w:fldCharType="separate"/>
      </w:r>
      <w:r>
        <w:rPr>
          <w:rStyle w:val="28"/>
          <w:rFonts w:hint="eastAsia" w:asciiTheme="minorEastAsia" w:hAnsiTheme="minorEastAsia" w:eastAsiaTheme="minorEastAsia"/>
          <w:b/>
          <w:color w:val="auto"/>
          <w:sz w:val="30"/>
          <w:szCs w:val="30"/>
        </w:rPr>
        <w:t>第二章</w:t>
      </w:r>
      <w:r>
        <w:rPr>
          <w:rStyle w:val="28"/>
          <w:rFonts w:asciiTheme="minorEastAsia" w:hAnsiTheme="minorEastAsia" w:eastAsiaTheme="minorEastAsia"/>
          <w:b/>
          <w:color w:val="auto"/>
          <w:sz w:val="30"/>
          <w:szCs w:val="30"/>
        </w:rPr>
        <w:t xml:space="preserve"> </w:t>
      </w:r>
      <w:r>
        <w:rPr>
          <w:rStyle w:val="28"/>
          <w:rFonts w:hint="eastAsia" w:asciiTheme="minorEastAsia" w:hAnsiTheme="minorEastAsia" w:eastAsiaTheme="minorEastAsia"/>
          <w:b/>
          <w:color w:val="auto"/>
          <w:sz w:val="30"/>
          <w:szCs w:val="30"/>
        </w:rPr>
        <w:t>供应商须知</w:t>
      </w:r>
      <w:r>
        <w:rPr>
          <w:rFonts w:asciiTheme="minorEastAsia" w:hAnsiTheme="minorEastAsia" w:eastAsiaTheme="minorEastAsia"/>
          <w:b/>
          <w:color w:val="auto"/>
          <w:sz w:val="30"/>
          <w:szCs w:val="30"/>
        </w:rPr>
        <w:tab/>
      </w:r>
      <w:r>
        <w:rPr>
          <w:rFonts w:asciiTheme="minorEastAsia" w:hAnsiTheme="minorEastAsia" w:eastAsiaTheme="minorEastAsia"/>
          <w:b/>
          <w:color w:val="auto"/>
          <w:sz w:val="30"/>
          <w:szCs w:val="30"/>
        </w:rPr>
        <w:fldChar w:fldCharType="begin"/>
      </w:r>
      <w:r>
        <w:rPr>
          <w:rFonts w:asciiTheme="minorEastAsia" w:hAnsiTheme="minorEastAsia" w:eastAsiaTheme="minorEastAsia"/>
          <w:b/>
          <w:color w:val="auto"/>
          <w:sz w:val="30"/>
          <w:szCs w:val="30"/>
        </w:rPr>
        <w:instrText xml:space="preserve"> PAGEREF _Toc74322009 \h </w:instrText>
      </w:r>
      <w:r>
        <w:rPr>
          <w:rFonts w:asciiTheme="minorEastAsia" w:hAnsiTheme="minorEastAsia" w:eastAsiaTheme="minorEastAsia"/>
          <w:b/>
          <w:color w:val="auto"/>
          <w:sz w:val="30"/>
          <w:szCs w:val="30"/>
        </w:rPr>
        <w:fldChar w:fldCharType="separate"/>
      </w:r>
      <w:r>
        <w:rPr>
          <w:rFonts w:asciiTheme="minorEastAsia" w:hAnsiTheme="minorEastAsia" w:eastAsiaTheme="minorEastAsia"/>
          <w:b/>
          <w:color w:val="auto"/>
          <w:sz w:val="30"/>
          <w:szCs w:val="30"/>
        </w:rPr>
        <w:t>2</w:t>
      </w:r>
      <w:r>
        <w:rPr>
          <w:rFonts w:asciiTheme="minorEastAsia" w:hAnsiTheme="minorEastAsia" w:eastAsiaTheme="minorEastAsia"/>
          <w:b/>
          <w:color w:val="auto"/>
          <w:sz w:val="30"/>
          <w:szCs w:val="30"/>
        </w:rPr>
        <w:fldChar w:fldCharType="end"/>
      </w:r>
      <w:r>
        <w:rPr>
          <w:rFonts w:asciiTheme="minorEastAsia" w:hAnsiTheme="minorEastAsia" w:eastAsiaTheme="minorEastAsia"/>
          <w:b/>
          <w:color w:val="auto"/>
          <w:sz w:val="30"/>
          <w:szCs w:val="30"/>
        </w:rPr>
        <w:fldChar w:fldCharType="end"/>
      </w:r>
    </w:p>
    <w:p>
      <w:pPr>
        <w:pStyle w:val="19"/>
        <w:tabs>
          <w:tab w:val="right" w:leader="dot" w:pos="8869"/>
        </w:tabs>
        <w:snapToGrid w:val="0"/>
        <w:spacing w:line="360" w:lineRule="auto"/>
        <w:rPr>
          <w:rFonts w:asciiTheme="minorEastAsia" w:hAnsiTheme="minorEastAsia" w:eastAsiaTheme="minorEastAsia"/>
          <w:b/>
          <w:color w:val="auto"/>
          <w:sz w:val="30"/>
          <w:szCs w:val="30"/>
        </w:rPr>
      </w:pPr>
      <w:r>
        <w:rPr>
          <w:color w:val="auto"/>
        </w:rPr>
        <w:fldChar w:fldCharType="begin"/>
      </w:r>
      <w:r>
        <w:rPr>
          <w:color w:val="auto"/>
        </w:rPr>
        <w:instrText xml:space="preserve"> HYPERLINK \l "_Toc74322010" </w:instrText>
      </w:r>
      <w:r>
        <w:rPr>
          <w:color w:val="auto"/>
        </w:rPr>
        <w:fldChar w:fldCharType="separate"/>
      </w:r>
      <w:r>
        <w:rPr>
          <w:rStyle w:val="28"/>
          <w:rFonts w:hint="eastAsia" w:asciiTheme="minorEastAsia" w:hAnsiTheme="minorEastAsia" w:eastAsiaTheme="minorEastAsia"/>
          <w:b/>
          <w:color w:val="auto"/>
          <w:sz w:val="30"/>
          <w:szCs w:val="30"/>
        </w:rPr>
        <w:t>第三章</w:t>
      </w:r>
      <w:r>
        <w:rPr>
          <w:rStyle w:val="28"/>
          <w:rFonts w:asciiTheme="minorEastAsia" w:hAnsiTheme="minorEastAsia" w:eastAsiaTheme="minorEastAsia"/>
          <w:b/>
          <w:color w:val="auto"/>
          <w:sz w:val="30"/>
          <w:szCs w:val="30"/>
        </w:rPr>
        <w:t xml:space="preserve"> </w:t>
      </w:r>
      <w:r>
        <w:rPr>
          <w:rStyle w:val="28"/>
          <w:rFonts w:hint="eastAsia" w:asciiTheme="minorEastAsia" w:hAnsiTheme="minorEastAsia" w:eastAsiaTheme="minorEastAsia"/>
          <w:b/>
          <w:color w:val="auto"/>
          <w:sz w:val="30"/>
          <w:szCs w:val="30"/>
        </w:rPr>
        <w:t>采购需求</w:t>
      </w:r>
      <w:bookmarkStart w:id="0" w:name="_Hlt82166985"/>
      <w:r>
        <w:rPr>
          <w:rFonts w:asciiTheme="minorEastAsia" w:hAnsiTheme="minorEastAsia" w:eastAsiaTheme="minorEastAsia"/>
          <w:b/>
          <w:color w:val="auto"/>
          <w:sz w:val="30"/>
          <w:szCs w:val="30"/>
        </w:rPr>
        <w:tab/>
      </w:r>
      <w:bookmarkEnd w:id="0"/>
      <w:r>
        <w:rPr>
          <w:rFonts w:asciiTheme="minorEastAsia" w:hAnsiTheme="minorEastAsia" w:eastAsiaTheme="minorEastAsia"/>
          <w:b/>
          <w:color w:val="auto"/>
          <w:sz w:val="30"/>
          <w:szCs w:val="30"/>
        </w:rPr>
        <w:fldChar w:fldCharType="begin"/>
      </w:r>
      <w:r>
        <w:rPr>
          <w:rFonts w:asciiTheme="minorEastAsia" w:hAnsiTheme="minorEastAsia" w:eastAsiaTheme="minorEastAsia"/>
          <w:b/>
          <w:color w:val="auto"/>
          <w:sz w:val="30"/>
          <w:szCs w:val="30"/>
        </w:rPr>
        <w:instrText xml:space="preserve"> PAGEREF _Toc74322010 \h </w:instrText>
      </w:r>
      <w:r>
        <w:rPr>
          <w:rFonts w:asciiTheme="minorEastAsia" w:hAnsiTheme="minorEastAsia" w:eastAsiaTheme="minorEastAsia"/>
          <w:b/>
          <w:color w:val="auto"/>
          <w:sz w:val="30"/>
          <w:szCs w:val="30"/>
        </w:rPr>
        <w:fldChar w:fldCharType="separate"/>
      </w:r>
      <w:r>
        <w:rPr>
          <w:rFonts w:asciiTheme="minorEastAsia" w:hAnsiTheme="minorEastAsia" w:eastAsiaTheme="minorEastAsia"/>
          <w:b/>
          <w:color w:val="auto"/>
          <w:sz w:val="30"/>
          <w:szCs w:val="30"/>
        </w:rPr>
        <w:t>23</w:t>
      </w:r>
      <w:r>
        <w:rPr>
          <w:rFonts w:asciiTheme="minorEastAsia" w:hAnsiTheme="minorEastAsia" w:eastAsiaTheme="minorEastAsia"/>
          <w:b/>
          <w:color w:val="auto"/>
          <w:sz w:val="30"/>
          <w:szCs w:val="30"/>
        </w:rPr>
        <w:fldChar w:fldCharType="end"/>
      </w:r>
      <w:r>
        <w:rPr>
          <w:rFonts w:asciiTheme="minorEastAsia" w:hAnsiTheme="minorEastAsia" w:eastAsiaTheme="minorEastAsia"/>
          <w:b/>
          <w:color w:val="auto"/>
          <w:sz w:val="30"/>
          <w:szCs w:val="30"/>
        </w:rPr>
        <w:fldChar w:fldCharType="end"/>
      </w:r>
    </w:p>
    <w:p>
      <w:pPr>
        <w:pStyle w:val="19"/>
        <w:tabs>
          <w:tab w:val="right" w:leader="dot" w:pos="8869"/>
        </w:tabs>
        <w:snapToGrid w:val="0"/>
        <w:spacing w:line="360" w:lineRule="auto"/>
        <w:rPr>
          <w:rFonts w:asciiTheme="minorEastAsia" w:hAnsiTheme="minorEastAsia" w:eastAsiaTheme="minorEastAsia"/>
          <w:b/>
          <w:color w:val="auto"/>
          <w:sz w:val="30"/>
          <w:szCs w:val="30"/>
        </w:rPr>
      </w:pPr>
      <w:r>
        <w:rPr>
          <w:color w:val="auto"/>
        </w:rPr>
        <w:fldChar w:fldCharType="begin"/>
      </w:r>
      <w:r>
        <w:rPr>
          <w:color w:val="auto"/>
        </w:rPr>
        <w:instrText xml:space="preserve"> HYPERLINK \l "_Toc74322011" </w:instrText>
      </w:r>
      <w:r>
        <w:rPr>
          <w:color w:val="auto"/>
        </w:rPr>
        <w:fldChar w:fldCharType="separate"/>
      </w:r>
      <w:r>
        <w:rPr>
          <w:rStyle w:val="28"/>
          <w:rFonts w:hint="eastAsia" w:asciiTheme="minorEastAsia" w:hAnsiTheme="minorEastAsia" w:eastAsiaTheme="minorEastAsia"/>
          <w:b/>
          <w:color w:val="auto"/>
          <w:sz w:val="30"/>
          <w:szCs w:val="30"/>
        </w:rPr>
        <w:t>第四章</w:t>
      </w:r>
      <w:r>
        <w:rPr>
          <w:rStyle w:val="28"/>
          <w:rFonts w:asciiTheme="minorEastAsia" w:hAnsiTheme="minorEastAsia" w:eastAsiaTheme="minorEastAsia"/>
          <w:b/>
          <w:color w:val="auto"/>
          <w:sz w:val="30"/>
          <w:szCs w:val="30"/>
        </w:rPr>
        <w:t xml:space="preserve"> </w:t>
      </w:r>
      <w:r>
        <w:rPr>
          <w:rStyle w:val="28"/>
          <w:rFonts w:hint="eastAsia" w:asciiTheme="minorEastAsia" w:hAnsiTheme="minorEastAsia" w:eastAsiaTheme="minorEastAsia"/>
          <w:b/>
          <w:color w:val="auto"/>
          <w:sz w:val="30"/>
          <w:szCs w:val="30"/>
        </w:rPr>
        <w:t>评审程序和评定成交的标准</w:t>
      </w:r>
      <w:r>
        <w:rPr>
          <w:rFonts w:asciiTheme="minorEastAsia" w:hAnsiTheme="minorEastAsia" w:eastAsiaTheme="minorEastAsia"/>
          <w:b/>
          <w:color w:val="auto"/>
          <w:sz w:val="30"/>
          <w:szCs w:val="30"/>
        </w:rPr>
        <w:tab/>
      </w:r>
      <w:r>
        <w:rPr>
          <w:rFonts w:asciiTheme="minorEastAsia" w:hAnsiTheme="minorEastAsia" w:eastAsiaTheme="minorEastAsia"/>
          <w:b/>
          <w:color w:val="auto"/>
          <w:sz w:val="30"/>
          <w:szCs w:val="30"/>
        </w:rPr>
        <w:fldChar w:fldCharType="begin"/>
      </w:r>
      <w:r>
        <w:rPr>
          <w:rFonts w:asciiTheme="minorEastAsia" w:hAnsiTheme="minorEastAsia" w:eastAsiaTheme="minorEastAsia"/>
          <w:b/>
          <w:color w:val="auto"/>
          <w:sz w:val="30"/>
          <w:szCs w:val="30"/>
        </w:rPr>
        <w:instrText xml:space="preserve"> PAGEREF _Toc74322011 \h </w:instrText>
      </w:r>
      <w:r>
        <w:rPr>
          <w:rFonts w:asciiTheme="minorEastAsia" w:hAnsiTheme="minorEastAsia" w:eastAsiaTheme="minorEastAsia"/>
          <w:b/>
          <w:color w:val="auto"/>
          <w:sz w:val="30"/>
          <w:szCs w:val="30"/>
        </w:rPr>
        <w:fldChar w:fldCharType="separate"/>
      </w:r>
      <w:r>
        <w:rPr>
          <w:rFonts w:asciiTheme="minorEastAsia" w:hAnsiTheme="minorEastAsia" w:eastAsiaTheme="minorEastAsia"/>
          <w:b/>
          <w:color w:val="auto"/>
          <w:sz w:val="30"/>
          <w:szCs w:val="30"/>
        </w:rPr>
        <w:t>55</w:t>
      </w:r>
      <w:r>
        <w:rPr>
          <w:rFonts w:asciiTheme="minorEastAsia" w:hAnsiTheme="minorEastAsia" w:eastAsiaTheme="minorEastAsia"/>
          <w:b/>
          <w:color w:val="auto"/>
          <w:sz w:val="30"/>
          <w:szCs w:val="30"/>
        </w:rPr>
        <w:fldChar w:fldCharType="end"/>
      </w:r>
      <w:r>
        <w:rPr>
          <w:rFonts w:asciiTheme="minorEastAsia" w:hAnsiTheme="minorEastAsia" w:eastAsiaTheme="minorEastAsia"/>
          <w:b/>
          <w:color w:val="auto"/>
          <w:sz w:val="30"/>
          <w:szCs w:val="30"/>
        </w:rPr>
        <w:fldChar w:fldCharType="end"/>
      </w:r>
    </w:p>
    <w:p>
      <w:pPr>
        <w:pStyle w:val="19"/>
        <w:tabs>
          <w:tab w:val="right" w:leader="dot" w:pos="8869"/>
        </w:tabs>
        <w:snapToGrid w:val="0"/>
        <w:spacing w:line="360" w:lineRule="auto"/>
        <w:rPr>
          <w:rFonts w:asciiTheme="minorEastAsia" w:hAnsiTheme="minorEastAsia" w:eastAsiaTheme="minorEastAsia"/>
          <w:b/>
          <w:color w:val="auto"/>
          <w:sz w:val="30"/>
          <w:szCs w:val="30"/>
        </w:rPr>
      </w:pPr>
      <w:r>
        <w:rPr>
          <w:color w:val="auto"/>
        </w:rPr>
        <w:fldChar w:fldCharType="begin"/>
      </w:r>
      <w:r>
        <w:rPr>
          <w:color w:val="auto"/>
        </w:rPr>
        <w:instrText xml:space="preserve"> HYPERLINK \l "_Toc74322012" </w:instrText>
      </w:r>
      <w:r>
        <w:rPr>
          <w:color w:val="auto"/>
        </w:rPr>
        <w:fldChar w:fldCharType="separate"/>
      </w:r>
      <w:r>
        <w:rPr>
          <w:rStyle w:val="28"/>
          <w:rFonts w:hint="eastAsia" w:asciiTheme="minorEastAsia" w:hAnsiTheme="minorEastAsia" w:eastAsiaTheme="minorEastAsia"/>
          <w:b/>
          <w:color w:val="auto"/>
          <w:sz w:val="30"/>
          <w:szCs w:val="30"/>
        </w:rPr>
        <w:t>第五章</w:t>
      </w:r>
      <w:r>
        <w:rPr>
          <w:rStyle w:val="28"/>
          <w:rFonts w:asciiTheme="minorEastAsia" w:hAnsiTheme="minorEastAsia" w:eastAsiaTheme="minorEastAsia"/>
          <w:b/>
          <w:color w:val="auto"/>
          <w:sz w:val="30"/>
          <w:szCs w:val="30"/>
        </w:rPr>
        <w:t xml:space="preserve"> </w:t>
      </w:r>
      <w:r>
        <w:rPr>
          <w:rStyle w:val="28"/>
          <w:rFonts w:hint="eastAsia" w:asciiTheme="minorEastAsia" w:hAnsiTheme="minorEastAsia" w:eastAsiaTheme="minorEastAsia"/>
          <w:b/>
          <w:color w:val="auto"/>
          <w:sz w:val="30"/>
          <w:szCs w:val="30"/>
        </w:rPr>
        <w:t>响应文件格式</w:t>
      </w:r>
      <w:r>
        <w:rPr>
          <w:rFonts w:asciiTheme="minorEastAsia" w:hAnsiTheme="minorEastAsia" w:eastAsiaTheme="minorEastAsia"/>
          <w:b/>
          <w:color w:val="auto"/>
          <w:sz w:val="30"/>
          <w:szCs w:val="30"/>
        </w:rPr>
        <w:tab/>
      </w:r>
      <w:r>
        <w:rPr>
          <w:rFonts w:asciiTheme="minorEastAsia" w:hAnsiTheme="minorEastAsia" w:eastAsiaTheme="minorEastAsia"/>
          <w:b/>
          <w:color w:val="auto"/>
          <w:sz w:val="30"/>
          <w:szCs w:val="30"/>
        </w:rPr>
        <w:fldChar w:fldCharType="begin"/>
      </w:r>
      <w:r>
        <w:rPr>
          <w:rFonts w:asciiTheme="minorEastAsia" w:hAnsiTheme="minorEastAsia" w:eastAsiaTheme="minorEastAsia"/>
          <w:b/>
          <w:color w:val="auto"/>
          <w:sz w:val="30"/>
          <w:szCs w:val="30"/>
        </w:rPr>
        <w:instrText xml:space="preserve"> PAGEREF _Toc74322012 \h </w:instrText>
      </w:r>
      <w:r>
        <w:rPr>
          <w:rFonts w:asciiTheme="minorEastAsia" w:hAnsiTheme="minorEastAsia" w:eastAsiaTheme="minorEastAsia"/>
          <w:b/>
          <w:color w:val="auto"/>
          <w:sz w:val="30"/>
          <w:szCs w:val="30"/>
        </w:rPr>
        <w:fldChar w:fldCharType="separate"/>
      </w:r>
      <w:r>
        <w:rPr>
          <w:rFonts w:asciiTheme="minorEastAsia" w:hAnsiTheme="minorEastAsia" w:eastAsiaTheme="minorEastAsia"/>
          <w:b/>
          <w:color w:val="auto"/>
          <w:sz w:val="30"/>
          <w:szCs w:val="30"/>
        </w:rPr>
        <w:t>62</w:t>
      </w:r>
      <w:r>
        <w:rPr>
          <w:rFonts w:asciiTheme="minorEastAsia" w:hAnsiTheme="minorEastAsia" w:eastAsiaTheme="minorEastAsia"/>
          <w:b/>
          <w:color w:val="auto"/>
          <w:sz w:val="30"/>
          <w:szCs w:val="30"/>
        </w:rPr>
        <w:fldChar w:fldCharType="end"/>
      </w:r>
      <w:r>
        <w:rPr>
          <w:rFonts w:asciiTheme="minorEastAsia" w:hAnsiTheme="minorEastAsia" w:eastAsiaTheme="minorEastAsia"/>
          <w:b/>
          <w:color w:val="auto"/>
          <w:sz w:val="30"/>
          <w:szCs w:val="30"/>
        </w:rPr>
        <w:fldChar w:fldCharType="end"/>
      </w:r>
    </w:p>
    <w:p>
      <w:pPr>
        <w:pStyle w:val="19"/>
        <w:tabs>
          <w:tab w:val="right" w:leader="dot" w:pos="8869"/>
        </w:tabs>
        <w:snapToGrid w:val="0"/>
        <w:spacing w:line="360" w:lineRule="auto"/>
        <w:rPr>
          <w:rFonts w:asciiTheme="minorEastAsia" w:hAnsiTheme="minorEastAsia" w:eastAsiaTheme="minorEastAsia"/>
          <w:b/>
          <w:color w:val="auto"/>
          <w:sz w:val="24"/>
        </w:rPr>
      </w:pPr>
      <w:r>
        <w:rPr>
          <w:color w:val="auto"/>
        </w:rPr>
        <w:fldChar w:fldCharType="begin"/>
      </w:r>
      <w:r>
        <w:rPr>
          <w:color w:val="auto"/>
        </w:rPr>
        <w:instrText xml:space="preserve"> HYPERLINK \l "_Toc74322013" </w:instrText>
      </w:r>
      <w:r>
        <w:rPr>
          <w:color w:val="auto"/>
        </w:rPr>
        <w:fldChar w:fldCharType="separate"/>
      </w:r>
      <w:r>
        <w:rPr>
          <w:rStyle w:val="28"/>
          <w:rFonts w:hint="eastAsia" w:asciiTheme="minorEastAsia" w:hAnsiTheme="minorEastAsia" w:eastAsiaTheme="minorEastAsia"/>
          <w:b/>
          <w:color w:val="auto"/>
          <w:sz w:val="30"/>
          <w:szCs w:val="30"/>
        </w:rPr>
        <w:t>第六章</w:t>
      </w:r>
      <w:r>
        <w:rPr>
          <w:rStyle w:val="28"/>
          <w:rFonts w:asciiTheme="minorEastAsia" w:hAnsiTheme="minorEastAsia" w:eastAsiaTheme="minorEastAsia"/>
          <w:b/>
          <w:color w:val="auto"/>
          <w:sz w:val="30"/>
          <w:szCs w:val="30"/>
        </w:rPr>
        <w:t xml:space="preserve"> </w:t>
      </w:r>
      <w:r>
        <w:rPr>
          <w:rStyle w:val="28"/>
          <w:rFonts w:hint="eastAsia" w:asciiTheme="minorEastAsia" w:hAnsiTheme="minorEastAsia" w:eastAsiaTheme="minorEastAsia"/>
          <w:b/>
          <w:color w:val="auto"/>
          <w:sz w:val="30"/>
          <w:szCs w:val="30"/>
        </w:rPr>
        <w:t>合同文本</w:t>
      </w:r>
      <w:r>
        <w:rPr>
          <w:rFonts w:asciiTheme="minorEastAsia" w:hAnsiTheme="minorEastAsia" w:eastAsiaTheme="minorEastAsia"/>
          <w:b/>
          <w:color w:val="auto"/>
          <w:sz w:val="30"/>
          <w:szCs w:val="30"/>
        </w:rPr>
        <w:tab/>
      </w:r>
      <w:r>
        <w:rPr>
          <w:rFonts w:asciiTheme="minorEastAsia" w:hAnsiTheme="minorEastAsia" w:eastAsiaTheme="minorEastAsia"/>
          <w:b/>
          <w:color w:val="auto"/>
          <w:sz w:val="30"/>
          <w:szCs w:val="30"/>
        </w:rPr>
        <w:fldChar w:fldCharType="begin"/>
      </w:r>
      <w:r>
        <w:rPr>
          <w:rFonts w:asciiTheme="minorEastAsia" w:hAnsiTheme="minorEastAsia" w:eastAsiaTheme="minorEastAsia"/>
          <w:b/>
          <w:color w:val="auto"/>
          <w:sz w:val="30"/>
          <w:szCs w:val="30"/>
        </w:rPr>
        <w:instrText xml:space="preserve"> PAGEREF _Toc74322013 \h </w:instrText>
      </w:r>
      <w:r>
        <w:rPr>
          <w:rFonts w:asciiTheme="minorEastAsia" w:hAnsiTheme="minorEastAsia" w:eastAsiaTheme="minorEastAsia"/>
          <w:b/>
          <w:color w:val="auto"/>
          <w:sz w:val="30"/>
          <w:szCs w:val="30"/>
        </w:rPr>
        <w:fldChar w:fldCharType="separate"/>
      </w:r>
      <w:r>
        <w:rPr>
          <w:rFonts w:asciiTheme="minorEastAsia" w:hAnsiTheme="minorEastAsia" w:eastAsiaTheme="minorEastAsia"/>
          <w:b/>
          <w:color w:val="auto"/>
          <w:sz w:val="30"/>
          <w:szCs w:val="30"/>
        </w:rPr>
        <w:t>87</w:t>
      </w:r>
      <w:r>
        <w:rPr>
          <w:rFonts w:asciiTheme="minorEastAsia" w:hAnsiTheme="minorEastAsia" w:eastAsiaTheme="minorEastAsia"/>
          <w:b/>
          <w:color w:val="auto"/>
          <w:sz w:val="30"/>
          <w:szCs w:val="30"/>
        </w:rPr>
        <w:fldChar w:fldCharType="end"/>
      </w:r>
      <w:r>
        <w:rPr>
          <w:rFonts w:asciiTheme="minorEastAsia" w:hAnsiTheme="minorEastAsia" w:eastAsiaTheme="minorEastAsia"/>
          <w:b/>
          <w:color w:val="auto"/>
          <w:sz w:val="30"/>
          <w:szCs w:val="30"/>
        </w:rPr>
        <w:fldChar w:fldCharType="end"/>
      </w:r>
    </w:p>
    <w:p>
      <w:pPr>
        <w:pStyle w:val="20"/>
        <w:tabs>
          <w:tab w:val="right" w:leader="dot" w:pos="8931"/>
          <w:tab w:val="clear" w:pos="8296"/>
        </w:tabs>
        <w:snapToGrid w:val="0"/>
        <w:spacing w:line="360" w:lineRule="auto"/>
        <w:ind w:left="0" w:leftChars="0"/>
        <w:rPr>
          <w:rFonts w:asciiTheme="minorEastAsia" w:hAnsiTheme="minorEastAsia" w:eastAsiaTheme="minorEastAsia"/>
          <w:b/>
          <w:color w:val="auto"/>
          <w:sz w:val="24"/>
        </w:rPr>
      </w:pPr>
      <w:r>
        <w:rPr>
          <w:rFonts w:asciiTheme="minorEastAsia" w:hAnsiTheme="minorEastAsia" w:eastAsiaTheme="minorEastAsia"/>
          <w:b/>
          <w:color w:val="auto"/>
          <w:sz w:val="24"/>
        </w:rPr>
        <w:fldChar w:fldCharType="end"/>
      </w:r>
    </w:p>
    <w:p>
      <w:pPr>
        <w:spacing w:line="360" w:lineRule="auto"/>
        <w:jc w:val="left"/>
        <w:rPr>
          <w:rFonts w:asciiTheme="minorEastAsia" w:hAnsiTheme="minorEastAsia" w:eastAsiaTheme="minorEastAsia"/>
          <w:b/>
          <w:color w:val="auto"/>
          <w:sz w:val="32"/>
          <w:szCs w:val="32"/>
        </w:rPr>
      </w:pPr>
    </w:p>
    <w:p>
      <w:pPr>
        <w:spacing w:line="360" w:lineRule="auto"/>
        <w:jc w:val="center"/>
        <w:rPr>
          <w:rFonts w:asciiTheme="minorEastAsia" w:hAnsiTheme="minorEastAsia" w:eastAsiaTheme="minorEastAsia"/>
          <w:b/>
          <w:color w:val="auto"/>
          <w:sz w:val="32"/>
          <w:szCs w:val="32"/>
        </w:rPr>
      </w:pPr>
    </w:p>
    <w:p>
      <w:pPr>
        <w:spacing w:line="360" w:lineRule="auto"/>
        <w:jc w:val="center"/>
        <w:rPr>
          <w:rFonts w:asciiTheme="minorEastAsia" w:hAnsiTheme="minorEastAsia" w:eastAsiaTheme="minorEastAsia"/>
          <w:b/>
          <w:color w:val="auto"/>
          <w:sz w:val="32"/>
          <w:szCs w:val="32"/>
        </w:rPr>
      </w:pPr>
    </w:p>
    <w:p>
      <w:pPr>
        <w:spacing w:line="360" w:lineRule="auto"/>
        <w:jc w:val="center"/>
        <w:rPr>
          <w:rFonts w:asciiTheme="minorEastAsia" w:hAnsiTheme="minorEastAsia" w:eastAsiaTheme="minorEastAsia"/>
          <w:b/>
          <w:color w:val="auto"/>
          <w:sz w:val="32"/>
          <w:szCs w:val="32"/>
        </w:rPr>
      </w:pPr>
    </w:p>
    <w:p>
      <w:pPr>
        <w:spacing w:line="360" w:lineRule="auto"/>
        <w:jc w:val="center"/>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sectPr>
          <w:headerReference r:id="rId3" w:type="default"/>
          <w:footerReference r:id="rId4" w:type="default"/>
          <w:pgSz w:w="11906" w:h="16838"/>
          <w:pgMar w:top="1440" w:right="1440" w:bottom="1440" w:left="1587" w:header="851" w:footer="992" w:gutter="0"/>
          <w:pgNumType w:start="0"/>
          <w:cols w:space="720" w:num="1"/>
          <w:titlePg/>
          <w:docGrid w:type="lines" w:linePitch="312" w:charSpace="0"/>
        </w:sectPr>
      </w:pPr>
    </w:p>
    <w:p>
      <w:pPr>
        <w:pStyle w:val="2"/>
        <w:spacing w:after="100" w:line="360" w:lineRule="auto"/>
        <w:jc w:val="center"/>
        <w:rPr>
          <w:rFonts w:asciiTheme="minorEastAsia" w:hAnsiTheme="minorEastAsia" w:eastAsiaTheme="minorEastAsia"/>
          <w:color w:val="auto"/>
        </w:rPr>
      </w:pPr>
      <w:bookmarkStart w:id="1" w:name="_Toc74322008"/>
      <w:r>
        <w:rPr>
          <w:rFonts w:hint="eastAsia" w:asciiTheme="minorEastAsia" w:hAnsiTheme="minorEastAsia" w:eastAsiaTheme="minorEastAsia"/>
          <w:color w:val="auto"/>
        </w:rPr>
        <w:t>第一章 竞争性谈判公告</w:t>
      </w:r>
      <w:bookmarkEnd w:id="1"/>
    </w:p>
    <w:p>
      <w:pPr>
        <w:spacing w:line="360" w:lineRule="auto"/>
        <w:jc w:val="center"/>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竞争性谈判公告</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heme="minorEastAsia" w:hAnsiTheme="minorEastAsia" w:eastAsiaTheme="minorEastAsia"/>
          <w:color w:val="auto"/>
          <w:szCs w:val="21"/>
        </w:rPr>
      </w:pPr>
      <w:bookmarkStart w:id="2" w:name="_Hlk37430271"/>
      <w:bookmarkStart w:id="3" w:name="_Toc74322009"/>
      <w:r>
        <w:rPr>
          <w:rFonts w:hint="eastAsia" w:asciiTheme="minorEastAsia" w:hAnsiTheme="minorEastAsia" w:eastAsiaTheme="minorEastAsia"/>
          <w:color w:val="auto"/>
          <w:szCs w:val="21"/>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u w:val="single"/>
        </w:rPr>
        <w:t>2026-2027年食堂运转经费项目食材采购</w:t>
      </w:r>
      <w:r>
        <w:rPr>
          <w:rFonts w:hint="eastAsia" w:asciiTheme="minorEastAsia" w:hAnsiTheme="minorEastAsia" w:eastAsiaTheme="minorEastAsia"/>
          <w:color w:val="auto"/>
          <w:szCs w:val="21"/>
        </w:rPr>
        <w:t>项目的潜在供应商应在广西政府采购云平台（https://www.gcy.zfcg.gxzf.gov.cn/）获取采购文件，并于</w:t>
      </w:r>
      <w:r>
        <w:rPr>
          <w:rFonts w:hint="eastAsia" w:asciiTheme="minorEastAsia" w:hAnsiTheme="minorEastAsia" w:eastAsiaTheme="minorEastAsia"/>
          <w:color w:val="auto"/>
          <w:szCs w:val="21"/>
          <w:u w:val="single"/>
        </w:rPr>
        <w:t>2026</w:t>
      </w:r>
      <w:r>
        <w:rPr>
          <w:rFonts w:hint="eastAsia" w:asciiTheme="minorEastAsia" w:hAnsiTheme="minorEastAsia" w:eastAsiaTheme="minorEastAsia"/>
          <w:bCs/>
          <w:color w:val="auto"/>
          <w:szCs w:val="21"/>
          <w:u w:val="single"/>
        </w:rPr>
        <w:t>年</w:t>
      </w:r>
      <w:r>
        <w:rPr>
          <w:rFonts w:hint="eastAsia" w:asciiTheme="minorEastAsia" w:hAnsiTheme="minorEastAsia" w:eastAsiaTheme="minorEastAsia"/>
          <w:bCs/>
          <w:color w:val="auto"/>
          <w:szCs w:val="21"/>
          <w:u w:val="single"/>
          <w:lang w:val="en-US" w:eastAsia="zh-CN"/>
        </w:rPr>
        <w:t>9</w:t>
      </w:r>
      <w:r>
        <w:rPr>
          <w:rFonts w:hint="eastAsia" w:asciiTheme="minorEastAsia" w:hAnsiTheme="minorEastAsia" w:eastAsiaTheme="minorEastAsia"/>
          <w:bCs/>
          <w:color w:val="auto"/>
          <w:szCs w:val="21"/>
          <w:u w:val="single"/>
        </w:rPr>
        <w:t>月</w:t>
      </w:r>
      <w:r>
        <w:rPr>
          <w:rFonts w:hint="eastAsia" w:asciiTheme="minorEastAsia" w:hAnsiTheme="minorEastAsia" w:eastAsiaTheme="minorEastAsia"/>
          <w:bCs/>
          <w:color w:val="auto"/>
          <w:szCs w:val="21"/>
          <w:u w:val="single"/>
          <w:lang w:val="en-US" w:eastAsia="zh-CN"/>
        </w:rPr>
        <w:t>4</w:t>
      </w:r>
      <w:r>
        <w:rPr>
          <w:rFonts w:hint="eastAsia" w:asciiTheme="minorEastAsia" w:hAnsiTheme="minorEastAsia" w:eastAsiaTheme="minorEastAsia"/>
          <w:bCs/>
          <w:color w:val="auto"/>
          <w:szCs w:val="21"/>
          <w:u w:val="single"/>
        </w:rPr>
        <w:t>日09:30（</w:t>
      </w:r>
      <w:r>
        <w:rPr>
          <w:rFonts w:hint="eastAsia" w:asciiTheme="minorEastAsia" w:hAnsiTheme="minorEastAsia" w:eastAsiaTheme="minorEastAsia"/>
          <w:bCs/>
          <w:color w:val="auto"/>
          <w:szCs w:val="21"/>
        </w:rPr>
        <w:t>北京时间）前提交</w:t>
      </w:r>
      <w:r>
        <w:rPr>
          <w:rFonts w:hint="eastAsia" w:asciiTheme="minorEastAsia" w:hAnsiTheme="minorEastAsia" w:eastAsiaTheme="minorEastAsia"/>
          <w:color w:val="auto"/>
          <w:szCs w:val="21"/>
        </w:rPr>
        <w:t>响应</w:t>
      </w:r>
      <w:r>
        <w:rPr>
          <w:rFonts w:asciiTheme="minorEastAsia" w:hAnsiTheme="minorEastAsia" w:eastAsiaTheme="minorEastAsia"/>
          <w:bCs/>
          <w:color w:val="auto"/>
          <w:szCs w:val="21"/>
        </w:rPr>
        <w:t>文件</w:t>
      </w:r>
      <w:r>
        <w:rPr>
          <w:rFonts w:hint="eastAsia" w:asciiTheme="minorEastAsia" w:hAnsiTheme="minorEastAsia" w:eastAsiaTheme="minorEastAsia"/>
          <w:color w:val="auto"/>
          <w:szCs w:val="21"/>
        </w:rPr>
        <w:t>。</w:t>
      </w:r>
    </w:p>
    <w:p>
      <w:pPr>
        <w:spacing w:line="360" w:lineRule="auto"/>
        <w:rPr>
          <w:rFonts w:asciiTheme="minorEastAsia" w:hAnsiTheme="minorEastAsia" w:eastAsiaTheme="minorEastAsia"/>
          <w:color w:val="auto"/>
          <w:szCs w:val="21"/>
        </w:rPr>
      </w:pPr>
    </w:p>
    <w:p>
      <w:pPr>
        <w:spacing w:line="360" w:lineRule="auto"/>
        <w:ind w:firstLine="422" w:firstLineChars="200"/>
        <w:rPr>
          <w:rFonts w:asciiTheme="minorEastAsia" w:hAnsiTheme="minorEastAsia" w:eastAsiaTheme="minorEastAsia"/>
          <w:b/>
          <w:color w:val="auto"/>
          <w:szCs w:val="21"/>
        </w:rPr>
      </w:pPr>
      <w:bookmarkStart w:id="4" w:name="_Toc28359012"/>
      <w:bookmarkStart w:id="5" w:name="_Toc71365362"/>
      <w:bookmarkStart w:id="6" w:name="_Toc35393629"/>
      <w:bookmarkStart w:id="7" w:name="_Toc28359089"/>
      <w:bookmarkStart w:id="8" w:name="_Toc71366040"/>
      <w:bookmarkStart w:id="9" w:name="_Toc35393798"/>
      <w:r>
        <w:rPr>
          <w:rFonts w:hint="eastAsia" w:asciiTheme="minorEastAsia" w:hAnsiTheme="minorEastAsia" w:eastAsiaTheme="minorEastAsia"/>
          <w:b/>
          <w:color w:val="auto"/>
          <w:szCs w:val="21"/>
        </w:rPr>
        <w:t>一、项目基本情况</w:t>
      </w:r>
      <w:bookmarkEnd w:id="4"/>
      <w:bookmarkEnd w:id="5"/>
      <w:bookmarkEnd w:id="6"/>
      <w:bookmarkEnd w:id="7"/>
      <w:bookmarkEnd w:id="8"/>
      <w:bookmarkEnd w:id="9"/>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项目编号：</w:t>
      </w:r>
      <w:r>
        <w:rPr>
          <w:rFonts w:hint="eastAsia" w:asciiTheme="minorEastAsia" w:hAnsiTheme="minorEastAsia" w:eastAsiaTheme="minorEastAsia"/>
          <w:color w:val="auto"/>
          <w:szCs w:val="21"/>
          <w:lang w:eastAsia="zh-CN"/>
        </w:rPr>
        <w:t>GXZC2026-J1-002876-GXJX</w:t>
      </w:r>
      <w:r>
        <w:rPr>
          <w:rFonts w:hint="eastAsia" w:asciiTheme="minorEastAsia" w:hAnsiTheme="minorEastAsia" w:eastAsiaTheme="minorEastAsia"/>
          <w:color w:val="auto"/>
          <w:szCs w:val="21"/>
        </w:rPr>
        <w:t xml:space="preserve"> </w:t>
      </w:r>
    </w:p>
    <w:p>
      <w:pPr>
        <w:spacing w:line="360" w:lineRule="auto"/>
        <w:ind w:left="1470" w:leftChars="200" w:hanging="1050" w:hangingChars="500"/>
        <w:rPr>
          <w:rFonts w:asciiTheme="minorEastAsia" w:hAnsiTheme="minorEastAsia" w:eastAsiaTheme="minorEastAsia"/>
          <w:color w:val="auto"/>
          <w:szCs w:val="21"/>
          <w:u w:val="single"/>
        </w:rPr>
      </w:pPr>
      <w:r>
        <w:rPr>
          <w:rFonts w:hint="eastAsia" w:asciiTheme="minorEastAsia" w:hAnsiTheme="minorEastAsia" w:eastAsiaTheme="minorEastAsia"/>
          <w:color w:val="auto"/>
          <w:szCs w:val="21"/>
        </w:rPr>
        <w:t>项目名称：</w:t>
      </w:r>
      <w:bookmarkStart w:id="10" w:name="OLE_LINK5"/>
      <w:r>
        <w:rPr>
          <w:rFonts w:hint="eastAsia" w:asciiTheme="minorEastAsia" w:hAnsiTheme="minorEastAsia" w:eastAsiaTheme="minorEastAsia"/>
          <w:color w:val="auto"/>
          <w:szCs w:val="21"/>
        </w:rPr>
        <w:t>2026-2027年食堂运转经费项目食材采购</w:t>
      </w:r>
      <w:bookmarkEnd w:id="10"/>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采购方式：竞争</w:t>
      </w:r>
      <w:r>
        <w:rPr>
          <w:rFonts w:hint="eastAsia" w:asciiTheme="minorEastAsia" w:hAnsiTheme="minorEastAsia" w:eastAsiaTheme="minorEastAsia"/>
          <w:color w:val="auto"/>
          <w:szCs w:val="21"/>
        </w:rPr>
        <w:t>性谈判</w:t>
      </w:r>
      <w:bookmarkStart w:id="113" w:name="_GoBack"/>
      <w:bookmarkEnd w:id="113"/>
    </w:p>
    <w:p>
      <w:pPr>
        <w:spacing w:line="360" w:lineRule="auto"/>
        <w:ind w:firstLine="420" w:firstLineChars="200"/>
        <w:rPr>
          <w:rFonts w:hint="eastAsia" w:asciiTheme="minorEastAsia" w:hAnsiTheme="minorEastAsia" w:eastAsiaTheme="minorEastAsia"/>
          <w:iCs/>
          <w:color w:val="auto"/>
          <w:szCs w:val="21"/>
          <w:lang w:eastAsia="zh-CN"/>
        </w:rPr>
      </w:pPr>
      <w:r>
        <w:rPr>
          <w:rFonts w:hint="eastAsia" w:asciiTheme="minorEastAsia" w:hAnsiTheme="minorEastAsia" w:eastAsiaTheme="minorEastAsia"/>
          <w:color w:val="auto"/>
          <w:szCs w:val="21"/>
        </w:rPr>
        <w:t>预算总金额（元）：</w:t>
      </w:r>
      <w:r>
        <w:rPr>
          <w:rFonts w:hint="eastAsia" w:asciiTheme="minorEastAsia" w:hAnsiTheme="minorEastAsia" w:eastAsiaTheme="minorEastAsia"/>
          <w:iCs/>
          <w:color w:val="auto"/>
          <w:szCs w:val="21"/>
          <w:lang w:eastAsia="zh-CN"/>
        </w:rPr>
        <w:t>1837459</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采购需求：</w:t>
      </w:r>
    </w:p>
    <w:p>
      <w:pPr>
        <w:spacing w:line="360" w:lineRule="auto"/>
        <w:ind w:firstLine="420" w:firstLineChars="200"/>
        <w:rPr>
          <w:rFonts w:asciiTheme="minorEastAsia" w:hAnsiTheme="minorEastAsia" w:eastAsiaTheme="minorEastAsia"/>
          <w:color w:val="auto"/>
          <w:szCs w:val="21"/>
        </w:rPr>
      </w:pPr>
      <w:bookmarkStart w:id="11" w:name="_Toc35393799"/>
      <w:bookmarkStart w:id="12" w:name="_Toc35393630"/>
      <w:bookmarkStart w:id="13" w:name="_Toc28359013"/>
      <w:bookmarkStart w:id="14" w:name="_Toc71365363"/>
      <w:bookmarkStart w:id="15" w:name="_Toc28359090"/>
      <w:bookmarkStart w:id="16" w:name="_Toc71366041"/>
      <w:r>
        <w:rPr>
          <w:rFonts w:hint="eastAsia" w:asciiTheme="minorEastAsia" w:hAnsiTheme="minorEastAsia" w:eastAsiaTheme="minorEastAsia"/>
          <w:color w:val="auto"/>
          <w:szCs w:val="21"/>
        </w:rPr>
        <w:t>标项一</w:t>
      </w:r>
      <w:r>
        <w:rPr>
          <w:rFonts w:asciiTheme="minorEastAsia" w:hAnsiTheme="minorEastAsia" w:eastAsiaTheme="minorEastAsia"/>
          <w:color w:val="auto"/>
          <w:szCs w:val="21"/>
        </w:rPr>
        <w:t xml:space="preserve"> </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标项名称</w:t>
      </w:r>
      <w:r>
        <w:rPr>
          <w:rFonts w:asciiTheme="minorEastAsia" w:hAnsiTheme="minorEastAsia" w:eastAsiaTheme="minorEastAsia"/>
          <w:color w:val="auto"/>
          <w:szCs w:val="21"/>
        </w:rPr>
        <w:t xml:space="preserve">: </w:t>
      </w:r>
      <w:bookmarkStart w:id="17" w:name="OLE_LINK6"/>
      <w:r>
        <w:rPr>
          <w:rFonts w:hint="eastAsia" w:asciiTheme="minorEastAsia" w:hAnsiTheme="minorEastAsia" w:eastAsiaTheme="minorEastAsia"/>
          <w:color w:val="auto"/>
          <w:szCs w:val="21"/>
        </w:rPr>
        <w:t>2026-2027年食堂运转经费项目食材采购（A分标）</w:t>
      </w:r>
      <w:bookmarkEnd w:id="17"/>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数量</w:t>
      </w:r>
      <w:r>
        <w:rPr>
          <w:rFonts w:asciiTheme="minorEastAsia" w:hAnsiTheme="minorEastAsia" w:eastAsiaTheme="minorEastAsia"/>
          <w:color w:val="auto"/>
          <w:szCs w:val="21"/>
        </w:rPr>
        <w:t>:1</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预算金额</w:t>
      </w:r>
      <w:bookmarkStart w:id="18" w:name="OLE_LINK1"/>
      <w:r>
        <w:rPr>
          <w:rFonts w:hint="eastAsia" w:asciiTheme="minorEastAsia" w:hAnsiTheme="minorEastAsia" w:eastAsiaTheme="minorEastAsia"/>
          <w:color w:val="auto"/>
          <w:szCs w:val="21"/>
        </w:rPr>
        <w:t>（元）</w:t>
      </w:r>
      <w:bookmarkEnd w:id="18"/>
      <w:r>
        <w:rPr>
          <w:rFonts w:asciiTheme="minorEastAsia" w:hAnsiTheme="minorEastAsia" w:eastAsiaTheme="minorEastAsia"/>
          <w:color w:val="auto"/>
          <w:szCs w:val="21"/>
        </w:rPr>
        <w:t xml:space="preserve">: </w:t>
      </w:r>
      <w:r>
        <w:rPr>
          <w:rFonts w:hint="eastAsia" w:asciiTheme="minorEastAsia" w:hAnsiTheme="minorEastAsia" w:eastAsiaTheme="minorEastAsia"/>
          <w:color w:val="auto"/>
          <w:szCs w:val="21"/>
        </w:rPr>
        <w:t>1018659.00</w:t>
      </w:r>
    </w:p>
    <w:p>
      <w:pPr>
        <w:spacing w:line="360" w:lineRule="auto"/>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rPr>
        <w:t>简要规格描述或项目基本概况介绍、用途：采购肉类、蔬菜类、调味品及副食品、鸡蛋、干货类、粮油类、杂货类、水果类、糕点类等物资1批，具体详见竞争性谈判文件第三章采购需求</w:t>
      </w:r>
      <w:r>
        <w:rPr>
          <w:rFonts w:hint="eastAsia" w:asciiTheme="minorEastAsia" w:hAnsiTheme="minorEastAsia" w:eastAsiaTheme="minorEastAsia"/>
          <w:color w:val="auto"/>
          <w:szCs w:val="21"/>
          <w:lang w:eastAsia="zh-CN"/>
        </w:rPr>
        <w:t>。</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最高限价（元）：1018598.8</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合同履约期限：自合同签订之日起</w:t>
      </w:r>
      <w:r>
        <w:rPr>
          <w:rFonts w:asciiTheme="minorEastAsia" w:hAnsiTheme="minorEastAsia" w:eastAsiaTheme="minorEastAsia"/>
          <w:color w:val="auto"/>
          <w:szCs w:val="21"/>
        </w:rPr>
        <w:t>1年</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本标项（否）接受联合体投标</w:t>
      </w:r>
    </w:p>
    <w:p>
      <w:pPr>
        <w:spacing w:line="360" w:lineRule="auto"/>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rPr>
        <w:t>备注：竞标报价范围：</w:t>
      </w:r>
      <w:r>
        <w:rPr>
          <w:rFonts w:hint="eastAsia" w:asciiTheme="minorEastAsia" w:hAnsiTheme="minorEastAsia" w:eastAsiaTheme="minorEastAsia"/>
          <w:color w:val="auto"/>
          <w:szCs w:val="21"/>
          <w:lang w:eastAsia="zh-CN"/>
        </w:rPr>
        <w:t>竞标报价折扣系数≤100%</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标项二</w:t>
      </w:r>
      <w:r>
        <w:rPr>
          <w:rFonts w:asciiTheme="minorEastAsia" w:hAnsiTheme="minorEastAsia" w:eastAsiaTheme="minorEastAsia"/>
          <w:color w:val="auto"/>
          <w:szCs w:val="21"/>
        </w:rPr>
        <w:t xml:space="preserve"> </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标项名称</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 xml:space="preserve"> 2026-2027年食堂运转经费项目食材采购（B分标）</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数量</w:t>
      </w:r>
      <w:r>
        <w:rPr>
          <w:rFonts w:asciiTheme="minorEastAsia" w:hAnsiTheme="minorEastAsia" w:eastAsiaTheme="minorEastAsia"/>
          <w:color w:val="auto"/>
          <w:szCs w:val="21"/>
        </w:rPr>
        <w:t>:1</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预算金额（元）</w:t>
      </w:r>
      <w:r>
        <w:rPr>
          <w:rFonts w:asciiTheme="minorEastAsia" w:hAnsiTheme="minorEastAsia" w:eastAsiaTheme="minorEastAsia"/>
          <w:color w:val="auto"/>
          <w:szCs w:val="21"/>
        </w:rPr>
        <w:t xml:space="preserve">: </w:t>
      </w:r>
      <w:r>
        <w:rPr>
          <w:rFonts w:hint="eastAsia" w:asciiTheme="minorEastAsia" w:hAnsiTheme="minorEastAsia" w:eastAsiaTheme="minorEastAsia"/>
          <w:color w:val="auto"/>
          <w:szCs w:val="21"/>
        </w:rPr>
        <w:t>818800</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简要规格描述或项目基本概况介绍、用途：采购牛奶、饮料、矿泉水等物资一批，具体详见竞争性谈判文件第三章采购需求</w:t>
      </w:r>
      <w:r>
        <w:rPr>
          <w:rFonts w:asciiTheme="minorEastAsia" w:hAnsiTheme="minorEastAsia" w:eastAsiaTheme="minorEastAsia"/>
          <w:color w:val="auto"/>
          <w:szCs w:val="21"/>
        </w:rPr>
        <w:t>。</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最高限价（元）：818800</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合同履约期限：自合同签订之日起</w:t>
      </w:r>
      <w:r>
        <w:rPr>
          <w:rFonts w:asciiTheme="minorEastAsia" w:hAnsiTheme="minorEastAsia" w:eastAsiaTheme="minorEastAsia"/>
          <w:color w:val="auto"/>
          <w:szCs w:val="21"/>
        </w:rPr>
        <w:t>1年</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本标项（否）接受联合体投标</w:t>
      </w:r>
    </w:p>
    <w:p>
      <w:pPr>
        <w:spacing w:line="360" w:lineRule="auto"/>
        <w:ind w:firstLine="420" w:firstLineChars="200"/>
        <w:rPr>
          <w:rFonts w:hint="eastAsia" w:asciiTheme="minorEastAsia" w:hAnsiTheme="minorEastAsia" w:eastAsiaTheme="minorEastAsia"/>
          <w:color w:val="auto"/>
          <w:szCs w:val="21"/>
          <w:u w:val="single"/>
          <w:lang w:eastAsia="zh-CN"/>
        </w:rPr>
      </w:pPr>
      <w:r>
        <w:rPr>
          <w:rFonts w:hint="eastAsia" w:asciiTheme="minorEastAsia" w:hAnsiTheme="minorEastAsia" w:eastAsiaTheme="minorEastAsia"/>
          <w:color w:val="auto"/>
          <w:szCs w:val="21"/>
        </w:rPr>
        <w:t>备注：竞标报价范围：</w:t>
      </w:r>
      <w:r>
        <w:rPr>
          <w:rFonts w:hint="eastAsia" w:asciiTheme="minorEastAsia" w:hAnsiTheme="minorEastAsia" w:eastAsiaTheme="minorEastAsia"/>
          <w:color w:val="auto"/>
          <w:szCs w:val="21"/>
          <w:lang w:eastAsia="zh-CN"/>
        </w:rPr>
        <w:t>竞标报价折扣系数≤100%</w:t>
      </w:r>
    </w:p>
    <w:p>
      <w:pPr>
        <w:spacing w:line="360" w:lineRule="auto"/>
        <w:ind w:firstLine="422" w:firstLineChars="200"/>
        <w:rPr>
          <w:rFonts w:asciiTheme="minorEastAsia" w:hAnsiTheme="minorEastAsia" w:eastAsiaTheme="minorEastAsia"/>
          <w:b/>
          <w:color w:val="auto"/>
          <w:szCs w:val="21"/>
        </w:rPr>
      </w:pPr>
    </w:p>
    <w:p>
      <w:pPr>
        <w:spacing w:line="360" w:lineRule="auto"/>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二、申请人的资格要求：</w:t>
      </w:r>
      <w:bookmarkEnd w:id="11"/>
      <w:bookmarkEnd w:id="12"/>
      <w:bookmarkEnd w:id="13"/>
      <w:bookmarkEnd w:id="14"/>
      <w:bookmarkEnd w:id="15"/>
      <w:bookmarkEnd w:id="16"/>
      <w:bookmarkStart w:id="19" w:name="_Toc28359091"/>
      <w:bookmarkStart w:id="20" w:name="_Toc28359014"/>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1.满足《中华人民共和国政府采购法》第二十二条规定；</w:t>
      </w:r>
    </w:p>
    <w:p>
      <w:pPr>
        <w:spacing w:line="360" w:lineRule="auto"/>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2</w:t>
      </w:r>
      <w:r>
        <w:rPr>
          <w:rFonts w:hint="eastAsia" w:asciiTheme="minorEastAsia" w:hAnsiTheme="minorEastAsia" w:eastAsiaTheme="minorEastAsia"/>
          <w:color w:val="auto"/>
          <w:szCs w:val="21"/>
        </w:rPr>
        <w:t>.落实政府采购政策需满足的资格要求：无；</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3.本项目的特定资格要求：</w:t>
      </w:r>
      <w:r>
        <w:rPr>
          <w:rFonts w:hint="eastAsia" w:asciiTheme="minorEastAsia" w:hAnsiTheme="minorEastAsia" w:eastAsiaTheme="minorEastAsia"/>
          <w:b/>
          <w:bCs/>
          <w:color w:val="auto"/>
          <w:szCs w:val="21"/>
        </w:rPr>
        <w:t>分标1、分标2</w:t>
      </w:r>
      <w:bookmarkStart w:id="21" w:name="OLE_LINK35"/>
      <w:r>
        <w:rPr>
          <w:rFonts w:hint="eastAsia" w:asciiTheme="minorEastAsia" w:hAnsiTheme="minorEastAsia" w:eastAsiaTheme="minorEastAsia"/>
          <w:b/>
          <w:bCs/>
          <w:color w:val="auto"/>
          <w:szCs w:val="21"/>
        </w:rPr>
        <w:t>供应商须具备有效的《食品经营许可证》</w:t>
      </w:r>
      <w:bookmarkEnd w:id="21"/>
      <w:r>
        <w:rPr>
          <w:rFonts w:hint="eastAsia" w:asciiTheme="minorEastAsia" w:hAnsiTheme="minorEastAsia" w:eastAsiaTheme="minorEastAsia"/>
          <w:color w:val="auto"/>
          <w:szCs w:val="21"/>
        </w:rPr>
        <w:t>。</w:t>
      </w:r>
      <w:bookmarkStart w:id="22" w:name="_Toc35393800"/>
      <w:bookmarkStart w:id="23" w:name="_Toc35393631"/>
      <w:bookmarkStart w:id="24" w:name="_Toc71366042"/>
      <w:bookmarkStart w:id="25" w:name="_Toc71365364"/>
    </w:p>
    <w:p>
      <w:pPr>
        <w:spacing w:line="360" w:lineRule="auto"/>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三、获取采购文件</w:t>
      </w:r>
      <w:bookmarkEnd w:id="19"/>
      <w:bookmarkEnd w:id="20"/>
      <w:bookmarkEnd w:id="22"/>
      <w:bookmarkEnd w:id="23"/>
      <w:bookmarkEnd w:id="24"/>
      <w:bookmarkEnd w:id="25"/>
    </w:p>
    <w:p>
      <w:pPr>
        <w:spacing w:line="360" w:lineRule="auto"/>
        <w:ind w:firstLine="420" w:firstLineChars="200"/>
        <w:rPr>
          <w:rFonts w:cs="宋体" w:asciiTheme="minorEastAsia" w:hAnsiTheme="minorEastAsia" w:eastAsiaTheme="minorEastAsia"/>
          <w:bCs/>
          <w:color w:val="auto"/>
          <w:kern w:val="0"/>
          <w:szCs w:val="21"/>
          <w:u w:val="single"/>
        </w:rPr>
      </w:pPr>
      <w:r>
        <w:rPr>
          <w:rFonts w:hint="eastAsia" w:cs="宋体" w:asciiTheme="minorEastAsia" w:hAnsiTheme="minorEastAsia" w:eastAsiaTheme="minorEastAsia"/>
          <w:bCs/>
          <w:color w:val="auto"/>
          <w:kern w:val="0"/>
          <w:szCs w:val="21"/>
        </w:rPr>
        <w:t>时间：</w:t>
      </w:r>
      <w:r>
        <w:rPr>
          <w:rFonts w:hint="eastAsia" w:cs="宋体" w:asciiTheme="minorEastAsia" w:hAnsiTheme="minorEastAsia" w:eastAsiaTheme="minorEastAsia"/>
          <w:bCs/>
          <w:color w:val="auto"/>
          <w:kern w:val="0"/>
          <w:szCs w:val="21"/>
          <w:u w:val="single"/>
        </w:rPr>
        <w:t>2026年</w:t>
      </w:r>
      <w:r>
        <w:rPr>
          <w:rFonts w:hint="eastAsia" w:cs="宋体" w:asciiTheme="minorEastAsia" w:hAnsiTheme="minorEastAsia" w:eastAsiaTheme="minorEastAsia"/>
          <w:bCs/>
          <w:color w:val="auto"/>
          <w:kern w:val="0"/>
          <w:szCs w:val="21"/>
          <w:u w:val="single"/>
          <w:lang w:val="en-US" w:eastAsia="zh-CN"/>
        </w:rPr>
        <w:t>8</w:t>
      </w:r>
      <w:r>
        <w:rPr>
          <w:rFonts w:hint="eastAsia" w:asciiTheme="minorEastAsia" w:hAnsiTheme="minorEastAsia" w:eastAsiaTheme="minorEastAsia"/>
          <w:bCs/>
          <w:color w:val="auto"/>
          <w:szCs w:val="21"/>
          <w:u w:val="single"/>
        </w:rPr>
        <w:t>月</w:t>
      </w:r>
      <w:r>
        <w:rPr>
          <w:rFonts w:hint="eastAsia" w:asciiTheme="minorEastAsia" w:hAnsiTheme="minorEastAsia" w:eastAsiaTheme="minorEastAsia"/>
          <w:bCs/>
          <w:color w:val="auto"/>
          <w:szCs w:val="21"/>
          <w:u w:val="single"/>
          <w:lang w:val="en-US" w:eastAsia="zh-CN"/>
        </w:rPr>
        <w:t>31</w:t>
      </w:r>
      <w:r>
        <w:rPr>
          <w:rFonts w:hint="eastAsia" w:asciiTheme="minorEastAsia" w:hAnsiTheme="minorEastAsia" w:eastAsiaTheme="minorEastAsia"/>
          <w:bCs/>
          <w:color w:val="auto"/>
          <w:szCs w:val="21"/>
          <w:u w:val="single"/>
        </w:rPr>
        <w:t>日</w:t>
      </w:r>
      <w:r>
        <w:rPr>
          <w:rFonts w:hint="eastAsia" w:cs="宋体" w:asciiTheme="minorEastAsia" w:hAnsiTheme="minorEastAsia" w:eastAsiaTheme="minorEastAsia"/>
          <w:bCs/>
          <w:color w:val="auto"/>
          <w:kern w:val="0"/>
          <w:szCs w:val="21"/>
          <w:u w:val="single"/>
        </w:rPr>
        <w:t>至2026年</w:t>
      </w:r>
      <w:r>
        <w:rPr>
          <w:rFonts w:hint="eastAsia" w:cs="宋体" w:asciiTheme="minorEastAsia" w:hAnsiTheme="minorEastAsia" w:eastAsiaTheme="minorEastAsia"/>
          <w:bCs/>
          <w:color w:val="auto"/>
          <w:kern w:val="0"/>
          <w:szCs w:val="21"/>
          <w:u w:val="single"/>
          <w:lang w:val="en-US" w:eastAsia="zh-CN"/>
        </w:rPr>
        <w:t>9</w:t>
      </w:r>
      <w:r>
        <w:rPr>
          <w:rFonts w:hint="eastAsia" w:asciiTheme="minorEastAsia" w:hAnsiTheme="minorEastAsia" w:eastAsiaTheme="minorEastAsia"/>
          <w:bCs/>
          <w:color w:val="auto"/>
          <w:szCs w:val="21"/>
          <w:u w:val="single"/>
        </w:rPr>
        <w:t>月</w:t>
      </w:r>
      <w:r>
        <w:rPr>
          <w:rFonts w:hint="eastAsia" w:asciiTheme="minorEastAsia" w:hAnsiTheme="minorEastAsia" w:eastAsiaTheme="minorEastAsia"/>
          <w:bCs/>
          <w:color w:val="auto"/>
          <w:szCs w:val="21"/>
          <w:u w:val="single"/>
          <w:lang w:val="en-US" w:eastAsia="zh-CN"/>
        </w:rPr>
        <w:t>3</w:t>
      </w:r>
      <w:r>
        <w:rPr>
          <w:rFonts w:hint="eastAsia" w:asciiTheme="minorEastAsia" w:hAnsiTheme="minorEastAsia" w:eastAsiaTheme="minorEastAsia"/>
          <w:bCs/>
          <w:color w:val="auto"/>
          <w:szCs w:val="21"/>
          <w:u w:val="single"/>
        </w:rPr>
        <w:t>日</w:t>
      </w:r>
      <w:r>
        <w:rPr>
          <w:rFonts w:hint="eastAsia" w:cs="宋体" w:asciiTheme="minorEastAsia" w:hAnsiTheme="minorEastAsia" w:eastAsiaTheme="minorEastAsia"/>
          <w:bCs/>
          <w:color w:val="auto"/>
          <w:kern w:val="0"/>
          <w:szCs w:val="21"/>
        </w:rPr>
        <w:t>，每天上午</w:t>
      </w:r>
      <w:r>
        <w:rPr>
          <w:rFonts w:hint="eastAsia" w:cs="宋体" w:asciiTheme="minorEastAsia" w:hAnsiTheme="minorEastAsia" w:eastAsiaTheme="minorEastAsia"/>
          <w:bCs/>
          <w:color w:val="auto"/>
          <w:kern w:val="0"/>
          <w:szCs w:val="21"/>
          <w:u w:val="single"/>
        </w:rPr>
        <w:t>0:00:00至12:00:00，下午12:00:00至23:59（北京时间，法定节假日除外）</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地点：</w:t>
      </w:r>
      <w:bookmarkStart w:id="26" w:name="OLE_LINK7"/>
      <w:r>
        <w:rPr>
          <w:rFonts w:hint="eastAsia" w:cs="宋体" w:asciiTheme="minorEastAsia" w:hAnsiTheme="minorEastAsia" w:eastAsiaTheme="minorEastAsia"/>
          <w:bCs/>
          <w:color w:val="auto"/>
          <w:kern w:val="0"/>
          <w:szCs w:val="21"/>
        </w:rPr>
        <w:t>广西政府采购云平台（https://www.gcy.zfcg.gxzf.gov.cn/）</w:t>
      </w:r>
      <w:bookmarkEnd w:id="26"/>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方式：</w:t>
      </w:r>
      <w:bookmarkStart w:id="27" w:name="OLE_LINK8"/>
      <w:r>
        <w:rPr>
          <w:rFonts w:hint="eastAsia" w:cs="宋体" w:asciiTheme="minorEastAsia" w:hAnsiTheme="minorEastAsia" w:eastAsiaTheme="minorEastAsia"/>
          <w:bCs/>
          <w:color w:val="auto"/>
          <w:kern w:val="0"/>
          <w:szCs w:val="21"/>
        </w:rPr>
        <w:t>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w:t>
      </w:r>
    </w:p>
    <w:bookmarkEnd w:id="27"/>
    <w:p>
      <w:pPr>
        <w:spacing w:line="360" w:lineRule="auto"/>
        <w:ind w:firstLine="420" w:firstLineChars="200"/>
        <w:rPr>
          <w:rFonts w:asciiTheme="minorEastAsia" w:hAnsiTheme="minorEastAsia" w:eastAsiaTheme="minorEastAsia"/>
          <w:bCs/>
          <w:color w:val="auto"/>
          <w:szCs w:val="21"/>
        </w:rPr>
      </w:pPr>
      <w:bookmarkStart w:id="28" w:name="_Toc35393632"/>
      <w:bookmarkStart w:id="29" w:name="_Toc28359092"/>
      <w:bookmarkStart w:id="30" w:name="_Toc71365365"/>
      <w:bookmarkStart w:id="31" w:name="_Toc28359015"/>
      <w:bookmarkStart w:id="32" w:name="_Toc35393801"/>
      <w:bookmarkStart w:id="33" w:name="_Toc71366043"/>
      <w:r>
        <w:rPr>
          <w:rFonts w:hint="eastAsia" w:asciiTheme="minorEastAsia" w:hAnsiTheme="minorEastAsia" w:eastAsiaTheme="minorEastAsia"/>
          <w:bCs/>
          <w:color w:val="auto"/>
          <w:szCs w:val="21"/>
        </w:rPr>
        <w:t>售价（元）：0</w:t>
      </w:r>
    </w:p>
    <w:p>
      <w:pPr>
        <w:spacing w:line="360" w:lineRule="auto"/>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四、响应文件提交</w:t>
      </w:r>
      <w:bookmarkEnd w:id="28"/>
      <w:bookmarkEnd w:id="29"/>
      <w:bookmarkEnd w:id="30"/>
      <w:bookmarkEnd w:id="31"/>
      <w:bookmarkEnd w:id="32"/>
      <w:bookmarkEnd w:id="33"/>
    </w:p>
    <w:p>
      <w:pPr>
        <w:spacing w:line="360" w:lineRule="auto"/>
        <w:ind w:firstLine="420" w:firstLineChars="200"/>
        <w:rPr>
          <w:rFonts w:asciiTheme="minorEastAsia" w:hAnsiTheme="minorEastAsia" w:eastAsiaTheme="minorEastAsia"/>
          <w:iCs/>
          <w:color w:val="auto"/>
          <w:szCs w:val="21"/>
          <w:u w:val="single"/>
        </w:rPr>
      </w:pPr>
      <w:r>
        <w:rPr>
          <w:rFonts w:hint="eastAsia" w:asciiTheme="minorEastAsia" w:hAnsiTheme="minorEastAsia" w:eastAsiaTheme="minorEastAsia"/>
          <w:color w:val="auto"/>
          <w:szCs w:val="21"/>
        </w:rPr>
        <w:t>截止时间：</w:t>
      </w:r>
      <w:r>
        <w:rPr>
          <w:rFonts w:hint="eastAsia" w:cs="宋体" w:asciiTheme="minorEastAsia" w:hAnsiTheme="minorEastAsia" w:eastAsiaTheme="minorEastAsia"/>
          <w:bCs/>
          <w:color w:val="auto"/>
          <w:kern w:val="0"/>
          <w:szCs w:val="21"/>
          <w:u w:val="single"/>
        </w:rPr>
        <w:t>2026年</w:t>
      </w:r>
      <w:r>
        <w:rPr>
          <w:rFonts w:hint="eastAsia" w:cs="宋体" w:asciiTheme="minorEastAsia" w:hAnsiTheme="minorEastAsia" w:eastAsiaTheme="minorEastAsia"/>
          <w:bCs/>
          <w:color w:val="auto"/>
          <w:kern w:val="0"/>
          <w:szCs w:val="21"/>
          <w:u w:val="single"/>
          <w:lang w:val="en-US" w:eastAsia="zh-CN"/>
        </w:rPr>
        <w:t>9</w:t>
      </w:r>
      <w:r>
        <w:rPr>
          <w:rFonts w:hint="eastAsia" w:asciiTheme="minorEastAsia" w:hAnsiTheme="minorEastAsia" w:eastAsiaTheme="minorEastAsia"/>
          <w:bCs/>
          <w:color w:val="auto"/>
          <w:szCs w:val="21"/>
          <w:u w:val="single"/>
        </w:rPr>
        <w:t>月</w:t>
      </w:r>
      <w:r>
        <w:rPr>
          <w:rFonts w:hint="eastAsia" w:asciiTheme="minorEastAsia" w:hAnsiTheme="minorEastAsia" w:eastAsiaTheme="minorEastAsia"/>
          <w:bCs/>
          <w:color w:val="auto"/>
          <w:szCs w:val="21"/>
          <w:u w:val="single"/>
          <w:lang w:val="en-US" w:eastAsia="zh-CN"/>
        </w:rPr>
        <w:t>4</w:t>
      </w:r>
      <w:r>
        <w:rPr>
          <w:rFonts w:hint="eastAsia" w:asciiTheme="minorEastAsia" w:hAnsiTheme="minorEastAsia" w:eastAsiaTheme="minorEastAsia"/>
          <w:bCs/>
          <w:color w:val="auto"/>
          <w:szCs w:val="21"/>
          <w:u w:val="single"/>
        </w:rPr>
        <w:t>日09:30</w:t>
      </w:r>
      <w:r>
        <w:rPr>
          <w:rFonts w:hint="eastAsia" w:asciiTheme="minorEastAsia" w:hAnsiTheme="minorEastAsia" w:eastAsiaTheme="minorEastAsia"/>
          <w:bCs/>
          <w:color w:val="auto"/>
          <w:szCs w:val="21"/>
        </w:rPr>
        <w:t>（北京时间）</w:t>
      </w:r>
    </w:p>
    <w:p>
      <w:pPr>
        <w:spacing w:line="360" w:lineRule="auto"/>
        <w:ind w:firstLine="420" w:firstLineChars="200"/>
        <w:rPr>
          <w:rFonts w:cs="宋体" w:asciiTheme="minorEastAsia" w:hAnsiTheme="minorEastAsia" w:eastAsiaTheme="minorEastAsia"/>
          <w:bCs/>
          <w:color w:val="auto"/>
          <w:kern w:val="0"/>
          <w:szCs w:val="21"/>
        </w:rPr>
      </w:pPr>
      <w:r>
        <w:rPr>
          <w:rFonts w:hint="eastAsia" w:asciiTheme="minorEastAsia" w:hAnsiTheme="minorEastAsia" w:eastAsiaTheme="minorEastAsia"/>
          <w:color w:val="auto"/>
          <w:szCs w:val="21"/>
        </w:rPr>
        <w:t>地点：</w:t>
      </w:r>
      <w:bookmarkStart w:id="34" w:name="OLE_LINK9"/>
      <w:bookmarkStart w:id="35" w:name="_Toc35393802"/>
      <w:bookmarkStart w:id="36" w:name="_Toc28359016"/>
      <w:bookmarkStart w:id="37" w:name="_Toc28359093"/>
      <w:bookmarkStart w:id="38" w:name="_Toc35393633"/>
      <w:bookmarkStart w:id="39" w:name="_Toc71366044"/>
      <w:bookmarkStart w:id="40" w:name="_Toc71365366"/>
      <w:r>
        <w:rPr>
          <w:rFonts w:hint="eastAsia" w:cs="宋体" w:asciiTheme="minorEastAsia" w:hAnsiTheme="minorEastAsia" w:eastAsiaTheme="minorEastAsia"/>
          <w:bCs/>
          <w:color w:val="auto"/>
          <w:kern w:val="0"/>
          <w:szCs w:val="21"/>
        </w:rPr>
        <w:t>广西政府采购云平台（https://www.gcy.zfcg.gxzf.gov.cn/）</w:t>
      </w:r>
      <w:bookmarkEnd w:id="34"/>
    </w:p>
    <w:p>
      <w:pPr>
        <w:spacing w:line="360" w:lineRule="auto"/>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五、开启</w:t>
      </w:r>
      <w:bookmarkEnd w:id="35"/>
      <w:bookmarkEnd w:id="36"/>
      <w:bookmarkEnd w:id="37"/>
      <w:bookmarkEnd w:id="38"/>
      <w:bookmarkEnd w:id="39"/>
      <w:bookmarkEnd w:id="40"/>
    </w:p>
    <w:p>
      <w:pPr>
        <w:spacing w:line="360" w:lineRule="auto"/>
        <w:ind w:firstLine="420" w:firstLineChars="200"/>
        <w:rPr>
          <w:rFonts w:asciiTheme="minorEastAsia" w:hAnsiTheme="minorEastAsia" w:eastAsiaTheme="minorEastAsia"/>
          <w:bCs/>
          <w:color w:val="auto"/>
          <w:szCs w:val="21"/>
          <w:u w:val="single"/>
        </w:rPr>
      </w:pPr>
      <w:r>
        <w:rPr>
          <w:rFonts w:hint="eastAsia" w:asciiTheme="minorEastAsia" w:hAnsiTheme="minorEastAsia" w:eastAsiaTheme="minorEastAsia"/>
          <w:color w:val="auto"/>
          <w:szCs w:val="21"/>
        </w:rPr>
        <w:t>时间：</w:t>
      </w:r>
      <w:r>
        <w:rPr>
          <w:rFonts w:hint="eastAsia" w:cs="宋体" w:asciiTheme="minorEastAsia" w:hAnsiTheme="minorEastAsia" w:eastAsiaTheme="minorEastAsia"/>
          <w:bCs/>
          <w:color w:val="auto"/>
          <w:kern w:val="0"/>
          <w:szCs w:val="21"/>
          <w:u w:val="single"/>
        </w:rPr>
        <w:t>2026年</w:t>
      </w:r>
      <w:r>
        <w:rPr>
          <w:rFonts w:hint="eastAsia" w:cs="宋体" w:asciiTheme="minorEastAsia" w:hAnsiTheme="minorEastAsia" w:eastAsiaTheme="minorEastAsia"/>
          <w:bCs/>
          <w:color w:val="auto"/>
          <w:kern w:val="0"/>
          <w:szCs w:val="21"/>
          <w:u w:val="single"/>
          <w:lang w:val="en-US" w:eastAsia="zh-CN"/>
        </w:rPr>
        <w:t>9</w:t>
      </w:r>
      <w:r>
        <w:rPr>
          <w:rFonts w:hint="eastAsia" w:asciiTheme="minorEastAsia" w:hAnsiTheme="minorEastAsia" w:eastAsiaTheme="minorEastAsia"/>
          <w:bCs/>
          <w:color w:val="auto"/>
          <w:szCs w:val="21"/>
          <w:u w:val="single"/>
        </w:rPr>
        <w:t>月</w:t>
      </w:r>
      <w:r>
        <w:rPr>
          <w:rFonts w:hint="eastAsia" w:asciiTheme="minorEastAsia" w:hAnsiTheme="minorEastAsia" w:eastAsiaTheme="minorEastAsia"/>
          <w:bCs/>
          <w:color w:val="auto"/>
          <w:szCs w:val="21"/>
          <w:u w:val="single"/>
          <w:lang w:val="en-US" w:eastAsia="zh-CN"/>
        </w:rPr>
        <w:t>4</w:t>
      </w:r>
      <w:r>
        <w:rPr>
          <w:rFonts w:hint="eastAsia" w:asciiTheme="minorEastAsia" w:hAnsiTheme="minorEastAsia" w:eastAsiaTheme="minorEastAsia"/>
          <w:bCs/>
          <w:color w:val="auto"/>
          <w:szCs w:val="21"/>
          <w:u w:val="single"/>
        </w:rPr>
        <w:t>日09:30（北京时间）</w:t>
      </w:r>
    </w:p>
    <w:p>
      <w:pPr>
        <w:spacing w:line="360" w:lineRule="auto"/>
        <w:ind w:firstLine="420" w:firstLineChars="200"/>
        <w:rPr>
          <w:rFonts w:cs="宋体" w:asciiTheme="minorEastAsia" w:hAnsiTheme="minorEastAsia" w:eastAsiaTheme="minorEastAsia"/>
          <w:bCs/>
          <w:color w:val="auto"/>
          <w:kern w:val="0"/>
          <w:szCs w:val="21"/>
        </w:rPr>
      </w:pPr>
      <w:r>
        <w:rPr>
          <w:rFonts w:hint="eastAsia" w:asciiTheme="minorEastAsia" w:hAnsiTheme="minorEastAsia" w:eastAsiaTheme="minorEastAsia"/>
          <w:color w:val="auto"/>
          <w:szCs w:val="21"/>
        </w:rPr>
        <w:t>地点：</w:t>
      </w:r>
      <w:bookmarkStart w:id="41" w:name="_Toc71365367"/>
      <w:bookmarkStart w:id="42" w:name="_Toc35393634"/>
      <w:bookmarkStart w:id="43" w:name="_Toc35393803"/>
      <w:bookmarkStart w:id="44" w:name="_Toc28359017"/>
      <w:bookmarkStart w:id="45" w:name="_Toc71366045"/>
      <w:bookmarkStart w:id="46" w:name="_Toc28359094"/>
      <w:r>
        <w:rPr>
          <w:rFonts w:hint="eastAsia" w:asciiTheme="minorEastAsia" w:hAnsiTheme="minorEastAsia" w:eastAsiaTheme="minorEastAsia"/>
          <w:color w:val="auto"/>
          <w:szCs w:val="21"/>
        </w:rPr>
        <w:t>通过广西政府采购云平台实行在线解密开启。</w:t>
      </w:r>
    </w:p>
    <w:p>
      <w:pPr>
        <w:spacing w:line="360" w:lineRule="auto"/>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六、公告期限</w:t>
      </w:r>
      <w:bookmarkEnd w:id="41"/>
      <w:bookmarkEnd w:id="42"/>
      <w:bookmarkEnd w:id="43"/>
      <w:bookmarkEnd w:id="44"/>
      <w:bookmarkEnd w:id="45"/>
      <w:bookmarkEnd w:id="46"/>
    </w:p>
    <w:p>
      <w:pPr>
        <w:spacing w:line="360" w:lineRule="auto"/>
        <w:ind w:firstLine="420" w:firstLineChars="200"/>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自本公告发布之日起3个工作日。</w:t>
      </w:r>
      <w:bookmarkStart w:id="47" w:name="_Toc35393635"/>
      <w:bookmarkStart w:id="48" w:name="_Toc71365368"/>
      <w:bookmarkStart w:id="49" w:name="_Toc71366046"/>
      <w:bookmarkStart w:id="50" w:name="_Toc35393804"/>
    </w:p>
    <w:p>
      <w:pPr>
        <w:spacing w:line="360" w:lineRule="auto"/>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七、其他补充事宜</w:t>
      </w:r>
      <w:bookmarkEnd w:id="47"/>
      <w:bookmarkEnd w:id="48"/>
      <w:bookmarkEnd w:id="49"/>
      <w:bookmarkEnd w:id="50"/>
    </w:p>
    <w:p>
      <w:pPr>
        <w:spacing w:line="360" w:lineRule="auto"/>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 xml:space="preserve"> 1.谈判保证金：</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谈判保证金：</w:t>
      </w:r>
      <w:r>
        <w:rPr>
          <w:rFonts w:hint="eastAsia" w:cs="宋体" w:asciiTheme="minorEastAsia" w:hAnsiTheme="minorEastAsia" w:eastAsiaTheme="minorEastAsia"/>
          <w:b/>
          <w:color w:val="auto"/>
          <w:kern w:val="0"/>
          <w:szCs w:val="21"/>
        </w:rPr>
        <w:t>标项一：人民币</w:t>
      </w:r>
      <w:r>
        <w:rPr>
          <w:rFonts w:hint="eastAsia" w:cs="宋体" w:asciiTheme="minorEastAsia" w:hAnsiTheme="minorEastAsia" w:eastAsiaTheme="minorEastAsia"/>
          <w:b/>
          <w:color w:val="auto"/>
          <w:kern w:val="0"/>
          <w:szCs w:val="21"/>
          <w:u w:val="single"/>
        </w:rPr>
        <w:t>壹万</w:t>
      </w:r>
      <w:r>
        <w:rPr>
          <w:rFonts w:hint="eastAsia" w:cs="宋体" w:asciiTheme="minorEastAsia" w:hAnsiTheme="minorEastAsia" w:eastAsiaTheme="minorEastAsia"/>
          <w:b/>
          <w:color w:val="auto"/>
          <w:kern w:val="0"/>
          <w:szCs w:val="21"/>
        </w:rPr>
        <w:t>元整（￥</w:t>
      </w:r>
      <w:r>
        <w:rPr>
          <w:rFonts w:hint="eastAsia" w:cs="宋体" w:asciiTheme="minorEastAsia" w:hAnsiTheme="minorEastAsia" w:eastAsiaTheme="minorEastAsia"/>
          <w:b/>
          <w:color w:val="auto"/>
          <w:kern w:val="0"/>
          <w:szCs w:val="21"/>
          <w:u w:val="single"/>
        </w:rPr>
        <w:t>10000.00）</w:t>
      </w:r>
      <w:r>
        <w:rPr>
          <w:rFonts w:hint="eastAsia" w:cs="宋体" w:asciiTheme="minorEastAsia" w:hAnsiTheme="minorEastAsia" w:eastAsiaTheme="minorEastAsia"/>
          <w:b/>
          <w:color w:val="auto"/>
          <w:kern w:val="0"/>
          <w:szCs w:val="21"/>
        </w:rPr>
        <w:t>，标项二：人民币</w:t>
      </w:r>
      <w:r>
        <w:rPr>
          <w:rFonts w:hint="eastAsia" w:cs="宋体" w:asciiTheme="minorEastAsia" w:hAnsiTheme="minorEastAsia" w:eastAsiaTheme="minorEastAsia"/>
          <w:b/>
          <w:color w:val="auto"/>
          <w:kern w:val="0"/>
          <w:szCs w:val="21"/>
          <w:u w:val="single"/>
        </w:rPr>
        <w:t>捌仟</w:t>
      </w:r>
      <w:r>
        <w:rPr>
          <w:rFonts w:hint="eastAsia" w:cs="宋体" w:asciiTheme="minorEastAsia" w:hAnsiTheme="minorEastAsia" w:eastAsiaTheme="minorEastAsia"/>
          <w:b/>
          <w:color w:val="auto"/>
          <w:kern w:val="0"/>
          <w:szCs w:val="21"/>
        </w:rPr>
        <w:t>元整（￥</w:t>
      </w:r>
      <w:r>
        <w:rPr>
          <w:rFonts w:hint="eastAsia" w:cs="宋体" w:asciiTheme="minorEastAsia" w:hAnsiTheme="minorEastAsia" w:eastAsiaTheme="minorEastAsia"/>
          <w:b/>
          <w:color w:val="auto"/>
          <w:kern w:val="0"/>
          <w:szCs w:val="21"/>
          <w:u w:val="single"/>
        </w:rPr>
        <w:t>8000.00）</w:t>
      </w:r>
      <w:r>
        <w:rPr>
          <w:rFonts w:hint="eastAsia" w:cs="宋体" w:asciiTheme="minorEastAsia" w:hAnsiTheme="minorEastAsia" w:eastAsiaTheme="minorEastAsia"/>
          <w:bCs/>
          <w:color w:val="auto"/>
          <w:kern w:val="0"/>
          <w:szCs w:val="21"/>
        </w:rPr>
        <w:t>（须一次性足额交纳）。</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谈判保证金的交纳方式：银行转账、支票、汇票、本票或者金融机构、担保机构出具的保函（包含电子保函），禁止采用现钞方式。采用银行转账方式的，在响应文件提交截止时间前交至指定账户并且到账（开户名称：广西北投建信建设项目管理有限公司；开户银行：中国光大银行股份有限公司南宁东葛支行；银行账号：</w:t>
      </w:r>
      <w:bookmarkStart w:id="51" w:name="OLE_LINK13"/>
      <w:r>
        <w:rPr>
          <w:rFonts w:hint="eastAsia" w:cs="宋体" w:asciiTheme="minorEastAsia" w:hAnsiTheme="minorEastAsia" w:eastAsiaTheme="minorEastAsia"/>
          <w:bCs/>
          <w:color w:val="auto"/>
          <w:kern w:val="0"/>
          <w:szCs w:val="21"/>
        </w:rPr>
        <w:t>7888 0188 0002 4918 9</w:t>
      </w:r>
      <w:bookmarkEnd w:id="51"/>
      <w:r>
        <w:rPr>
          <w:rFonts w:hint="eastAsia" w:cs="宋体" w:asciiTheme="minorEastAsia" w:hAnsiTheme="minorEastAsia" w:eastAsiaTheme="minorEastAsia"/>
          <w:bCs/>
          <w:color w:val="auto"/>
          <w:kern w:val="0"/>
          <w:szCs w:val="21"/>
        </w:rPr>
        <w:t>，备注：</w:t>
      </w:r>
      <w:r>
        <w:rPr>
          <w:rFonts w:hint="eastAsia" w:asciiTheme="minorEastAsia" w:hAnsiTheme="minorEastAsia" w:eastAsiaTheme="minorEastAsia"/>
          <w:color w:val="auto"/>
          <w:szCs w:val="21"/>
        </w:rPr>
        <w:t>食堂运转经费保证金）</w:t>
      </w:r>
      <w:r>
        <w:rPr>
          <w:rFonts w:hint="eastAsia" w:cs="宋体" w:asciiTheme="minorEastAsia" w:hAnsiTheme="minorEastAsia" w:eastAsiaTheme="minorEastAsia"/>
          <w:bCs/>
          <w:color w:val="auto"/>
          <w:kern w:val="0"/>
          <w:szCs w:val="21"/>
        </w:rPr>
        <w:t>；采用支票、汇票、本票或者保函等方式的，在响应文件提交截止时间前，供应商必须向采购代理机构提交单独密封的支票、汇票、本票或者保函原件，否则视为无效谈判保证金。</w:t>
      </w:r>
    </w:p>
    <w:p>
      <w:pPr>
        <w:spacing w:line="360" w:lineRule="auto"/>
        <w:ind w:firstLine="422" w:firstLineChars="200"/>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2</w:t>
      </w:r>
      <w:r>
        <w:rPr>
          <w:rFonts w:cs="宋体" w:asciiTheme="minorEastAsia" w:hAnsiTheme="minorEastAsia" w:eastAsiaTheme="minorEastAsia"/>
          <w:b/>
          <w:color w:val="auto"/>
          <w:kern w:val="0"/>
          <w:szCs w:val="21"/>
        </w:rPr>
        <w:t>.</w:t>
      </w:r>
      <w:r>
        <w:rPr>
          <w:rFonts w:hint="eastAsia" w:cs="宋体" w:asciiTheme="minorEastAsia" w:hAnsiTheme="minorEastAsia" w:eastAsiaTheme="minorEastAsia"/>
          <w:b/>
          <w:color w:val="auto"/>
          <w:kern w:val="0"/>
          <w:szCs w:val="21"/>
        </w:rPr>
        <w:t>网上查询地址</w:t>
      </w:r>
    </w:p>
    <w:p>
      <w:pPr>
        <w:spacing w:line="360" w:lineRule="auto"/>
        <w:ind w:firstLine="420" w:firstLineChars="200"/>
        <w:rPr>
          <w:rFonts w:cs="宋体" w:asciiTheme="minorEastAsia" w:hAnsiTheme="minorEastAsia" w:eastAsiaTheme="minorEastAsia"/>
          <w:color w:val="auto"/>
          <w:kern w:val="0"/>
          <w:szCs w:val="21"/>
        </w:rPr>
      </w:pPr>
      <w:bookmarkStart w:id="52" w:name="_Hlk37429674"/>
      <w:bookmarkStart w:id="53" w:name="_Toc35393805"/>
      <w:bookmarkStart w:id="54" w:name="_Toc28359095"/>
      <w:bookmarkStart w:id="55" w:name="_Toc71365369"/>
      <w:bookmarkStart w:id="56" w:name="_Toc71366047"/>
      <w:bookmarkStart w:id="57" w:name="_Toc35393636"/>
      <w:bookmarkStart w:id="58" w:name="_Toc28359018"/>
      <w:r>
        <w:rPr>
          <w:rFonts w:hint="eastAsia" w:cs="宋体" w:asciiTheme="minorEastAsia" w:hAnsiTheme="minorEastAsia" w:eastAsiaTheme="minorEastAsia"/>
          <w:color w:val="auto"/>
          <w:kern w:val="0"/>
          <w:szCs w:val="21"/>
        </w:rPr>
        <w:t>中国政府采购网（http://www.ccgp.gov.cn）、广西壮族自治区政府采购网（http://zfcg.gxzf.gov.cn）</w:t>
      </w:r>
    </w:p>
    <w:p>
      <w:pPr>
        <w:spacing w:line="360" w:lineRule="auto"/>
        <w:ind w:firstLine="422" w:firstLineChars="200"/>
        <w:rPr>
          <w:rFonts w:cs="宋体" w:asciiTheme="minorEastAsia" w:hAnsiTheme="minorEastAsia" w:eastAsiaTheme="minorEastAsia"/>
          <w:b/>
          <w:color w:val="auto"/>
          <w:kern w:val="0"/>
          <w:szCs w:val="21"/>
        </w:rPr>
      </w:pPr>
      <w:r>
        <w:rPr>
          <w:rFonts w:hint="eastAsia" w:asciiTheme="minorEastAsia" w:hAnsiTheme="minorEastAsia" w:eastAsiaTheme="minorEastAsia"/>
          <w:b/>
          <w:color w:val="auto"/>
          <w:szCs w:val="21"/>
        </w:rPr>
        <w:t>3</w:t>
      </w:r>
      <w:r>
        <w:rPr>
          <w:rFonts w:asciiTheme="minorEastAsia" w:hAnsiTheme="minorEastAsia" w:eastAsiaTheme="minorEastAsia"/>
          <w:b/>
          <w:color w:val="auto"/>
          <w:szCs w:val="21"/>
        </w:rPr>
        <w:t>.</w:t>
      </w:r>
      <w:r>
        <w:rPr>
          <w:rFonts w:hint="eastAsia" w:cs="宋体" w:asciiTheme="minorEastAsia" w:hAnsiTheme="minorEastAsia" w:eastAsiaTheme="minorEastAsia"/>
          <w:b/>
          <w:color w:val="auto"/>
          <w:kern w:val="0"/>
          <w:szCs w:val="21"/>
        </w:rPr>
        <w:t>本项目需要落实的政府采购政策</w:t>
      </w:r>
    </w:p>
    <w:p>
      <w:pPr>
        <w:spacing w:line="360" w:lineRule="auto"/>
        <w:ind w:firstLine="420" w:firstLineChars="200"/>
        <w:rPr>
          <w:rFonts w:cs="宋体" w:asciiTheme="minorEastAsia" w:hAnsiTheme="minorEastAsia" w:eastAsiaTheme="minorEastAsia"/>
          <w:iCs/>
          <w:color w:val="auto"/>
          <w:kern w:val="0"/>
          <w:szCs w:val="21"/>
        </w:rPr>
      </w:pPr>
      <w:r>
        <w:rPr>
          <w:rFonts w:hint="eastAsia" w:cs="宋体" w:asciiTheme="minorEastAsia" w:hAnsiTheme="minorEastAsia" w:eastAsiaTheme="minorEastAsia"/>
          <w:iCs/>
          <w:color w:val="auto"/>
          <w:kern w:val="0"/>
          <w:szCs w:val="21"/>
        </w:rPr>
        <w:t>（1）政府采购促进中小企业发展。</w:t>
      </w:r>
    </w:p>
    <w:p>
      <w:pPr>
        <w:spacing w:line="360" w:lineRule="auto"/>
        <w:ind w:firstLine="420" w:firstLineChars="200"/>
        <w:rPr>
          <w:rFonts w:cs="宋体" w:asciiTheme="minorEastAsia" w:hAnsiTheme="minorEastAsia" w:eastAsiaTheme="minorEastAsia"/>
          <w:iCs/>
          <w:color w:val="auto"/>
          <w:kern w:val="0"/>
          <w:szCs w:val="21"/>
        </w:rPr>
      </w:pPr>
      <w:r>
        <w:rPr>
          <w:rFonts w:hint="eastAsia" w:cs="宋体" w:asciiTheme="minorEastAsia" w:hAnsiTheme="minorEastAsia" w:eastAsiaTheme="minorEastAsia"/>
          <w:iCs/>
          <w:color w:val="auto"/>
          <w:kern w:val="0"/>
          <w:szCs w:val="21"/>
        </w:rPr>
        <w:t>（2）政府采购促进残疾人就业政策。</w:t>
      </w:r>
    </w:p>
    <w:p>
      <w:pPr>
        <w:spacing w:line="360" w:lineRule="auto"/>
        <w:ind w:firstLine="420" w:firstLineChars="200"/>
        <w:rPr>
          <w:rFonts w:cs="宋体" w:asciiTheme="minorEastAsia" w:hAnsiTheme="minorEastAsia" w:eastAsiaTheme="minorEastAsia"/>
          <w:iCs/>
          <w:color w:val="auto"/>
          <w:kern w:val="0"/>
          <w:szCs w:val="21"/>
        </w:rPr>
      </w:pPr>
      <w:r>
        <w:rPr>
          <w:rFonts w:hint="eastAsia" w:cs="宋体" w:asciiTheme="minorEastAsia" w:hAnsiTheme="minorEastAsia" w:eastAsiaTheme="minorEastAsia"/>
          <w:iCs/>
          <w:color w:val="auto"/>
          <w:kern w:val="0"/>
          <w:szCs w:val="21"/>
        </w:rPr>
        <w:t>（3）政府采购支持监狱企业发展。</w:t>
      </w:r>
    </w:p>
    <w:p>
      <w:pPr>
        <w:spacing w:line="360" w:lineRule="auto"/>
        <w:ind w:firstLine="420" w:firstLineChars="200"/>
        <w:rPr>
          <w:rFonts w:cs="宋体" w:asciiTheme="minorEastAsia" w:hAnsiTheme="minorEastAsia" w:eastAsiaTheme="minorEastAsia"/>
          <w:i/>
          <w:iCs/>
          <w:color w:val="auto"/>
          <w:kern w:val="0"/>
          <w:szCs w:val="21"/>
        </w:rPr>
      </w:pPr>
      <w:r>
        <w:rPr>
          <w:rFonts w:hint="eastAsia" w:cs="宋体" w:asciiTheme="minorEastAsia" w:hAnsiTheme="minorEastAsia" w:eastAsiaTheme="minorEastAsia"/>
          <w:iCs/>
          <w:color w:val="auto"/>
          <w:kern w:val="0"/>
          <w:szCs w:val="21"/>
        </w:rPr>
        <w:t>（4）政府采购支持采用本国产品的政策。</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iCs/>
          <w:color w:val="auto"/>
          <w:kern w:val="0"/>
          <w:szCs w:val="21"/>
        </w:rPr>
        <w:t>（5）本项目采购内容不涉及政府强制采购节能产品；优先采购节能产品、环境标志产品。</w:t>
      </w:r>
    </w:p>
    <w:p>
      <w:pPr>
        <w:spacing w:line="360" w:lineRule="auto"/>
        <w:ind w:firstLine="422" w:firstLineChars="200"/>
        <w:rPr>
          <w:rFonts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4.供应商</w:t>
      </w:r>
      <w:r>
        <w:rPr>
          <w:rFonts w:hint="eastAsia" w:asciiTheme="minorEastAsia" w:hAnsiTheme="minorEastAsia" w:eastAsiaTheme="minorEastAsia"/>
          <w:b/>
          <w:color w:val="auto"/>
          <w:szCs w:val="21"/>
        </w:rPr>
        <w:t>竞标注意事项</w:t>
      </w:r>
    </w:p>
    <w:p>
      <w:pPr>
        <w:wordWrap w:val="0"/>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谈判文件和广西政府采购云平台的要求编制、加密后在提交响应文件截止时间前通过网络上传至 广西政府采购云平台（加密的电子响应文件是指后缀名为“jm</w:t>
      </w:r>
      <w:r>
        <w:rPr>
          <w:rFonts w:asciiTheme="minorEastAsia" w:hAnsiTheme="minorEastAsia" w:eastAsiaTheme="minorEastAsia"/>
          <w:color w:val="auto"/>
          <w:szCs w:val="21"/>
        </w:rPr>
        <w:t>bs</w:t>
      </w:r>
      <w:r>
        <w:rPr>
          <w:rFonts w:hint="eastAsia" w:asciiTheme="minorEastAsia" w:hAnsiTheme="minorEastAsia" w:eastAsiaTheme="minorEastAsia"/>
          <w:color w:val="auto"/>
          <w:szCs w:val="21"/>
        </w:rPr>
        <w:t>”的文件），</w:t>
      </w:r>
      <w:r>
        <w:rPr>
          <w:rFonts w:hint="eastAsia" w:asciiTheme="minorEastAsia" w:hAnsiTheme="minorEastAsia" w:eastAsiaTheme="minorEastAsia"/>
          <w:b/>
          <w:color w:val="auto"/>
          <w:szCs w:val="21"/>
        </w:rPr>
        <w:t>供应商在广西政府采购云平台提交电子响应文件时，请填写参加远程采购活动经办人联系方式。</w:t>
      </w:r>
      <w:r>
        <w:rPr>
          <w:rFonts w:hint="eastAsia" w:asciiTheme="minorEastAsia" w:hAnsiTheme="minorEastAsia" w:eastAsiaTheme="minorEastAsia"/>
          <w:color w:val="auto"/>
          <w:szCs w:val="21"/>
        </w:rPr>
        <w:t>供应商登录广西政府采购云平台，依次进入“服务中心-项目采购-操作流程-电子招投标-</w:t>
      </w:r>
      <w:r>
        <w:rPr>
          <w:rFonts w:asciiTheme="minorEastAsia" w:hAnsiTheme="minorEastAsia" w:eastAsiaTheme="minorEastAsia"/>
          <w:color w:val="auto"/>
          <w:szCs w:val="21"/>
        </w:rPr>
        <w:t>政府采购项目电子交易管理操作指南-供应商</w:t>
      </w:r>
      <w:r>
        <w:rPr>
          <w:rFonts w:hint="eastAsia" w:asciiTheme="minorEastAsia" w:hAnsiTheme="minorEastAsia" w:eastAsiaTheme="minorEastAsia"/>
          <w:color w:val="auto"/>
          <w:szCs w:val="21"/>
        </w:rPr>
        <w:t>”查看电子竞标具体操作流程。</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cs="宋体" w:asciiTheme="minorEastAsia" w:hAnsiTheme="minorEastAsia" w:eastAsiaTheme="minorEastAsia"/>
          <w:color w:val="auto"/>
          <w:kern w:val="0"/>
          <w:szCs w:val="21"/>
        </w:rPr>
        <w:t>广西政府采购云平台，</w:t>
      </w:r>
      <w:r>
        <w:rPr>
          <w:rFonts w:hint="eastAsia" w:asciiTheme="minorEastAsia" w:hAnsiTheme="minorEastAsia" w:eastAsiaTheme="minorEastAsia"/>
          <w:color w:val="auto"/>
          <w:szCs w:val="21"/>
        </w:rPr>
        <w:t>依次进入“服务中心-入驻与配置”中查看CA数字证书办理操作流程。</w:t>
      </w:r>
      <w:r>
        <w:rPr>
          <w:rFonts w:hint="eastAsia" w:cs="宋体" w:asciiTheme="minorEastAsia" w:hAnsiTheme="minorEastAsia" w:eastAsiaTheme="minorEastAsia"/>
          <w:bCs/>
          <w:color w:val="auto"/>
          <w:kern w:val="0"/>
          <w:szCs w:val="21"/>
        </w:rPr>
        <w:t>如在操作过程中遇到问题或者需要技术支持，请致电广西政府采购云平台客服热线：95763</w:t>
      </w:r>
      <w:bookmarkStart w:id="59" w:name="_Hlk181375433"/>
      <w:r>
        <w:rPr>
          <w:rFonts w:hint="eastAsia" w:cs="宋体" w:asciiTheme="minorEastAsia" w:hAnsiTheme="minorEastAsia" w:eastAsiaTheme="minorEastAsia"/>
          <w:bCs/>
          <w:color w:val="auto"/>
          <w:kern w:val="0"/>
          <w:szCs w:val="21"/>
        </w:rPr>
        <w:t>或0</w:t>
      </w:r>
      <w:r>
        <w:rPr>
          <w:rFonts w:cs="宋体" w:asciiTheme="minorEastAsia" w:hAnsiTheme="minorEastAsia" w:eastAsiaTheme="minorEastAsia"/>
          <w:bCs/>
          <w:color w:val="auto"/>
          <w:kern w:val="0"/>
          <w:szCs w:val="21"/>
        </w:rPr>
        <w:t>771-</w:t>
      </w:r>
      <w:r>
        <w:rPr>
          <w:rFonts w:hint="eastAsia" w:cs="宋体" w:asciiTheme="minorEastAsia" w:hAnsiTheme="minorEastAsia" w:eastAsiaTheme="minorEastAsia"/>
          <w:bCs/>
          <w:color w:val="auto"/>
          <w:kern w:val="0"/>
          <w:szCs w:val="21"/>
        </w:rPr>
        <w:t>3</w:t>
      </w:r>
      <w:r>
        <w:rPr>
          <w:rFonts w:cs="宋体" w:asciiTheme="minorEastAsia" w:hAnsiTheme="minorEastAsia" w:eastAsiaTheme="minorEastAsia"/>
          <w:bCs/>
          <w:color w:val="auto"/>
          <w:kern w:val="0"/>
          <w:szCs w:val="21"/>
        </w:rPr>
        <w:t>381253</w:t>
      </w:r>
      <w:bookmarkEnd w:id="59"/>
      <w:r>
        <w:rPr>
          <w:rFonts w:hint="eastAsia" w:asciiTheme="minorEastAsia" w:hAnsiTheme="minorEastAsia" w:eastAsiaTheme="minorEastAsia"/>
          <w:color w:val="auto"/>
          <w:szCs w:val="21"/>
        </w:rPr>
        <w:t>）。</w:t>
      </w:r>
    </w:p>
    <w:p>
      <w:pPr>
        <w:spacing w:line="360" w:lineRule="auto"/>
        <w:ind w:firstLine="420" w:firstLineChars="200"/>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注：</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①为确保网上操作合法、有效和安全，请供应商确保在电子竞标过程中能够对相关数据电文进行加密和使用电子签章，妥善保管C</w:t>
      </w:r>
      <w:r>
        <w:rPr>
          <w:rFonts w:asciiTheme="minorEastAsia" w:hAnsiTheme="minorEastAsia" w:eastAsiaTheme="minorEastAsia"/>
          <w:color w:val="auto"/>
          <w:szCs w:val="21"/>
        </w:rPr>
        <w:t>A</w:t>
      </w:r>
      <w:r>
        <w:rPr>
          <w:rFonts w:hint="eastAsia" w:asciiTheme="minorEastAsia" w:hAnsiTheme="minorEastAsia" w:eastAsiaTheme="minorEastAsia"/>
          <w:color w:val="auto"/>
          <w:szCs w:val="21"/>
        </w:rPr>
        <w:t>数字证书并使用有效的CA数字证书参与整个采购活动。</w:t>
      </w:r>
    </w:p>
    <w:p>
      <w:pPr>
        <w:spacing w:line="360" w:lineRule="auto"/>
        <w:ind w:firstLine="420" w:firstLineChars="200"/>
        <w:rPr>
          <w:rFonts w:asciiTheme="minorEastAsia" w:hAnsiTheme="minorEastAsia" w:eastAsiaTheme="minorEastAsia"/>
          <w:bCs/>
          <w:color w:val="auto"/>
          <w:szCs w:val="21"/>
        </w:rPr>
      </w:pPr>
      <w:r>
        <w:rPr>
          <w:rFonts w:asciiTheme="minorEastAsia" w:hAnsiTheme="minorEastAsia" w:eastAsiaTheme="minorEastAsia"/>
          <w:color w:val="auto"/>
          <w:szCs w:val="21"/>
        </w:rPr>
        <w:fldChar w:fldCharType="begin"/>
      </w:r>
      <w:r>
        <w:rPr>
          <w:rFonts w:asciiTheme="minorEastAsia" w:hAnsiTheme="minorEastAsia" w:eastAsiaTheme="minorEastAsia"/>
          <w:color w:val="auto"/>
          <w:szCs w:val="21"/>
        </w:rPr>
        <w:instrText xml:space="preserve"> </w:instrText>
      </w:r>
      <w:r>
        <w:rPr>
          <w:rFonts w:hint="eastAsia" w:asciiTheme="minorEastAsia" w:hAnsiTheme="minorEastAsia" w:eastAsiaTheme="minorEastAsia"/>
          <w:color w:val="auto"/>
          <w:szCs w:val="21"/>
        </w:rPr>
        <w:instrText xml:space="preserve">= 2 \* GB3</w:instrText>
      </w:r>
      <w:r>
        <w:rPr>
          <w:rFonts w:asciiTheme="minorEastAsia" w:hAnsiTheme="minorEastAsia" w:eastAsiaTheme="minorEastAsia"/>
          <w:color w:val="auto"/>
          <w:szCs w:val="21"/>
        </w:rPr>
        <w:instrText xml:space="preserve"> </w:instrText>
      </w:r>
      <w:r>
        <w:rPr>
          <w:rFonts w:asciiTheme="minorEastAsia" w:hAnsiTheme="minorEastAsia" w:eastAsiaTheme="minorEastAsia"/>
          <w:color w:val="auto"/>
          <w:szCs w:val="21"/>
        </w:rPr>
        <w:fldChar w:fldCharType="separate"/>
      </w:r>
      <w:r>
        <w:rPr>
          <w:rFonts w:hint="eastAsia" w:asciiTheme="minorEastAsia" w:hAnsiTheme="minorEastAsia" w:eastAsiaTheme="minorEastAsia"/>
          <w:color w:val="auto"/>
          <w:szCs w:val="21"/>
        </w:rPr>
        <w:t>②</w:t>
      </w:r>
      <w:r>
        <w:rPr>
          <w:rFonts w:asciiTheme="minorEastAsia" w:hAnsiTheme="minorEastAsia" w:eastAsiaTheme="minorEastAsia"/>
          <w:color w:val="auto"/>
          <w:szCs w:val="21"/>
        </w:rPr>
        <w:fldChar w:fldCharType="end"/>
      </w:r>
      <w:r>
        <w:rPr>
          <w:rFonts w:hint="eastAsia" w:asciiTheme="minorEastAsia" w:hAnsiTheme="minorEastAsia" w:eastAsiaTheme="minorEastAsia"/>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（4）供应商需要在具备有摄像头及语音功能且互联网网络状况良好的电脑登录广西政府采购云平台远程开标大厅参与本次谈判，否则后果自负。</w:t>
      </w:r>
      <w:bookmarkEnd w:id="52"/>
    </w:p>
    <w:p>
      <w:pPr>
        <w:spacing w:line="360" w:lineRule="auto"/>
        <w:ind w:firstLine="422" w:firstLineChars="200"/>
        <w:rPr>
          <w:rFonts w:asciiTheme="minorEastAsia" w:hAnsiTheme="minorEastAsia" w:eastAsiaTheme="minorEastAsia"/>
          <w:b/>
          <w:bCs/>
          <w:color w:val="auto"/>
          <w:szCs w:val="21"/>
        </w:rPr>
      </w:pPr>
      <w:r>
        <w:rPr>
          <w:rFonts w:hint="eastAsia" w:ascii="宋体" w:hAnsi="宋体"/>
          <w:b/>
          <w:color w:val="auto"/>
          <w:szCs w:val="21"/>
        </w:rPr>
        <w:t xml:space="preserve">5. </w:t>
      </w:r>
      <w:r>
        <w:rPr>
          <w:rFonts w:hint="eastAsia" w:asciiTheme="minorEastAsia" w:hAnsiTheme="minorEastAsia" w:eastAsiaTheme="minorEastAsia"/>
          <w:b/>
          <w:bCs/>
          <w:color w:val="auto"/>
          <w:szCs w:val="21"/>
        </w:rPr>
        <w:t>供应商可同时参与标项一、标项二两个标项的竞标，实行兼投不兼中，每家供应商仅能中标一个标项。评审顺序为先标项一、后标项二。若同一供应商两个标项</w:t>
      </w:r>
      <w:r>
        <w:rPr>
          <w:rFonts w:hint="eastAsia" w:ascii="宋体" w:hAnsi="宋体"/>
          <w:b/>
          <w:color w:val="auto"/>
          <w:szCs w:val="21"/>
        </w:rPr>
        <w:t>评审结果均排名第一</w:t>
      </w:r>
      <w:r>
        <w:rPr>
          <w:rFonts w:hint="eastAsia" w:asciiTheme="minorEastAsia" w:hAnsiTheme="minorEastAsia" w:eastAsiaTheme="minorEastAsia"/>
          <w:b/>
          <w:bCs/>
          <w:color w:val="auto"/>
          <w:szCs w:val="21"/>
        </w:rPr>
        <w:t>，则确定为标项一第一成交候选人，直接取消其标项二全部候选资格，标项二其他供应商名次依次递补。剔除该供应商后，标项二有效供应商≥3 家方可正常评审，不足3家则标项二废标。</w:t>
      </w:r>
    </w:p>
    <w:p>
      <w:pPr>
        <w:spacing w:line="360" w:lineRule="auto"/>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八、凡对本次采购提出询问，请按</w:t>
      </w:r>
      <w:r>
        <w:rPr>
          <w:rFonts w:asciiTheme="minorEastAsia" w:hAnsiTheme="minorEastAsia" w:eastAsiaTheme="minorEastAsia"/>
          <w:b/>
          <w:bCs/>
          <w:color w:val="auto"/>
          <w:szCs w:val="21"/>
        </w:rPr>
        <w:t>以下方式</w:t>
      </w:r>
      <w:r>
        <w:rPr>
          <w:rFonts w:hint="eastAsia" w:asciiTheme="minorEastAsia" w:hAnsiTheme="minorEastAsia" w:eastAsiaTheme="minorEastAsia"/>
          <w:b/>
          <w:bCs/>
          <w:color w:val="auto"/>
          <w:szCs w:val="21"/>
        </w:rPr>
        <w:t>联系</w:t>
      </w:r>
      <w:bookmarkEnd w:id="53"/>
      <w:bookmarkEnd w:id="54"/>
      <w:bookmarkEnd w:id="55"/>
      <w:bookmarkEnd w:id="56"/>
      <w:bookmarkEnd w:id="57"/>
      <w:bookmarkEnd w:id="58"/>
      <w:bookmarkStart w:id="60" w:name="_Toc35393806"/>
      <w:bookmarkStart w:id="61" w:name="_Toc28359019"/>
      <w:bookmarkStart w:id="62" w:name="_Toc35393637"/>
      <w:bookmarkStart w:id="63" w:name="_Toc28359096"/>
    </w:p>
    <w:bookmarkEnd w:id="2"/>
    <w:bookmarkEnd w:id="60"/>
    <w:bookmarkEnd w:id="61"/>
    <w:bookmarkEnd w:id="62"/>
    <w:bookmarkEnd w:id="63"/>
    <w:p>
      <w:pPr>
        <w:spacing w:line="360" w:lineRule="auto"/>
        <w:ind w:firstLine="420" w:firstLineChars="200"/>
        <w:rPr>
          <w:rFonts w:cs="宋体" w:asciiTheme="minorEastAsia" w:hAnsiTheme="minorEastAsia" w:eastAsiaTheme="minorEastAsia"/>
          <w:bCs/>
          <w:color w:val="auto"/>
          <w:kern w:val="0"/>
          <w:szCs w:val="21"/>
        </w:rPr>
      </w:pPr>
      <w:r>
        <w:rPr>
          <w:rFonts w:hint="eastAsia" w:ascii="宋体" w:hAnsi="宋体"/>
          <w:color w:val="auto"/>
          <w:szCs w:val="21"/>
        </w:rPr>
        <w:t>1</w:t>
      </w:r>
      <w:r>
        <w:rPr>
          <w:rFonts w:hint="eastAsia" w:cs="宋体" w:asciiTheme="minorEastAsia" w:hAnsiTheme="minorEastAsia" w:eastAsiaTheme="minorEastAsia"/>
          <w:bCs/>
          <w:color w:val="auto"/>
          <w:kern w:val="0"/>
          <w:szCs w:val="21"/>
        </w:rPr>
        <w:t>.采购人信息：</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 xml:space="preserve">名 称：广西壮族自治区英山监狱   </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地址：桂林市七星区横塘路29号　　　　　　　　　　</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项目联系人：</w:t>
      </w:r>
      <w:bookmarkStart w:id="64" w:name="OLE_LINK10"/>
      <w:r>
        <w:rPr>
          <w:rFonts w:hint="eastAsia" w:cs="宋体" w:asciiTheme="minorEastAsia" w:hAnsiTheme="minorEastAsia" w:eastAsiaTheme="minorEastAsia"/>
          <w:bCs/>
          <w:color w:val="auto"/>
          <w:kern w:val="0"/>
          <w:szCs w:val="21"/>
        </w:rPr>
        <w:t>陈佳佳、侯玉梅</w:t>
      </w:r>
      <w:bookmarkEnd w:id="64"/>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项目联系电话：0773-5630335</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2.采购代理机构信息：</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 xml:space="preserve">名称：广西北投建信建设项目管理有限公司  </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地址：</w:t>
      </w:r>
      <w:bookmarkStart w:id="65" w:name="OLE_LINK12"/>
      <w:r>
        <w:rPr>
          <w:rFonts w:hint="eastAsia" w:cs="宋体" w:asciiTheme="minorEastAsia" w:hAnsiTheme="minorEastAsia" w:eastAsiaTheme="minorEastAsia"/>
          <w:bCs/>
          <w:color w:val="auto"/>
          <w:kern w:val="0"/>
          <w:szCs w:val="21"/>
        </w:rPr>
        <w:t>广西桂林市秀峰区翠竹路75号鼎富大厦B座11楼</w:t>
      </w:r>
      <w:bookmarkEnd w:id="65"/>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项目联系人：</w:t>
      </w:r>
      <w:bookmarkStart w:id="66" w:name="OLE_LINK11"/>
      <w:r>
        <w:rPr>
          <w:rFonts w:hint="eastAsia" w:cs="宋体" w:asciiTheme="minorEastAsia" w:hAnsiTheme="minorEastAsia" w:eastAsiaTheme="minorEastAsia"/>
          <w:bCs/>
          <w:color w:val="auto"/>
          <w:kern w:val="0"/>
          <w:szCs w:val="21"/>
        </w:rPr>
        <w:t>王婷、蒋如阳、李璇、邓桂艳</w:t>
      </w:r>
      <w:bookmarkEnd w:id="66"/>
      <w:r>
        <w:rPr>
          <w:rFonts w:hint="eastAsia" w:cs="宋体" w:asciiTheme="minorEastAsia" w:hAnsiTheme="minorEastAsia" w:eastAsiaTheme="minorEastAsia"/>
          <w:bCs/>
          <w:color w:val="auto"/>
          <w:kern w:val="0"/>
          <w:szCs w:val="21"/>
        </w:rPr>
        <w:t xml:space="preserve">    </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 xml:space="preserve">项目联系方式：0773-2806008 </w:t>
      </w:r>
    </w:p>
    <w:p>
      <w:pPr>
        <w:pStyle w:val="2"/>
        <w:spacing w:line="360" w:lineRule="auto"/>
        <w:rPr>
          <w:rFonts w:asciiTheme="minorEastAsia" w:hAnsiTheme="minorEastAsia" w:eastAsiaTheme="minorEastAsia"/>
          <w:color w:val="auto"/>
        </w:rPr>
      </w:pPr>
      <w:r>
        <w:rPr>
          <w:rFonts w:hint="eastAsia" w:asciiTheme="minorEastAsia" w:hAnsiTheme="minorEastAsia" w:eastAsiaTheme="minorEastAsia"/>
          <w:color w:val="auto"/>
        </w:rPr>
        <w:t xml:space="preserve">          </w:t>
      </w:r>
    </w:p>
    <w:p>
      <w:pPr>
        <w:widowControl/>
        <w:spacing w:line="360" w:lineRule="auto"/>
        <w:jc w:val="left"/>
        <w:rPr>
          <w:rFonts w:asciiTheme="minorEastAsia" w:hAnsiTheme="minorEastAsia" w:eastAsiaTheme="minorEastAsia"/>
          <w:b/>
          <w:bCs/>
          <w:color w:val="auto"/>
          <w:kern w:val="44"/>
          <w:sz w:val="44"/>
          <w:szCs w:val="44"/>
        </w:rPr>
      </w:pPr>
      <w:r>
        <w:rPr>
          <w:rFonts w:asciiTheme="minorEastAsia" w:hAnsiTheme="minorEastAsia" w:eastAsiaTheme="minorEastAsia"/>
          <w:color w:val="auto"/>
        </w:rPr>
        <w:br w:type="page"/>
      </w:r>
    </w:p>
    <w:p>
      <w:pPr>
        <w:pStyle w:val="2"/>
        <w:spacing w:line="360" w:lineRule="auto"/>
        <w:jc w:val="center"/>
        <w:rPr>
          <w:rFonts w:asciiTheme="minorEastAsia" w:hAnsiTheme="minorEastAsia" w:eastAsiaTheme="minorEastAsia"/>
          <w:color w:val="auto"/>
        </w:rPr>
      </w:pPr>
      <w:r>
        <w:rPr>
          <w:rFonts w:hint="eastAsia" w:asciiTheme="minorEastAsia" w:hAnsiTheme="minorEastAsia" w:eastAsiaTheme="minorEastAsia"/>
          <w:color w:val="auto"/>
        </w:rPr>
        <w:t>第二章 供应商须知</w:t>
      </w:r>
      <w:bookmarkEnd w:id="3"/>
    </w:p>
    <w:p>
      <w:pPr>
        <w:spacing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供应商须知前附表</w:t>
      </w:r>
    </w:p>
    <w:tbl>
      <w:tblPr>
        <w:tblStyle w:val="24"/>
        <w:tblW w:w="89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tcPr>
          <w:p>
            <w:pPr>
              <w:spacing w:line="360" w:lineRule="auto"/>
              <w:jc w:val="center"/>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条款号</w:t>
            </w:r>
          </w:p>
        </w:tc>
        <w:tc>
          <w:tcPr>
            <w:tcW w:w="7912" w:type="dxa"/>
          </w:tcPr>
          <w:p>
            <w:pPr>
              <w:spacing w:line="360" w:lineRule="auto"/>
              <w:jc w:val="center"/>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p>
        </w:tc>
        <w:tc>
          <w:tcPr>
            <w:tcW w:w="7912" w:type="dxa"/>
            <w:vAlign w:val="center"/>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1.供应商的资格条件：详见竞争性谈判公告</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w:t>
            </w:r>
            <w:r>
              <w:rPr>
                <w:rFonts w:hint="eastAsia" w:cs="宋体" w:asciiTheme="minorEastAsia" w:hAnsiTheme="minorEastAsia" w:eastAsiaTheme="minorEastAsia"/>
                <w:bCs/>
                <w:color w:val="auto"/>
                <w:szCs w:val="21"/>
              </w:rPr>
              <w:t>供应商</w:t>
            </w:r>
            <w:r>
              <w:rPr>
                <w:rFonts w:hint="eastAsia" w:cs="宋体" w:asciiTheme="minorEastAsia" w:hAnsiTheme="minorEastAsia" w:eastAsiaTheme="minorEastAsia"/>
                <w:color w:val="auto"/>
                <w:szCs w:val="21"/>
              </w:rPr>
              <w:t>出现下列情形之一的，不得参加政府采购活动：</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2.2对在</w:t>
            </w:r>
            <w:r>
              <w:rPr>
                <w:rFonts w:hint="eastAsia" w:hAnsi="宋体" w:cs="宋体"/>
                <w:color w:val="auto"/>
              </w:rPr>
              <w:t>中国执行信息公开网（https://zxgk.court.gov.cn/shixin/）</w:t>
            </w:r>
            <w:r>
              <w:rPr>
                <w:rFonts w:hint="eastAsia" w:cs="宋体" w:asciiTheme="minorEastAsia" w:hAnsiTheme="minorEastAsia" w:eastAsiaTheme="minorEastAsia"/>
                <w:color w:val="auto"/>
                <w:szCs w:val="21"/>
              </w:rPr>
              <w:t>、“信用中国”网站(www.creditchina.gov.cn)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5.1</w:t>
            </w:r>
          </w:p>
        </w:tc>
        <w:tc>
          <w:tcPr>
            <w:tcW w:w="7912" w:type="dxa"/>
            <w:vAlign w:val="center"/>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是否接受联合体竞标： 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w:t>
            </w:r>
            <w:r>
              <w:rPr>
                <w:rFonts w:cs="宋体" w:asciiTheme="minorEastAsia" w:hAnsiTheme="minorEastAsia" w:eastAsiaTheme="minorEastAsia"/>
                <w:color w:val="auto"/>
                <w:szCs w:val="21"/>
              </w:rPr>
              <w:t>.2</w:t>
            </w:r>
          </w:p>
        </w:tc>
        <w:tc>
          <w:tcPr>
            <w:tcW w:w="7912" w:type="dxa"/>
            <w:vAlign w:val="center"/>
          </w:tcPr>
          <w:p>
            <w:pPr>
              <w:spacing w:line="360" w:lineRule="auto"/>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如接受联合体竞标，联合体竞标要求如下：无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6.2</w:t>
            </w:r>
          </w:p>
        </w:tc>
        <w:tc>
          <w:tcPr>
            <w:tcW w:w="7912" w:type="dxa"/>
            <w:vAlign w:val="center"/>
          </w:tcPr>
          <w:p>
            <w:pPr>
              <w:pStyle w:val="7"/>
              <w:spacing w:line="360" w:lineRule="auto"/>
              <w:rPr>
                <w:rFonts w:asciiTheme="minorEastAsia" w:hAnsiTheme="minorEastAsia" w:eastAsiaTheme="minorEastAsia"/>
                <w:color w:val="auto"/>
                <w:szCs w:val="21"/>
              </w:rPr>
            </w:pPr>
            <w:r>
              <w:rPr>
                <w:rFonts w:hint="eastAsia" w:ascii="MS Mincho" w:hAnsi="MS Mincho" w:eastAsia="MS Mincho" w:cs="MS Mincho"/>
                <w:color w:val="auto"/>
                <w:szCs w:val="21"/>
              </w:rPr>
              <w:t>☑</w:t>
            </w:r>
            <w:r>
              <w:rPr>
                <w:rFonts w:hint="eastAsia" w:ascii="宋体" w:hAnsi="宋体" w:cs="宋体"/>
                <w:color w:val="auto"/>
                <w:szCs w:val="21"/>
              </w:rPr>
              <w:t>不允许分包</w:t>
            </w:r>
          </w:p>
          <w:p>
            <w:pPr>
              <w:pStyle w:val="7"/>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□允许分包</w:t>
            </w:r>
          </w:p>
          <w:p>
            <w:pPr>
              <w:pStyle w:val="7"/>
              <w:spacing w:line="360" w:lineRule="auto"/>
              <w:rPr>
                <w:rFonts w:asciiTheme="minorEastAsia" w:hAnsiTheme="minorEastAsia" w:eastAsiaTheme="minorEastAsia"/>
                <w:color w:val="auto"/>
                <w:szCs w:val="21"/>
                <w:u w:val="single"/>
              </w:rPr>
            </w:pPr>
            <w:r>
              <w:rPr>
                <w:rFonts w:hint="eastAsia" w:asciiTheme="minorEastAsia" w:hAnsiTheme="minorEastAsia" w:eastAsiaTheme="minorEastAsia"/>
                <w:color w:val="auto"/>
                <w:szCs w:val="21"/>
              </w:rPr>
              <w:t>分包内容：</w:t>
            </w:r>
            <w:r>
              <w:rPr>
                <w:rFonts w:hint="eastAsia" w:asciiTheme="minorEastAsia" w:hAnsiTheme="minorEastAsia" w:eastAsiaTheme="minorEastAsia"/>
                <w:color w:val="auto"/>
                <w:szCs w:val="21"/>
                <w:u w:val="single"/>
              </w:rPr>
              <w:t xml:space="preserve">                                     。</w:t>
            </w:r>
          </w:p>
          <w:p>
            <w:pPr>
              <w:pStyle w:val="7"/>
              <w:spacing w:line="360" w:lineRule="auto"/>
              <w:rPr>
                <w:rFonts w:asciiTheme="minorEastAsia" w:hAnsiTheme="minorEastAsia" w:eastAsiaTheme="minorEastAsia"/>
                <w:color w:val="auto"/>
                <w:szCs w:val="21"/>
                <w:u w:val="single"/>
              </w:rPr>
            </w:pPr>
            <w:r>
              <w:rPr>
                <w:rFonts w:hint="eastAsia" w:asciiTheme="minorEastAsia" w:hAnsiTheme="minorEastAsia" w:eastAsiaTheme="minorEastAsia"/>
                <w:color w:val="auto"/>
                <w:szCs w:val="21"/>
              </w:rPr>
              <w:t>分包金额或者比例：</w:t>
            </w:r>
            <w:r>
              <w:rPr>
                <w:rFonts w:hint="eastAsia" w:asciiTheme="minorEastAsia" w:hAnsiTheme="minorEastAsia" w:eastAsiaTheme="minorEastAsia"/>
                <w:color w:val="auto"/>
                <w:szCs w:val="21"/>
                <w:u w:val="single"/>
              </w:rPr>
              <w:t xml:space="preserve">                             。</w:t>
            </w:r>
          </w:p>
          <w:p>
            <w:pPr>
              <w:pStyle w:val="7"/>
              <w:spacing w:line="360" w:lineRule="auto"/>
              <w:rPr>
                <w:rFonts w:asciiTheme="minorEastAsia" w:hAnsiTheme="minorEastAsia" w:eastAsiaTheme="minorEastAsia"/>
                <w:color w:val="auto"/>
                <w:szCs w:val="21"/>
                <w:u w:val="single"/>
              </w:rPr>
            </w:pPr>
            <w:r>
              <w:rPr>
                <w:rFonts w:hint="eastAsia" w:asciiTheme="minorEastAsia" w:hAnsiTheme="minorEastAsia" w:eastAsiaTheme="minorEastAsia"/>
                <w:color w:val="auto"/>
                <w:szCs w:val="21"/>
              </w:rPr>
              <w:t>分包供应商必须具备的资质：</w:t>
            </w:r>
            <w:r>
              <w:rPr>
                <w:rFonts w:hint="eastAsia" w:asciiTheme="minorEastAsia" w:hAnsiTheme="minorEastAsia" w:eastAsiaTheme="minorEastAsia"/>
                <w:color w:val="auto"/>
                <w:szCs w:val="21"/>
                <w:u w:val="single"/>
              </w:rPr>
              <w:t xml:space="preserve"> </w:t>
            </w:r>
            <w:r>
              <w:rPr>
                <w:rFonts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u w:val="singl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12.1</w:t>
            </w:r>
            <w:r>
              <w:rPr>
                <w:rFonts w:cs="宋体" w:asciiTheme="minorEastAsia" w:hAnsiTheme="minorEastAsia" w:eastAsiaTheme="minorEastAsia"/>
                <w:color w:val="auto"/>
                <w:szCs w:val="21"/>
              </w:rPr>
              <w:t>.1</w:t>
            </w:r>
          </w:p>
        </w:tc>
        <w:tc>
          <w:tcPr>
            <w:tcW w:w="7912" w:type="dxa"/>
            <w:vAlign w:val="center"/>
          </w:tcPr>
          <w:p>
            <w:pPr>
              <w:snapToGrid w:val="0"/>
              <w:spacing w:line="360" w:lineRule="auto"/>
              <w:jc w:val="lef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资格证明文件</w:t>
            </w:r>
          </w:p>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bookmarkStart w:id="67" w:name="OLE_LINK14"/>
            <w:r>
              <w:rPr>
                <w:rFonts w:hint="eastAsia" w:cs="宋体" w:asciiTheme="minorEastAsia" w:hAnsiTheme="minorEastAsia" w:eastAsiaTheme="minorEastAsia"/>
                <w:color w:val="auto"/>
                <w:szCs w:val="21"/>
              </w:rPr>
              <w:t>供应商为法人或者其他组织的提供其营业执照等证明文件（如营业执照或者事业单位法人证书或者执业许可证或者登记证书等），供应商为自然人的提供其身份证复印件；</w:t>
            </w:r>
            <w:bookmarkEnd w:id="67"/>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p>
            <w:pPr>
              <w:spacing w:line="360" w:lineRule="auto"/>
              <w:contextualSpacing/>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2.供应商依法缴纳税收的相关材料（</w:t>
            </w:r>
            <w:r>
              <w:rPr>
                <w:rFonts w:hint="eastAsia" w:cs="宋体" w:asciiTheme="minorEastAsia" w:hAnsiTheme="minorEastAsia" w:eastAsiaTheme="minorEastAsia"/>
                <w:color w:val="auto"/>
                <w:szCs w:val="21"/>
                <w:u w:val="single"/>
              </w:rPr>
              <w:t>2026</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u w:val="single"/>
              </w:rPr>
              <w:t>1</w:t>
            </w:r>
            <w:r>
              <w:rPr>
                <w:rFonts w:hint="eastAsia" w:cs="宋体" w:asciiTheme="minorEastAsia" w:hAnsiTheme="minorEastAsia" w:eastAsiaTheme="minorEastAsia"/>
                <w:color w:val="auto"/>
                <w:szCs w:val="21"/>
              </w:rPr>
              <w:t>月至</w:t>
            </w:r>
            <w:r>
              <w:rPr>
                <w:rFonts w:hint="eastAsia" w:cs="宋体" w:asciiTheme="minorEastAsia" w:hAnsiTheme="minorEastAsia" w:eastAsiaTheme="minorEastAsia"/>
                <w:color w:val="auto"/>
                <w:szCs w:val="21"/>
                <w:u w:val="single"/>
              </w:rPr>
              <w:t>响应文件提交截止时间</w:t>
            </w:r>
            <w:r>
              <w:rPr>
                <w:rFonts w:hint="eastAsia" w:cs="宋体" w:asciiTheme="minorEastAsia" w:hAnsiTheme="minorEastAsia" w:eastAsiaTheme="minorEastAsia"/>
                <w:color w:val="auto"/>
                <w:szCs w:val="21"/>
              </w:rPr>
              <w:t>内</w:t>
            </w:r>
            <w:r>
              <w:rPr>
                <w:rFonts w:hint="eastAsia" w:asciiTheme="minorEastAsia" w:hAnsiTheme="minorEastAsia" w:eastAsiaTheme="minorEastAsia"/>
                <w:color w:val="auto"/>
                <w:szCs w:val="21"/>
              </w:rPr>
              <w:t>任意</w:t>
            </w:r>
            <w:r>
              <w:rPr>
                <w:rFonts w:hint="eastAsia" w:cs="宋体" w:asciiTheme="minorEastAsia" w:hAnsiTheme="minorEastAsia" w:eastAsiaTheme="minorEastAsia"/>
                <w:color w:val="auto"/>
                <w:szCs w:val="21"/>
              </w:rPr>
              <w:t>连续</w:t>
            </w:r>
            <w:r>
              <w:rPr>
                <w:rFonts w:hint="eastAsia" w:cs="宋体" w:asciiTheme="minorEastAsia" w:hAnsiTheme="minorEastAsia" w:eastAsiaTheme="minorEastAsia"/>
                <w:color w:val="auto"/>
                <w:szCs w:val="21"/>
                <w:u w:val="single"/>
              </w:rPr>
              <w:t>3</w:t>
            </w:r>
            <w:r>
              <w:rPr>
                <w:rFonts w:hint="eastAsia" w:cs="宋体" w:asciiTheme="minorEastAsia" w:hAnsiTheme="minorEastAsia" w:eastAsiaTheme="minorEastAsia"/>
                <w:color w:val="auto"/>
                <w:szCs w:val="21"/>
              </w:rPr>
              <w:t>个月的依法缴纳税收的凭据复印件；</w:t>
            </w:r>
            <w:r>
              <w:rPr>
                <w:rFonts w:hint="eastAsia" w:asciiTheme="minorEastAsia" w:hAnsiTheme="minorEastAsia" w:eastAsiaTheme="minorEastAsia"/>
                <w:color w:val="auto"/>
                <w:szCs w:val="21"/>
              </w:rPr>
              <w:t>依法免税或零申报的，必须提供相应文件证明其依法免税或零申报。</w:t>
            </w:r>
            <w:r>
              <w:rPr>
                <w:rFonts w:hint="eastAsia" w:cs="宋体" w:asciiTheme="minorEastAsia" w:hAnsiTheme="minorEastAsia" w:eastAsiaTheme="minorEastAsia"/>
                <w:color w:val="auto"/>
                <w:szCs w:val="21"/>
              </w:rPr>
              <w:t>从</w:t>
            </w:r>
            <w:r>
              <w:rPr>
                <w:rFonts w:asciiTheme="minorEastAsia" w:hAnsiTheme="minorEastAsia" w:eastAsiaTheme="minorEastAsia"/>
                <w:color w:val="auto"/>
                <w:szCs w:val="21"/>
              </w:rPr>
              <w:t>成立</w:t>
            </w:r>
            <w:r>
              <w:rPr>
                <w:rFonts w:hint="eastAsia" w:asciiTheme="minorEastAsia" w:hAnsiTheme="minorEastAsia" w:eastAsiaTheme="minorEastAsia"/>
                <w:color w:val="auto"/>
                <w:szCs w:val="21"/>
              </w:rPr>
              <w:t>之日起</w:t>
            </w:r>
            <w:r>
              <w:rPr>
                <w:rFonts w:hint="eastAsia" w:cs="宋体" w:asciiTheme="minorEastAsia" w:hAnsiTheme="minorEastAsia" w:eastAsiaTheme="minorEastAsia"/>
                <w:color w:val="auto"/>
                <w:szCs w:val="21"/>
              </w:rPr>
              <w:t>到响应文件提交截止时间止不足要求月数的，只需提供从</w:t>
            </w:r>
            <w:r>
              <w:rPr>
                <w:rFonts w:asciiTheme="minorEastAsia" w:hAnsiTheme="minorEastAsia" w:eastAsiaTheme="minorEastAsia"/>
                <w:color w:val="auto"/>
                <w:szCs w:val="21"/>
              </w:rPr>
              <w:t>成立</w:t>
            </w:r>
            <w:r>
              <w:rPr>
                <w:rFonts w:hint="eastAsia" w:asciiTheme="minorEastAsia" w:hAnsiTheme="minorEastAsia" w:eastAsiaTheme="minorEastAsia"/>
                <w:color w:val="auto"/>
                <w:szCs w:val="21"/>
              </w:rPr>
              <w:t>之日起</w:t>
            </w:r>
            <w:r>
              <w:rPr>
                <w:rFonts w:hint="eastAsia" w:cs="宋体" w:asciiTheme="minorEastAsia" w:hAnsiTheme="minorEastAsia" w:eastAsiaTheme="minorEastAsia"/>
                <w:color w:val="auto"/>
                <w:szCs w:val="21"/>
              </w:rPr>
              <w:t>的依法缴纳税收</w:t>
            </w:r>
            <w:r>
              <w:rPr>
                <w:rFonts w:hint="eastAsia" w:asciiTheme="minorEastAsia" w:hAnsiTheme="minorEastAsia" w:eastAsiaTheme="minorEastAsia"/>
                <w:color w:val="auto"/>
                <w:szCs w:val="21"/>
              </w:rPr>
              <w:t>相应证明文件</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p>
            <w:pPr>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bookmarkStart w:id="68" w:name="OLE_LINK15"/>
            <w:r>
              <w:rPr>
                <w:rFonts w:hint="eastAsia" w:cs="宋体" w:asciiTheme="minorEastAsia" w:hAnsiTheme="minorEastAsia" w:eastAsiaTheme="minorEastAsia"/>
                <w:color w:val="auto"/>
                <w:szCs w:val="21"/>
              </w:rPr>
              <w:t>供应商依法缴纳社会保障资金的相关材料[</w:t>
            </w:r>
            <w:r>
              <w:rPr>
                <w:rFonts w:hint="eastAsia" w:cs="宋体" w:asciiTheme="minorEastAsia" w:hAnsiTheme="minorEastAsia" w:eastAsiaTheme="minorEastAsia"/>
                <w:color w:val="auto"/>
                <w:szCs w:val="21"/>
                <w:u w:val="single"/>
              </w:rPr>
              <w:t>2026</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u w:val="single"/>
              </w:rPr>
              <w:t>1</w:t>
            </w:r>
            <w:r>
              <w:rPr>
                <w:rFonts w:hint="eastAsia" w:cs="宋体" w:asciiTheme="minorEastAsia" w:hAnsiTheme="minorEastAsia" w:eastAsiaTheme="minorEastAsia"/>
                <w:color w:val="auto"/>
                <w:szCs w:val="21"/>
              </w:rPr>
              <w:t>月至</w:t>
            </w:r>
            <w:r>
              <w:rPr>
                <w:rFonts w:hint="eastAsia" w:cs="宋体" w:asciiTheme="minorEastAsia" w:hAnsiTheme="minorEastAsia" w:eastAsiaTheme="minorEastAsia"/>
                <w:color w:val="auto"/>
                <w:szCs w:val="21"/>
                <w:u w:val="single"/>
              </w:rPr>
              <w:t>响应文件提交截止时间</w:t>
            </w:r>
            <w:r>
              <w:rPr>
                <w:rFonts w:hint="eastAsia" w:cs="宋体" w:asciiTheme="minorEastAsia" w:hAnsiTheme="minorEastAsia" w:eastAsiaTheme="minorEastAsia"/>
                <w:color w:val="auto"/>
                <w:szCs w:val="21"/>
              </w:rPr>
              <w:t>内</w:t>
            </w:r>
            <w:r>
              <w:rPr>
                <w:rFonts w:hint="eastAsia" w:asciiTheme="minorEastAsia" w:hAnsiTheme="minorEastAsia" w:eastAsiaTheme="minorEastAsia"/>
                <w:color w:val="auto"/>
                <w:szCs w:val="21"/>
              </w:rPr>
              <w:t>任意</w:t>
            </w:r>
            <w:r>
              <w:rPr>
                <w:rFonts w:hint="eastAsia" w:cs="宋体" w:asciiTheme="minorEastAsia" w:hAnsiTheme="minorEastAsia" w:eastAsiaTheme="minorEastAsia"/>
                <w:color w:val="auto"/>
                <w:szCs w:val="21"/>
              </w:rPr>
              <w:t>连续</w:t>
            </w:r>
            <w:r>
              <w:rPr>
                <w:rFonts w:hint="eastAsia" w:cs="宋体" w:asciiTheme="minorEastAsia" w:hAnsiTheme="minorEastAsia" w:eastAsiaTheme="minorEastAsia"/>
                <w:color w:val="auto"/>
                <w:szCs w:val="21"/>
                <w:u w:val="single"/>
              </w:rPr>
              <w:t>3</w:t>
            </w:r>
            <w:r>
              <w:rPr>
                <w:rFonts w:hint="eastAsia" w:cs="宋体" w:asciiTheme="minorEastAsia" w:hAnsiTheme="minorEastAsia" w:eastAsiaTheme="minorEastAsia"/>
                <w:color w:val="auto"/>
                <w:szCs w:val="21"/>
              </w:rPr>
              <w:t>个月的依法缴纳社会保障资金的缴费凭证（</w:t>
            </w:r>
            <w:r>
              <w:rPr>
                <w:rFonts w:hint="eastAsia" w:asciiTheme="minorEastAsia" w:hAnsiTheme="minorEastAsia" w:eastAsiaTheme="minorEastAsia"/>
                <w:color w:val="auto"/>
                <w:szCs w:val="21"/>
              </w:rPr>
              <w:t>如：</w:t>
            </w:r>
            <w:r>
              <w:rPr>
                <w:rFonts w:hint="eastAsia" w:cs="宋体" w:asciiTheme="minorEastAsia" w:hAnsiTheme="minorEastAsia" w:eastAsiaTheme="minorEastAsia"/>
                <w:color w:val="auto"/>
                <w:szCs w:val="21"/>
              </w:rPr>
              <w:t>专用收据、社会保险缴纳清单或者社保部门的证明等）复印件；</w:t>
            </w:r>
            <w:r>
              <w:rPr>
                <w:rFonts w:hint="eastAsia" w:asciiTheme="minorEastAsia" w:hAnsiTheme="minorEastAsia" w:eastAsiaTheme="minorEastAsia"/>
                <w:color w:val="auto"/>
                <w:szCs w:val="21"/>
              </w:rPr>
              <w:t>依法不需要缴纳社会保障资金的，必须提供相应文件证明不需要缴纳社会保障资金。</w:t>
            </w:r>
            <w:r>
              <w:rPr>
                <w:rFonts w:hint="eastAsia" w:cs="宋体" w:asciiTheme="minorEastAsia" w:hAnsiTheme="minorEastAsia" w:eastAsiaTheme="minorEastAsia"/>
                <w:color w:val="auto"/>
                <w:szCs w:val="21"/>
              </w:rPr>
              <w:t>从</w:t>
            </w:r>
            <w:r>
              <w:rPr>
                <w:rFonts w:hint="eastAsia" w:asciiTheme="minorEastAsia" w:hAnsiTheme="minorEastAsia" w:eastAsiaTheme="minorEastAsia"/>
                <w:color w:val="auto"/>
                <w:szCs w:val="21"/>
              </w:rPr>
              <w:t>成立之日起</w:t>
            </w:r>
            <w:r>
              <w:rPr>
                <w:rFonts w:hint="eastAsia" w:cs="宋体" w:asciiTheme="minorEastAsia" w:hAnsiTheme="minorEastAsia" w:eastAsiaTheme="minorEastAsia"/>
                <w:color w:val="auto"/>
                <w:szCs w:val="21"/>
              </w:rPr>
              <w:t>到响应文件提交截止时间止不足要求月数的只需提供从</w:t>
            </w:r>
            <w:r>
              <w:rPr>
                <w:rFonts w:hint="eastAsia" w:asciiTheme="minorEastAsia" w:hAnsiTheme="minorEastAsia" w:eastAsiaTheme="minorEastAsia"/>
                <w:color w:val="auto"/>
                <w:szCs w:val="21"/>
              </w:rPr>
              <w:t>成立之日起</w:t>
            </w:r>
            <w:r>
              <w:rPr>
                <w:rFonts w:hint="eastAsia" w:cs="宋体" w:asciiTheme="minorEastAsia" w:hAnsiTheme="minorEastAsia" w:eastAsiaTheme="minorEastAsia"/>
                <w:color w:val="auto"/>
                <w:szCs w:val="21"/>
              </w:rPr>
              <w:t>的依法缴纳社会保障资金的</w:t>
            </w:r>
            <w:r>
              <w:rPr>
                <w:rFonts w:hint="eastAsia" w:asciiTheme="minorEastAsia" w:hAnsiTheme="minorEastAsia" w:eastAsiaTheme="minorEastAsia"/>
                <w:color w:val="auto"/>
                <w:szCs w:val="21"/>
              </w:rPr>
              <w:t>相应证明文件</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bookmarkEnd w:id="68"/>
          <w:p>
            <w:pPr>
              <w:spacing w:line="360" w:lineRule="auto"/>
              <w:contextualSpacing/>
              <w:jc w:val="left"/>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4.</w:t>
            </w:r>
            <w:bookmarkStart w:id="69" w:name="OLE_LINK16"/>
            <w:r>
              <w:rPr>
                <w:rFonts w:hint="eastAsia" w:cs="宋体" w:asciiTheme="minorEastAsia" w:hAnsiTheme="minorEastAsia" w:eastAsiaTheme="minorEastAsia"/>
                <w:color w:val="auto"/>
                <w:szCs w:val="21"/>
              </w:rPr>
              <w:t>供应商</w:t>
            </w:r>
            <w:r>
              <w:rPr>
                <w:rFonts w:hint="eastAsia" w:asciiTheme="minorEastAsia" w:hAnsiTheme="minorEastAsia" w:eastAsiaTheme="minorEastAsia"/>
                <w:color w:val="auto"/>
                <w:szCs w:val="21"/>
              </w:rPr>
              <w:t>财务状况报告（</w:t>
            </w:r>
            <w:r>
              <w:rPr>
                <w:rFonts w:hint="eastAsia" w:cs="宋体" w:asciiTheme="minorEastAsia" w:hAnsiTheme="minorEastAsia" w:eastAsiaTheme="minorEastAsia"/>
                <w:color w:val="auto"/>
                <w:szCs w:val="21"/>
                <w:u w:val="single"/>
              </w:rPr>
              <w:t>2025</w:t>
            </w:r>
            <w:r>
              <w:rPr>
                <w:rFonts w:hint="eastAsia" w:cs="宋体" w:asciiTheme="minorEastAsia" w:hAnsiTheme="minorEastAsia" w:eastAsiaTheme="minorEastAsia"/>
                <w:color w:val="auto"/>
                <w:szCs w:val="21"/>
              </w:rPr>
              <w:t>年</w:t>
            </w:r>
            <w:r>
              <w:rPr>
                <w:rFonts w:hint="eastAsia" w:asciiTheme="minorEastAsia" w:hAnsiTheme="minorEastAsia" w:eastAsiaTheme="minorEastAsia"/>
                <w:color w:val="auto"/>
                <w:szCs w:val="21"/>
              </w:rPr>
              <w:t>度财务报表复印件，或者银行出具的资信证明，或者中国人民银行征信中心出具的信用报告（企业竞标的提供企业信用报告，自然人竞标的提供个人信用报告）；供应商属于成立</w:t>
            </w:r>
            <w:r>
              <w:rPr>
                <w:rFonts w:asciiTheme="minorEastAsia" w:hAnsiTheme="minorEastAsia" w:eastAsiaTheme="minorEastAsia"/>
                <w:color w:val="auto"/>
                <w:szCs w:val="21"/>
              </w:rPr>
              <w:t>时间</w:t>
            </w:r>
            <w:r>
              <w:rPr>
                <w:rFonts w:hint="eastAsia" w:asciiTheme="minorEastAsia" w:hAnsiTheme="minorEastAsia" w:eastAsiaTheme="minorEastAsia"/>
                <w:color w:val="auto"/>
                <w:kern w:val="0"/>
                <w:szCs w:val="21"/>
              </w:rPr>
              <w:t>在规定年度之后</w:t>
            </w:r>
            <w:r>
              <w:rPr>
                <w:rFonts w:asciiTheme="minorEastAsia" w:hAnsiTheme="minorEastAsia" w:eastAsiaTheme="minorEastAsia"/>
                <w:color w:val="auto"/>
                <w:szCs w:val="21"/>
              </w:rPr>
              <w:t>的</w:t>
            </w:r>
            <w:r>
              <w:rPr>
                <w:rFonts w:hint="eastAsia" w:asciiTheme="minorEastAsia" w:hAnsiTheme="minorEastAsia" w:eastAsiaTheme="minorEastAsia"/>
                <w:color w:val="auto"/>
                <w:szCs w:val="21"/>
              </w:rPr>
              <w:t>法人或其他组织</w:t>
            </w:r>
            <w:r>
              <w:rPr>
                <w:rFonts w:asciiTheme="minorEastAsia" w:hAnsiTheme="minorEastAsia" w:eastAsiaTheme="minorEastAsia"/>
                <w:color w:val="auto"/>
                <w:szCs w:val="21"/>
              </w:rPr>
              <w:t>，需提供成立</w:t>
            </w:r>
            <w:r>
              <w:rPr>
                <w:rFonts w:hint="eastAsia" w:asciiTheme="minorEastAsia" w:hAnsiTheme="minorEastAsia" w:eastAsiaTheme="minorEastAsia"/>
                <w:color w:val="auto"/>
                <w:szCs w:val="21"/>
              </w:rPr>
              <w:t>之日起至响应文件提交截止时间前</w:t>
            </w:r>
            <w:r>
              <w:rPr>
                <w:rFonts w:asciiTheme="minorEastAsia" w:hAnsiTheme="minorEastAsia" w:eastAsiaTheme="minorEastAsia"/>
                <w:color w:val="auto"/>
                <w:szCs w:val="21"/>
              </w:rPr>
              <w:t>的月报表</w:t>
            </w:r>
            <w:r>
              <w:rPr>
                <w:rFonts w:hint="eastAsia" w:asciiTheme="minorEastAsia" w:hAnsiTheme="minorEastAsia" w:eastAsiaTheme="minorEastAsia"/>
                <w:color w:val="auto"/>
                <w:szCs w:val="21"/>
              </w:rPr>
              <w:t>或银行出具的资信证明或者中国人民银行征信中心出具的企业信用报告；资信证明应在有效期内，未注明有效期的，银行出具时间至响应文件提交截止时间不超过一年）</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Cs/>
                <w:color w:val="auto"/>
                <w:szCs w:val="21"/>
              </w:rPr>
              <w:t>（</w:t>
            </w:r>
            <w:r>
              <w:rPr>
                <w:rFonts w:hint="eastAsia" w:asciiTheme="minorEastAsia" w:hAnsiTheme="minorEastAsia" w:eastAsiaTheme="minorEastAsia"/>
                <w:b/>
                <w:color w:val="auto"/>
                <w:szCs w:val="21"/>
              </w:rPr>
              <w:t>必须提供</w:t>
            </w:r>
            <w:r>
              <w:rPr>
                <w:rFonts w:hint="eastAsia" w:cs="宋体" w:asciiTheme="minorEastAsia" w:hAnsiTheme="minorEastAsia" w:eastAsiaTheme="minorEastAsia"/>
                <w:b/>
                <w:color w:val="auto"/>
                <w:szCs w:val="21"/>
              </w:rPr>
              <w:t>，否则响应文件按无效响应处理</w:t>
            </w:r>
            <w:r>
              <w:rPr>
                <w:rFonts w:hint="eastAsia" w:cs="宋体" w:asciiTheme="minorEastAsia" w:hAnsiTheme="minorEastAsia" w:eastAsiaTheme="minorEastAsia"/>
                <w:bCs/>
                <w:color w:val="auto"/>
                <w:szCs w:val="21"/>
              </w:rPr>
              <w:t>）</w:t>
            </w:r>
          </w:p>
          <w:bookmarkEnd w:id="69"/>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w:t>
            </w:r>
            <w:bookmarkStart w:id="70" w:name="OLE_LINK17"/>
            <w:r>
              <w:rPr>
                <w:rFonts w:hint="eastAsia" w:cs="宋体" w:asciiTheme="minorEastAsia" w:hAnsiTheme="minorEastAsia" w:eastAsiaTheme="minorEastAsia"/>
                <w:color w:val="auto"/>
                <w:szCs w:val="21"/>
              </w:rPr>
              <w:t>供应商直接控股信息表（格式后附）；（</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bookmarkEnd w:id="70"/>
          </w:p>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w:t>
            </w:r>
            <w:bookmarkStart w:id="71" w:name="OLE_LINK18"/>
            <w:r>
              <w:rPr>
                <w:rFonts w:hint="eastAsia" w:cs="宋体" w:asciiTheme="minorEastAsia" w:hAnsiTheme="minorEastAsia" w:eastAsiaTheme="minorEastAsia"/>
                <w:color w:val="auto"/>
                <w:szCs w:val="21"/>
              </w:rPr>
              <w:t>供应商直接管理关系信息表（格式后附）；（</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p>
          <w:bookmarkEnd w:id="71"/>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w:t>
            </w:r>
            <w:bookmarkStart w:id="72" w:name="OLE_LINK19"/>
            <w:r>
              <w:rPr>
                <w:rFonts w:hint="eastAsia" w:cs="宋体" w:asciiTheme="minorEastAsia" w:hAnsiTheme="minorEastAsia" w:eastAsiaTheme="minorEastAsia"/>
                <w:color w:val="auto"/>
                <w:szCs w:val="21"/>
              </w:rPr>
              <w:t>竞标声明（格式后附）；（</w:t>
            </w:r>
            <w:r>
              <w:rPr>
                <w:rFonts w:hint="eastAsia" w:cs="宋体" w:asciiTheme="minorEastAsia" w:hAnsiTheme="minorEastAsia" w:eastAsiaTheme="minorEastAsia"/>
                <w:b/>
                <w:color w:val="auto"/>
                <w:szCs w:val="21"/>
              </w:rPr>
              <w:t>必须提供，否则响应文件按无效响应处理</w:t>
            </w:r>
            <w:r>
              <w:rPr>
                <w:rFonts w:hint="eastAsia" w:cs="宋体" w:asciiTheme="minorEastAsia" w:hAnsiTheme="minorEastAsia" w:eastAsiaTheme="minorEastAsia"/>
                <w:color w:val="auto"/>
                <w:szCs w:val="21"/>
              </w:rPr>
              <w:t>）</w:t>
            </w:r>
            <w:bookmarkEnd w:id="72"/>
          </w:p>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8.供应商有效的《食品经营许可证》复印件；</w:t>
            </w:r>
            <w:r>
              <w:rPr>
                <w:rFonts w:hint="eastAsia" w:cs="宋体" w:asciiTheme="minorEastAsia" w:hAnsiTheme="minorEastAsia" w:eastAsiaTheme="minorEastAsia"/>
                <w:b/>
                <w:color w:val="auto"/>
                <w:szCs w:val="21"/>
              </w:rPr>
              <w:t>（必须提供，否则响应文件按无效响应处理）</w:t>
            </w:r>
          </w:p>
          <w:p>
            <w:pPr>
              <w:spacing w:line="360" w:lineRule="auto"/>
              <w:contextualSpacing/>
              <w:jc w:val="left"/>
              <w:rPr>
                <w:rFonts w:cs="宋体" w:asciiTheme="minorEastAsia" w:hAnsiTheme="minorEastAsia" w:eastAsiaTheme="minorEastAsia"/>
                <w:b/>
                <w:bCs/>
                <w:color w:val="auto"/>
                <w:szCs w:val="21"/>
              </w:rPr>
            </w:pPr>
            <w:r>
              <w:rPr>
                <w:rFonts w:hint="eastAsia" w:cs="宋体" w:asciiTheme="minorEastAsia" w:hAnsiTheme="minorEastAsia" w:eastAsiaTheme="minorEastAsia"/>
                <w:color w:val="auto"/>
                <w:szCs w:val="21"/>
              </w:rPr>
              <w:t>9.《中小企业声明函》（格式后附）【</w:t>
            </w:r>
            <w:r>
              <w:rPr>
                <w:rFonts w:hint="eastAsia" w:ascii="宋体" w:hAnsi="宋体" w:cs="宋体" w:eastAsiaTheme="minorEastAsia"/>
                <w:color w:val="auto"/>
                <w:kern w:val="0"/>
                <w:szCs w:val="21"/>
              </w:rPr>
              <w:t>供应商</w:t>
            </w:r>
            <w:r>
              <w:rPr>
                <w:rFonts w:hint="eastAsia" w:ascii="宋体" w:hAnsi="宋体" w:cs="宋体"/>
                <w:color w:val="auto"/>
                <w:kern w:val="0"/>
                <w:szCs w:val="21"/>
              </w:rPr>
              <w:t>提供的货物全部由符合政策要求的</w:t>
            </w:r>
            <w:r>
              <w:rPr>
                <w:rFonts w:hint="eastAsia" w:ascii="宋体" w:hAnsi="宋体"/>
                <w:color w:val="auto"/>
                <w:szCs w:val="21"/>
              </w:rPr>
              <w:t>小型、微型</w:t>
            </w:r>
            <w:r>
              <w:rPr>
                <w:rFonts w:hint="eastAsia" w:ascii="宋体" w:hAnsi="宋体" w:cs="宋体"/>
                <w:color w:val="auto"/>
                <w:kern w:val="0"/>
                <w:szCs w:val="21"/>
              </w:rPr>
              <w:t>企业制造的</w:t>
            </w:r>
            <w:r>
              <w:rPr>
                <w:rFonts w:hint="eastAsia" w:ascii="宋体" w:hAnsi="宋体"/>
                <w:color w:val="auto"/>
                <w:szCs w:val="21"/>
              </w:rPr>
              <w:t>，提供《中小企业声明函》；</w:t>
            </w:r>
            <w:r>
              <w:rPr>
                <w:rFonts w:hint="eastAsia" w:cs="宋体" w:asciiTheme="minorEastAsia" w:hAnsiTheme="minorEastAsia" w:eastAsiaTheme="minorEastAsia"/>
                <w:color w:val="auto"/>
                <w:szCs w:val="21"/>
              </w:rPr>
              <w:t>属于残疾人福利性单位的提供残疾人福利性单位声明函；属于监狱企业的提供由省级以上监狱管理局、戒毒管理局（含新疆生产建设兵团）出具的属于监狱企业的证明文件】；（如有）</w:t>
            </w:r>
          </w:p>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10.代理服务费承诺书（格式后附）；</w:t>
            </w:r>
          </w:p>
          <w:p>
            <w:pPr>
              <w:snapToGrid w:val="0"/>
              <w:spacing w:line="360" w:lineRule="auto"/>
              <w:jc w:val="left"/>
              <w:rPr>
                <w:rFonts w:asciiTheme="minorEastAsia" w:hAnsiTheme="minorEastAsia" w:eastAsiaTheme="minorEastAsia"/>
                <w:i/>
                <w:color w:val="auto"/>
                <w:szCs w:val="21"/>
              </w:rPr>
            </w:pPr>
            <w:r>
              <w:rPr>
                <w:rFonts w:hint="eastAsia" w:cs="宋体" w:asciiTheme="minorEastAsia" w:hAnsiTheme="minorEastAsia" w:eastAsiaTheme="minorEastAsia"/>
                <w:color w:val="auto"/>
                <w:szCs w:val="21"/>
              </w:rPr>
              <w:t>11.除谈判文件规定必须提供以外，供应商认为需要提供的其他证明材料。</w:t>
            </w:r>
          </w:p>
          <w:p>
            <w:pPr>
              <w:snapToGrid w:val="0"/>
              <w:spacing w:line="360" w:lineRule="auto"/>
              <w:jc w:val="lef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注：</w:t>
            </w:r>
          </w:p>
          <w:p>
            <w:pPr>
              <w:snapToGrid w:val="0"/>
              <w:spacing w:line="360" w:lineRule="auto"/>
              <w:ind w:firstLine="413" w:firstLineChars="196"/>
              <w:jc w:val="lef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以上标明“必须提供”的材料属于复印件的，必须加盖供应商</w:t>
            </w:r>
            <w:r>
              <w:rPr>
                <w:rFonts w:hint="eastAsia" w:asciiTheme="minorEastAsia" w:hAnsiTheme="minorEastAsia" w:eastAsiaTheme="minorEastAsia"/>
                <w:b/>
                <w:color w:val="auto"/>
                <w:szCs w:val="21"/>
              </w:rPr>
              <w:t>电子签章</w:t>
            </w:r>
            <w:r>
              <w:rPr>
                <w:rFonts w:hint="eastAsia" w:cs="宋体" w:asciiTheme="minorEastAsia" w:hAnsiTheme="minorEastAsia" w:eastAsiaTheme="minorEastAsia"/>
                <w:b/>
                <w:color w:val="auto"/>
                <w:szCs w:val="21"/>
              </w:rPr>
              <w:t>，否则响应文件按无效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12.1.2</w:t>
            </w:r>
          </w:p>
        </w:tc>
        <w:tc>
          <w:tcPr>
            <w:tcW w:w="7912" w:type="dxa"/>
            <w:vAlign w:val="center"/>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报价文件</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bookmarkStart w:id="73" w:name="OLE_LINK20"/>
            <w:r>
              <w:rPr>
                <w:rFonts w:hint="eastAsia" w:cs="宋体" w:asciiTheme="minorEastAsia" w:hAnsiTheme="minorEastAsia" w:eastAsiaTheme="minorEastAsia"/>
                <w:color w:val="auto"/>
                <w:szCs w:val="21"/>
              </w:rPr>
              <w:t>竞标报价表（格式后附）；（</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bookmarkEnd w:id="73"/>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w:t>
            </w:r>
            <w:bookmarkStart w:id="74" w:name="OLE_LINK21"/>
            <w:r>
              <w:rPr>
                <w:rFonts w:hint="eastAsia" w:cs="宋体" w:asciiTheme="minorEastAsia" w:hAnsiTheme="minorEastAsia" w:eastAsiaTheme="minorEastAsia"/>
                <w:color w:val="auto"/>
                <w:szCs w:val="21"/>
              </w:rPr>
              <w:t>货物配置及报价明细表（格式后附）；（</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p>
          <w:bookmarkEnd w:id="74"/>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3.供应商认为需要提供的其他有关资料。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3</w:t>
            </w:r>
          </w:p>
        </w:tc>
        <w:tc>
          <w:tcPr>
            <w:tcW w:w="7912" w:type="dxa"/>
            <w:vAlign w:val="center"/>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商务技术文件</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bookmarkStart w:id="75" w:name="OLE_LINK22"/>
            <w:r>
              <w:rPr>
                <w:rFonts w:hint="eastAsia" w:cs="宋体" w:asciiTheme="minorEastAsia" w:hAnsiTheme="minorEastAsia" w:eastAsiaTheme="minorEastAsia"/>
                <w:color w:val="auto"/>
                <w:szCs w:val="21"/>
              </w:rPr>
              <w:t>无串通竞标行为的承诺函（格式后附）；（</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p>
          <w:bookmarkEnd w:id="75"/>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w:t>
            </w:r>
            <w:bookmarkStart w:id="76" w:name="OLE_LINK23"/>
            <w:r>
              <w:rPr>
                <w:rFonts w:hint="eastAsia" w:cs="宋体" w:asciiTheme="minorEastAsia" w:hAnsiTheme="minorEastAsia" w:eastAsiaTheme="minorEastAsia"/>
                <w:color w:val="auto"/>
                <w:szCs w:val="21"/>
              </w:rPr>
              <w:t>法定代表人身份证明书及法定代表人有效身份证正反面复印件（格式后附）；（</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bookmarkEnd w:id="76"/>
          </w:p>
          <w:p>
            <w:pPr>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3.</w:t>
            </w:r>
            <w:bookmarkStart w:id="77" w:name="OLE_LINK24"/>
            <w:r>
              <w:rPr>
                <w:rFonts w:hint="eastAsia" w:cs="宋体" w:asciiTheme="minorEastAsia" w:hAnsiTheme="minorEastAsia" w:eastAsiaTheme="minorEastAsia"/>
                <w:color w:val="auto"/>
                <w:szCs w:val="21"/>
              </w:rPr>
              <w:t>授权委托书及委托代理人有效身份证正反面复印件（格式后附）；（</w:t>
            </w:r>
            <w:r>
              <w:rPr>
                <w:rFonts w:hint="eastAsia" w:cs="宋体" w:asciiTheme="minorEastAsia" w:hAnsiTheme="minorEastAsia" w:eastAsiaTheme="minorEastAsia"/>
                <w:b/>
                <w:color w:val="auto"/>
                <w:szCs w:val="21"/>
              </w:rPr>
              <w:t>委托时必须提供，否则响应文件按无效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bookmarkEnd w:id="77"/>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w:t>
            </w:r>
            <w:bookmarkStart w:id="78" w:name="OLE_LINK25"/>
            <w:r>
              <w:rPr>
                <w:rFonts w:hint="eastAsia" w:cs="宋体" w:asciiTheme="minorEastAsia" w:hAnsiTheme="minorEastAsia" w:eastAsiaTheme="minorEastAsia"/>
                <w:color w:val="auto"/>
                <w:szCs w:val="21"/>
              </w:rPr>
              <w:t>谈判保证金提交凭证；（</w:t>
            </w:r>
            <w:r>
              <w:rPr>
                <w:rFonts w:hint="eastAsia" w:asciiTheme="minorEastAsia" w:hAnsiTheme="minorEastAsia" w:eastAsiaTheme="minorEastAsia"/>
                <w:b/>
                <w:bCs/>
                <w:color w:val="auto"/>
                <w:szCs w:val="21"/>
              </w:rPr>
              <w:t>必须提供</w:t>
            </w:r>
            <w:r>
              <w:rPr>
                <w:rFonts w:hint="eastAsia" w:cs="宋体" w:asciiTheme="minorEastAsia" w:hAnsiTheme="minorEastAsia" w:eastAsiaTheme="minorEastAsia"/>
                <w:b/>
                <w:color w:val="auto"/>
                <w:szCs w:val="21"/>
              </w:rPr>
              <w:t>，否则响应文件按无效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bookmarkEnd w:id="78"/>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w:t>
            </w:r>
            <w:bookmarkStart w:id="79" w:name="OLE_LINK26"/>
            <w:r>
              <w:rPr>
                <w:rFonts w:hint="eastAsia" w:cs="宋体" w:asciiTheme="minorEastAsia" w:hAnsiTheme="minorEastAsia" w:eastAsiaTheme="minorEastAsia"/>
                <w:color w:val="auto"/>
                <w:szCs w:val="21"/>
              </w:rPr>
              <w:t>商务要求偏离表（格式后附）；（</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bookmarkEnd w:id="79"/>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w:t>
            </w:r>
            <w:bookmarkStart w:id="80" w:name="OLE_LINK27"/>
            <w:r>
              <w:rPr>
                <w:rFonts w:hint="eastAsia" w:cs="宋体" w:asciiTheme="minorEastAsia" w:hAnsiTheme="minorEastAsia" w:eastAsiaTheme="minorEastAsia"/>
                <w:color w:val="auto"/>
                <w:szCs w:val="21"/>
              </w:rPr>
              <w:t>技术要求偏离表（格式后附）；（</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bookmarkEnd w:id="80"/>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w:t>
            </w:r>
            <w:bookmarkStart w:id="81" w:name="OLE_LINK28"/>
            <w:r>
              <w:rPr>
                <w:rFonts w:hint="eastAsia" w:cs="宋体" w:asciiTheme="minorEastAsia" w:hAnsiTheme="minorEastAsia" w:eastAsiaTheme="minorEastAsia"/>
                <w:color w:val="auto"/>
                <w:szCs w:val="21"/>
              </w:rPr>
              <w:t>售后服务承诺（</w:t>
            </w:r>
            <w:r>
              <w:rPr>
                <w:rFonts w:hint="eastAsia" w:ascii="宋体" w:hAnsi="宋体" w:cs="宋体"/>
                <w:color w:val="auto"/>
                <w:kern w:val="0"/>
                <w:szCs w:val="21"/>
              </w:rPr>
              <w:t>包括</w:t>
            </w:r>
            <w:r>
              <w:rPr>
                <w:rFonts w:hint="eastAsia" w:cs="宋体" w:asciiTheme="minorEastAsia" w:hAnsiTheme="minorEastAsia" w:eastAsiaTheme="minorEastAsia"/>
                <w:color w:val="auto"/>
                <w:szCs w:val="21"/>
              </w:rPr>
              <w:t>质保、售后服务、</w:t>
            </w:r>
            <w:r>
              <w:rPr>
                <w:rFonts w:hint="eastAsia" w:hAnsi="宋体" w:cs="宋体"/>
                <w:color w:val="auto"/>
                <w:szCs w:val="21"/>
              </w:rPr>
              <w:t>质量保证措施、</w:t>
            </w:r>
            <w:r>
              <w:rPr>
                <w:rFonts w:hint="eastAsia" w:ascii="宋体" w:hAnsi="宋体" w:cs="宋体"/>
                <w:color w:val="auto"/>
                <w:kern w:val="0"/>
                <w:szCs w:val="21"/>
              </w:rPr>
              <w:t>对问题物资发生紧急事件处理等方面承诺）</w:t>
            </w:r>
            <w:r>
              <w:rPr>
                <w:rFonts w:hint="eastAsia" w:cs="宋体" w:asciiTheme="minorEastAsia" w:hAnsiTheme="minorEastAsia" w:eastAsiaTheme="minorEastAsia"/>
                <w:color w:val="auto"/>
                <w:szCs w:val="21"/>
              </w:rPr>
              <w:t>（格式自拟）；（</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p>
          <w:bookmarkEnd w:id="81"/>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w:t>
            </w:r>
            <w:bookmarkStart w:id="82" w:name="OLE_LINK29"/>
            <w:r>
              <w:rPr>
                <w:rFonts w:hint="eastAsia" w:ascii="宋体" w:hAnsi="宋体" w:cs="宋体"/>
                <w:color w:val="auto"/>
                <w:kern w:val="0"/>
                <w:szCs w:val="21"/>
              </w:rPr>
              <w:t>物资安全</w:t>
            </w:r>
            <w:r>
              <w:rPr>
                <w:rFonts w:hint="eastAsia" w:ascii="宋体" w:hAnsi="宋体" w:cs="宋体"/>
                <w:color w:val="auto"/>
                <w:szCs w:val="21"/>
              </w:rPr>
              <w:t>及配送服务方案</w:t>
            </w:r>
            <w:r>
              <w:rPr>
                <w:rFonts w:hint="eastAsia" w:ascii="宋体" w:hAnsi="宋体" w:cs="宋体"/>
                <w:color w:val="auto"/>
                <w:kern w:val="0"/>
                <w:szCs w:val="21"/>
              </w:rPr>
              <w:t>（包括供货能力、进货采购渠道、检验检疫措施、物资质量标准、拟投入本项目食品安全检测设备及人员情况、溯源制度、配送服务、应急方案等）</w:t>
            </w:r>
            <w:r>
              <w:rPr>
                <w:rFonts w:hint="eastAsia" w:cs="宋体" w:asciiTheme="minorEastAsia" w:hAnsiTheme="minorEastAsia" w:eastAsiaTheme="minorEastAsia"/>
                <w:color w:val="auto"/>
                <w:szCs w:val="21"/>
              </w:rPr>
              <w:t>（格式自拟）；（</w:t>
            </w:r>
            <w:r>
              <w:rPr>
                <w:rFonts w:hint="eastAsia" w:cs="宋体" w:asciiTheme="minorEastAsia" w:hAnsiTheme="minorEastAsia" w:eastAsiaTheme="minorEastAsia"/>
                <w:b/>
                <w:color w:val="auto"/>
                <w:szCs w:val="21"/>
              </w:rPr>
              <w:t>必须提供，否则响应文件按无效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r>
              <w:rPr>
                <w:rFonts w:hint="eastAsia" w:cs="宋体" w:asciiTheme="minorEastAsia" w:hAnsiTheme="minorEastAsia" w:eastAsiaTheme="minorEastAsia"/>
                <w:color w:val="auto"/>
                <w:szCs w:val="21"/>
              </w:rPr>
              <w:t>）</w:t>
            </w:r>
          </w:p>
          <w:bookmarkEnd w:id="82"/>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9.</w:t>
            </w:r>
            <w:bookmarkStart w:id="83" w:name="OLE_LINK30"/>
            <w:r>
              <w:rPr>
                <w:rFonts w:hint="eastAsia" w:cs="宋体" w:asciiTheme="minorEastAsia" w:hAnsiTheme="minorEastAsia" w:eastAsiaTheme="minorEastAsia"/>
                <w:color w:val="auto"/>
                <w:szCs w:val="21"/>
              </w:rPr>
              <w:t>“采购需求”需提供的有效证明文件</w:t>
            </w:r>
            <w:r>
              <w:rPr>
                <w:rFonts w:hint="eastAsia" w:cs="宋体" w:asciiTheme="minorEastAsia" w:hAnsiTheme="minorEastAsia" w:eastAsiaTheme="minorEastAsia"/>
                <w:b/>
                <w:bCs/>
                <w:color w:val="auto"/>
                <w:szCs w:val="21"/>
              </w:rPr>
              <w:t>（按要求提供）</w:t>
            </w:r>
            <w:bookmarkEnd w:id="83"/>
            <w:r>
              <w:rPr>
                <w:rFonts w:hint="eastAsia" w:cs="宋体" w:asciiTheme="minorEastAsia" w:hAnsiTheme="minorEastAsia" w:eastAsiaTheme="minorEastAsia"/>
                <w:color w:val="auto"/>
                <w:szCs w:val="21"/>
              </w:rPr>
              <w:t>；</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10.供应商认为需要提供的其他有关资料。</w:t>
            </w:r>
          </w:p>
          <w:p>
            <w:pPr>
              <w:snapToGrid w:val="0"/>
              <w:spacing w:line="360" w:lineRule="auto"/>
              <w:ind w:firstLine="211" w:firstLineChars="100"/>
              <w:jc w:val="left"/>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注：以上标明“必须提供”材料复印件的，必须加盖供应商</w:t>
            </w:r>
            <w:r>
              <w:rPr>
                <w:rFonts w:hint="eastAsia" w:asciiTheme="minorEastAsia" w:hAnsiTheme="minorEastAsia" w:eastAsiaTheme="minorEastAsia"/>
                <w:b/>
                <w:bCs/>
                <w:color w:val="auto"/>
                <w:szCs w:val="21"/>
              </w:rPr>
              <w:t>电子签章</w:t>
            </w:r>
            <w:r>
              <w:rPr>
                <w:rFonts w:hint="eastAsia" w:cs="宋体" w:asciiTheme="minorEastAsia" w:hAnsiTheme="minorEastAsia" w:eastAsiaTheme="minorEastAsia"/>
                <w:b/>
                <w:color w:val="auto"/>
                <w:szCs w:val="21"/>
              </w:rPr>
              <w:t>，否则响应文件按无效</w:t>
            </w:r>
            <w:r>
              <w:rPr>
                <w:rFonts w:hint="eastAsia" w:cs="宋体" w:asciiTheme="minorEastAsia" w:hAnsiTheme="minorEastAsia" w:eastAsiaTheme="minorEastAsia"/>
                <w:b/>
                <w:bCs/>
                <w:color w:val="auto"/>
                <w:szCs w:val="21"/>
              </w:rPr>
              <w:t>响应</w:t>
            </w:r>
            <w:r>
              <w:rPr>
                <w:rFonts w:hint="eastAsia" w:cs="宋体" w:asciiTheme="minorEastAsia" w:hAnsiTheme="minorEastAsia" w:eastAsiaTheme="minorEastAsia"/>
                <w:b/>
                <w:color w:val="auto"/>
                <w:szCs w:val="21"/>
              </w:rPr>
              <w:t>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15.2</w:t>
            </w:r>
          </w:p>
        </w:tc>
        <w:tc>
          <w:tcPr>
            <w:tcW w:w="7912" w:type="dxa"/>
            <w:vAlign w:val="center"/>
          </w:tcPr>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竞标报价包括</w:t>
            </w:r>
            <w:r>
              <w:rPr>
                <w:rFonts w:asciiTheme="minorEastAsia" w:hAnsiTheme="minorEastAsia" w:eastAsiaTheme="minorEastAsia"/>
                <w:color w:val="auto"/>
                <w:szCs w:val="21"/>
              </w:rPr>
              <w:t>货物及货物运抵指定交货地点的各种费用和售后服务、税金、验收检验及其它所有费用的总和</w:t>
            </w:r>
            <w:r>
              <w:rPr>
                <w:rFonts w:hint="eastAsia" w:cs="宋体" w:asciiTheme="minorEastAsia" w:hAnsiTheme="minorEastAsia" w:eastAsiaTheme="minorEastAsia"/>
                <w:color w:val="auto"/>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w:t>
            </w:r>
            <w:r>
              <w:rPr>
                <w:rFonts w:cs="宋体" w:asciiTheme="minorEastAsia" w:hAnsiTheme="minorEastAsia" w:eastAsiaTheme="minorEastAsia"/>
                <w:color w:val="auto"/>
                <w:szCs w:val="21"/>
              </w:rPr>
              <w:t>2</w:t>
            </w:r>
          </w:p>
        </w:tc>
        <w:tc>
          <w:tcPr>
            <w:tcW w:w="7912" w:type="dxa"/>
            <w:vAlign w:val="center"/>
          </w:tcPr>
          <w:p>
            <w:pPr>
              <w:pStyle w:val="6"/>
              <w:widowControl w:val="0"/>
              <w:tabs>
                <w:tab w:val="clear" w:pos="454"/>
              </w:tabs>
              <w:snapToGrid w:val="0"/>
              <w:spacing w:afterLines="0" w:line="360" w:lineRule="auto"/>
              <w:ind w:left="283" w:hanging="283" w:hangingChars="135"/>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竞标有效期：自首次响应文件提交截止之日起</w:t>
            </w:r>
            <w:r>
              <w:rPr>
                <w:rFonts w:hint="eastAsia" w:cs="宋体" w:asciiTheme="minorEastAsia" w:hAnsiTheme="minorEastAsia" w:eastAsiaTheme="minorEastAsia"/>
                <w:color w:val="auto"/>
                <w:kern w:val="2"/>
                <w:sz w:val="21"/>
                <w:szCs w:val="21"/>
                <w:u w:val="single"/>
              </w:rPr>
              <w:t>90</w:t>
            </w:r>
            <w:r>
              <w:rPr>
                <w:rFonts w:hint="eastAsia" w:cs="宋体" w:asciiTheme="minorEastAsia" w:hAnsiTheme="minorEastAsia" w:eastAsiaTheme="minorEastAsia"/>
                <w:color w:val="auto"/>
                <w:kern w:val="2"/>
                <w:sz w:val="21"/>
                <w:szCs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17.1</w:t>
            </w:r>
          </w:p>
        </w:tc>
        <w:tc>
          <w:tcPr>
            <w:tcW w:w="7912" w:type="dxa"/>
            <w:vAlign w:val="center"/>
          </w:tcPr>
          <w:p>
            <w:pPr>
              <w:autoSpaceDE w:val="0"/>
              <w:autoSpaceDN w:val="0"/>
              <w:snapToGrid w:val="0"/>
              <w:spacing w:line="360" w:lineRule="auto"/>
              <w:textAlignment w:val="bottom"/>
              <w:rPr>
                <w:rFonts w:asciiTheme="minorEastAsia" w:hAnsiTheme="minorEastAsia" w:eastAsiaTheme="minorEastAsia"/>
                <w:color w:val="auto"/>
                <w:szCs w:val="21"/>
              </w:rPr>
            </w:pPr>
            <w:r>
              <w:rPr>
                <w:rFonts w:hint="eastAsia" w:asciiTheme="minorEastAsia" w:hAnsiTheme="minorEastAsia" w:eastAsiaTheme="minorEastAsia"/>
                <w:color w:val="auto"/>
                <w:szCs w:val="21"/>
              </w:rPr>
              <w:t>□本项目不收取谈判保证金。</w:t>
            </w:r>
          </w:p>
          <w:p>
            <w:pPr>
              <w:snapToGrid w:val="0"/>
              <w:spacing w:line="360" w:lineRule="auto"/>
              <w:rPr>
                <w:rFonts w:asciiTheme="minorEastAsia" w:hAnsiTheme="minorEastAsia" w:eastAsiaTheme="minorEastAsia"/>
                <w:color w:val="auto"/>
                <w:szCs w:val="21"/>
              </w:rPr>
            </w:pPr>
            <w:r>
              <w:rPr>
                <w:rFonts w:hint="eastAsia" w:ascii="MS Mincho" w:hAnsi="MS Mincho" w:eastAsia="MS Mincho" w:cs="MS Mincho"/>
                <w:color w:val="auto"/>
                <w:szCs w:val="21"/>
              </w:rPr>
              <w:t>☑</w:t>
            </w:r>
            <w:r>
              <w:rPr>
                <w:rFonts w:hint="eastAsia" w:ascii="宋体" w:hAnsi="宋体" w:cs="宋体"/>
                <w:color w:val="auto"/>
                <w:szCs w:val="21"/>
              </w:rPr>
              <w:t>本项目收取谈判保证金，具体规定如下：</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谈判保证金：</w:t>
            </w:r>
            <w:r>
              <w:rPr>
                <w:rFonts w:hint="eastAsia" w:cs="宋体" w:asciiTheme="minorEastAsia" w:hAnsiTheme="minorEastAsia" w:eastAsiaTheme="minorEastAsia"/>
                <w:b/>
                <w:color w:val="auto"/>
                <w:kern w:val="0"/>
                <w:szCs w:val="21"/>
              </w:rPr>
              <w:t>标项一：人民币</w:t>
            </w:r>
            <w:r>
              <w:rPr>
                <w:rFonts w:hint="eastAsia" w:cs="宋体" w:asciiTheme="minorEastAsia" w:hAnsiTheme="minorEastAsia" w:eastAsiaTheme="minorEastAsia"/>
                <w:b/>
                <w:color w:val="auto"/>
                <w:kern w:val="0"/>
                <w:szCs w:val="21"/>
                <w:u w:val="single"/>
              </w:rPr>
              <w:t>壹万</w:t>
            </w:r>
            <w:r>
              <w:rPr>
                <w:rFonts w:hint="eastAsia" w:cs="宋体" w:asciiTheme="minorEastAsia" w:hAnsiTheme="minorEastAsia" w:eastAsiaTheme="minorEastAsia"/>
                <w:b/>
                <w:color w:val="auto"/>
                <w:kern w:val="0"/>
                <w:szCs w:val="21"/>
              </w:rPr>
              <w:t>元整（￥</w:t>
            </w:r>
            <w:r>
              <w:rPr>
                <w:rFonts w:hint="eastAsia" w:cs="宋体" w:asciiTheme="minorEastAsia" w:hAnsiTheme="minorEastAsia" w:eastAsiaTheme="minorEastAsia"/>
                <w:b/>
                <w:color w:val="auto"/>
                <w:kern w:val="0"/>
                <w:szCs w:val="21"/>
                <w:u w:val="single"/>
              </w:rPr>
              <w:t>10000.00）</w:t>
            </w:r>
            <w:r>
              <w:rPr>
                <w:rFonts w:hint="eastAsia" w:cs="宋体" w:asciiTheme="minorEastAsia" w:hAnsiTheme="minorEastAsia" w:eastAsiaTheme="minorEastAsia"/>
                <w:b/>
                <w:color w:val="auto"/>
                <w:kern w:val="0"/>
                <w:szCs w:val="21"/>
              </w:rPr>
              <w:t>；标项二：人民币</w:t>
            </w:r>
            <w:r>
              <w:rPr>
                <w:rFonts w:hint="eastAsia" w:cs="宋体" w:asciiTheme="minorEastAsia" w:hAnsiTheme="minorEastAsia" w:eastAsiaTheme="minorEastAsia"/>
                <w:b/>
                <w:color w:val="auto"/>
                <w:kern w:val="0"/>
                <w:szCs w:val="21"/>
                <w:u w:val="single"/>
              </w:rPr>
              <w:t>捌仟</w:t>
            </w:r>
            <w:r>
              <w:rPr>
                <w:rFonts w:hint="eastAsia" w:cs="宋体" w:asciiTheme="minorEastAsia" w:hAnsiTheme="minorEastAsia" w:eastAsiaTheme="minorEastAsia"/>
                <w:b/>
                <w:color w:val="auto"/>
                <w:kern w:val="0"/>
                <w:szCs w:val="21"/>
              </w:rPr>
              <w:t>元整（￥</w:t>
            </w:r>
            <w:r>
              <w:rPr>
                <w:rFonts w:hint="eastAsia" w:cs="宋体" w:asciiTheme="minorEastAsia" w:hAnsiTheme="minorEastAsia" w:eastAsiaTheme="minorEastAsia"/>
                <w:b/>
                <w:color w:val="auto"/>
                <w:kern w:val="0"/>
                <w:szCs w:val="21"/>
                <w:u w:val="single"/>
              </w:rPr>
              <w:t>8000.00）</w:t>
            </w:r>
            <w:r>
              <w:rPr>
                <w:rFonts w:hint="eastAsia" w:cs="宋体" w:asciiTheme="minorEastAsia" w:hAnsiTheme="minorEastAsia" w:eastAsiaTheme="minorEastAsia"/>
                <w:bCs/>
                <w:color w:val="auto"/>
                <w:kern w:val="0"/>
                <w:szCs w:val="21"/>
              </w:rPr>
              <w:t>（须一次性足额交纳）。</w:t>
            </w:r>
          </w:p>
          <w:p>
            <w:pPr>
              <w:spacing w:line="360" w:lineRule="auto"/>
              <w:ind w:firstLine="420" w:firstLineChars="200"/>
              <w:rPr>
                <w:rFonts w:cs="宋体" w:asciiTheme="minorEastAsia" w:hAnsiTheme="minorEastAsia" w:eastAsiaTheme="minorEastAsia"/>
                <w:bCs/>
                <w:color w:val="auto"/>
                <w:kern w:val="0"/>
                <w:szCs w:val="21"/>
              </w:rPr>
            </w:pPr>
            <w:r>
              <w:rPr>
                <w:rFonts w:hint="eastAsia" w:cs="宋体" w:asciiTheme="minorEastAsia" w:hAnsiTheme="minorEastAsia" w:eastAsiaTheme="minorEastAsia"/>
                <w:bCs/>
                <w:color w:val="auto"/>
                <w:kern w:val="0"/>
                <w:szCs w:val="21"/>
              </w:rPr>
              <w:t>谈判保证金的交纳方式：银行转账、支票、汇票、本票或者金融机构、担保机构出具的保函（包含电子保函），禁止采用现钞方式。采用银行转账方式的，在响应文件提交截止时间前交至指定账户并且到账（开户名称：广西北投建信建设项目管理有限公司；开户银行：中国光大银行股份有限公司南宁东葛支行；银行账号：7888 0188 0002 4918 9，备注：</w:t>
            </w:r>
            <w:r>
              <w:rPr>
                <w:rFonts w:hint="eastAsia" w:asciiTheme="minorEastAsia" w:hAnsiTheme="minorEastAsia" w:eastAsiaTheme="minorEastAsia"/>
                <w:color w:val="auto"/>
                <w:szCs w:val="21"/>
              </w:rPr>
              <w:t>食堂运转经费保证金）</w:t>
            </w:r>
            <w:r>
              <w:rPr>
                <w:rFonts w:hint="eastAsia" w:cs="宋体" w:asciiTheme="minorEastAsia" w:hAnsiTheme="minorEastAsia" w:eastAsiaTheme="minorEastAsia"/>
                <w:bCs/>
                <w:color w:val="auto"/>
                <w:kern w:val="0"/>
                <w:szCs w:val="21"/>
              </w:rPr>
              <w:t>；采用支票、汇票、本票或者保函等方式的，在响应文件提交截止时间前，供应商必须向采购代理机构提交单独密封的支票、汇票、本票或者保函原件，否则视为无效谈判保证金。</w:t>
            </w:r>
          </w:p>
          <w:p>
            <w:pPr>
              <w:snapToGrid w:val="0"/>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相关要求：</w:t>
            </w:r>
          </w:p>
          <w:p>
            <w:pPr>
              <w:snapToGrid w:val="0"/>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1.谈判保证金采用银行转账交纳方式的，在响应文件提交截止时间前交至指定账户并且到账，供应商应将银行转账底单的复印件作为谈判保证金提交凭证，放置于商务技术文件中，</w:t>
            </w:r>
            <w:r>
              <w:rPr>
                <w:rFonts w:hint="eastAsia" w:cs="宋体" w:asciiTheme="minorEastAsia" w:hAnsiTheme="minorEastAsia" w:eastAsiaTheme="minorEastAsia"/>
                <w:b/>
                <w:color w:val="auto"/>
                <w:szCs w:val="21"/>
              </w:rPr>
              <w:t>否则响应文件按无效响应处理</w:t>
            </w:r>
            <w:r>
              <w:rPr>
                <w:rFonts w:hint="eastAsia" w:cs="宋体" w:asciiTheme="minorEastAsia" w:hAnsiTheme="minorEastAsia" w:eastAsiaTheme="minorEastAsia"/>
                <w:color w:val="auto"/>
                <w:szCs w:val="21"/>
              </w:rPr>
              <w:t>。</w:t>
            </w:r>
          </w:p>
          <w:p>
            <w:pPr>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2.谈判保证金采用支票、汇票、本票或者银行、保险机构出具的保函（包含电子保函）交纳方式的，供应商应将支票、汇票、本票或者银行、保险机构出具的保函（包含电子保函）的复印件作为谈判保证金提交凭证，放置于</w:t>
            </w:r>
            <w:r>
              <w:rPr>
                <w:rFonts w:hint="eastAsia" w:cs="宋体" w:asciiTheme="minorEastAsia" w:hAnsiTheme="minorEastAsia" w:eastAsiaTheme="minorEastAsia"/>
                <w:color w:val="auto"/>
                <w:szCs w:val="21"/>
              </w:rPr>
              <w:t>商务技术文件</w:t>
            </w:r>
            <w:r>
              <w:rPr>
                <w:rFonts w:hint="eastAsia" w:asciiTheme="minorEastAsia" w:hAnsiTheme="minorEastAsia" w:eastAsiaTheme="minorEastAsia"/>
                <w:color w:val="auto"/>
                <w:szCs w:val="21"/>
              </w:rPr>
              <w:t>中，</w:t>
            </w:r>
            <w:r>
              <w:rPr>
                <w:rFonts w:hint="eastAsia" w:cs="宋体" w:asciiTheme="minorEastAsia" w:hAnsiTheme="minorEastAsia" w:eastAsiaTheme="minorEastAsia"/>
                <w:b/>
                <w:color w:val="auto"/>
                <w:szCs w:val="21"/>
              </w:rPr>
              <w:t>否则响应文件按无效处理</w:t>
            </w:r>
            <w:r>
              <w:rPr>
                <w:rFonts w:hint="eastAsia" w:asciiTheme="minorEastAsia" w:hAnsiTheme="minorEastAsia" w:eastAsiaTheme="minorEastAsia"/>
                <w:color w:val="auto"/>
                <w:szCs w:val="21"/>
              </w:rPr>
              <w:t>。供应商必须在响应文件提交截止时间前采用现场或邮寄方式（提交地址：</w:t>
            </w:r>
            <w:r>
              <w:rPr>
                <w:rFonts w:hint="eastAsia" w:ascii="宋体" w:hAnsi="宋体"/>
                <w:color w:val="auto"/>
                <w:szCs w:val="21"/>
              </w:rPr>
              <w:t>广西桂林市秀峰区翠竹路75号鼎富大厦B座11楼</w:t>
            </w:r>
            <w:r>
              <w:rPr>
                <w:rFonts w:hint="eastAsia" w:asciiTheme="minorEastAsia" w:hAnsiTheme="minorEastAsia" w:eastAsiaTheme="minorEastAsia"/>
                <w:color w:val="auto"/>
                <w:szCs w:val="21"/>
              </w:rPr>
              <w:t>；收件人：</w:t>
            </w:r>
            <w:r>
              <w:rPr>
                <w:rFonts w:hint="eastAsia" w:ascii="宋体" w:hAnsi="宋体"/>
                <w:color w:val="auto"/>
                <w:szCs w:val="21"/>
              </w:rPr>
              <w:t>蒋如阳</w:t>
            </w:r>
            <w:r>
              <w:rPr>
                <w:rFonts w:hint="eastAsia" w:asciiTheme="minorEastAsia" w:hAnsiTheme="minorEastAsia" w:eastAsiaTheme="minorEastAsia"/>
                <w:color w:val="auto"/>
                <w:szCs w:val="21"/>
              </w:rPr>
              <w:t>，联系方式：</w:t>
            </w:r>
            <w:r>
              <w:rPr>
                <w:rFonts w:hint="eastAsia" w:ascii="宋体" w:hAnsi="宋体"/>
                <w:color w:val="auto"/>
                <w:szCs w:val="21"/>
              </w:rPr>
              <w:t>0773-2806008</w:t>
            </w:r>
            <w:r>
              <w:rPr>
                <w:rFonts w:hint="eastAsia" w:cs="宋体" w:asciiTheme="minorEastAsia" w:hAnsiTheme="minorEastAsia" w:eastAsiaTheme="minorEastAsia"/>
                <w:color w:val="auto"/>
                <w:szCs w:val="21"/>
              </w:rPr>
              <w:t>）</w:t>
            </w:r>
            <w:r>
              <w:rPr>
                <w:rFonts w:hint="eastAsia" w:asciiTheme="minorEastAsia" w:hAnsiTheme="minorEastAsia" w:eastAsiaTheme="minorEastAsia"/>
                <w:color w:val="auto"/>
                <w:szCs w:val="21"/>
              </w:rPr>
              <w:t>将</w:t>
            </w:r>
            <w:r>
              <w:rPr>
                <w:rFonts w:hint="eastAsia" w:cs="宋体" w:asciiTheme="minorEastAsia" w:hAnsiTheme="minorEastAsia" w:eastAsiaTheme="minorEastAsia"/>
                <w:color w:val="auto"/>
                <w:kern w:val="0"/>
                <w:szCs w:val="21"/>
              </w:rPr>
              <w:t>单独密封的</w:t>
            </w:r>
            <w:r>
              <w:rPr>
                <w:rFonts w:hint="eastAsia" w:asciiTheme="minorEastAsia" w:hAnsiTheme="minorEastAsia" w:eastAsiaTheme="minorEastAsia"/>
                <w:color w:val="auto"/>
                <w:szCs w:val="21"/>
              </w:rPr>
              <w:t>支票、汇票、本票或者银行、保险机构出具的保函原件（电子保函须提交复印件并加盖供应商公章）提交给采购代理机构。</w:t>
            </w:r>
          </w:p>
          <w:p>
            <w:pPr>
              <w:snapToGrid w:val="0"/>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3.供应商为联合体的，可以由联合体中的一方或者多方共同交纳谈判保证金，其交纳的保证金对联合体各方均具有约束力。</w:t>
            </w:r>
          </w:p>
          <w:p>
            <w:pPr>
              <w:snapToGrid w:val="0"/>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 xml:space="preserve">备注： </w:t>
            </w:r>
          </w:p>
          <w:p>
            <w:pPr>
              <w:snapToGrid w:val="0"/>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1.谈判保证金在响应文件提交截止时间后提交的，或者不按规定交纳方式交纳的，或者未足额交纳的（包含保函额度不足的），视为无效谈判保证金。</w:t>
            </w:r>
          </w:p>
          <w:p>
            <w:pPr>
              <w:snapToGrid w:val="0"/>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2.供应商采用现钞方式或者从个人账户（自然人竞标除外）转出的谈判保证金，视为无效谈判保证金。</w:t>
            </w:r>
          </w:p>
          <w:p>
            <w:pPr>
              <w:snapToGrid w:val="0"/>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3.支票、汇票或者本票出现无效或者背书情形的，视为无效谈判保证金。</w:t>
            </w:r>
          </w:p>
          <w:p>
            <w:pPr>
              <w:snapToGrid w:val="0"/>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4.保函有效期低于竞标有效期的，视为无效谈判保证金。</w:t>
            </w:r>
          </w:p>
          <w:p>
            <w:pPr>
              <w:snapToGrid w:val="0"/>
              <w:spacing w:line="360" w:lineRule="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5.谈判保证金采用银行、保险机构出具的保函（包含电子保函）为有条件保函的，视为无效谈判保证金。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19</w:t>
            </w:r>
          </w:p>
        </w:tc>
        <w:tc>
          <w:tcPr>
            <w:tcW w:w="7912" w:type="dxa"/>
            <w:vAlign w:val="center"/>
          </w:tcPr>
          <w:p>
            <w:pPr>
              <w:autoSpaceDE w:val="0"/>
              <w:autoSpaceDN w:val="0"/>
              <w:adjustRightInd w:val="0"/>
              <w:spacing w:line="360" w:lineRule="auto"/>
              <w:textAlignment w:val="bottom"/>
              <w:rPr>
                <w:rFonts w:asciiTheme="minorEastAsia" w:hAnsiTheme="minorEastAsia" w:eastAsiaTheme="minorEastAsia"/>
                <w:color w:val="auto"/>
                <w:szCs w:val="21"/>
              </w:rPr>
            </w:pPr>
            <w:r>
              <w:rPr>
                <w:rFonts w:hint="eastAsia" w:ascii="MS Mincho" w:hAnsi="MS Mincho" w:eastAsia="MS Mincho" w:cs="MS Mincho"/>
                <w:color w:val="auto"/>
                <w:szCs w:val="21"/>
              </w:rPr>
              <w:t>☑</w:t>
            </w:r>
            <w:r>
              <w:rPr>
                <w:rFonts w:hint="eastAsia" w:ascii="宋体" w:hAnsi="宋体" w:cs="宋体"/>
                <w:color w:val="auto"/>
                <w:szCs w:val="21"/>
              </w:rPr>
              <w:t>本项目不接受</w:t>
            </w:r>
            <w:r>
              <w:rPr>
                <w:rFonts w:hint="eastAsia" w:asciiTheme="minorEastAsia" w:hAnsiTheme="minorEastAsia" w:eastAsiaTheme="minorEastAsia"/>
                <w:color w:val="auto"/>
                <w:szCs w:val="21"/>
              </w:rPr>
              <w:t>电子备份响应文件；</w:t>
            </w:r>
          </w:p>
          <w:p>
            <w:pPr>
              <w:autoSpaceDE w:val="0"/>
              <w:autoSpaceDN w:val="0"/>
              <w:adjustRightInd w:val="0"/>
              <w:spacing w:line="360" w:lineRule="auto"/>
              <w:textAlignment w:val="bottom"/>
              <w:rPr>
                <w:rFonts w:asciiTheme="minorEastAsia" w:hAnsiTheme="minorEastAsia" w:eastAsiaTheme="minorEastAsia"/>
                <w:color w:val="auto"/>
                <w:szCs w:val="21"/>
              </w:rPr>
            </w:pPr>
            <w:r>
              <w:rPr>
                <w:rFonts w:hint="eastAsia" w:asciiTheme="minorEastAsia" w:hAnsiTheme="minorEastAsia" w:eastAsiaTheme="minorEastAsia"/>
                <w:color w:val="auto"/>
                <w:szCs w:val="21"/>
              </w:rPr>
              <w:t>□本项目接受电子备份响应文件。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20.1</w:t>
            </w:r>
          </w:p>
        </w:tc>
        <w:tc>
          <w:tcPr>
            <w:tcW w:w="7912" w:type="dxa"/>
            <w:vAlign w:val="center"/>
          </w:tcPr>
          <w:p>
            <w:pPr>
              <w:spacing w:line="360" w:lineRule="auto"/>
              <w:contextualSpacing/>
              <w:jc w:val="left"/>
              <w:rPr>
                <w:rFonts w:cs="宋体" w:asciiTheme="minorEastAsia" w:hAnsiTheme="minorEastAsia" w:eastAsiaTheme="minorEastAsia"/>
                <w:color w:val="auto"/>
                <w:szCs w:val="21"/>
                <w:u w:val="single"/>
              </w:rPr>
            </w:pPr>
            <w:r>
              <w:rPr>
                <w:rFonts w:hint="eastAsia" w:cs="宋体" w:asciiTheme="minorEastAsia" w:hAnsiTheme="minorEastAsia" w:eastAsiaTheme="minorEastAsia"/>
                <w:color w:val="auto"/>
                <w:szCs w:val="21"/>
              </w:rPr>
              <w:t>响应文件提交截止时间：详见竞争性谈判公告。</w:t>
            </w:r>
          </w:p>
          <w:p>
            <w:pPr>
              <w:spacing w:line="360" w:lineRule="auto"/>
              <w:contextualSpacing/>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响应文件提交地点：详见竞争性谈判公告。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24.1</w:t>
            </w:r>
          </w:p>
        </w:tc>
        <w:tc>
          <w:tcPr>
            <w:tcW w:w="7912" w:type="dxa"/>
            <w:vAlign w:val="center"/>
          </w:tcPr>
          <w:p>
            <w:pPr>
              <w:snapToGrid w:val="0"/>
              <w:spacing w:line="360" w:lineRule="auto"/>
              <w:jc w:val="left"/>
              <w:rPr>
                <w:rFonts w:cs="宋体" w:asciiTheme="minorEastAsia" w:hAnsiTheme="minorEastAsia" w:eastAsiaTheme="minorEastAsia"/>
                <w:color w:val="auto"/>
                <w:szCs w:val="21"/>
                <w:u w:val="single"/>
              </w:rPr>
            </w:pPr>
            <w:r>
              <w:rPr>
                <w:rFonts w:hint="eastAsia" w:cs="宋体" w:asciiTheme="minorEastAsia" w:hAnsiTheme="minorEastAsia" w:eastAsiaTheme="minorEastAsia"/>
                <w:color w:val="auto"/>
                <w:szCs w:val="21"/>
              </w:rPr>
              <w:t>谈判小组的人数：</w:t>
            </w:r>
            <w:r>
              <w:rPr>
                <w:rFonts w:hint="eastAsia" w:cs="宋体" w:asciiTheme="minorEastAsia" w:hAnsiTheme="minorEastAsia" w:eastAsiaTheme="minorEastAsia"/>
                <w:color w:val="auto"/>
                <w:szCs w:val="21"/>
                <w:u w:val="single"/>
              </w:rPr>
              <w:t xml:space="preserve"> 3</w:t>
            </w:r>
            <w:r>
              <w:rPr>
                <w:rFonts w:hint="eastAsia" w:cs="宋体" w:asciiTheme="minorEastAsia" w:hAnsiTheme="minorEastAsia" w:eastAsiaTheme="minorEastAsia"/>
                <w:color w:val="auto"/>
                <w:szCs w:val="2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w:t>
            </w:r>
            <w:r>
              <w:rPr>
                <w:rFonts w:cs="宋体" w:asciiTheme="minorEastAsia" w:hAnsiTheme="minorEastAsia" w:eastAsiaTheme="minorEastAsia"/>
                <w:color w:val="auto"/>
                <w:szCs w:val="21"/>
              </w:rPr>
              <w:t>5</w:t>
            </w:r>
          </w:p>
        </w:tc>
        <w:tc>
          <w:tcPr>
            <w:tcW w:w="7912" w:type="dxa"/>
            <w:vAlign w:val="center"/>
          </w:tcPr>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首次响应文件开启时间详见“竞争性谈判公告”</w:t>
            </w:r>
          </w:p>
          <w:p>
            <w:pPr>
              <w:snapToGrid w:val="0"/>
              <w:spacing w:line="360" w:lineRule="auto"/>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首次响应文件解密时间：</w:t>
            </w:r>
            <w:r>
              <w:rPr>
                <w:rFonts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u w:val="single"/>
              </w:rPr>
              <w:t>30</w:t>
            </w:r>
            <w:r>
              <w:rPr>
                <w:rFonts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 w:hRule="atLeast"/>
          <w:jc w:val="center"/>
        </w:trPr>
        <w:tc>
          <w:tcPr>
            <w:tcW w:w="992" w:type="dxa"/>
            <w:vMerge w:val="restart"/>
            <w:vAlign w:val="center"/>
          </w:tcPr>
          <w:p>
            <w:pPr>
              <w:spacing w:line="360" w:lineRule="auto"/>
              <w:jc w:val="center"/>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26</w:t>
            </w:r>
          </w:p>
        </w:tc>
        <w:tc>
          <w:tcPr>
            <w:tcW w:w="7912" w:type="dxa"/>
            <w:vAlign w:val="center"/>
          </w:tcPr>
          <w:p>
            <w:pPr>
              <w:spacing w:line="360" w:lineRule="auto"/>
              <w:contextualSpacing/>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评审价相同时，按照最后报价由低到高顺序依次推荐；最后报价相同时，按以下原则确定成交候选人的顺序：</w:t>
            </w:r>
          </w:p>
          <w:p>
            <w:pPr>
              <w:spacing w:line="360" w:lineRule="auto"/>
              <w:contextualSpacing/>
              <w:rPr>
                <w:rFonts w:cs="宋体" w:asciiTheme="minorEastAsia" w:hAnsiTheme="minorEastAsia"/>
                <w:iCs/>
                <w:color w:val="auto"/>
                <w:szCs w:val="21"/>
              </w:rPr>
            </w:pPr>
            <w:r>
              <w:rPr>
                <w:rFonts w:hint="eastAsia" w:ascii="MS Mincho" w:hAnsi="MS Mincho" w:eastAsia="MS Mincho" w:cs="MS Mincho"/>
                <w:iCs/>
                <w:color w:val="auto"/>
                <w:szCs w:val="21"/>
              </w:rPr>
              <w:t>☑</w:t>
            </w:r>
            <w:r>
              <w:rPr>
                <w:rFonts w:hint="eastAsia" w:ascii="宋体" w:hAnsi="宋体" w:cs="宋体"/>
                <w:color w:val="auto"/>
                <w:szCs w:val="21"/>
              </w:rPr>
              <w:t>技术参数正偏离项数多的优先、质保期长优先、交付时间（交货期）短优先、响应时间短优先的顺序排列。</w:t>
            </w:r>
          </w:p>
          <w:p>
            <w:pPr>
              <w:snapToGrid w:val="0"/>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iCs/>
                <w:color w:val="auto"/>
                <w:szCs w:val="21"/>
              </w:rPr>
              <w:t>□由谈判小组推荐代表随机抽取。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cs="宋体" w:asciiTheme="minorEastAsia" w:hAnsiTheme="minorEastAsia" w:eastAsiaTheme="minorEastAsia"/>
                <w:color w:val="auto"/>
                <w:szCs w:val="21"/>
              </w:rPr>
            </w:pPr>
          </w:p>
        </w:tc>
        <w:tc>
          <w:tcPr>
            <w:tcW w:w="7912" w:type="dxa"/>
            <w:vAlign w:val="center"/>
          </w:tcPr>
          <w:p>
            <w:pPr>
              <w:snapToGrid w:val="0"/>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商务要求评审中允许负偏离的条款数为</w:t>
            </w:r>
            <w:r>
              <w:rPr>
                <w:rFonts w:hint="eastAsia" w:cs="宋体" w:asciiTheme="minorEastAsia" w:hAnsiTheme="minorEastAsia" w:eastAsiaTheme="minorEastAsia"/>
                <w:color w:val="auto"/>
                <w:szCs w:val="21"/>
                <w:u w:val="single"/>
              </w:rPr>
              <w:t xml:space="preserve"> 0 </w:t>
            </w:r>
            <w:r>
              <w:rPr>
                <w:rFonts w:hint="eastAsia" w:cs="宋体" w:asciiTheme="minorEastAsia" w:hAnsiTheme="minorEastAsia" w:eastAsiaTheme="minorEastAsia"/>
                <w:color w:val="auto"/>
                <w:szCs w:val="21"/>
              </w:rPr>
              <w:t>项。</w:t>
            </w:r>
          </w:p>
          <w:p>
            <w:pPr>
              <w:snapToGrid w:val="0"/>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技术要求评审中允许负偏离的条款数为</w:t>
            </w:r>
            <w:r>
              <w:rPr>
                <w:rFonts w:hint="eastAsia" w:cs="宋体" w:asciiTheme="minorEastAsia" w:hAnsiTheme="minorEastAsia" w:eastAsiaTheme="minorEastAsia"/>
                <w:color w:val="auto"/>
                <w:szCs w:val="21"/>
                <w:u w:val="single"/>
              </w:rPr>
              <w:t>0</w:t>
            </w:r>
            <w:r>
              <w:rPr>
                <w:rFonts w:hint="eastAsia" w:cs="宋体" w:asciiTheme="minorEastAsia" w:hAnsiTheme="minorEastAsia" w:eastAsiaTheme="minorEastAsia"/>
                <w:color w:val="auto"/>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28.1</w:t>
            </w:r>
          </w:p>
        </w:tc>
        <w:tc>
          <w:tcPr>
            <w:tcW w:w="7912" w:type="dxa"/>
            <w:vAlign w:val="center"/>
          </w:tcPr>
          <w:p>
            <w:pPr>
              <w:autoSpaceDE w:val="0"/>
              <w:autoSpaceDN w:val="0"/>
              <w:snapToGrid w:val="0"/>
              <w:spacing w:line="360" w:lineRule="auto"/>
              <w:textAlignment w:val="bottom"/>
              <w:rPr>
                <w:rFonts w:asciiTheme="minorEastAsia" w:hAnsiTheme="minorEastAsia" w:eastAsiaTheme="minorEastAsia"/>
                <w:color w:val="auto"/>
                <w:szCs w:val="21"/>
              </w:rPr>
            </w:pPr>
            <w:r>
              <w:rPr>
                <w:rFonts w:hint="eastAsia" w:asciiTheme="minorEastAsia" w:hAnsiTheme="minorEastAsia" w:eastAsiaTheme="minorEastAsia"/>
                <w:color w:val="auto"/>
                <w:szCs w:val="21"/>
              </w:rPr>
              <w:t>□本项目不收取履约保证金。</w:t>
            </w:r>
          </w:p>
          <w:p>
            <w:pPr>
              <w:autoSpaceDE w:val="0"/>
              <w:autoSpaceDN w:val="0"/>
              <w:snapToGrid w:val="0"/>
              <w:spacing w:line="360" w:lineRule="auto"/>
              <w:textAlignment w:val="bottom"/>
              <w:rPr>
                <w:rFonts w:asciiTheme="minorEastAsia" w:hAnsiTheme="minorEastAsia" w:eastAsiaTheme="minorEastAsia"/>
                <w:color w:val="auto"/>
                <w:szCs w:val="21"/>
              </w:rPr>
            </w:pPr>
            <w:r>
              <w:rPr>
                <w:rFonts w:hint="eastAsia" w:ascii="MS Mincho" w:hAnsi="MS Mincho" w:eastAsia="MS Mincho" w:cs="MS Mincho"/>
                <w:color w:val="auto"/>
                <w:szCs w:val="21"/>
              </w:rPr>
              <w:t>☑</w:t>
            </w:r>
            <w:r>
              <w:rPr>
                <w:rFonts w:hint="eastAsia" w:asciiTheme="minorEastAsia" w:hAnsiTheme="minorEastAsia" w:eastAsiaTheme="minorEastAsia"/>
                <w:color w:val="auto"/>
                <w:szCs w:val="21"/>
              </w:rPr>
              <w:t>本项目收取履约保证金，具体规定如下：</w:t>
            </w:r>
          </w:p>
          <w:p>
            <w:pPr>
              <w:spacing w:line="360" w:lineRule="auto"/>
              <w:rPr>
                <w:rFonts w:cs="宋体" w:asciiTheme="minorEastAsia" w:hAnsiTheme="minorEastAsia" w:eastAsiaTheme="minorEastAsia"/>
                <w:b/>
                <w:bCs/>
                <w:color w:val="auto"/>
                <w:szCs w:val="21"/>
                <w:u w:val="single"/>
              </w:rPr>
            </w:pPr>
            <w:r>
              <w:rPr>
                <w:rFonts w:hint="eastAsia" w:cs="宋体" w:asciiTheme="minorEastAsia" w:hAnsiTheme="minorEastAsia" w:eastAsiaTheme="minorEastAsia"/>
                <w:color w:val="auto"/>
                <w:szCs w:val="21"/>
              </w:rPr>
              <w:t>履约保证金金额：</w:t>
            </w:r>
            <w:r>
              <w:rPr>
                <w:rFonts w:hint="eastAsia" w:cs="宋体" w:asciiTheme="minorEastAsia" w:hAnsiTheme="minorEastAsia" w:eastAsiaTheme="minorEastAsia"/>
                <w:b/>
                <w:bCs/>
                <w:color w:val="auto"/>
                <w:szCs w:val="21"/>
                <w:u w:val="single"/>
              </w:rPr>
              <w:t>标项采购预算×成交折扣系数×2%</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履约保证金提交方式：银行转账、支票、汇票、本票或者银行、保险机构出具的保函等非现金方式。</w:t>
            </w:r>
          </w:p>
          <w:p>
            <w:pPr>
              <w:autoSpaceDE w:val="0"/>
              <w:autoSpaceDN w:val="0"/>
              <w:snapToGrid w:val="0"/>
              <w:spacing w:line="360" w:lineRule="auto"/>
              <w:textAlignment w:val="bottom"/>
              <w:rPr>
                <w:rFonts w:asciiTheme="minorEastAsia" w:hAnsiTheme="minorEastAsia" w:eastAsiaTheme="minorEastAsia"/>
                <w:color w:val="auto"/>
                <w:szCs w:val="21"/>
              </w:rPr>
            </w:pPr>
            <w:r>
              <w:rPr>
                <w:rFonts w:hint="eastAsia" w:asciiTheme="minorEastAsia" w:hAnsiTheme="minorEastAsia" w:eastAsiaTheme="minorEastAsia"/>
                <w:color w:val="auto"/>
                <w:szCs w:val="21"/>
              </w:rPr>
              <w:t>履约保证金缴纳期限：</w:t>
            </w:r>
            <w:r>
              <w:rPr>
                <w:rFonts w:hint="eastAsia" w:asciiTheme="minorEastAsia" w:hAnsiTheme="minorEastAsia" w:eastAsiaTheme="minorEastAsia"/>
                <w:color w:val="auto"/>
                <w:szCs w:val="21"/>
                <w:u w:val="single"/>
              </w:rPr>
              <w:t>签订合同前</w:t>
            </w:r>
            <w:r>
              <w:rPr>
                <w:rFonts w:hint="eastAsia" w:asciiTheme="minorEastAsia" w:hAnsiTheme="minorEastAsia" w:eastAsiaTheme="minorEastAsia"/>
                <w:color w:val="auto"/>
                <w:szCs w:val="21"/>
              </w:rPr>
              <w:t>。</w:t>
            </w:r>
          </w:p>
          <w:p>
            <w:pPr>
              <w:spacing w:line="360" w:lineRule="auto"/>
              <w:rPr>
                <w:rFonts w:cs="宋体" w:asciiTheme="minorEastAsia" w:hAnsiTheme="minorEastAsia" w:eastAsiaTheme="minorEastAsia"/>
                <w:color w:val="auto"/>
                <w:szCs w:val="21"/>
                <w:u w:val="single"/>
              </w:rPr>
            </w:pPr>
            <w:r>
              <w:rPr>
                <w:rFonts w:hint="eastAsia" w:cs="宋体" w:asciiTheme="minorEastAsia" w:hAnsiTheme="minorEastAsia" w:eastAsiaTheme="minorEastAsia"/>
                <w:color w:val="auto"/>
                <w:szCs w:val="21"/>
              </w:rPr>
              <w:t>履约保证金退付方式、时间及条件：</w:t>
            </w:r>
            <w:r>
              <w:rPr>
                <w:rFonts w:hint="eastAsia" w:cs="宋体" w:asciiTheme="minorEastAsia" w:hAnsiTheme="minorEastAsia" w:eastAsiaTheme="minorEastAsia"/>
                <w:color w:val="auto"/>
                <w:szCs w:val="21"/>
                <w:u w:val="single"/>
              </w:rPr>
              <w:t xml:space="preserve"> 由成交供应商向履约保证金收取单位提供《广西壮族自治区政府采购项目合同验收书》（详见桂财采〔2015〕22号），保证金收取单位在收到合格材料后5个工作日内办理退还手续（不计利息） 。</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履约保证金指定账户：</w:t>
            </w:r>
          </w:p>
          <w:p>
            <w:pPr>
              <w:spacing w:line="360" w:lineRule="auto"/>
              <w:contextualSpacing/>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开户名称：</w:t>
            </w:r>
            <w:r>
              <w:rPr>
                <w:rFonts w:hint="eastAsia" w:cs="宋体" w:asciiTheme="minorEastAsia" w:hAnsiTheme="minorEastAsia" w:eastAsiaTheme="minorEastAsia"/>
                <w:color w:val="auto"/>
                <w:szCs w:val="21"/>
                <w:u w:val="single"/>
              </w:rPr>
              <w:t>广西壮族自治区英山监狱</w:t>
            </w:r>
          </w:p>
          <w:p>
            <w:pPr>
              <w:spacing w:line="360" w:lineRule="auto"/>
              <w:contextualSpacing/>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w:t>
            </w:r>
            <w:r>
              <w:rPr>
                <w:rFonts w:hint="eastAsia" w:ascii="宋体" w:hAnsi="宋体" w:cs="宋体"/>
                <w:color w:val="auto"/>
                <w:szCs w:val="21"/>
                <w:u w:val="single"/>
              </w:rPr>
              <w:t>农行桂林横塘支行</w:t>
            </w:r>
          </w:p>
          <w:p>
            <w:pPr>
              <w:spacing w:line="360" w:lineRule="auto"/>
              <w:contextualSpacing/>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银行账号：</w:t>
            </w:r>
            <w:r>
              <w:rPr>
                <w:rFonts w:ascii="宋体" w:hAnsi="宋体" w:cs="宋体"/>
                <w:color w:val="auto"/>
                <w:szCs w:val="21"/>
                <w:u w:val="single"/>
              </w:rPr>
              <w:t>20215301040000682</w:t>
            </w:r>
          </w:p>
          <w:p>
            <w:pPr>
              <w:spacing w:line="360" w:lineRule="auto"/>
              <w:contextualSpacing/>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备注：</w:t>
            </w:r>
          </w:p>
          <w:p>
            <w:pPr>
              <w:spacing w:line="360" w:lineRule="auto"/>
              <w:contextualSpacing/>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szCs w:val="21"/>
              </w:rPr>
              <w:t>1</w:t>
            </w:r>
            <w:r>
              <w:rPr>
                <w:rFonts w:cs="宋体" w:asciiTheme="minorEastAsia" w:hAnsiTheme="minorEastAsia" w:eastAsiaTheme="minorEastAsia"/>
                <w:b/>
                <w:color w:val="auto"/>
                <w:szCs w:val="21"/>
              </w:rPr>
              <w:t>.</w:t>
            </w:r>
            <w:r>
              <w:rPr>
                <w:rFonts w:hint="eastAsia" w:asciiTheme="minorEastAsia" w:hAnsiTheme="minorEastAsia" w:eastAsiaTheme="minorEastAsia"/>
                <w:b/>
                <w:color w:val="auto"/>
                <w:szCs w:val="21"/>
              </w:rPr>
              <w:t xml:space="preserve"> </w:t>
            </w:r>
            <w:r>
              <w:rPr>
                <w:rFonts w:hint="eastAsia" w:hAnsi="宋体"/>
                <w:b/>
                <w:color w:val="auto"/>
              </w:rPr>
              <w:t>根据《广西壮族自治区财政厅关于持续优化政府采购营商环境推动高质量发展的通知》（桂财采〔2024〕55号）规定，鼓励采购人在与中小微企业签订政府采购合同时，可根据供应商的资信等情况减免履约保证金，有必要收取履约保证金的，收取的履约保证金不得超过政府采购合同金额的2%。</w:t>
            </w:r>
          </w:p>
          <w:p>
            <w:pPr>
              <w:spacing w:line="360" w:lineRule="auto"/>
              <w:contextualSpacing/>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2</w:t>
            </w:r>
            <w:r>
              <w:rPr>
                <w:rFonts w:cs="宋体" w:asciiTheme="minorEastAsia" w:hAnsiTheme="minorEastAsia" w:eastAsiaTheme="minorEastAsia"/>
                <w:b/>
                <w:color w:val="auto"/>
                <w:szCs w:val="21"/>
              </w:rPr>
              <w:t>.</w:t>
            </w:r>
            <w:r>
              <w:rPr>
                <w:rFonts w:hint="eastAsia" w:asciiTheme="minorEastAsia" w:hAnsiTheme="minorEastAsia" w:eastAsiaTheme="minorEastAsia"/>
                <w:b/>
                <w:color w:val="auto"/>
                <w:szCs w:val="21"/>
              </w:rPr>
              <w:t xml:space="preserve">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cs="宋体" w:asciiTheme="minorEastAsia" w:hAnsiTheme="minorEastAsia" w:eastAsiaTheme="minorEastAsia"/>
                <w:b/>
                <w:color w:val="auto"/>
                <w:szCs w:val="21"/>
              </w:rPr>
              <w:t>3.</w:t>
            </w:r>
            <w:r>
              <w:rPr>
                <w:rFonts w:hint="eastAsia" w:cs="宋体" w:asciiTheme="minorEastAsia" w:hAnsiTheme="minorEastAsia" w:eastAsiaTheme="minorEastAsia"/>
                <w:b/>
                <w:color w:val="auto"/>
                <w:szCs w:val="21"/>
              </w:rPr>
              <w:t>采用银行、保险机构出具的保函的，必须为无条件保函，否则不予签订合同。</w:t>
            </w:r>
          </w:p>
          <w:p>
            <w:pPr>
              <w:snapToGrid w:val="0"/>
              <w:spacing w:line="360" w:lineRule="auto"/>
              <w:rPr>
                <w:rFonts w:cs="宋体" w:asciiTheme="minorEastAsia" w:hAnsiTheme="minorEastAsia" w:eastAsiaTheme="minorEastAsia"/>
                <w:color w:val="auto"/>
                <w:szCs w:val="21"/>
              </w:rPr>
            </w:pPr>
            <w:r>
              <w:rPr>
                <w:rFonts w:cs="宋体" w:asciiTheme="minorEastAsia" w:hAnsiTheme="minorEastAsia" w:eastAsiaTheme="minorEastAsia"/>
                <w:b/>
                <w:color w:val="auto"/>
                <w:szCs w:val="21"/>
              </w:rPr>
              <w:t>4.</w:t>
            </w:r>
            <w:r>
              <w:rPr>
                <w:rFonts w:hint="eastAsia" w:cs="宋体" w:asciiTheme="minorEastAsia" w:hAnsiTheme="minorEastAsia" w:eastAsiaTheme="minorEastAsia"/>
                <w:b/>
                <w:color w:val="auto"/>
                <w:szCs w:val="21"/>
              </w:rPr>
              <w:t>供应商为联合体的，由联合体任意一方按规定提交的履约保证金，视为有效履约保证金。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29</w:t>
            </w:r>
            <w:r>
              <w:rPr>
                <w:rFonts w:hint="eastAsia" w:cs="宋体" w:asciiTheme="minorEastAsia" w:hAnsiTheme="minorEastAsia" w:eastAsiaTheme="minorEastAsia"/>
                <w:color w:val="auto"/>
                <w:szCs w:val="21"/>
              </w:rPr>
              <w:t>.1</w:t>
            </w:r>
          </w:p>
        </w:tc>
        <w:tc>
          <w:tcPr>
            <w:tcW w:w="7912" w:type="dxa"/>
            <w:vAlign w:val="center"/>
          </w:tcPr>
          <w:p>
            <w:pPr>
              <w:autoSpaceDE w:val="0"/>
              <w:autoSpaceDN w:val="0"/>
              <w:snapToGrid w:val="0"/>
              <w:spacing w:line="360" w:lineRule="auto"/>
              <w:textAlignment w:val="bottom"/>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签订合同携带的证明材料： </w:t>
            </w:r>
          </w:p>
          <w:p>
            <w:pPr>
              <w:autoSpaceDE w:val="0"/>
              <w:autoSpaceDN w:val="0"/>
              <w:snapToGrid w:val="0"/>
              <w:spacing w:line="360" w:lineRule="auto"/>
              <w:textAlignment w:val="bottom"/>
              <w:rPr>
                <w:rFonts w:asciiTheme="minorEastAsia" w:hAnsiTheme="minorEastAsia" w:eastAsiaTheme="minorEastAsia"/>
                <w:color w:val="auto"/>
                <w:szCs w:val="21"/>
              </w:rPr>
            </w:pPr>
            <w:r>
              <w:rPr>
                <w:rFonts w:hint="eastAsia" w:asciiTheme="minorEastAsia" w:hAnsiTheme="minorEastAsia" w:eastAsiaTheme="minorEastAsia"/>
                <w:color w:val="auto"/>
                <w:szCs w:val="21"/>
              </w:rPr>
              <w:t>1.委托代理人负责签订合同的，须携带授权委托书及委托代理人身份证原件等其他资格证件。</w:t>
            </w:r>
          </w:p>
          <w:p>
            <w:pPr>
              <w:snapToGrid w:val="0"/>
              <w:spacing w:line="360" w:lineRule="auto"/>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2.法定代表人负责签订合同的，须携带法定代表人</w:t>
            </w:r>
            <w:r>
              <w:rPr>
                <w:rFonts w:asciiTheme="minorEastAsia" w:hAnsiTheme="minorEastAsia" w:eastAsiaTheme="minorEastAsia"/>
                <w:color w:val="auto"/>
                <w:szCs w:val="21"/>
              </w:rPr>
              <w:t>身份证明原件</w:t>
            </w:r>
            <w:r>
              <w:rPr>
                <w:rFonts w:hint="eastAsia" w:asciiTheme="minorEastAsia" w:hAnsiTheme="minorEastAsia" w:eastAsiaTheme="minorEastAsia"/>
                <w:color w:val="auto"/>
                <w:szCs w:val="21"/>
              </w:rPr>
              <w:t>及</w:t>
            </w:r>
            <w:r>
              <w:rPr>
                <w:rFonts w:asciiTheme="minorEastAsia" w:hAnsiTheme="minorEastAsia" w:eastAsiaTheme="minorEastAsia"/>
                <w:color w:val="auto"/>
                <w:szCs w:val="21"/>
              </w:rPr>
              <w:t>身份证原件</w:t>
            </w:r>
            <w:r>
              <w:rPr>
                <w:rFonts w:hint="eastAsia" w:asciiTheme="minorEastAsia" w:hAnsiTheme="minorEastAsia" w:eastAsiaTheme="minorEastAsia"/>
                <w:color w:val="auto"/>
                <w:szCs w:val="21"/>
              </w:rPr>
              <w:t>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r>
              <w:rPr>
                <w:rFonts w:cs="宋体" w:asciiTheme="minorEastAsia" w:hAnsiTheme="minorEastAsia" w:eastAsiaTheme="minorEastAsia"/>
                <w:color w:val="auto"/>
                <w:szCs w:val="21"/>
              </w:rPr>
              <w:t>1.2</w:t>
            </w:r>
          </w:p>
        </w:tc>
        <w:tc>
          <w:tcPr>
            <w:tcW w:w="7912" w:type="dxa"/>
            <w:vAlign w:val="center"/>
          </w:tcPr>
          <w:p>
            <w:pPr>
              <w:snapToGrid w:val="0"/>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接收质疑函方式：以书面形式。</w:t>
            </w:r>
          </w:p>
          <w:p>
            <w:pPr>
              <w:pStyle w:val="14"/>
              <w:spacing w:line="360" w:lineRule="auto"/>
              <w:contextualSpacing/>
              <w:rPr>
                <w:rFonts w:cs="宋体" w:asciiTheme="minorEastAsia" w:hAnsiTheme="minorEastAsia" w:eastAsiaTheme="minorEastAsia"/>
                <w:color w:val="auto"/>
                <w:kern w:val="2"/>
                <w:sz w:val="21"/>
              </w:rPr>
            </w:pPr>
            <w:r>
              <w:rPr>
                <w:rFonts w:hint="eastAsia" w:cs="宋体" w:asciiTheme="minorEastAsia" w:hAnsiTheme="minorEastAsia" w:eastAsiaTheme="minorEastAsia"/>
                <w:color w:val="auto"/>
                <w:kern w:val="2"/>
                <w:sz w:val="21"/>
              </w:rPr>
              <w:t>质疑联系部门及联系方式：</w:t>
            </w:r>
            <w:r>
              <w:rPr>
                <w:rFonts w:hint="eastAsia" w:cs="宋体" w:asciiTheme="minorEastAsia" w:hAnsiTheme="minorEastAsia" w:eastAsiaTheme="minorEastAsia"/>
                <w:color w:val="auto"/>
                <w:kern w:val="2"/>
                <w:sz w:val="21"/>
                <w:u w:val="single"/>
              </w:rPr>
              <w:t>广西北投建信建设项目管理有限公司</w:t>
            </w:r>
            <w:r>
              <w:rPr>
                <w:rFonts w:hint="eastAsia" w:cs="宋体" w:asciiTheme="minorEastAsia" w:hAnsiTheme="minorEastAsia" w:eastAsiaTheme="minorEastAsia"/>
                <w:color w:val="auto"/>
                <w:kern w:val="2"/>
                <w:sz w:val="21"/>
              </w:rPr>
              <w:t>，联系电话：</w:t>
            </w:r>
            <w:r>
              <w:rPr>
                <w:rFonts w:hint="eastAsia" w:cs="宋体" w:asciiTheme="minorEastAsia" w:hAnsiTheme="minorEastAsia" w:eastAsiaTheme="minorEastAsia"/>
                <w:color w:val="auto"/>
                <w:kern w:val="2"/>
                <w:sz w:val="21"/>
                <w:u w:val="single"/>
              </w:rPr>
              <w:t>0773-2806008</w:t>
            </w:r>
            <w:r>
              <w:rPr>
                <w:rFonts w:hint="eastAsia" w:cs="宋体" w:asciiTheme="minorEastAsia" w:hAnsiTheme="minorEastAsia" w:eastAsiaTheme="minorEastAsia"/>
                <w:color w:val="auto"/>
                <w:kern w:val="2"/>
                <w:sz w:val="21"/>
              </w:rPr>
              <w:t>，通讯地址：</w:t>
            </w:r>
            <w:r>
              <w:rPr>
                <w:rFonts w:hint="eastAsia" w:cs="宋体" w:asciiTheme="minorEastAsia" w:hAnsiTheme="minorEastAsia" w:eastAsiaTheme="minorEastAsia"/>
                <w:color w:val="auto"/>
                <w:kern w:val="2"/>
                <w:sz w:val="21"/>
                <w:u w:val="single"/>
              </w:rPr>
              <w:t>桂林市秀峰区翠竹路75号鼎富大厦B座11楼</w:t>
            </w:r>
          </w:p>
          <w:p>
            <w:pPr>
              <w:pStyle w:val="14"/>
              <w:snapToGrid w:val="0"/>
              <w:spacing w:line="360" w:lineRule="auto"/>
              <w:rPr>
                <w:rFonts w:cs="宋体" w:asciiTheme="minorEastAsia" w:hAnsiTheme="minorEastAsia" w:eastAsiaTheme="minorEastAsia"/>
                <w:color w:val="auto"/>
                <w:kern w:val="2"/>
                <w:sz w:val="21"/>
              </w:rPr>
            </w:pPr>
            <w:r>
              <w:rPr>
                <w:rFonts w:hint="eastAsia" w:cs="宋体" w:asciiTheme="minorEastAsia" w:hAnsiTheme="minorEastAsia" w:eastAsiaTheme="minorEastAsia"/>
                <w:color w:val="auto"/>
                <w:kern w:val="2"/>
                <w:sz w:val="21"/>
              </w:rPr>
              <w:t>业务时间：工作日每天上午8时30分到12时00分，下午15时00分到18时00分。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.1</w:t>
            </w:r>
          </w:p>
        </w:tc>
        <w:tc>
          <w:tcPr>
            <w:tcW w:w="7912" w:type="dxa"/>
            <w:vAlign w:val="center"/>
          </w:tcPr>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1.采购代理费支付方式：</w:t>
            </w:r>
          </w:p>
          <w:p>
            <w:pPr>
              <w:pStyle w:val="14"/>
              <w:snapToGrid w:val="0"/>
              <w:spacing w:line="360" w:lineRule="auto"/>
              <w:rPr>
                <w:rFonts w:cs="宋体" w:asciiTheme="minorEastAsia" w:hAnsiTheme="minorEastAsia" w:eastAsiaTheme="minorEastAsia"/>
                <w:color w:val="auto"/>
                <w:kern w:val="2"/>
                <w:sz w:val="21"/>
              </w:rPr>
            </w:pPr>
            <w:r>
              <w:rPr>
                <w:rFonts w:hint="eastAsia" w:ascii="MS Mincho" w:hAnsi="MS Mincho" w:eastAsia="MS Mincho" w:cs="MS Mincho"/>
                <w:color w:val="auto"/>
                <w:kern w:val="2"/>
                <w:sz w:val="21"/>
              </w:rPr>
              <w:t>☑</w:t>
            </w:r>
            <w:r>
              <w:rPr>
                <w:rFonts w:hint="eastAsia" w:hAnsi="宋体" w:cs="宋体"/>
                <w:color w:val="auto"/>
                <w:kern w:val="2"/>
                <w:sz w:val="21"/>
              </w:rPr>
              <w:t>本项目代理服务费由成交供应商一次性向采购代理机构支付。</w:t>
            </w:r>
          </w:p>
          <w:p>
            <w:pPr>
              <w:pStyle w:val="14"/>
              <w:snapToGrid w:val="0"/>
              <w:spacing w:line="360" w:lineRule="auto"/>
              <w:rPr>
                <w:rFonts w:cs="宋体" w:asciiTheme="minorEastAsia" w:hAnsiTheme="minorEastAsia" w:eastAsiaTheme="minorEastAsia"/>
                <w:color w:val="auto"/>
                <w:kern w:val="2"/>
                <w:sz w:val="21"/>
              </w:rPr>
            </w:pPr>
            <w:r>
              <w:rPr>
                <w:rFonts w:hint="eastAsia" w:cs="宋体" w:asciiTheme="minorEastAsia" w:hAnsiTheme="minorEastAsia" w:eastAsiaTheme="minorEastAsia"/>
                <w:color w:val="auto"/>
                <w:kern w:val="2"/>
                <w:sz w:val="21"/>
              </w:rPr>
              <w:t>□采购人支付。</w:t>
            </w:r>
          </w:p>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2.采购代理费收取标准：</w:t>
            </w:r>
          </w:p>
          <w:p>
            <w:pPr>
              <w:pStyle w:val="14"/>
              <w:snapToGrid w:val="0"/>
              <w:spacing w:line="360" w:lineRule="auto"/>
              <w:rPr>
                <w:rFonts w:cs="宋体" w:asciiTheme="minorEastAsia" w:hAnsiTheme="minorEastAsia" w:eastAsiaTheme="minorEastAsia"/>
                <w:color w:val="auto"/>
                <w:sz w:val="21"/>
              </w:rPr>
            </w:pPr>
            <w:r>
              <w:rPr>
                <w:rFonts w:hint="eastAsia" w:ascii="MS Mincho" w:hAnsi="MS Mincho" w:eastAsia="MS Mincho" w:cs="MS Mincho"/>
                <w:color w:val="auto"/>
                <w:sz w:val="21"/>
              </w:rPr>
              <w:t>☑</w:t>
            </w:r>
            <w:r>
              <w:rPr>
                <w:rFonts w:hint="eastAsia" w:cs="宋体" w:asciiTheme="minorEastAsia" w:hAnsiTheme="minorEastAsia" w:eastAsiaTheme="minorEastAsia"/>
                <w:color w:val="auto"/>
                <w:sz w:val="21"/>
              </w:rPr>
              <w:t>以标项</w:t>
            </w:r>
            <w:r>
              <w:rPr>
                <w:rFonts w:hint="eastAsia" w:cs="宋体" w:asciiTheme="minorEastAsia" w:hAnsiTheme="minorEastAsia" w:eastAsiaTheme="minorEastAsia"/>
                <w:color w:val="auto"/>
              </w:rPr>
              <w:t>采购预算</w:t>
            </w:r>
            <w:r>
              <w:rPr>
                <w:rFonts w:hint="eastAsia" w:cs="宋体" w:asciiTheme="minorEastAsia" w:hAnsiTheme="minorEastAsia" w:eastAsiaTheme="minorEastAsia"/>
                <w:color w:val="auto"/>
                <w:sz w:val="21"/>
              </w:rPr>
              <w:t>为计费额，按本须知正文第32.1条规定的货物类标准采用差额定率累进法计算出收费基准价格，采购代理收费以收费基准价格收取。</w:t>
            </w:r>
          </w:p>
          <w:p>
            <w:pPr>
              <w:pStyle w:val="14"/>
              <w:snapToGrid w:val="0"/>
              <w:spacing w:line="360" w:lineRule="auto"/>
              <w:rPr>
                <w:rFonts w:cs="宋体" w:asciiTheme="minorEastAsia" w:hAnsiTheme="minorEastAsia" w:eastAsiaTheme="minorEastAsia"/>
                <w:color w:val="auto"/>
                <w:sz w:val="21"/>
                <w:u w:val="single"/>
              </w:rPr>
            </w:pPr>
            <w:r>
              <w:rPr>
                <w:rFonts w:hint="eastAsia" w:cs="宋体" w:asciiTheme="minorEastAsia" w:hAnsiTheme="minorEastAsia" w:eastAsiaTheme="minorEastAsia"/>
                <w:color w:val="auto"/>
                <w:kern w:val="2"/>
                <w:sz w:val="21"/>
              </w:rPr>
              <w:t>□</w:t>
            </w:r>
            <w:r>
              <w:rPr>
                <w:rFonts w:hint="eastAsia" w:cs="宋体" w:asciiTheme="minorEastAsia" w:hAnsiTheme="minorEastAsia" w:eastAsiaTheme="minorEastAsia"/>
                <w:color w:val="auto"/>
                <w:sz w:val="21"/>
              </w:rPr>
              <w:t>固定采购代理收费。</w:t>
            </w:r>
          </w:p>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3. 采购代理费收取银行账户</w:t>
            </w:r>
          </w:p>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 xml:space="preserve">账户名称：广西北投建信建设项目管理有限公司 </w:t>
            </w:r>
          </w:p>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开户银行：中国工商银行股份有限公司广西自贸试验区南宁片区五象支行</w:t>
            </w:r>
          </w:p>
          <w:p>
            <w:pPr>
              <w:pStyle w:val="14"/>
              <w:snapToGrid w:val="0"/>
              <w:spacing w:line="360" w:lineRule="auto"/>
              <w:rPr>
                <w:rFonts w:cs="宋体" w:asciiTheme="minorEastAsia" w:hAnsiTheme="minorEastAsia" w:eastAsiaTheme="minorEastAsia"/>
                <w:color w:val="auto"/>
                <w:sz w:val="21"/>
                <w:u w:val="single"/>
              </w:rPr>
            </w:pPr>
            <w:r>
              <w:rPr>
                <w:rFonts w:hint="eastAsia" w:cs="宋体" w:asciiTheme="minorEastAsia" w:hAnsiTheme="minorEastAsia" w:eastAsiaTheme="minorEastAsia"/>
                <w:color w:val="auto"/>
                <w:sz w:val="21"/>
              </w:rPr>
              <w:t>银行账号：2102116009300345252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r>
              <w:rPr>
                <w:rFonts w:cs="宋体" w:asciiTheme="minorEastAsia" w:hAnsiTheme="minorEastAsia" w:eastAsiaTheme="minorEastAsia"/>
                <w:color w:val="auto"/>
                <w:szCs w:val="21"/>
              </w:rPr>
              <w:t>3.1</w:t>
            </w:r>
          </w:p>
        </w:tc>
        <w:tc>
          <w:tcPr>
            <w:tcW w:w="7912" w:type="dxa"/>
            <w:vAlign w:val="center"/>
          </w:tcPr>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解释：</w:t>
            </w:r>
            <w:r>
              <w:rPr>
                <w:rFonts w:cs="宋体" w:asciiTheme="minorEastAsia" w:hAnsiTheme="minorEastAsia" w:eastAsiaTheme="minorEastAsia"/>
                <w:color w:val="auto"/>
                <w:sz w:val="21"/>
              </w:rPr>
              <w:t>构成本</w:t>
            </w:r>
            <w:r>
              <w:rPr>
                <w:rFonts w:hint="eastAsia" w:cs="宋体" w:asciiTheme="minorEastAsia" w:hAnsiTheme="minorEastAsia" w:eastAsiaTheme="minorEastAsia"/>
                <w:color w:val="auto"/>
                <w:sz w:val="21"/>
              </w:rPr>
              <w:t>谈判文件</w:t>
            </w:r>
            <w:r>
              <w:rPr>
                <w:rFonts w:cs="宋体" w:asciiTheme="minorEastAsia" w:hAnsiTheme="minorEastAsia" w:eastAsiaTheme="minorEastAsia"/>
                <w:color w:val="auto"/>
                <w:sz w:val="21"/>
              </w:rPr>
              <w:t>的各个组成文件应互为解释，互为说明；除</w:t>
            </w:r>
            <w:r>
              <w:rPr>
                <w:rFonts w:hint="eastAsia" w:cs="宋体" w:asciiTheme="minorEastAsia" w:hAnsiTheme="minorEastAsia" w:eastAsiaTheme="minorEastAsia"/>
                <w:color w:val="auto"/>
                <w:sz w:val="21"/>
              </w:rPr>
              <w:t>谈判文件</w:t>
            </w:r>
            <w:r>
              <w:rPr>
                <w:rFonts w:cs="宋体" w:asciiTheme="minorEastAsia" w:hAnsiTheme="minorEastAsia" w:eastAsiaTheme="minorEastAsia"/>
                <w:color w:val="auto"/>
                <w:sz w:val="21"/>
              </w:rPr>
              <w:t>中有特别规定外，仅适用于</w:t>
            </w:r>
            <w:r>
              <w:rPr>
                <w:rFonts w:hint="eastAsia" w:cs="宋体" w:asciiTheme="minorEastAsia" w:hAnsiTheme="minorEastAsia" w:eastAsiaTheme="minorEastAsia"/>
                <w:color w:val="auto"/>
                <w:sz w:val="21"/>
              </w:rPr>
              <w:t>竞标</w:t>
            </w:r>
            <w:r>
              <w:rPr>
                <w:rFonts w:cs="宋体" w:asciiTheme="minorEastAsia" w:hAnsiTheme="minorEastAsia" w:eastAsiaTheme="minorEastAsia"/>
                <w:color w:val="auto"/>
                <w:sz w:val="21"/>
              </w:rPr>
              <w:t>阶段的规定，按</w:t>
            </w:r>
            <w:r>
              <w:rPr>
                <w:rFonts w:hint="eastAsia" w:cs="宋体" w:asciiTheme="minorEastAsia" w:hAnsiTheme="minorEastAsia" w:eastAsiaTheme="minorEastAsia"/>
                <w:color w:val="auto"/>
                <w:sz w:val="21"/>
              </w:rPr>
              <w:t>更正公告（澄清公告）</w:t>
            </w:r>
            <w:r>
              <w:rPr>
                <w:rFonts w:cs="宋体" w:asciiTheme="minorEastAsia" w:hAnsiTheme="minorEastAsia" w:eastAsiaTheme="minorEastAsia"/>
                <w:color w:val="auto"/>
                <w:sz w:val="21"/>
              </w:rPr>
              <w:t>、</w:t>
            </w:r>
            <w:r>
              <w:rPr>
                <w:rFonts w:hint="eastAsia" w:cs="宋体" w:asciiTheme="minorEastAsia" w:hAnsiTheme="minorEastAsia" w:eastAsiaTheme="minorEastAsia"/>
                <w:color w:val="auto"/>
                <w:sz w:val="21"/>
              </w:rPr>
              <w:t>竞争性谈判</w:t>
            </w:r>
            <w:r>
              <w:rPr>
                <w:rFonts w:cs="宋体" w:asciiTheme="minorEastAsia" w:hAnsiTheme="minorEastAsia" w:eastAsiaTheme="minorEastAsia"/>
                <w:color w:val="auto"/>
                <w:sz w:val="21"/>
              </w:rPr>
              <w:t>公告、</w:t>
            </w:r>
            <w:r>
              <w:rPr>
                <w:rFonts w:hint="eastAsia" w:cs="宋体" w:asciiTheme="minorEastAsia" w:hAnsiTheme="minorEastAsia" w:eastAsiaTheme="minorEastAsia"/>
                <w:color w:val="auto"/>
                <w:sz w:val="21"/>
              </w:rPr>
              <w:t>供应商</w:t>
            </w:r>
            <w:r>
              <w:rPr>
                <w:rFonts w:cs="宋体" w:asciiTheme="minorEastAsia" w:hAnsiTheme="minorEastAsia" w:eastAsiaTheme="minorEastAsia"/>
                <w:color w:val="auto"/>
                <w:sz w:val="21"/>
              </w:rPr>
              <w:t>须知</w:t>
            </w:r>
            <w:r>
              <w:rPr>
                <w:rFonts w:hint="eastAsia" w:cs="宋体" w:asciiTheme="minorEastAsia" w:hAnsiTheme="minorEastAsia" w:eastAsiaTheme="minorEastAsia"/>
                <w:color w:val="auto"/>
                <w:sz w:val="21"/>
              </w:rPr>
              <w:t>、采购需求</w:t>
            </w:r>
            <w:r>
              <w:rPr>
                <w:rFonts w:cs="宋体" w:asciiTheme="minorEastAsia" w:hAnsiTheme="minorEastAsia" w:eastAsiaTheme="minorEastAsia"/>
                <w:color w:val="auto"/>
                <w:sz w:val="21"/>
              </w:rPr>
              <w:t>、</w:t>
            </w:r>
            <w:r>
              <w:rPr>
                <w:rFonts w:hint="eastAsia" w:cs="宋体" w:asciiTheme="minorEastAsia" w:hAnsiTheme="minorEastAsia" w:eastAsiaTheme="minorEastAsia"/>
                <w:color w:val="auto"/>
                <w:sz w:val="21"/>
              </w:rPr>
              <w:t>评审程序和评定成交的标准</w:t>
            </w:r>
            <w:r>
              <w:rPr>
                <w:rFonts w:cs="宋体" w:asciiTheme="minorEastAsia" w:hAnsiTheme="minorEastAsia" w:eastAsiaTheme="minorEastAsia"/>
                <w:color w:val="auto"/>
                <w:sz w:val="21"/>
              </w:rPr>
              <w:t>、</w:t>
            </w:r>
            <w:r>
              <w:rPr>
                <w:rFonts w:hint="eastAsia" w:cs="宋体" w:asciiTheme="minorEastAsia" w:hAnsiTheme="minorEastAsia" w:eastAsiaTheme="minorEastAsia"/>
                <w:color w:val="auto"/>
                <w:sz w:val="21"/>
              </w:rPr>
              <w:t>响应</w:t>
            </w:r>
            <w:r>
              <w:rPr>
                <w:rFonts w:cs="宋体" w:asciiTheme="minorEastAsia" w:hAnsiTheme="minorEastAsia" w:eastAsiaTheme="minorEastAsia"/>
                <w:color w:val="auto"/>
                <w:sz w:val="21"/>
              </w:rPr>
              <w:t>文件格式</w:t>
            </w:r>
            <w:r>
              <w:rPr>
                <w:rFonts w:hint="eastAsia" w:cs="宋体" w:asciiTheme="minorEastAsia" w:hAnsiTheme="minorEastAsia" w:eastAsiaTheme="minorEastAsia"/>
                <w:color w:val="auto"/>
                <w:sz w:val="21"/>
              </w:rPr>
              <w:t>、合同文本</w:t>
            </w:r>
            <w:r>
              <w:rPr>
                <w:rFonts w:cs="宋体" w:asciiTheme="minorEastAsia" w:hAnsiTheme="minorEastAsia" w:eastAsiaTheme="minorEastAsia"/>
                <w:color w:val="auto"/>
                <w:sz w:val="21"/>
              </w:rPr>
              <w:t>的先后顺序解释；同一组成文件中就同一事项的规定或约定不一致的，以编排顺序在后者为准；同一组成文件不同版本之间有不一致的，以形成时间在后者为准；</w:t>
            </w:r>
            <w:r>
              <w:rPr>
                <w:rFonts w:hint="eastAsia" w:cs="宋体" w:asciiTheme="minorEastAsia" w:hAnsiTheme="minorEastAsia" w:eastAsiaTheme="minorEastAsia"/>
                <w:color w:val="auto"/>
                <w:sz w:val="21"/>
              </w:rPr>
              <w:t>更正公告（澄清公告）</w:t>
            </w:r>
            <w:r>
              <w:rPr>
                <w:rFonts w:cs="宋体" w:asciiTheme="minorEastAsia" w:hAnsiTheme="minorEastAsia" w:eastAsiaTheme="minorEastAsia"/>
                <w:color w:val="auto"/>
                <w:sz w:val="21"/>
              </w:rPr>
              <w:t>与同步更新的</w:t>
            </w:r>
            <w:r>
              <w:rPr>
                <w:rFonts w:hint="eastAsia" w:cs="宋体" w:asciiTheme="minorEastAsia" w:hAnsiTheme="minorEastAsia" w:eastAsiaTheme="minorEastAsia"/>
                <w:color w:val="auto"/>
                <w:sz w:val="21"/>
              </w:rPr>
              <w:t>谈判文件</w:t>
            </w:r>
            <w:r>
              <w:rPr>
                <w:rFonts w:cs="宋体" w:asciiTheme="minorEastAsia" w:hAnsiTheme="minorEastAsia" w:eastAsiaTheme="minorEastAsia"/>
                <w:color w:val="auto"/>
                <w:sz w:val="21"/>
              </w:rPr>
              <w:t>不一致时以</w:t>
            </w:r>
            <w:r>
              <w:rPr>
                <w:rFonts w:hint="eastAsia" w:cs="宋体" w:asciiTheme="minorEastAsia" w:hAnsiTheme="minorEastAsia" w:eastAsiaTheme="minorEastAsia"/>
                <w:color w:val="auto"/>
                <w:sz w:val="21"/>
              </w:rPr>
              <w:t>更正公告（澄清公告）</w:t>
            </w:r>
            <w:r>
              <w:rPr>
                <w:rFonts w:cs="宋体" w:asciiTheme="minorEastAsia" w:hAnsiTheme="minorEastAsia" w:eastAsiaTheme="minorEastAsia"/>
                <w:color w:val="auto"/>
                <w:sz w:val="21"/>
              </w:rPr>
              <w:t>为准。按本款前述规定仍不能形成结论的，由</w:t>
            </w:r>
            <w:r>
              <w:rPr>
                <w:rFonts w:hint="eastAsia" w:cs="宋体" w:asciiTheme="minorEastAsia" w:hAnsiTheme="minorEastAsia" w:eastAsiaTheme="minorEastAsia"/>
                <w:color w:val="auto"/>
                <w:sz w:val="21"/>
              </w:rPr>
              <w:t>采购</w:t>
            </w:r>
            <w:r>
              <w:rPr>
                <w:rFonts w:cs="宋体" w:asciiTheme="minorEastAsia" w:hAnsiTheme="minorEastAsia" w:eastAsiaTheme="minorEastAsia"/>
                <w:color w:val="auto"/>
                <w:sz w:val="21"/>
              </w:rPr>
              <w:t>人</w:t>
            </w:r>
            <w:r>
              <w:rPr>
                <w:rFonts w:hint="eastAsia" w:cs="宋体" w:asciiTheme="minorEastAsia" w:hAnsiTheme="minorEastAsia" w:eastAsiaTheme="minorEastAsia"/>
                <w:color w:val="auto"/>
                <w:sz w:val="21"/>
              </w:rPr>
              <w:t>或者采购代理机构</w:t>
            </w:r>
            <w:r>
              <w:rPr>
                <w:rFonts w:cs="宋体" w:asciiTheme="minorEastAsia" w:hAnsiTheme="minorEastAsia" w:eastAsiaTheme="minorEastAsia"/>
                <w:color w:val="auto"/>
                <w:sz w:val="21"/>
              </w:rPr>
              <w:t>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9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r>
              <w:rPr>
                <w:rFonts w:cs="宋体" w:asciiTheme="minorEastAsia" w:hAnsiTheme="minorEastAsia" w:eastAsiaTheme="minorEastAsia"/>
                <w:color w:val="auto"/>
                <w:szCs w:val="21"/>
              </w:rPr>
              <w:t>3.2</w:t>
            </w:r>
          </w:p>
        </w:tc>
        <w:tc>
          <w:tcPr>
            <w:tcW w:w="7912" w:type="dxa"/>
            <w:vAlign w:val="center"/>
          </w:tcPr>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pPr>
              <w:pStyle w:val="14"/>
              <w:snapToGrid w:val="0"/>
              <w:spacing w:line="360" w:lineRule="auto"/>
              <w:rPr>
                <w:rFonts w:cs="宋体" w:asciiTheme="minorEastAsia" w:hAnsiTheme="minorEastAsia" w:eastAsiaTheme="minorEastAsia"/>
                <w:bCs/>
                <w:color w:val="auto"/>
                <w:sz w:val="21"/>
              </w:rPr>
            </w:pPr>
            <w:r>
              <w:rPr>
                <w:rFonts w:hint="eastAsia" w:cs="宋体" w:asciiTheme="minorEastAsia" w:hAnsiTheme="minorEastAsia" w:eastAsiaTheme="minorEastAsia"/>
                <w:bCs/>
                <w:color w:val="auto"/>
                <w:sz w:val="21"/>
              </w:rPr>
              <w:t>2.本谈判文件所称的“</w:t>
            </w:r>
            <w:r>
              <w:rPr>
                <w:rFonts w:hint="eastAsia" w:asciiTheme="minorEastAsia" w:hAnsiTheme="minorEastAsia" w:eastAsiaTheme="minorEastAsia"/>
                <w:color w:val="auto"/>
                <w:sz w:val="21"/>
              </w:rPr>
              <w:t>电子签章”“</w:t>
            </w:r>
            <w:r>
              <w:rPr>
                <w:rFonts w:hint="eastAsia" w:cs="宋体" w:asciiTheme="minorEastAsia" w:hAnsiTheme="minorEastAsia" w:eastAsiaTheme="minorEastAsia"/>
                <w:bCs/>
                <w:color w:val="auto"/>
                <w:sz w:val="21"/>
              </w:rPr>
              <w:t>电子签名”</w:t>
            </w:r>
            <w:r>
              <w:rPr>
                <w:rFonts w:hint="eastAsia" w:asciiTheme="minorEastAsia" w:hAnsiTheme="minorEastAsia" w:eastAsiaTheme="minorEastAsia"/>
                <w:color w:val="auto"/>
                <w:sz w:val="21"/>
              </w:rPr>
              <w:t>，是指经广西政府采购云平台认可的CA认证的电子签名数据为表现形式的印章，可用于签署电子响应文件，电子印章与实物印章具有同等法律效力，不因其采用电子化表现形式而否定其法律效力。</w:t>
            </w:r>
          </w:p>
          <w:p>
            <w:pPr>
              <w:pStyle w:val="14"/>
              <w:snapToGrid w:val="0"/>
              <w:spacing w:line="360" w:lineRule="auto"/>
              <w:rPr>
                <w:rFonts w:cs="宋体" w:asciiTheme="minorEastAsia" w:hAnsiTheme="minorEastAsia" w:eastAsiaTheme="minorEastAsia"/>
                <w:bCs/>
                <w:color w:val="auto"/>
                <w:sz w:val="21"/>
              </w:rPr>
            </w:pPr>
            <w:r>
              <w:rPr>
                <w:rFonts w:hint="eastAsia" w:cs="宋体" w:asciiTheme="minorEastAsia" w:hAnsiTheme="minorEastAsia" w:eastAsiaTheme="minorEastAsia"/>
                <w:color w:val="auto"/>
                <w:sz w:val="21"/>
              </w:rPr>
              <w:t>3.供应商为其他组织或者自然人时，本谈判文件规定的法定代表人指负责人或者自然人。本谈判文件所称负责人是指参加竞标的其他组织</w:t>
            </w:r>
            <w:r>
              <w:rPr>
                <w:rFonts w:hint="eastAsia" w:cs="宋体" w:asciiTheme="minorEastAsia" w:hAnsiTheme="minorEastAsia" w:eastAsiaTheme="minorEastAsia"/>
                <w:bCs/>
                <w:color w:val="auto"/>
                <w:sz w:val="21"/>
              </w:rPr>
              <w:t>营业执照或者执业许可证等证照上</w:t>
            </w:r>
            <w:r>
              <w:rPr>
                <w:rFonts w:hint="eastAsia" w:cs="宋体" w:asciiTheme="minorEastAsia" w:hAnsiTheme="minorEastAsia" w:eastAsiaTheme="minorEastAsia"/>
                <w:color w:val="auto"/>
                <w:sz w:val="21"/>
              </w:rPr>
              <w:t>的负责人，本谈判文件所称自然人指参与竞标的自然人本人，</w:t>
            </w:r>
            <w:r>
              <w:rPr>
                <w:rFonts w:hint="eastAsia" w:cs="宋体" w:asciiTheme="minorEastAsia" w:hAnsiTheme="minorEastAsia" w:eastAsiaTheme="minorEastAsia"/>
                <w:bCs/>
                <w:color w:val="auto"/>
                <w:sz w:val="21"/>
              </w:rPr>
              <w:t>且应具备独立承担民事责任能力，自然人应当为年满18岁以上成年人（十六周岁以上的未成年人，以自己的劳动收入为主要生活来源的，视为完全民事行为能力人）。</w:t>
            </w:r>
          </w:p>
          <w:p>
            <w:pPr>
              <w:pStyle w:val="14"/>
              <w:snapToGrid w:val="0"/>
              <w:spacing w:line="360" w:lineRule="auto"/>
              <w:rPr>
                <w:rFonts w:cs="宋体" w:asciiTheme="minorEastAsia" w:hAnsiTheme="minorEastAsia" w:eastAsiaTheme="minorEastAsia"/>
                <w:color w:val="auto"/>
                <w:sz w:val="21"/>
              </w:rPr>
            </w:pPr>
            <w:r>
              <w:rPr>
                <w:rFonts w:hint="eastAsia" w:cs="宋体" w:asciiTheme="minorEastAsia" w:hAnsiTheme="minorEastAsia" w:eastAsiaTheme="minorEastAsia"/>
                <w:color w:val="auto"/>
                <w:sz w:val="21"/>
              </w:rPr>
              <w:t>4.本谈判文件中描述供应商的“签字”是指供应商的法定代表人或者委托代理人亲自在文件规定签署处亲笔写上个人的名字的行为，私章、签字章、印鉴、影印等其他形式均不能代替亲笔签字。</w:t>
            </w:r>
          </w:p>
          <w:p>
            <w:pPr>
              <w:pStyle w:val="14"/>
              <w:snapToGrid w:val="0"/>
              <w:spacing w:line="360" w:lineRule="auto"/>
              <w:rPr>
                <w:rFonts w:cs="宋体" w:asciiTheme="minorEastAsia" w:hAnsiTheme="minorEastAsia" w:eastAsiaTheme="minorEastAsia"/>
                <w:color w:val="auto"/>
                <w:sz w:val="21"/>
              </w:rPr>
            </w:pPr>
            <w:r>
              <w:rPr>
                <w:rFonts w:cs="宋体" w:asciiTheme="minorEastAsia" w:hAnsiTheme="minorEastAsia" w:eastAsiaTheme="minorEastAsia"/>
                <w:color w:val="auto"/>
                <w:sz w:val="21"/>
              </w:rPr>
              <w:t>5.</w:t>
            </w:r>
            <w:r>
              <w:rPr>
                <w:rFonts w:hint="eastAsia" w:cs="宋体" w:asciiTheme="minorEastAsia" w:hAnsiTheme="minorEastAsia" w:eastAsiaTheme="minorEastAsia"/>
                <w:color w:val="auto"/>
                <w:sz w:val="21"/>
              </w:rPr>
              <w:t>本谈判文件所称的“以上”“以下”“以内”“届满”，包括本数；所称的“不满”“超过”“以外”，不包括本数。</w:t>
            </w:r>
          </w:p>
        </w:tc>
      </w:tr>
    </w:tbl>
    <w:p>
      <w:pPr>
        <w:spacing w:line="360" w:lineRule="auto"/>
        <w:jc w:val="center"/>
        <w:rPr>
          <w:rFonts w:asciiTheme="minorEastAsia" w:hAnsiTheme="minorEastAsia" w:eastAsiaTheme="minorEastAsia"/>
          <w:b/>
          <w:color w:val="auto"/>
          <w:sz w:val="32"/>
          <w:szCs w:val="32"/>
        </w:rPr>
      </w:pPr>
      <w:r>
        <w:rPr>
          <w:rFonts w:asciiTheme="minorEastAsia" w:hAnsiTheme="minorEastAsia" w:eastAsiaTheme="minorEastAsia"/>
          <w:b/>
          <w:color w:val="auto"/>
          <w:sz w:val="32"/>
          <w:szCs w:val="32"/>
        </w:rPr>
        <w:br w:type="page"/>
      </w:r>
      <w:r>
        <w:rPr>
          <w:rFonts w:hint="eastAsia" w:asciiTheme="minorEastAsia" w:hAnsiTheme="minorEastAsia" w:eastAsiaTheme="minorEastAsia"/>
          <w:b/>
          <w:color w:val="auto"/>
          <w:sz w:val="32"/>
          <w:szCs w:val="32"/>
        </w:rPr>
        <w:t>供应商须知正文</w:t>
      </w:r>
    </w:p>
    <w:p>
      <w:pPr>
        <w:spacing w:line="360" w:lineRule="auto"/>
        <w:jc w:val="center"/>
        <w:rPr>
          <w:rFonts w:asciiTheme="minorEastAsia" w:hAnsiTheme="minorEastAsia" w:eastAsiaTheme="minorEastAsia"/>
          <w:b/>
          <w:color w:val="auto"/>
          <w:sz w:val="32"/>
          <w:szCs w:val="32"/>
        </w:rPr>
      </w:pPr>
    </w:p>
    <w:p>
      <w:pPr>
        <w:spacing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一、总则</w:t>
      </w:r>
    </w:p>
    <w:p>
      <w:pPr>
        <w:spacing w:line="360" w:lineRule="auto"/>
        <w:rPr>
          <w:rFonts w:asciiTheme="minorEastAsia" w:hAnsiTheme="minorEastAsia" w:eastAsiaTheme="minorEastAsia"/>
          <w:color w:val="auto"/>
          <w:szCs w:val="21"/>
        </w:rPr>
      </w:pP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 适用范围</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w:t>
      </w:r>
      <w:r>
        <w:rPr>
          <w:rFonts w:hint="eastAsia" w:cs="宋体" w:asciiTheme="minorEastAsia" w:hAnsiTheme="minorEastAsia" w:eastAsiaTheme="minorEastAsia"/>
          <w:color w:val="auto"/>
          <w:spacing w:val="-6"/>
          <w:szCs w:val="21"/>
        </w:rPr>
        <w:t>本竞争性谈判文件（以下简称谈判文件）适用于本项目的所有采购程序和环节（法律、法规另有规定的，从其规定）。</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2. 定义</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2.1“采购人”是指依法进行采购的国家机关、事业单位、团体组织。</w:t>
      </w:r>
    </w:p>
    <w:p>
      <w:pPr>
        <w:spacing w:line="360" w:lineRule="auto"/>
        <w:ind w:firstLine="420" w:firstLineChars="200"/>
        <w:rPr>
          <w:rFonts w:asciiTheme="minorEastAsia" w:hAnsiTheme="minorEastAsia" w:eastAsiaTheme="minorEastAsia"/>
          <w:b/>
          <w:color w:val="auto"/>
          <w:szCs w:val="21"/>
        </w:rPr>
      </w:pPr>
      <w:r>
        <w:rPr>
          <w:rFonts w:hint="eastAsia" w:cs="宋体" w:asciiTheme="minorEastAsia" w:hAnsiTheme="minorEastAsia" w:eastAsiaTheme="minorEastAsia"/>
          <w:color w:val="auto"/>
          <w:szCs w:val="21"/>
        </w:rPr>
        <w:t>2.2“采购代理机构”</w:t>
      </w:r>
      <w:r>
        <w:rPr>
          <w:rFonts w:hint="eastAsia" w:asciiTheme="minorEastAsia" w:hAnsiTheme="minorEastAsia" w:eastAsiaTheme="minorEastAsia"/>
          <w:b/>
          <w:color w:val="auto"/>
          <w:szCs w:val="21"/>
        </w:rPr>
        <w:t>是指政府采购集中采购机构和集中采购机构以外的采购代理机构。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2.3“供应商”是指向采购人提供货物、工程或者服务的法人、其他组织或者自然人。</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2.4“货物”是指各种形态和种类的物品，包括原材料、燃料、设备、产品等。</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2.5“竞标”是指按照本项目竞争性谈判公告或者邀请函规定的方式供应商获取谈判文件、提交响应文件并希望获得标的的行为。</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2.6“售后服务” 是指包含但不限于供应商须承担的备品备件、包装、运输、装卸、保险、货到就位以及安装、调试、培训、保修和其他类似的义务。</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2.7“书面形式”是指合同书、信件和数据电文（包括电报、电传、传真、电子数据交换和电子邮件）等可以有形地表现所载内容的形式。</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2.8“响应文件”</w:t>
      </w:r>
      <w:r>
        <w:rPr>
          <w:rFonts w:hint="eastAsia" w:cs="宋体" w:asciiTheme="minorEastAsia" w:hAnsiTheme="minorEastAsia" w:eastAsiaTheme="minorEastAsia"/>
          <w:color w:val="auto"/>
          <w:spacing w:val="-6"/>
          <w:szCs w:val="21"/>
        </w:rPr>
        <w:t>是指：供应商根据本谈判文件要求，编制包含资格证明、报价、商务技术等所有内容的文件。</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2.9 </w:t>
      </w: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rPr>
        <w:t>实质性要求”是本项目中第三章 采购需求所有内容、所有商务要求均为实质要求，不满足按响应文件按无效处理的条款。</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2.10“正偏离”，是指响应文件对谈判文件“采购需求”中有关条款作出优于条款要求并有利于采购人的响应情形；</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2.11“负偏离”，是指响应文件对谈判文件“采购需求”中有关条款作出的响应不满足条款要求，导致采购人要求不能得到满足的情形。</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2.12“允许负偏离的条款”是指采购需求中的不属于“实质性要求”的条款。</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2.13“首次报价”是指供应商提交的首次响应文件中的竞标报价。</w:t>
      </w:r>
    </w:p>
    <w:p>
      <w:pPr>
        <w:spacing w:line="360" w:lineRule="auto"/>
        <w:ind w:firstLine="482" w:firstLineChars="200"/>
        <w:contextualSpacing/>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3. 供应商的资格条件</w:t>
      </w:r>
    </w:p>
    <w:p>
      <w:pPr>
        <w:spacing w:line="360" w:lineRule="auto"/>
        <w:ind w:firstLine="420" w:firstLineChars="200"/>
        <w:contextualSpacing/>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供应商的资格条件详见“供应商须知前附表”。</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4. 竞标费用</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竞标费用：供应商应承担参与本次采购活动有关的所有费用，包括但不限于获取谈判文件、勘查现场、编制和提交响应文件、参加谈判与应答、签订合同等，不论竞标结果如何，均应自行承担。</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5.联合体竞标</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5.1本项目是否接受联合体竞标，详见“供应商须知前附表”。</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5.2</w:t>
      </w:r>
      <w:r>
        <w:rPr>
          <w:rFonts w:hint="eastAsia" w:asciiTheme="minorEastAsia" w:hAnsiTheme="minorEastAsia" w:eastAsiaTheme="minorEastAsia"/>
          <w:bCs/>
          <w:color w:val="auto"/>
          <w:szCs w:val="21"/>
        </w:rPr>
        <w:t>如接受联合体竞标，</w:t>
      </w:r>
      <w:r>
        <w:rPr>
          <w:rFonts w:hint="eastAsia" w:cs="宋体" w:asciiTheme="minorEastAsia" w:hAnsiTheme="minorEastAsia" w:eastAsiaTheme="minorEastAsia"/>
          <w:color w:val="auto"/>
          <w:szCs w:val="21"/>
        </w:rPr>
        <w:t>联合体竞标要求详见“供应商须知前附表”。</w:t>
      </w:r>
    </w:p>
    <w:p>
      <w:pPr>
        <w:spacing w:line="360" w:lineRule="auto"/>
        <w:ind w:firstLine="420" w:firstLineChars="200"/>
        <w:rPr>
          <w:rFonts w:asciiTheme="minorEastAsia" w:hAnsiTheme="minorEastAsia" w:eastAsiaTheme="minorEastAsia"/>
          <w:bCs/>
          <w:color w:val="auto"/>
          <w:szCs w:val="21"/>
        </w:rPr>
      </w:pPr>
      <w:bookmarkStart w:id="84" w:name="_Hlk66782192"/>
      <w:r>
        <w:rPr>
          <w:rFonts w:hint="eastAsia" w:asciiTheme="minorEastAsia" w:hAnsiTheme="minorEastAsia" w:eastAsiaTheme="minorEastAsia"/>
          <w:bCs/>
          <w:color w:val="auto"/>
          <w:szCs w:val="21"/>
        </w:rPr>
        <w:t>5.3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84"/>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 xml:space="preserve">6.转包与分包             </w:t>
      </w:r>
    </w:p>
    <w:p>
      <w:pPr>
        <w:pStyle w:val="4"/>
        <w:keepNext w:val="0"/>
        <w:keepLines w:val="0"/>
        <w:spacing w:before="0" w:after="0" w:line="360" w:lineRule="auto"/>
        <w:ind w:left="420" w:leftChars="200"/>
        <w:rPr>
          <w:rFonts w:asciiTheme="minorEastAsia" w:hAnsiTheme="minorEastAsia" w:eastAsiaTheme="minorEastAsia"/>
          <w:b w:val="0"/>
          <w:color w:val="auto"/>
          <w:sz w:val="21"/>
          <w:szCs w:val="21"/>
        </w:rPr>
      </w:pPr>
      <w:bookmarkStart w:id="85" w:name="_Toc254970673"/>
      <w:bookmarkStart w:id="86" w:name="_Toc254970532"/>
      <w:r>
        <w:rPr>
          <w:rFonts w:hint="eastAsia" w:asciiTheme="minorEastAsia" w:hAnsiTheme="minorEastAsia" w:eastAsiaTheme="minorEastAsia"/>
          <w:b w:val="0"/>
          <w:color w:val="auto"/>
          <w:sz w:val="21"/>
          <w:szCs w:val="21"/>
        </w:rPr>
        <w:t>6.1本项目不允许转包。</w:t>
      </w:r>
    </w:p>
    <w:p>
      <w:pPr>
        <w:pStyle w:val="4"/>
        <w:keepNext w:val="0"/>
        <w:keepLines w:val="0"/>
        <w:spacing w:before="0" w:after="0" w:line="360" w:lineRule="auto"/>
        <w:ind w:firstLine="315" w:firstLineChars="150"/>
        <w:rPr>
          <w:rFonts w:asciiTheme="minorEastAsia" w:hAnsiTheme="minorEastAsia" w:eastAsiaTheme="minorEastAsia"/>
          <w:b w:val="0"/>
          <w:color w:val="auto"/>
          <w:sz w:val="21"/>
          <w:szCs w:val="21"/>
        </w:rPr>
      </w:pPr>
      <w:r>
        <w:rPr>
          <w:rFonts w:hint="eastAsia" w:asciiTheme="minorEastAsia" w:hAnsiTheme="minorEastAsia" w:eastAsiaTheme="minorEastAsia"/>
          <w:b w:val="0"/>
          <w:color w:val="auto"/>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的行政许可。</w:t>
      </w:r>
    </w:p>
    <w:p>
      <w:pPr>
        <w:pStyle w:val="4"/>
        <w:keepNext w:val="0"/>
        <w:keepLines w:val="0"/>
        <w:spacing w:before="0" w:after="0" w:line="360" w:lineRule="auto"/>
        <w:ind w:firstLine="315" w:firstLineChars="150"/>
        <w:rPr>
          <w:rFonts w:asciiTheme="minorEastAsia" w:hAnsiTheme="minorEastAsia" w:eastAsiaTheme="minorEastAsia"/>
          <w:b w:val="0"/>
          <w:color w:val="auto"/>
          <w:sz w:val="21"/>
          <w:szCs w:val="21"/>
        </w:rPr>
      </w:pPr>
      <w:r>
        <w:rPr>
          <w:rFonts w:hint="eastAsia" w:asciiTheme="minorEastAsia" w:hAnsiTheme="minorEastAsia" w:eastAsiaTheme="minorEastAsia"/>
          <w:b w:val="0"/>
          <w:color w:val="auto"/>
          <w:sz w:val="21"/>
          <w:szCs w:val="21"/>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7.特别说明</w:t>
      </w:r>
      <w:bookmarkEnd w:id="85"/>
      <w:bookmarkEnd w:id="86"/>
    </w:p>
    <w:p>
      <w:pPr>
        <w:spacing w:line="360" w:lineRule="auto"/>
        <w:ind w:firstLine="420" w:firstLineChars="200"/>
        <w:rPr>
          <w:rFonts w:cs="宋体" w:asciiTheme="minorEastAsia" w:hAnsiTheme="minorEastAsia" w:eastAsiaTheme="minorEastAsia"/>
          <w:color w:val="auto"/>
          <w:szCs w:val="21"/>
        </w:rPr>
      </w:pPr>
      <w:bookmarkStart w:id="87" w:name="_8.1提供相同品牌产品且通过资格审查、符合性审查的不同投标人参加同一合"/>
      <w:bookmarkEnd w:id="87"/>
      <w:r>
        <w:rPr>
          <w:rFonts w:hint="eastAsia"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rPr>
        <w:t xml:space="preserve">如果本谈判文件要求提供供应商或制造商的资格、信誉、荣誉、业绩与企业认证等材料的，资格、信誉、荣誉、业绩与企业认证等必须为供应商或者制造商所拥有或自身获得 </w:t>
      </w:r>
      <w:r>
        <w:rPr>
          <w:rFonts w:hint="eastAsia" w:cs="宋体" w:asciiTheme="minorEastAsia" w:hAnsiTheme="minorEastAsia" w:eastAsiaTheme="minorEastAsia"/>
          <w:color w:val="auto"/>
          <w:szCs w:val="21"/>
        </w:rPr>
        <w:t>。</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lang w:val="en-US" w:eastAsia="zh-CN"/>
        </w:rPr>
        <w:t>2</w:t>
      </w:r>
      <w:r>
        <w:rPr>
          <w:rFonts w:hint="eastAsia" w:cs="宋体" w:asciiTheme="minorEastAsia" w:hAnsiTheme="minorEastAsia" w:eastAsiaTheme="minorEastAsia"/>
          <w:color w:val="auto"/>
          <w:szCs w:val="21"/>
        </w:rPr>
        <w:t>供应商应仔细阅读谈判文件的所有内容，按照谈判文件的要求提交响应文件，并对所提供的全部资料的真实性承担法律责任。</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lang w:val="en-US" w:eastAsia="zh-CN"/>
        </w:rPr>
        <w:t>3</w:t>
      </w:r>
      <w:r>
        <w:rPr>
          <w:rFonts w:hint="eastAsia" w:cs="宋体" w:asciiTheme="minorEastAsia" w:hAnsiTheme="minorEastAsia" w:eastAsiaTheme="minorEastAsia"/>
          <w:color w:val="auto"/>
          <w:szCs w:val="21"/>
        </w:rPr>
        <w:t>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lang w:val="en-US" w:eastAsia="zh-CN"/>
        </w:rPr>
        <w:t>4</w:t>
      </w:r>
      <w:r>
        <w:rPr>
          <w:rFonts w:hint="eastAsia" w:cs="宋体" w:asciiTheme="minorEastAsia" w:hAnsiTheme="minorEastAsia" w:eastAsiaTheme="minorEastAsia"/>
          <w:color w:val="auto"/>
          <w:szCs w:val="21"/>
        </w:rPr>
        <w:t>在政府采购活动中，采购人员及相关人员与供应商有下列利害关系之一的，应当回避：</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（1）参加采购活动前3年内与供应商存在劳动关系；</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（2）参加采购活动前3年内担任供应商的董事、监事；</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（3）参加采购活动前3年内是供应商的控股股东或者实际控制人；</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（4）与供应商的法定代表人或者负责人有夫妻、直系血亲、三代以内旁系血亲或者近姻亲关系；</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（5）与供应商有其他可能影响政府采购活动公平、公正进行的关系。</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lang w:val="en-US" w:eastAsia="zh-CN"/>
        </w:rPr>
        <w:t>5</w:t>
      </w:r>
      <w:r>
        <w:rPr>
          <w:rFonts w:hint="eastAsia" w:cs="宋体" w:asciiTheme="minorEastAsia" w:hAnsiTheme="minorEastAsia" w:eastAsiaTheme="minorEastAsia"/>
          <w:color w:val="auto"/>
          <w:szCs w:val="21"/>
        </w:rPr>
        <w:t>有下列情形之一的视为供应商相互串通竞标，响应文件将被视为无效：</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（1）不同供应商的响应文件由同一单位或者个人编制；</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（2）不同供应商委托同一单位或者个人办理竞标事宜；</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（3）不同的供应商的响应文件载明的项目管理员为同一个人；</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（4）不同供应商的响应文件异常一致或者报价呈规律性差异；</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（5）不同供应商的响应文件相互混装；</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（6）不同供应商的谈判保证金从同一单位或者个人账户转出。</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w:t>
      </w:r>
      <w:r>
        <w:rPr>
          <w:rFonts w:hint="eastAsia" w:cs="宋体" w:asciiTheme="minorEastAsia" w:hAnsiTheme="minorEastAsia" w:eastAsiaTheme="minorEastAsia"/>
          <w:color w:val="auto"/>
          <w:szCs w:val="21"/>
          <w:lang w:val="en-US" w:eastAsia="zh-CN"/>
        </w:rPr>
        <w:t>6</w:t>
      </w:r>
      <w:r>
        <w:rPr>
          <w:rFonts w:hint="eastAsia" w:cs="宋体" w:asciiTheme="minorEastAsia" w:hAnsiTheme="minorEastAsia" w:eastAsiaTheme="minorEastAsia"/>
          <w:color w:val="auto"/>
          <w:szCs w:val="21"/>
        </w:rPr>
        <w:t>供应商有下列情形之一的，属于恶意串通行为</w:t>
      </w:r>
      <w:bookmarkStart w:id="88" w:name="_Hlk54682620"/>
      <w:r>
        <w:rPr>
          <w:rFonts w:hint="eastAsia" w:cs="宋体" w:asciiTheme="minorEastAsia" w:hAnsiTheme="minorEastAsia" w:eastAsiaTheme="minorEastAsia"/>
          <w:color w:val="auto"/>
          <w:szCs w:val="21"/>
        </w:rPr>
        <w:t>，将报同级监督管理部门</w:t>
      </w:r>
      <w:bookmarkEnd w:id="88"/>
      <w:r>
        <w:rPr>
          <w:rFonts w:hint="eastAsia" w:cs="宋体" w:asciiTheme="minorEastAsia" w:hAnsiTheme="minorEastAsia" w:eastAsiaTheme="minorEastAsia"/>
          <w:color w:val="auto"/>
          <w:szCs w:val="21"/>
        </w:rPr>
        <w:t>：</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（1）供应商直接或者间接从采购人或者采购代理机构处获得其他供应商的相关信息并修改其响应文件；</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（2）供应商按照采购人或者采购代理机构的授意撤换、修改响应文件；</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（3）供应商之间协商报价、技术方案等响应文件或者响应文件的实质性内容；</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（4）属于同一集团、协会、商会等组织成员的供应商按照该组织要求协同参加政府采购活动；</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（6）供应商之间商定部分供应商放弃参加政府采购活动或者放弃成交；</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（7）供应商与采购人或者采购代理机构之间、供应商相互之间，为谋求特定供应商成交或者排斥其他供应商的其他串通行为。</w:t>
      </w:r>
    </w:p>
    <w:p>
      <w:pPr>
        <w:spacing w:line="360" w:lineRule="auto"/>
        <w:ind w:left="1" w:firstLine="417" w:firstLineChars="199"/>
        <w:jc w:val="center"/>
        <w:rPr>
          <w:rFonts w:asciiTheme="minorEastAsia" w:hAnsiTheme="minorEastAsia" w:eastAsiaTheme="minorEastAsia"/>
          <w:color w:val="auto"/>
        </w:rPr>
      </w:pPr>
      <w:bookmarkStart w:id="89" w:name="_Toc254970675"/>
      <w:bookmarkStart w:id="90" w:name="_Toc254970534"/>
    </w:p>
    <w:p>
      <w:pPr>
        <w:spacing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二、谈判文件</w:t>
      </w:r>
      <w:bookmarkEnd w:id="89"/>
      <w:bookmarkEnd w:id="90"/>
    </w:p>
    <w:p>
      <w:pPr>
        <w:spacing w:line="360" w:lineRule="auto"/>
        <w:jc w:val="center"/>
        <w:rPr>
          <w:rFonts w:asciiTheme="minorEastAsia" w:hAnsiTheme="minorEastAsia" w:eastAsiaTheme="minorEastAsia"/>
          <w:color w:val="auto"/>
          <w:szCs w:val="21"/>
        </w:rPr>
      </w:pP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8.谈判文件的构成</w:t>
      </w:r>
    </w:p>
    <w:p>
      <w:pPr>
        <w:spacing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（1）竞争性谈判公告；</w:t>
      </w:r>
    </w:p>
    <w:p>
      <w:pPr>
        <w:spacing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（2）供应商须知； </w:t>
      </w:r>
    </w:p>
    <w:p>
      <w:pPr>
        <w:spacing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（3）采购需求；</w:t>
      </w:r>
    </w:p>
    <w:p>
      <w:pPr>
        <w:spacing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（4）响应文件格式</w:t>
      </w:r>
    </w:p>
    <w:p>
      <w:pPr>
        <w:spacing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（5）合同文本；</w:t>
      </w:r>
    </w:p>
    <w:p>
      <w:pPr>
        <w:spacing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（6）评审程序和评定成交的标准；</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9.供应商的询问</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供应商应认真阅读谈判文件的采购需求，如供应商对谈判文件有疑问的，如要求采购人作出澄清或者修改的，供应商尽可能在</w:t>
      </w:r>
      <w:r>
        <w:rPr>
          <w:rFonts w:asciiTheme="minorEastAsia" w:hAnsiTheme="minorEastAsia" w:eastAsiaTheme="minorEastAsia"/>
          <w:color w:val="auto"/>
          <w:szCs w:val="21"/>
        </w:rPr>
        <w:t>提交首次响应文件截止之日前</w:t>
      </w:r>
      <w:r>
        <w:rPr>
          <w:rFonts w:hint="eastAsia" w:asciiTheme="minorEastAsia" w:hAnsiTheme="minorEastAsia" w:eastAsiaTheme="minorEastAsia"/>
          <w:color w:val="auto"/>
          <w:szCs w:val="21"/>
        </w:rPr>
        <w:t>，以书面形式向</w:t>
      </w:r>
      <w:r>
        <w:rPr>
          <w:rFonts w:asciiTheme="minorEastAsia" w:hAnsiTheme="minorEastAsia" w:eastAsiaTheme="minorEastAsia"/>
          <w:color w:val="auto"/>
          <w:szCs w:val="21"/>
        </w:rPr>
        <w:t>采购人、采购代理机构</w:t>
      </w:r>
      <w:r>
        <w:rPr>
          <w:rFonts w:hint="eastAsia" w:asciiTheme="minorEastAsia" w:hAnsiTheme="minorEastAsia" w:eastAsiaTheme="minorEastAsia"/>
          <w:color w:val="auto"/>
          <w:szCs w:val="21"/>
        </w:rPr>
        <w:t>提出。</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10.谈判文件的澄清和修改</w:t>
      </w:r>
    </w:p>
    <w:p>
      <w:pPr>
        <w:spacing w:line="360" w:lineRule="auto"/>
        <w:ind w:firstLine="420" w:firstLineChars="200"/>
        <w:rPr>
          <w:rFonts w:asciiTheme="minorEastAsia" w:hAnsiTheme="minorEastAsia" w:eastAsiaTheme="minorEastAsia"/>
          <w:color w:val="auto"/>
          <w:szCs w:val="21"/>
        </w:rPr>
      </w:pPr>
      <w:r>
        <w:rPr>
          <w:rFonts w:asciiTheme="minorEastAsia" w:hAnsiTheme="minorEastAsia" w:eastAsiaTheme="minorEastAsia"/>
          <w:color w:val="auto"/>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pPr>
        <w:spacing w:line="360" w:lineRule="auto"/>
        <w:rPr>
          <w:rFonts w:asciiTheme="minorEastAsia" w:hAnsiTheme="minorEastAsia" w:eastAsiaTheme="minorEastAsia"/>
          <w:color w:val="auto"/>
          <w:szCs w:val="21"/>
        </w:rPr>
      </w:pPr>
    </w:p>
    <w:p>
      <w:pPr>
        <w:spacing w:line="360" w:lineRule="auto"/>
        <w:jc w:val="center"/>
        <w:rPr>
          <w:rFonts w:asciiTheme="minorEastAsia" w:hAnsiTheme="minorEastAsia" w:eastAsiaTheme="minorEastAsia"/>
          <w:b/>
          <w:color w:val="auto"/>
          <w:szCs w:val="21"/>
        </w:rPr>
      </w:pPr>
      <w:r>
        <w:rPr>
          <w:rFonts w:hint="eastAsia" w:asciiTheme="minorEastAsia" w:hAnsiTheme="minorEastAsia" w:eastAsiaTheme="minorEastAsia"/>
          <w:b/>
          <w:color w:val="auto"/>
          <w:sz w:val="32"/>
          <w:szCs w:val="32"/>
        </w:rPr>
        <w:t>三、响应文件的编制</w:t>
      </w:r>
    </w:p>
    <w:p>
      <w:pPr>
        <w:spacing w:line="360" w:lineRule="auto"/>
        <w:rPr>
          <w:rFonts w:asciiTheme="minorEastAsia" w:hAnsiTheme="minorEastAsia" w:eastAsiaTheme="minorEastAsia"/>
          <w:color w:val="auto"/>
          <w:szCs w:val="21"/>
        </w:rPr>
      </w:pP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11.响应文件的编制原则</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供应商必须按照谈判文件的要求编制响应文件，并对其提交的响应文件的真实性、合法性承担法律责任。响应文件必须对谈判文件作出实质性响应。</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12.响应文件的组成</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r>
        <w:rPr>
          <w:rFonts w:cs="宋体" w:asciiTheme="minorEastAsia" w:hAnsiTheme="minorEastAsia" w:eastAsiaTheme="minorEastAsia"/>
          <w:color w:val="auto"/>
          <w:szCs w:val="21"/>
        </w:rPr>
        <w:t>2.1</w:t>
      </w:r>
      <w:r>
        <w:rPr>
          <w:rFonts w:hint="eastAsia" w:cs="宋体" w:asciiTheme="minorEastAsia" w:hAnsiTheme="minorEastAsia" w:eastAsiaTheme="minorEastAsia"/>
          <w:color w:val="auto"/>
          <w:szCs w:val="21"/>
        </w:rPr>
        <w:t>响应文件由资格证明文件、报价文件、商务技术文件三部分组成。</w:t>
      </w:r>
    </w:p>
    <w:p>
      <w:pPr>
        <w:spacing w:line="360" w:lineRule="auto"/>
        <w:ind w:left="840" w:leftChars="200" w:hanging="420" w:hanging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12.1</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资格证明文件：详见“供应商须知前附表”</w:t>
      </w:r>
    </w:p>
    <w:p>
      <w:pPr>
        <w:spacing w:line="360" w:lineRule="auto"/>
        <w:ind w:left="840" w:leftChars="200" w:hanging="420" w:hanging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2报价文件：详见“供应商须知前附表”</w:t>
      </w:r>
    </w:p>
    <w:p>
      <w:pPr>
        <w:spacing w:line="360" w:lineRule="auto"/>
        <w:ind w:left="840" w:leftChars="200" w:hanging="420" w:hanging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12.1.3商务技术文件：详见“供应商须知前附表”</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13.计量单位</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谈判文件已有明确规定的，使用谈判文件规定的计量单位；谈判文件没有规定的，应采用中华人民共和国法定计量单位，货币种类为人民币，否则视同未响应。</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14.竞标的风险</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供应商没有按照谈判文件要求提供全部资料，或者供应商没有对谈判文件在各方面作出实质性响应可能导致其响应文件按无效处理，是供应商应当考虑的风险。</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15.竞标报价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15.1竞标报价应按谈判文件中“竞标报价表”格式填写。</w:t>
      </w:r>
    </w:p>
    <w:p>
      <w:pPr>
        <w:tabs>
          <w:tab w:val="left" w:pos="2492"/>
        </w:tabs>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15.2竞标报价的内容详见“供应商须知前附表”。</w:t>
      </w:r>
    </w:p>
    <w:p>
      <w:pPr>
        <w:spacing w:line="360" w:lineRule="auto"/>
        <w:ind w:left="426" w:leftChars="203"/>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15.3竞标报价要求</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w:t>
      </w:r>
      <w:r>
        <w:rPr>
          <w:rFonts w:cs="宋体" w:asciiTheme="minorEastAsia" w:hAnsiTheme="minorEastAsia" w:eastAsiaTheme="minorEastAsia"/>
          <w:color w:val="auto"/>
          <w:szCs w:val="21"/>
        </w:rPr>
        <w:t>5.3.1</w:t>
      </w:r>
      <w:r>
        <w:rPr>
          <w:rFonts w:hint="eastAsia" w:cs="宋体" w:asciiTheme="minorEastAsia" w:hAnsiTheme="minorEastAsia" w:eastAsiaTheme="minorEastAsia"/>
          <w:color w:val="auto"/>
          <w:szCs w:val="21"/>
        </w:rPr>
        <w:t>供应商的竞标报价应符合以下要求，否则响应文件按无效响应处理：</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（1）供应商必须就“采购需求”中所竞标的每个分标的全部内容分别作完整唯一总价报价，</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不得存在漏项报价；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）供应商必须就所竞标的分标的单项内容作唯一报价。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15.3.</w:t>
      </w: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竞标报价（包含首次报价、最后报价）超过所竞标分标规定的采购预算金额或者最高限价或报价范围的，其响应文件将按无效处理。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15.3.</w:t>
      </w: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竞标报价（包含首次报价、最后报价）超过分项采购预算金额或者最高限价或报价范围的，其响应文件将按无效处理。</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16.竞标有效期</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16.2 竞标有效期应由供应商按“供应商须知前附表”规定的期限作出响应。</w:t>
      </w:r>
      <w:r>
        <w:rPr>
          <w:rFonts w:hint="eastAsia" w:asciiTheme="minorEastAsia" w:hAnsiTheme="minorEastAsia" w:eastAsiaTheme="minorEastAsia"/>
          <w:color w:val="auto"/>
          <w:szCs w:val="21"/>
        </w:rPr>
        <w:t>承诺的竞标有效期低于采购文件规定期限的，供应商的响应文件作无效处理。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16.3供应商的响应文件在竞标有效期内均保持有效。</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17.谈判保证金</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17.1供应商须按“供应商须知前附表”的规定提交谈判保证金。</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17.2谈判保证金的退还</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未</w:t>
      </w:r>
      <w:r>
        <w:rPr>
          <w:rFonts w:hint="eastAsia" w:cs="宋体" w:asciiTheme="minorEastAsia" w:hAnsiTheme="minorEastAsia" w:eastAsiaTheme="minorEastAsia"/>
          <w:color w:val="auto"/>
          <w:spacing w:val="-6"/>
          <w:szCs w:val="21"/>
        </w:rPr>
        <w:t>成交供应商的谈判保证金自成交通知书发出之日起5个工作日内退还</w:t>
      </w:r>
      <w:r>
        <w:rPr>
          <w:rFonts w:hint="eastAsia" w:asciiTheme="minorEastAsia" w:hAnsiTheme="minorEastAsia" w:eastAsiaTheme="minorEastAsia"/>
          <w:color w:val="auto"/>
          <w:szCs w:val="21"/>
        </w:rPr>
        <w:t>；</w:t>
      </w:r>
      <w:r>
        <w:rPr>
          <w:rFonts w:hint="eastAsia" w:cs="宋体" w:asciiTheme="minorEastAsia" w:hAnsiTheme="minorEastAsia" w:eastAsiaTheme="minorEastAsia"/>
          <w:color w:val="auto"/>
          <w:szCs w:val="21"/>
        </w:rPr>
        <w:t xml:space="preserve">成交供应商的谈判保证金自签订合同之日起5个工作日内退还。 </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17.3谈判保证金不计息。</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17.4供应商有下列情形之一的，谈判保证金将不予退还： </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（1）供应商在提交响应文件截止时间后撤回响应文件的；</w:t>
      </w:r>
    </w:p>
    <w:p>
      <w:pPr>
        <w:spacing w:line="360" w:lineRule="auto"/>
        <w:ind w:left="420" w:leftChars="200"/>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（2）未按规定提交履约保证金的；</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（3）供应商在响应文件中提供虚假材料的；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（4）除因不可抗力或者谈判文件认可的情形以外，成交供应商不与采购人签订合同的；</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（5）供应商与采购人、其他供应商或者采购代理机构恶意串通的；</w:t>
      </w:r>
    </w:p>
    <w:p>
      <w:pPr>
        <w:spacing w:line="360" w:lineRule="auto"/>
        <w:ind w:left="420" w:left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（6）法律法规规定的其他情形。</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18. 响应文件编制的要求</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18.2为确保网上操作合法、有效和安全，供应商应当在提交响应文件截止时间前完成在广西政府采购云平台的身份认证，确保在电子竞标过程中能够对相关数据电文进行加密和使用电子签章。</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18.3响应文件须由供应商在规定位置签字、盖章（具体以供应商须知前附表或响应文件格式规定为准），否则按无效响应处理。</w:t>
      </w:r>
    </w:p>
    <w:p>
      <w:pPr>
        <w:spacing w:line="360" w:lineRule="auto"/>
        <w:ind w:firstLine="420"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color w:val="auto"/>
          <w:szCs w:val="21"/>
        </w:rPr>
        <w:t>18.4响应文件中标注的供应商名称应与主体资格证明（如营业执照或者事业单位法人证书或者执业许可证或者登记证书等）及公章一致，</w:t>
      </w:r>
      <w:r>
        <w:rPr>
          <w:rFonts w:hint="eastAsia" w:cs="宋体" w:asciiTheme="minorEastAsia" w:hAnsiTheme="minorEastAsia" w:eastAsiaTheme="minorEastAsia"/>
          <w:b/>
          <w:bCs/>
          <w:color w:val="auto"/>
          <w:szCs w:val="21"/>
        </w:rPr>
        <w:t>并与广西政府采购云平台中获取采购文件的供应商名称一致，</w:t>
      </w:r>
      <w:r>
        <w:rPr>
          <w:rFonts w:hint="eastAsia" w:cs="宋体" w:asciiTheme="minorEastAsia" w:hAnsiTheme="minorEastAsia" w:eastAsiaTheme="minorEastAsia"/>
          <w:color w:val="auto"/>
          <w:szCs w:val="21"/>
        </w:rPr>
        <w:t>供应商为自然人的，标注的供应商名称应与身份证姓名及签名一致，</w:t>
      </w:r>
      <w:r>
        <w:rPr>
          <w:rFonts w:hint="eastAsia" w:cs="宋体" w:asciiTheme="minorEastAsia" w:hAnsiTheme="minorEastAsia" w:eastAsiaTheme="minorEastAsia"/>
          <w:b/>
          <w:bCs/>
          <w:color w:val="auto"/>
          <w:szCs w:val="21"/>
        </w:rPr>
        <w:t>否则其响应文件按无效响应处理。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360" w:lineRule="auto"/>
        <w:ind w:firstLine="482" w:firstLineChars="200"/>
        <w:rPr>
          <w:rFonts w:asciiTheme="minorEastAsia" w:hAnsiTheme="minorEastAsia" w:eastAsiaTheme="minorEastAsia"/>
          <w:color w:val="auto"/>
          <w:sz w:val="24"/>
        </w:rPr>
      </w:pPr>
      <w:r>
        <w:rPr>
          <w:rFonts w:hint="eastAsia" w:cs="宋体" w:asciiTheme="minorEastAsia" w:hAnsiTheme="minorEastAsia" w:eastAsiaTheme="minorEastAsia"/>
          <w:b/>
          <w:bCs/>
          <w:color w:val="auto"/>
          <w:sz w:val="24"/>
        </w:rPr>
        <w:t>19.电子</w:t>
      </w:r>
      <w:r>
        <w:rPr>
          <w:rFonts w:hint="eastAsia" w:asciiTheme="minorEastAsia" w:hAnsiTheme="minorEastAsia" w:eastAsiaTheme="minorEastAsia"/>
          <w:b/>
          <w:color w:val="auto"/>
          <w:sz w:val="24"/>
        </w:rPr>
        <w:t>备份响应文件</w:t>
      </w:r>
    </w:p>
    <w:p>
      <w:pPr>
        <w:spacing w:line="360" w:lineRule="auto"/>
        <w:ind w:firstLine="420" w:firstLineChars="200"/>
        <w:rPr>
          <w:rFonts w:asciiTheme="minorEastAsia" w:hAnsiTheme="minorEastAsia" w:eastAsiaTheme="minorEastAsia"/>
          <w:color w:val="auto"/>
          <w:sz w:val="24"/>
        </w:rPr>
      </w:pPr>
      <w:r>
        <w:rPr>
          <w:rFonts w:hint="eastAsia" w:asciiTheme="minorEastAsia" w:hAnsiTheme="minorEastAsia" w:eastAsiaTheme="minorEastAsia"/>
          <w:color w:val="auto"/>
        </w:rPr>
        <w:t>电子备份响应文件是指通过在线编制生成且后缀名为“</w:t>
      </w:r>
      <w:r>
        <w:rPr>
          <w:rFonts w:asciiTheme="minorEastAsia" w:hAnsiTheme="minorEastAsia" w:eastAsiaTheme="minorEastAsia"/>
          <w:color w:val="auto"/>
        </w:rPr>
        <w:t>bfbs</w:t>
      </w:r>
      <w:r>
        <w:rPr>
          <w:rFonts w:hint="eastAsia" w:asciiTheme="minorEastAsia" w:hAnsiTheme="minorEastAsia" w:eastAsiaTheme="minorEastAsia"/>
          <w:color w:val="auto"/>
        </w:rPr>
        <w:t>”的文件，是否接受电子备份响应文件详见</w:t>
      </w:r>
      <w:r>
        <w:rPr>
          <w:rFonts w:hint="eastAsia" w:asciiTheme="minorEastAsia" w:hAnsiTheme="minorEastAsia" w:eastAsiaTheme="minorEastAsia"/>
          <w:bCs/>
          <w:color w:val="auto"/>
          <w:szCs w:val="21"/>
        </w:rPr>
        <w:t>“供应商须知前附表”。</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20.响应文件的提交</w:t>
      </w:r>
    </w:p>
    <w:p>
      <w:pPr>
        <w:spacing w:line="360" w:lineRule="auto"/>
        <w:ind w:firstLine="420" w:firstLineChars="200"/>
        <w:rPr>
          <w:rFonts w:asciiTheme="minorEastAsia" w:hAnsiTheme="minorEastAsia" w:eastAsiaTheme="minorEastAsia"/>
          <w:b/>
          <w:color w:val="auto"/>
        </w:rPr>
      </w:pPr>
      <w:r>
        <w:rPr>
          <w:rFonts w:hint="eastAsia" w:asciiTheme="minorEastAsia" w:hAnsiTheme="minorEastAsia" w:eastAsiaTheme="minorEastAsia"/>
          <w:bCs/>
          <w:color w:val="auto"/>
          <w:szCs w:val="21"/>
        </w:rPr>
        <w:t>20.1供应商必须按“供应商须知前附表”规定的</w:t>
      </w:r>
      <w:r>
        <w:rPr>
          <w:rFonts w:hint="eastAsia" w:cs="宋体" w:asciiTheme="minorEastAsia" w:hAnsiTheme="minorEastAsia" w:eastAsiaTheme="minorEastAsia"/>
          <w:color w:val="auto"/>
          <w:szCs w:val="21"/>
        </w:rPr>
        <w:t>时间</w:t>
      </w:r>
      <w:r>
        <w:rPr>
          <w:rFonts w:hint="eastAsia" w:asciiTheme="minorEastAsia" w:hAnsiTheme="minorEastAsia" w:eastAsiaTheme="minorEastAsia"/>
          <w:color w:val="auto"/>
          <w:szCs w:val="21"/>
        </w:rPr>
        <w:t>及</w:t>
      </w:r>
      <w:r>
        <w:rPr>
          <w:rFonts w:hint="eastAsia" w:asciiTheme="minorEastAsia" w:hAnsiTheme="minorEastAsia" w:eastAsiaTheme="minorEastAsia"/>
          <w:bCs/>
          <w:color w:val="auto"/>
          <w:szCs w:val="21"/>
        </w:rPr>
        <w:t>地点提交响应文件。电子响应文件应在制作完成后，</w:t>
      </w:r>
      <w:r>
        <w:rPr>
          <w:rFonts w:asciiTheme="minorEastAsia" w:hAnsiTheme="minorEastAsia" w:eastAsiaTheme="minorEastAsia"/>
          <w:bCs/>
          <w:color w:val="auto"/>
          <w:szCs w:val="21"/>
        </w:rPr>
        <w:t>在</w:t>
      </w:r>
      <w:r>
        <w:rPr>
          <w:rFonts w:hint="eastAsia" w:asciiTheme="minorEastAsia" w:hAnsiTheme="minorEastAsia" w:eastAsiaTheme="minorEastAsia"/>
          <w:bCs/>
          <w:color w:val="auto"/>
          <w:szCs w:val="21"/>
        </w:rPr>
        <w:t>提交响应文件截止</w:t>
      </w:r>
      <w:r>
        <w:rPr>
          <w:rFonts w:asciiTheme="minorEastAsia" w:hAnsiTheme="minorEastAsia" w:eastAsiaTheme="minorEastAsia"/>
          <w:bCs/>
          <w:color w:val="auto"/>
          <w:szCs w:val="21"/>
        </w:rPr>
        <w:t>时间前</w:t>
      </w:r>
      <w:r>
        <w:rPr>
          <w:rFonts w:hint="eastAsia" w:asciiTheme="minorEastAsia" w:hAnsiTheme="minorEastAsia" w:eastAsiaTheme="minorEastAsia"/>
          <w:bCs/>
          <w:color w:val="auto"/>
          <w:szCs w:val="21"/>
        </w:rPr>
        <w:t>通过有效数字证书（CA认证锁）进行电子签章、加密，然后通过网络将加密的电子响应文件提交至</w:t>
      </w:r>
      <w:r>
        <w:rPr>
          <w:rFonts w:hint="eastAsia" w:asciiTheme="minorEastAsia" w:hAnsiTheme="minorEastAsia" w:eastAsiaTheme="minorEastAsia"/>
          <w:color w:val="auto"/>
          <w:szCs w:val="21"/>
        </w:rPr>
        <w:t>广西政府采购云平台</w:t>
      </w:r>
      <w:r>
        <w:rPr>
          <w:rFonts w:hint="eastAsia" w:asciiTheme="minorEastAsia" w:hAnsiTheme="minorEastAsia" w:eastAsiaTheme="minorEastAsia"/>
          <w:bCs/>
          <w:color w:val="auto"/>
          <w:szCs w:val="21"/>
        </w:rPr>
        <w:t xml:space="preserve">。 </w:t>
      </w:r>
      <w:r>
        <w:rPr>
          <w:rFonts w:hint="eastAsia" w:asciiTheme="minorEastAsia" w:hAnsiTheme="minorEastAsia" w:eastAsiaTheme="minorEastAsia"/>
          <w:b/>
          <w:color w:val="auto"/>
        </w:rPr>
        <w:t xml:space="preserve"> </w:t>
      </w:r>
    </w:p>
    <w:p>
      <w:pPr>
        <w:spacing w:line="360" w:lineRule="auto"/>
        <w:ind w:firstLine="422" w:firstLineChars="200"/>
        <w:rPr>
          <w:rFonts w:asciiTheme="minorEastAsia" w:hAnsiTheme="minorEastAsia" w:eastAsiaTheme="minorEastAsia"/>
          <w:b/>
          <w:color w:val="auto"/>
          <w:szCs w:val="20"/>
        </w:rPr>
      </w:pPr>
      <w:r>
        <w:rPr>
          <w:rFonts w:hint="eastAsia" w:asciiTheme="minorEastAsia" w:hAnsiTheme="minorEastAsia" w:eastAsiaTheme="minorEastAsia"/>
          <w:b/>
          <w:color w:val="auto"/>
          <w:szCs w:val="21"/>
        </w:rPr>
        <w:t>20.</w:t>
      </w:r>
      <w:r>
        <w:rPr>
          <w:rFonts w:asciiTheme="minorEastAsia" w:hAnsiTheme="minorEastAsia" w:eastAsiaTheme="minorEastAsia"/>
          <w:b/>
          <w:color w:val="auto"/>
          <w:szCs w:val="21"/>
        </w:rPr>
        <w:t>2</w:t>
      </w:r>
      <w:r>
        <w:rPr>
          <w:rFonts w:hint="eastAsia" w:asciiTheme="minorEastAsia" w:hAnsiTheme="minorEastAsia" w:eastAsiaTheme="minorEastAsia"/>
          <w:b/>
          <w:color w:val="auto"/>
          <w:szCs w:val="21"/>
        </w:rPr>
        <w:t>未在规定时间内提交或者未按照谈判文件要求加密的电子响应文件，广西政府采购云平台将拒收。</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21.首次响应文件的补充、修改与撤回</w:t>
      </w:r>
    </w:p>
    <w:p>
      <w:pPr>
        <w:snapToGrid w:val="0"/>
        <w:spacing w:line="360" w:lineRule="auto"/>
        <w:ind w:firstLine="420"/>
        <w:jc w:val="left"/>
        <w:rPr>
          <w:rFonts w:asciiTheme="minorEastAsia" w:hAnsiTheme="minorEastAsia" w:eastAsiaTheme="minorEastAsia"/>
          <w:color w:val="auto"/>
          <w:szCs w:val="21"/>
        </w:rPr>
      </w:pPr>
      <w:bookmarkStart w:id="91" w:name="_Toc254970684"/>
      <w:bookmarkStart w:id="92" w:name="_Toc254970543"/>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1.1</w:t>
      </w:r>
      <w:r>
        <w:rPr>
          <w:rFonts w:hint="eastAsia" w:asciiTheme="minorEastAsia" w:hAnsiTheme="minorEastAsia" w:eastAsiaTheme="minorEastAsia"/>
          <w:bCs/>
          <w:color w:val="auto"/>
          <w:szCs w:val="21"/>
        </w:rPr>
        <w:t>供应商应当在提交响应文件截止</w:t>
      </w:r>
      <w:r>
        <w:rPr>
          <w:rFonts w:asciiTheme="minorEastAsia" w:hAnsiTheme="minorEastAsia" w:eastAsiaTheme="minorEastAsia"/>
          <w:bCs/>
          <w:color w:val="auto"/>
          <w:szCs w:val="21"/>
        </w:rPr>
        <w:t>时间</w:t>
      </w:r>
      <w:r>
        <w:rPr>
          <w:rFonts w:hint="eastAsia" w:asciiTheme="minorEastAsia" w:hAnsiTheme="minorEastAsia" w:eastAsiaTheme="minorEastAsia"/>
          <w:bCs/>
          <w:color w:val="auto"/>
          <w:szCs w:val="21"/>
        </w:rPr>
        <w:t>前完成电子响应文件的提交（上传），提交响应文件截止</w:t>
      </w:r>
      <w:r>
        <w:rPr>
          <w:rFonts w:asciiTheme="minorEastAsia" w:hAnsiTheme="minorEastAsia" w:eastAsiaTheme="minorEastAsia"/>
          <w:bCs/>
          <w:color w:val="auto"/>
          <w:szCs w:val="21"/>
        </w:rPr>
        <w:t>时间</w:t>
      </w:r>
      <w:r>
        <w:rPr>
          <w:rFonts w:hint="eastAsia" w:asciiTheme="minorEastAsia" w:hAnsiTheme="minorEastAsia" w:eastAsiaTheme="minorEastAsia"/>
          <w:bCs/>
          <w:color w:val="auto"/>
          <w:szCs w:val="21"/>
        </w:rPr>
        <w:t>前可以补充、修改或者撤回响应文件。补充或者修改响应文件的，应当先行撤回原响应文件，补充、修改后重新提交（上传），提交响应文件截止</w:t>
      </w:r>
      <w:r>
        <w:rPr>
          <w:rFonts w:asciiTheme="minorEastAsia" w:hAnsiTheme="minorEastAsia" w:eastAsiaTheme="minorEastAsia"/>
          <w:bCs/>
          <w:color w:val="auto"/>
          <w:szCs w:val="21"/>
        </w:rPr>
        <w:t>时间</w:t>
      </w:r>
      <w:r>
        <w:rPr>
          <w:rFonts w:hint="eastAsia" w:asciiTheme="minorEastAsia" w:hAnsiTheme="minorEastAsia" w:eastAsiaTheme="minorEastAsia"/>
          <w:bCs/>
          <w:color w:val="auto"/>
          <w:szCs w:val="21"/>
        </w:rPr>
        <w:t>前未完成提交（上传）的，视为撤回响应文件。提交响应文件截止</w:t>
      </w:r>
      <w:r>
        <w:rPr>
          <w:rFonts w:asciiTheme="minorEastAsia" w:hAnsiTheme="minorEastAsia" w:eastAsiaTheme="minorEastAsia"/>
          <w:bCs/>
          <w:color w:val="auto"/>
          <w:szCs w:val="21"/>
        </w:rPr>
        <w:t>时间</w:t>
      </w:r>
      <w:r>
        <w:rPr>
          <w:rFonts w:hint="eastAsia" w:asciiTheme="minorEastAsia" w:hAnsiTheme="minorEastAsia" w:eastAsiaTheme="minorEastAsia"/>
          <w:bCs/>
          <w:color w:val="auto"/>
          <w:szCs w:val="21"/>
        </w:rPr>
        <w:t>以后提交（上传）的响应文件，广西政府采购云平台将予以拒收。</w:t>
      </w:r>
      <w:r>
        <w:rPr>
          <w:rFonts w:hint="eastAsia" w:cs="宋体" w:asciiTheme="minorEastAsia" w:hAnsiTheme="minorEastAsia" w:eastAsiaTheme="minorEastAsia"/>
          <w:color w:val="auto"/>
          <w:szCs w:val="21"/>
        </w:rPr>
        <w:t>（补充、修改或者撤回方式可</w:t>
      </w:r>
      <w:r>
        <w:rPr>
          <w:rFonts w:hint="eastAsia" w:asciiTheme="minorEastAsia" w:hAnsiTheme="minorEastAsia" w:eastAsiaTheme="minorEastAsia"/>
          <w:color w:val="auto"/>
          <w:szCs w:val="21"/>
        </w:rPr>
        <w:t>登录</w:t>
      </w:r>
      <w:r>
        <w:rPr>
          <w:rFonts w:hint="eastAsia" w:cs="宋体" w:asciiTheme="minorEastAsia" w:hAnsiTheme="minorEastAsia" w:eastAsiaTheme="minorEastAsia"/>
          <w:color w:val="auto"/>
          <w:kern w:val="0"/>
          <w:szCs w:val="21"/>
        </w:rPr>
        <w:t>广西政府采购云平台，</w:t>
      </w:r>
      <w:r>
        <w:rPr>
          <w:rFonts w:hint="eastAsia" w:asciiTheme="minorEastAsia" w:hAnsiTheme="minorEastAsia" w:eastAsiaTheme="minorEastAsia"/>
          <w:color w:val="auto"/>
          <w:szCs w:val="21"/>
        </w:rPr>
        <w:t>进入“服务中心”中查看</w:t>
      </w:r>
      <w:r>
        <w:rPr>
          <w:rFonts w:hint="eastAsia" w:cs="宋体" w:asciiTheme="minorEastAsia" w:hAnsiTheme="minorEastAsia" w:eastAsiaTheme="minorEastAsia"/>
          <w:color w:val="auto"/>
          <w:szCs w:val="21"/>
        </w:rPr>
        <w:t xml:space="preserve"> “电子投标文件制作与投送教程”）</w:t>
      </w:r>
    </w:p>
    <w:bookmarkEnd w:id="91"/>
    <w:bookmarkEnd w:id="92"/>
    <w:p>
      <w:pPr>
        <w:pStyle w:val="56"/>
        <w:spacing w:before="0"/>
        <w:ind w:firstLine="420"/>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2</w:t>
      </w:r>
      <w:r>
        <w:rPr>
          <w:rFonts w:hint="eastAsia" w:cs="宋体" w:asciiTheme="minorEastAsia" w:hAnsiTheme="minorEastAsia" w:eastAsiaTheme="minorEastAsia"/>
          <w:color w:val="auto"/>
          <w:sz w:val="21"/>
          <w:szCs w:val="21"/>
        </w:rPr>
        <w:t>1</w:t>
      </w: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2在提交响应文件截止时间前，除供应商补充、修改或者撤回响应文件外，任何单位和个人不得解密或提取响应文件。</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22.响应文件的退回</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采购人和采购代理机构对已提交的响应文件概不退回。</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23.截止时间后的撤回</w:t>
      </w:r>
    </w:p>
    <w:p>
      <w:pPr>
        <w:spacing w:line="360" w:lineRule="auto"/>
        <w:ind w:firstLine="420" w:firstLineChars="200"/>
        <w:rPr>
          <w:rFonts w:asciiTheme="minorEastAsia" w:hAnsiTheme="minorEastAsia" w:eastAsiaTheme="minorEastAsia"/>
          <w:color w:val="auto"/>
          <w:szCs w:val="21"/>
        </w:rPr>
      </w:pPr>
      <w:r>
        <w:rPr>
          <w:rFonts w:hint="eastAsia" w:cs="宋体" w:asciiTheme="minorEastAsia" w:hAnsiTheme="minorEastAsia" w:eastAsiaTheme="minorEastAsia"/>
          <w:color w:val="auto"/>
          <w:szCs w:val="21"/>
        </w:rPr>
        <w:t>供应商在响应文件提交截止时间后向采购人、采购代理机构书面申请撤回响应文件的，将根据本须知正文第17.4条的规定不予退还其谈判保证金。</w:t>
      </w:r>
    </w:p>
    <w:p>
      <w:pPr>
        <w:spacing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四、评审及谈判</w:t>
      </w:r>
    </w:p>
    <w:p>
      <w:pPr>
        <w:spacing w:line="360" w:lineRule="auto"/>
        <w:ind w:left="420" w:firstLine="420"/>
        <w:rPr>
          <w:rFonts w:asciiTheme="minorEastAsia" w:hAnsiTheme="minorEastAsia" w:eastAsiaTheme="minorEastAsia"/>
          <w:color w:val="auto"/>
          <w:szCs w:val="21"/>
        </w:rPr>
      </w:pP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24.谈判小组成立</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pPr>
        <w:spacing w:line="360" w:lineRule="auto"/>
        <w:ind w:firstLine="420" w:firstLineChars="200"/>
        <w:rPr>
          <w:rFonts w:asciiTheme="minorEastAsia" w:hAnsiTheme="minorEastAsia" w:eastAsiaTheme="minorEastAsia"/>
          <w:bCs/>
          <w:color w:val="auto"/>
          <w:szCs w:val="21"/>
        </w:rPr>
      </w:pPr>
      <w:r>
        <w:rPr>
          <w:rFonts w:hint="eastAsia" w:cs="宋体" w:asciiTheme="minorEastAsia" w:hAnsiTheme="minorEastAsia" w:eastAsiaTheme="minorEastAsia"/>
          <w:color w:val="auto"/>
          <w:szCs w:val="21"/>
        </w:rPr>
        <w:t>24.3</w:t>
      </w:r>
      <w:r>
        <w:rPr>
          <w:rFonts w:hint="eastAsia" w:asciiTheme="minorEastAsia" w:hAnsiTheme="minorEastAsia" w:eastAsiaTheme="minorEastAsia"/>
          <w:bCs/>
          <w:color w:val="auto"/>
          <w:szCs w:val="21"/>
        </w:rPr>
        <w:t>采购代理机构</w:t>
      </w:r>
      <w:r>
        <w:rPr>
          <w:rFonts w:hint="eastAsia" w:asciiTheme="minorEastAsia" w:hAnsiTheme="minorEastAsia" w:eastAsiaTheme="minorEastAsia"/>
          <w:bCs/>
          <w:color w:val="auto"/>
        </w:rPr>
        <w:t>应当</w:t>
      </w:r>
      <w:r>
        <w:rPr>
          <w:rFonts w:hint="eastAsia" w:asciiTheme="minorEastAsia" w:hAnsiTheme="minorEastAsia" w:eastAsiaTheme="minorEastAsia"/>
          <w:bCs/>
          <w:color w:val="auto"/>
          <w:szCs w:val="21"/>
        </w:rPr>
        <w:t>基于广西政府采购云平台</w:t>
      </w:r>
      <w:r>
        <w:rPr>
          <w:rFonts w:hint="eastAsia" w:asciiTheme="minorEastAsia" w:hAnsiTheme="minorEastAsia" w:eastAsiaTheme="minorEastAsia"/>
          <w:bCs/>
          <w:color w:val="auto"/>
        </w:rPr>
        <w:t>抽（选）取</w:t>
      </w:r>
      <w:r>
        <w:rPr>
          <w:rFonts w:hint="eastAsia" w:asciiTheme="minorEastAsia" w:hAnsiTheme="minorEastAsia" w:eastAsiaTheme="minorEastAsia"/>
          <w:bCs/>
          <w:color w:val="auto"/>
          <w:szCs w:val="21"/>
        </w:rPr>
        <w:t>评审专家。</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24.4参加过采购项目前期咨询论证的专家，不得参加该采购项目的评审活动。</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25.</w:t>
      </w:r>
      <w:r>
        <w:rPr>
          <w:rFonts w:hint="eastAsia" w:cs="宋体" w:asciiTheme="minorEastAsia" w:hAnsiTheme="minorEastAsia" w:eastAsiaTheme="minorEastAsia"/>
          <w:b/>
          <w:bCs/>
          <w:color w:val="auto"/>
          <w:sz w:val="24"/>
        </w:rPr>
        <w:t xml:space="preserve"> 首次响应文件的开启和解密</w:t>
      </w:r>
    </w:p>
    <w:p>
      <w:pPr>
        <w:spacing w:line="360" w:lineRule="auto"/>
        <w:ind w:firstLine="420"/>
        <w:rPr>
          <w:rFonts w:cs="宋体" w:asciiTheme="minorEastAsia" w:hAnsiTheme="minorEastAsia" w:eastAsiaTheme="minorEastAsia"/>
          <w:b/>
          <w:bCs/>
          <w:color w:val="auto"/>
          <w:sz w:val="24"/>
        </w:rPr>
      </w:pPr>
      <w:r>
        <w:rPr>
          <w:rFonts w:hint="eastAsia" w:asciiTheme="minorEastAsia" w:hAnsiTheme="minorEastAsia" w:eastAsiaTheme="minorEastAsia"/>
          <w:bCs/>
          <w:color w:val="auto"/>
        </w:rPr>
        <w:t>采购代理机构将在“供应商须知前附表”规定的时</w:t>
      </w:r>
      <w:r>
        <w:rPr>
          <w:rFonts w:hint="eastAsia" w:asciiTheme="minorEastAsia" w:hAnsiTheme="minorEastAsia" w:eastAsiaTheme="minorEastAsia"/>
          <w:color w:val="auto"/>
        </w:rPr>
        <w:t>间通过电子交易平台组织响应文件开启，供应商的法定代表人或其委托代理人须携带加密时所用的CA锁，按平台提示和谈判文件的规定登录到广西政府采购云平台电子开标大厅签到，采购代理机构依托广西政府采购云平台向各供应商发出电子加密响应文件【开始解密】通知，由供应商按</w:t>
      </w:r>
      <w:r>
        <w:rPr>
          <w:rFonts w:hint="eastAsia" w:asciiTheme="minorEastAsia" w:hAnsiTheme="minorEastAsia" w:eastAsiaTheme="minorEastAsia"/>
          <w:bCs/>
          <w:color w:val="auto"/>
          <w:szCs w:val="21"/>
        </w:rPr>
        <w:t>“供应商须知前附表”</w:t>
      </w:r>
      <w:r>
        <w:rPr>
          <w:rFonts w:hint="eastAsia" w:asciiTheme="minorEastAsia" w:hAnsiTheme="minorEastAsia" w:eastAsiaTheme="minorEastAsia"/>
          <w:color w:val="auto"/>
        </w:rPr>
        <w:t>规定的时间内自行进行响应文件解密。</w:t>
      </w:r>
      <w:r>
        <w:rPr>
          <w:rFonts w:hint="eastAsia" w:asciiTheme="minorEastAsia" w:hAnsiTheme="minorEastAsia" w:eastAsiaTheme="minorEastAsia"/>
          <w:b/>
          <w:color w:val="auto"/>
        </w:rPr>
        <w:t>供应商未在</w:t>
      </w:r>
      <w:r>
        <w:rPr>
          <w:rFonts w:asciiTheme="minorEastAsia" w:hAnsiTheme="minorEastAsia" w:eastAsiaTheme="minorEastAsia"/>
          <w:b/>
          <w:color w:val="auto"/>
        </w:rPr>
        <w:t>规定的时间内解密</w:t>
      </w:r>
      <w:r>
        <w:rPr>
          <w:rFonts w:hint="eastAsia" w:asciiTheme="minorEastAsia" w:hAnsiTheme="minorEastAsia" w:eastAsiaTheme="minorEastAsia"/>
          <w:b/>
          <w:color w:val="auto"/>
        </w:rPr>
        <w:t>响应文件</w:t>
      </w:r>
      <w:r>
        <w:rPr>
          <w:rFonts w:asciiTheme="minorEastAsia" w:hAnsiTheme="minorEastAsia" w:eastAsiaTheme="minorEastAsia"/>
          <w:b/>
          <w:color w:val="auto"/>
        </w:rPr>
        <w:t>或</w:t>
      </w:r>
      <w:r>
        <w:rPr>
          <w:rFonts w:hint="eastAsia" w:asciiTheme="minorEastAsia" w:hAnsiTheme="minorEastAsia" w:eastAsiaTheme="minorEastAsia"/>
          <w:b/>
          <w:color w:val="auto"/>
        </w:rPr>
        <w:t>者</w:t>
      </w:r>
      <w:r>
        <w:rPr>
          <w:rFonts w:asciiTheme="minorEastAsia" w:hAnsiTheme="minorEastAsia" w:eastAsiaTheme="minorEastAsia"/>
          <w:b/>
          <w:color w:val="auto"/>
        </w:rPr>
        <w:t>解密失败的</w:t>
      </w:r>
      <w:r>
        <w:rPr>
          <w:rFonts w:hint="eastAsia" w:asciiTheme="minorEastAsia" w:hAnsiTheme="minorEastAsia" w:eastAsiaTheme="minorEastAsia"/>
          <w:b/>
          <w:color w:val="auto"/>
        </w:rPr>
        <w:t>，供应商</w:t>
      </w:r>
      <w:r>
        <w:rPr>
          <w:rFonts w:hint="eastAsia" w:asciiTheme="minorEastAsia" w:hAnsiTheme="minorEastAsia" w:eastAsiaTheme="minorEastAsia"/>
          <w:b/>
          <w:color w:val="auto"/>
          <w:szCs w:val="21"/>
        </w:rPr>
        <w:t>的响应文件作无效处理</w:t>
      </w:r>
      <w:r>
        <w:rPr>
          <w:rFonts w:asciiTheme="minorEastAsia" w:hAnsiTheme="minorEastAsia" w:eastAsiaTheme="minorEastAsia"/>
          <w:b/>
          <w:color w:val="auto"/>
        </w:rPr>
        <w:t>。</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26</w:t>
      </w:r>
      <w:r>
        <w:rPr>
          <w:rFonts w:hint="eastAsia" w:cs="宋体" w:asciiTheme="minorEastAsia" w:hAnsiTheme="minorEastAsia" w:eastAsiaTheme="minorEastAsia"/>
          <w:b/>
          <w:bCs/>
          <w:color w:val="auto"/>
          <w:sz w:val="24"/>
        </w:rPr>
        <w:t>. 评审程序和评定成交的标准</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26.1谈判小组按照“第四章  评审程序和评定成交的标准”规定的评审程序对响应文件进行评审，并按照评定成交的标准推荐成交候选供应商。评审价相同时，成交候选供应商推荐顺序见</w:t>
      </w:r>
      <w:r>
        <w:rPr>
          <w:rFonts w:hint="eastAsia" w:asciiTheme="minorEastAsia" w:hAnsiTheme="minorEastAsia" w:eastAsiaTheme="minorEastAsia"/>
          <w:color w:val="auto"/>
          <w:szCs w:val="21"/>
        </w:rPr>
        <w:t>“供应商须知前附表”。</w:t>
      </w:r>
    </w:p>
    <w:p>
      <w:pPr>
        <w:spacing w:line="360" w:lineRule="auto"/>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2</w:t>
      </w:r>
      <w:r>
        <w:rPr>
          <w:rFonts w:asciiTheme="minorEastAsia" w:hAnsiTheme="minorEastAsia" w:eastAsiaTheme="minorEastAsia"/>
          <w:color w:val="auto"/>
          <w:szCs w:val="21"/>
        </w:rPr>
        <w:t xml:space="preserve">6.2 </w:t>
      </w:r>
      <w:r>
        <w:rPr>
          <w:rFonts w:hint="eastAsia" w:asciiTheme="minorEastAsia" w:hAnsiTheme="minorEastAsia" w:eastAsiaTheme="minorEastAsia"/>
          <w:color w:val="auto"/>
          <w:szCs w:val="21"/>
        </w:rPr>
        <w:t>商务/技术要求允许负偏离的条款数详见“供应商须知前附表”。</w:t>
      </w:r>
    </w:p>
    <w:p>
      <w:pPr>
        <w:spacing w:line="360" w:lineRule="auto"/>
        <w:ind w:firstLine="420" w:firstLineChars="200"/>
        <w:rPr>
          <w:rFonts w:asciiTheme="minorEastAsia" w:hAnsiTheme="minorEastAsia" w:eastAsiaTheme="minorEastAsia"/>
          <w:color w:val="auto"/>
          <w:szCs w:val="21"/>
        </w:rPr>
      </w:pPr>
      <w:r>
        <w:rPr>
          <w:rFonts w:hint="eastAsia" w:cs="宋体" w:asciiTheme="minorEastAsia" w:hAnsiTheme="minorEastAsia" w:eastAsiaTheme="minorEastAsia"/>
          <w:color w:val="auto"/>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2</w:t>
      </w:r>
      <w:r>
        <w:rPr>
          <w:rFonts w:asciiTheme="minorEastAsia" w:hAnsiTheme="minorEastAsia" w:eastAsiaTheme="minorEastAsia"/>
          <w:color w:val="auto"/>
        </w:rPr>
        <w:t>6.</w:t>
      </w:r>
      <w:r>
        <w:rPr>
          <w:rFonts w:hint="eastAsia" w:asciiTheme="minorEastAsia" w:hAnsiTheme="minorEastAsia" w:eastAsiaTheme="minorEastAsia"/>
          <w:color w:val="auto"/>
        </w:rPr>
        <w:t>4电子交易活动的中止。采购过程中出现以下情形，导致电子交易平台无法正常运行，或者无法保证电子交易的公平、公正和安全时，采购机构可中止电子交易活动：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 xml:space="preserve">（1）电子交易平台发生故障而无法登录访问的； </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（2）电子交易平台应用或数据库出现错误，不能进行正常操作的；</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（3）电子交易平台发现严重安全漏洞，有潜在泄密危险的；</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 xml:space="preserve">（4）病毒发作导致不能进行正常操作的； </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（5）其他无法保证电子交易的公平、公正和安全的情况。</w:t>
      </w:r>
    </w:p>
    <w:p>
      <w:pPr>
        <w:spacing w:line="360" w:lineRule="auto"/>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26.</w:t>
      </w:r>
      <w:r>
        <w:rPr>
          <w:rFonts w:asciiTheme="minorEastAsia" w:hAnsiTheme="minorEastAsia" w:eastAsiaTheme="minorEastAsia"/>
          <w:color w:val="auto"/>
        </w:rPr>
        <w:t>5</w:t>
      </w:r>
      <w:r>
        <w:rPr>
          <w:rFonts w:hint="eastAsia" w:asciiTheme="minorEastAsia" w:hAnsiTheme="minorEastAsia" w:eastAsiaTheme="minorEastAsia"/>
          <w:color w:val="auto"/>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27</w:t>
      </w:r>
      <w:r>
        <w:rPr>
          <w:rFonts w:hint="eastAsia" w:cs="宋体" w:asciiTheme="minorEastAsia" w:hAnsiTheme="minorEastAsia" w:eastAsiaTheme="minorEastAsia"/>
          <w:b/>
          <w:bCs/>
          <w:color w:val="auto"/>
          <w:sz w:val="24"/>
        </w:rPr>
        <w:t>.确定成交供应商及结果公告</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27</w:t>
      </w:r>
      <w:r>
        <w:rPr>
          <w:rFonts w:hint="eastAsia" w:cs="宋体" w:asciiTheme="minorEastAsia" w:hAnsiTheme="minorEastAsia" w:eastAsiaTheme="minorEastAsia"/>
          <w:color w:val="auto"/>
          <w:szCs w:val="21"/>
        </w:rPr>
        <w:t>.1</w:t>
      </w:r>
      <w:r>
        <w:rPr>
          <w:rFonts w:hint="eastAsia" w:cs="宋体" w:asciiTheme="minorEastAsia" w:hAnsiTheme="minorEastAsia" w:eastAsiaTheme="minorEastAsia"/>
          <w:color w:val="auto"/>
          <w:kern w:val="0"/>
          <w:szCs w:val="21"/>
        </w:rPr>
        <w:t xml:space="preserve"> 采购</w:t>
      </w:r>
      <w:r>
        <w:rPr>
          <w:rFonts w:hint="eastAsia" w:cs="宋体" w:asciiTheme="minorEastAsia" w:hAnsiTheme="minorEastAsia" w:eastAsiaTheme="minorEastAsia"/>
          <w:color w:val="auto"/>
          <w:szCs w:val="21"/>
        </w:rPr>
        <w:t>代理</w:t>
      </w:r>
      <w:r>
        <w:rPr>
          <w:rFonts w:hint="eastAsia" w:cs="宋体" w:asciiTheme="minorEastAsia" w:hAnsiTheme="minorEastAsia" w:eastAsiaTheme="minorEastAsia"/>
          <w:color w:val="auto"/>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pPr>
        <w:pStyle w:val="7"/>
        <w:spacing w:line="360" w:lineRule="auto"/>
        <w:ind w:firstLine="420" w:firstLineChars="200"/>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27</w:t>
      </w:r>
      <w:r>
        <w:rPr>
          <w:rFonts w:hint="eastAsia" w:cs="宋体" w:asciiTheme="minorEastAsia" w:hAnsiTheme="minorEastAsia" w:eastAsiaTheme="minorEastAsia"/>
          <w:color w:val="auto"/>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cs="Courier New" w:asciiTheme="minorEastAsia" w:hAnsiTheme="minorEastAsia" w:eastAsiaTheme="minorEastAsia"/>
          <w:color w:val="auto"/>
          <w:szCs w:val="21"/>
        </w:rPr>
        <w:t>成交供应商享受《政府采购促进中小企业发展管理办法》（财库〔2020〕46号）规定的中小企业扶持政策的，采购人、采购代理机构应当随成交结果公开成交供应商的《中小企业声明函》。</w:t>
      </w:r>
    </w:p>
    <w:p>
      <w:pPr>
        <w:pStyle w:val="7"/>
        <w:spacing w:line="360" w:lineRule="auto"/>
        <w:ind w:firstLine="420" w:firstLineChars="200"/>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27.3出现下列情形之一的，采购人或者采购代理机构应当终止竞争性谈判采购活动，发布项目终止公告并说明原因，重新开展采购活动：</w:t>
      </w:r>
    </w:p>
    <w:p>
      <w:pPr>
        <w:pStyle w:val="7"/>
        <w:spacing w:line="360" w:lineRule="auto"/>
        <w:ind w:firstLine="420" w:firstLineChars="200"/>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（1）因情况变化，不再符合规定的竞争性谈判采购方式适用情形的；</w:t>
      </w:r>
    </w:p>
    <w:p>
      <w:pPr>
        <w:pStyle w:val="7"/>
        <w:spacing w:line="360" w:lineRule="auto"/>
        <w:ind w:firstLine="420" w:firstLineChars="200"/>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（2）出现影响采购公正的违法、违规行为的；</w:t>
      </w:r>
    </w:p>
    <w:p>
      <w:pPr>
        <w:pStyle w:val="7"/>
        <w:spacing w:line="360" w:lineRule="auto"/>
        <w:ind w:firstLine="420" w:firstLineChars="200"/>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（3）在采购过程中符合竞争要求的供应商或者报价未超过采购预算的供应商不足3家的，但“第四章 评审程序和评定成交的标准”第3.7条规定的情形除外。</w:t>
      </w:r>
    </w:p>
    <w:p>
      <w:pPr>
        <w:pStyle w:val="7"/>
        <w:spacing w:line="360" w:lineRule="auto"/>
        <w:ind w:firstLine="420" w:firstLineChars="200"/>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27.4在采购活动中因重大变故，采购任务取消的，采购人或者采购代理机构应当终止采购活动，通知所有参加采购活动的供应商，并将项目实施情况和采购任务取消原因报送本级财政部门。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28</w:t>
      </w:r>
      <w:r>
        <w:rPr>
          <w:rFonts w:hint="eastAsia" w:cs="宋体" w:asciiTheme="minorEastAsia" w:hAnsiTheme="minorEastAsia" w:eastAsiaTheme="minorEastAsia"/>
          <w:b/>
          <w:bCs/>
          <w:color w:val="auto"/>
          <w:sz w:val="24"/>
        </w:rPr>
        <w:t>.履约保证金</w:t>
      </w:r>
    </w:p>
    <w:p>
      <w:pPr>
        <w:pStyle w:val="7"/>
        <w:spacing w:line="360" w:lineRule="auto"/>
        <w:ind w:firstLine="420" w:firstLineChars="200"/>
        <w:rPr>
          <w:rFonts w:asciiTheme="minorEastAsia" w:hAnsiTheme="minorEastAsia" w:eastAsiaTheme="minorEastAsia"/>
          <w:color w:val="auto"/>
        </w:rPr>
      </w:pPr>
      <w:r>
        <w:rPr>
          <w:rFonts w:cs="宋体" w:asciiTheme="minorEastAsia" w:hAnsiTheme="minorEastAsia" w:eastAsiaTheme="minorEastAsia"/>
          <w:color w:val="auto"/>
          <w:szCs w:val="21"/>
        </w:rPr>
        <w:t>28</w:t>
      </w:r>
      <w:r>
        <w:rPr>
          <w:rFonts w:hint="eastAsia" w:cs="宋体" w:asciiTheme="minorEastAsia" w:hAnsiTheme="minorEastAsia" w:eastAsiaTheme="minorEastAsia"/>
          <w:color w:val="auto"/>
          <w:szCs w:val="21"/>
        </w:rPr>
        <w:t>.1履约保证金的金额、提交方式、退付的时间和条件详见 “供应商须知前附表”。成交供应商未按规定提交履约保证金的，视为拒绝</w:t>
      </w:r>
      <w:r>
        <w:rPr>
          <w:rFonts w:cs="宋体" w:asciiTheme="minorEastAsia" w:hAnsiTheme="minorEastAsia" w:eastAsiaTheme="minorEastAsia"/>
          <w:color w:val="auto"/>
          <w:szCs w:val="21"/>
        </w:rPr>
        <w:t>与采购人</w:t>
      </w:r>
      <w:r>
        <w:rPr>
          <w:rFonts w:hint="eastAsia" w:cs="宋体" w:asciiTheme="minorEastAsia" w:hAnsiTheme="minorEastAsia" w:eastAsiaTheme="minorEastAsia"/>
          <w:color w:val="auto"/>
          <w:szCs w:val="21"/>
        </w:rPr>
        <w:t>签订合同。</w:t>
      </w:r>
    </w:p>
    <w:p>
      <w:pPr>
        <w:spacing w:line="360" w:lineRule="auto"/>
        <w:ind w:firstLine="424" w:firstLineChars="202"/>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28</w:t>
      </w:r>
      <w:r>
        <w:rPr>
          <w:rFonts w:hint="eastAsia" w:cs="宋体" w:asciiTheme="minorEastAsia" w:hAnsiTheme="minorEastAsia" w:eastAsiaTheme="minorEastAsia"/>
          <w:color w:val="auto"/>
          <w:szCs w:val="21"/>
        </w:rPr>
        <w:t>.2在履约保证金退还日期前，若成交供应商的开户名称、开户银行、账号有变动的，请以书面形式通知履约保证金收取单位，否则由此产生的后果由成交供应商自负。</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29</w:t>
      </w:r>
      <w:r>
        <w:rPr>
          <w:rFonts w:hint="eastAsia" w:cs="宋体" w:asciiTheme="minorEastAsia" w:hAnsiTheme="minorEastAsia" w:eastAsiaTheme="minorEastAsia"/>
          <w:b/>
          <w:bCs/>
          <w:color w:val="auto"/>
          <w:sz w:val="24"/>
        </w:rPr>
        <w:t>.签订合同</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29.1签订电子采购合同：成交供应商领取电子成交通知书后，在</w:t>
      </w:r>
      <w:r>
        <w:rPr>
          <w:rFonts w:hint="eastAsia" w:cs="宋体" w:asciiTheme="minorEastAsia" w:hAnsiTheme="minorEastAsia" w:eastAsiaTheme="minorEastAsia"/>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线下签订纸质合同：供应商领取成交通知书后，按“供应商须知前附表”规定向采购人出示相关证明材料，经采购人核验合格后方可签订合同。</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29.2签订合同时间：按成交通知书规定的时间与采购人签订合同。</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29.</w:t>
      </w: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29.5采购人或成交供应商不得单方面向合同另一方提出任何谈判文件没有约定的条件或不合理的要求，作为签订合同的条件；也不得协商另行订立背离谈判文件和合同实质性内容的协议。</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29.6如签订合同并生效后，供应商无故拒绝或延期，除按照合同条款处理外，将承担相应的法律责任。</w:t>
      </w:r>
    </w:p>
    <w:p>
      <w:pPr>
        <w:spacing w:line="360" w:lineRule="auto"/>
        <w:ind w:firstLine="424" w:firstLineChars="202"/>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30</w:t>
      </w:r>
      <w:r>
        <w:rPr>
          <w:rFonts w:hint="eastAsia" w:cs="宋体" w:asciiTheme="minorEastAsia" w:hAnsiTheme="minorEastAsia" w:eastAsiaTheme="minorEastAsia"/>
          <w:b/>
          <w:bCs/>
          <w:color w:val="auto"/>
          <w:sz w:val="24"/>
        </w:rPr>
        <w:t>.政府采购合同公告</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31</w:t>
      </w:r>
      <w:r>
        <w:rPr>
          <w:rFonts w:hint="eastAsia" w:cs="宋体" w:asciiTheme="minorEastAsia" w:hAnsiTheme="minorEastAsia" w:eastAsiaTheme="minorEastAsia"/>
          <w:b/>
          <w:bCs/>
          <w:color w:val="auto"/>
          <w:sz w:val="24"/>
        </w:rPr>
        <w:t>. 询问、质疑和投诉</w:t>
      </w:r>
    </w:p>
    <w:p>
      <w:pPr>
        <w:pStyle w:val="5"/>
        <w:spacing w:after="120" w:line="360" w:lineRule="auto"/>
        <w:rPr>
          <w:rFonts w:asciiTheme="minorEastAsia" w:hAnsiTheme="minorEastAsia" w:eastAsiaTheme="minorEastAsia"/>
          <w:color w:val="auto"/>
          <w:szCs w:val="21"/>
        </w:rPr>
      </w:pPr>
      <w:r>
        <w:rPr>
          <w:rFonts w:cs="宋体" w:asciiTheme="minorEastAsia" w:hAnsiTheme="minorEastAsia" w:eastAsiaTheme="minorEastAsia"/>
          <w:color w:val="auto"/>
        </w:rPr>
        <w:t>31</w:t>
      </w:r>
      <w:r>
        <w:rPr>
          <w:rFonts w:hint="eastAsia" w:cs="宋体" w:asciiTheme="minorEastAsia" w:hAnsiTheme="minorEastAsia" w:eastAsiaTheme="minorEastAsia"/>
          <w:color w:val="auto"/>
        </w:rPr>
        <w:t>.1供应商对政府采购活动事项有疑问的，可以向采购人、采购代理机构提出询问，采购人或者采购代理机构应当在3个工作日内对供应商依法提出的询问作出答复，</w:t>
      </w:r>
      <w:r>
        <w:rPr>
          <w:rFonts w:hint="eastAsia" w:asciiTheme="minorEastAsia" w:hAnsiTheme="minorEastAsia" w:eastAsiaTheme="minorEastAsia"/>
          <w:color w:val="auto"/>
          <w:szCs w:val="21"/>
        </w:rPr>
        <w:t>但答复的内容不得涉及商业秘密。</w:t>
      </w:r>
    </w:p>
    <w:p>
      <w:pPr>
        <w:spacing w:line="360" w:lineRule="auto"/>
        <w:ind w:firstLine="420" w:firstLineChars="200"/>
        <w:rPr>
          <w:rFonts w:cs="宋体" w:asciiTheme="minorEastAsia" w:hAnsiTheme="minorEastAsia" w:eastAsiaTheme="minorEastAsia"/>
          <w:color w:val="auto"/>
        </w:rPr>
      </w:pPr>
      <w:r>
        <w:rPr>
          <w:rFonts w:cs="宋体" w:asciiTheme="minorEastAsia" w:hAnsiTheme="minorEastAsia" w:eastAsiaTheme="minorEastAsia"/>
          <w:color w:val="auto"/>
        </w:rPr>
        <w:t>31</w:t>
      </w:r>
      <w:r>
        <w:rPr>
          <w:rFonts w:hint="eastAsia" w:cs="宋体" w:asciiTheme="minorEastAsia" w:hAnsiTheme="minorEastAsia" w:eastAsiaTheme="minorEastAsia"/>
          <w:color w:val="auto"/>
        </w:rPr>
        <w:t>.2供应商认为谈判文件、采购过程或者成交结果使自己的合法权益受到损害的，应当在知道或者应知其权益受到损害之日起7个工作日内，以书面形式向采购人、采购代理机构提出质疑，</w:t>
      </w:r>
      <w:r>
        <w:rPr>
          <w:rFonts w:cs="Arial" w:asciiTheme="minorEastAsia" w:hAnsiTheme="minorEastAsia" w:eastAsiaTheme="minorEastAsia"/>
          <w:color w:val="auto"/>
          <w:shd w:val="clear" w:color="auto" w:fill="FFFFFF"/>
        </w:rPr>
        <w:t>接收质疑函的方式、联系部门、联系电话和通讯地址等信息</w:t>
      </w:r>
      <w:r>
        <w:rPr>
          <w:rFonts w:hint="eastAsia" w:cs="宋体" w:asciiTheme="minorEastAsia" w:hAnsiTheme="minorEastAsia" w:eastAsiaTheme="minorEastAsia"/>
          <w:color w:val="auto"/>
          <w:szCs w:val="21"/>
        </w:rPr>
        <w:t>详见“供应商须知前附表”</w:t>
      </w:r>
      <w:r>
        <w:rPr>
          <w:rFonts w:hint="eastAsia" w:cs="宋体" w:asciiTheme="minorEastAsia" w:hAnsiTheme="minorEastAsia" w:eastAsiaTheme="minorEastAsia"/>
          <w:color w:val="auto"/>
        </w:rPr>
        <w:t>。具体质疑起算时间如下：</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（1）对可以质疑的谈判文件提出质疑的，为获取谈判文件之日；</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（2）对采购过程提出质疑的，为各采购程序环节结束之日；</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（3）对成交结果提出质疑的，为成交结果公告期限届满之日。</w:t>
      </w:r>
    </w:p>
    <w:p>
      <w:pPr>
        <w:spacing w:line="360" w:lineRule="auto"/>
        <w:ind w:firstLine="420" w:firstLineChars="200"/>
        <w:rPr>
          <w:rFonts w:cs="宋体" w:asciiTheme="minorEastAsia" w:hAnsiTheme="minorEastAsia" w:eastAsiaTheme="minorEastAsia"/>
          <w:color w:val="auto"/>
        </w:rPr>
      </w:pPr>
      <w:r>
        <w:rPr>
          <w:rFonts w:cs="宋体" w:asciiTheme="minorEastAsia" w:hAnsiTheme="minorEastAsia" w:eastAsiaTheme="minorEastAsia"/>
          <w:color w:val="auto"/>
        </w:rPr>
        <w:t>31</w:t>
      </w:r>
      <w:r>
        <w:rPr>
          <w:rFonts w:hint="eastAsia" w:cs="宋体" w:asciiTheme="minorEastAsia" w:hAnsiTheme="minorEastAsia" w:eastAsiaTheme="minorEastAsia"/>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firstLineChars="200"/>
        <w:rPr>
          <w:rFonts w:cs="宋体" w:asciiTheme="minorEastAsia" w:hAnsiTheme="minorEastAsia" w:eastAsiaTheme="minorEastAsia"/>
          <w:color w:val="auto"/>
        </w:rPr>
      </w:pPr>
      <w:r>
        <w:rPr>
          <w:rFonts w:cs="宋体" w:asciiTheme="minorEastAsia" w:hAnsiTheme="minorEastAsia" w:eastAsiaTheme="minorEastAsia"/>
          <w:color w:val="auto"/>
        </w:rPr>
        <w:t>31</w:t>
      </w:r>
      <w:r>
        <w:rPr>
          <w:rFonts w:hint="eastAsia" w:cs="宋体" w:asciiTheme="minorEastAsia" w:hAnsiTheme="minorEastAsia" w:eastAsiaTheme="minorEastAsia"/>
          <w:color w:val="auto"/>
        </w:rPr>
        <w:t>.4供应商提出质疑应当提交质疑函和必要的证明材料，针对同一采购程序环节的质疑必须在法定质疑期内一次性提出。质疑函应当包括下列内容</w:t>
      </w:r>
      <w:r>
        <w:rPr>
          <w:rFonts w:hint="eastAsia" w:asciiTheme="minorEastAsia" w:hAnsiTheme="minorEastAsia" w:eastAsiaTheme="minorEastAsia"/>
          <w:bCs/>
          <w:color w:val="auto"/>
        </w:rPr>
        <w:t>（质疑函格式后附）</w:t>
      </w:r>
      <w:r>
        <w:rPr>
          <w:rFonts w:hint="eastAsia" w:cs="宋体" w:asciiTheme="minorEastAsia" w:hAnsiTheme="minorEastAsia" w:eastAsiaTheme="minorEastAsia"/>
          <w:color w:val="auto"/>
        </w:rPr>
        <w:t>：</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（1）供应商的姓名或者名称、地址、邮编、联系人及联系电话；</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（2）质疑项目的名称、编号；</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（3）具体、明确的质疑事项和与质疑事项相关的请求；</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（4）事实依据；</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（5）必要的法律依据；</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（6）提出质疑的日期。</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3</w:t>
      </w:r>
      <w:r>
        <w:rPr>
          <w:rFonts w:cs="宋体" w:asciiTheme="minorEastAsia" w:hAnsiTheme="minorEastAsia" w:eastAsiaTheme="minorEastAsia"/>
          <w:color w:val="auto"/>
        </w:rPr>
        <w:t>1.5</w:t>
      </w:r>
      <w:r>
        <w:rPr>
          <w:rFonts w:hint="eastAsia" w:cs="宋体" w:asciiTheme="minorEastAsia" w:hAnsiTheme="minorEastAsia" w:eastAsiaTheme="minorEastAsia"/>
          <w:color w:val="auto"/>
        </w:rPr>
        <w:t>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firstLineChars="200"/>
        <w:rPr>
          <w:rFonts w:cs="宋体" w:asciiTheme="minorEastAsia" w:hAnsiTheme="minorEastAsia" w:eastAsiaTheme="minorEastAsia"/>
          <w:color w:val="auto"/>
        </w:rPr>
      </w:pPr>
      <w:r>
        <w:rPr>
          <w:rFonts w:hint="eastAsia" w:cs="宋体" w:asciiTheme="minorEastAsia" w:hAnsiTheme="minorEastAsia" w:eastAsiaTheme="minorEastAsia"/>
          <w:color w:val="auto"/>
        </w:rPr>
        <w:t>质疑答复导致成交结果改变的，采购人或者采购代理机构应当将有关情况书面报告本级财政部门。</w:t>
      </w:r>
    </w:p>
    <w:p>
      <w:pPr>
        <w:spacing w:line="360" w:lineRule="auto"/>
        <w:ind w:firstLine="420" w:firstLineChars="200"/>
        <w:rPr>
          <w:rFonts w:cs="宋体" w:asciiTheme="minorEastAsia" w:hAnsiTheme="minorEastAsia" w:eastAsiaTheme="minorEastAsia"/>
          <w:b/>
          <w:bCs/>
          <w:color w:val="auto"/>
          <w:szCs w:val="21"/>
        </w:rPr>
      </w:pPr>
      <w:r>
        <w:rPr>
          <w:rFonts w:cs="宋体" w:asciiTheme="minorEastAsia" w:hAnsiTheme="minorEastAsia" w:eastAsiaTheme="minorEastAsia"/>
          <w:color w:val="auto"/>
        </w:rPr>
        <w:t>31</w:t>
      </w:r>
      <w:r>
        <w:rPr>
          <w:rFonts w:hint="eastAsia" w:cs="宋体" w:asciiTheme="minorEastAsia" w:hAnsiTheme="minorEastAsia" w:eastAsiaTheme="minorEastAsia"/>
          <w:color w:val="auto"/>
        </w:rPr>
        <w:t>.</w:t>
      </w:r>
      <w:r>
        <w:rPr>
          <w:rFonts w:cs="宋体" w:asciiTheme="minorEastAsia" w:hAnsiTheme="minorEastAsia" w:eastAsiaTheme="minorEastAsia"/>
          <w:color w:val="auto"/>
        </w:rPr>
        <w:t>6</w:t>
      </w:r>
      <w:r>
        <w:rPr>
          <w:rFonts w:hint="eastAsia" w:cs="宋体" w:asciiTheme="minorEastAsia" w:hAnsiTheme="minorEastAsia" w:eastAsiaTheme="minorEastAsia"/>
          <w:color w:val="auto"/>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3</w:t>
      </w:r>
      <w:r>
        <w:rPr>
          <w:rFonts w:cs="宋体" w:asciiTheme="minorEastAsia" w:hAnsiTheme="minorEastAsia" w:eastAsiaTheme="minorEastAsia"/>
          <w:b/>
          <w:bCs/>
          <w:color w:val="auto"/>
          <w:sz w:val="24"/>
        </w:rPr>
        <w:t>2.</w:t>
      </w:r>
      <w:r>
        <w:rPr>
          <w:rFonts w:hint="eastAsia" w:cs="宋体" w:asciiTheme="minorEastAsia" w:hAnsiTheme="minorEastAsia" w:eastAsiaTheme="minorEastAsia"/>
          <w:b/>
          <w:bCs/>
          <w:color w:val="auto"/>
          <w:sz w:val="24"/>
        </w:rPr>
        <w:t>其他内容</w:t>
      </w:r>
    </w:p>
    <w:p>
      <w:pPr>
        <w:tabs>
          <w:tab w:val="left" w:pos="2835"/>
        </w:tabs>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32</w:t>
      </w:r>
      <w:r>
        <w:rPr>
          <w:rFonts w:hint="eastAsia" w:cs="宋体" w:asciiTheme="minorEastAsia" w:hAnsiTheme="minorEastAsia" w:eastAsiaTheme="minorEastAsia"/>
          <w:color w:val="auto"/>
          <w:szCs w:val="21"/>
        </w:rPr>
        <w:t>.1代理服务收取标准详见“供应商须知前附表”，供应商为联合体的，可以由联合体中的一方或者多方共同交纳代理服务费：</w:t>
      </w:r>
    </w:p>
    <w:tbl>
      <w:tblPr>
        <w:tblStyle w:val="24"/>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Borders>
              <w:tl2br w:val="single" w:color="auto" w:sz="4" w:space="0"/>
            </w:tcBorders>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               费率</w:t>
            </w:r>
          </w:p>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金额</w:t>
            </w:r>
          </w:p>
        </w:tc>
        <w:tc>
          <w:tcPr>
            <w:tcW w:w="1659" w:type="dxa"/>
            <w:vAlign w:val="center"/>
          </w:tcPr>
          <w:p>
            <w:pPr>
              <w:spacing w:line="360" w:lineRule="auto"/>
              <w:ind w:firstLine="105" w:firstLineChars="50"/>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货物类</w:t>
            </w:r>
          </w:p>
        </w:tc>
        <w:tc>
          <w:tcPr>
            <w:tcW w:w="1532"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服务类</w:t>
            </w:r>
          </w:p>
        </w:tc>
        <w:tc>
          <w:tcPr>
            <w:tcW w:w="1546" w:type="dxa"/>
            <w:vAlign w:val="center"/>
          </w:tcPr>
          <w:p>
            <w:pPr>
              <w:spacing w:line="360" w:lineRule="auto"/>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100万元以下</w:t>
            </w:r>
          </w:p>
        </w:tc>
        <w:tc>
          <w:tcPr>
            <w:tcW w:w="1659" w:type="dxa"/>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  1.5%                </w:t>
            </w:r>
          </w:p>
        </w:tc>
        <w:tc>
          <w:tcPr>
            <w:tcW w:w="1532"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1.5%</w:t>
            </w:r>
          </w:p>
        </w:tc>
        <w:tc>
          <w:tcPr>
            <w:tcW w:w="1546"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100万～500万元</w:t>
            </w:r>
          </w:p>
        </w:tc>
        <w:tc>
          <w:tcPr>
            <w:tcW w:w="1659"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1.1%                 </w:t>
            </w:r>
          </w:p>
        </w:tc>
        <w:tc>
          <w:tcPr>
            <w:tcW w:w="1532"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0.8%</w:t>
            </w:r>
          </w:p>
        </w:tc>
        <w:tc>
          <w:tcPr>
            <w:tcW w:w="1546"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500万～1000万元</w:t>
            </w:r>
          </w:p>
        </w:tc>
        <w:tc>
          <w:tcPr>
            <w:tcW w:w="1659" w:type="dxa"/>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  0.8%                </w:t>
            </w:r>
          </w:p>
        </w:tc>
        <w:tc>
          <w:tcPr>
            <w:tcW w:w="1532"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0.45%</w:t>
            </w:r>
          </w:p>
        </w:tc>
        <w:tc>
          <w:tcPr>
            <w:tcW w:w="1546"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1000万～5000万元</w:t>
            </w:r>
          </w:p>
        </w:tc>
        <w:tc>
          <w:tcPr>
            <w:tcW w:w="1659"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0.5%                </w:t>
            </w:r>
          </w:p>
        </w:tc>
        <w:tc>
          <w:tcPr>
            <w:tcW w:w="1532"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0.25%</w:t>
            </w:r>
          </w:p>
        </w:tc>
        <w:tc>
          <w:tcPr>
            <w:tcW w:w="1546"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5000万元～1亿元</w:t>
            </w:r>
          </w:p>
        </w:tc>
        <w:tc>
          <w:tcPr>
            <w:tcW w:w="1659"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 xml:space="preserve">0.25%                 </w:t>
            </w:r>
          </w:p>
        </w:tc>
        <w:tc>
          <w:tcPr>
            <w:tcW w:w="1532"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0.1%</w:t>
            </w:r>
          </w:p>
        </w:tc>
        <w:tc>
          <w:tcPr>
            <w:tcW w:w="1546" w:type="dxa"/>
          </w:tcPr>
          <w:p>
            <w:pPr>
              <w:spacing w:line="360" w:lineRule="auto"/>
              <w:ind w:firstLine="210" w:firstLineChars="100"/>
              <w:rPr>
                <w:rFonts w:cs="宋体" w:asciiTheme="minorEastAsia" w:hAnsiTheme="minorEastAsia" w:eastAsiaTheme="minorEastAsia"/>
                <w:color w:val="auto"/>
                <w:szCs w:val="21"/>
              </w:rPr>
            </w:pPr>
            <w:r>
              <w:rPr>
                <w:rFonts w:hint="eastAsia" w:cs="宋体" w:asciiTheme="minorEastAsia" w:hAnsiTheme="minorEastAsia" w:eastAsiaTheme="minorEastAsia"/>
                <w:color w:val="auto"/>
                <w:kern w:val="0"/>
                <w:szCs w:val="21"/>
              </w:rPr>
              <w:t>0.2%</w:t>
            </w:r>
          </w:p>
        </w:tc>
      </w:tr>
    </w:tbl>
    <w:p>
      <w:pPr>
        <w:spacing w:line="360" w:lineRule="auto"/>
        <w:ind w:firstLine="420" w:firstLineChars="200"/>
        <w:contextualSpacing/>
        <w:rPr>
          <w:rFonts w:cs="宋体" w:asciiTheme="minorEastAsia" w:hAnsiTheme="minorEastAsia" w:eastAsiaTheme="minorEastAsia"/>
          <w:color w:val="auto"/>
        </w:rPr>
      </w:pPr>
      <w:r>
        <w:rPr>
          <w:rFonts w:cs="宋体" w:asciiTheme="minorEastAsia" w:hAnsiTheme="minorEastAsia" w:eastAsiaTheme="minorEastAsia"/>
          <w:color w:val="auto"/>
        </w:rPr>
        <w:t xml:space="preserve">注： </w:t>
      </w:r>
    </w:p>
    <w:p>
      <w:pPr>
        <w:spacing w:line="360" w:lineRule="auto"/>
        <w:ind w:firstLine="420" w:firstLineChars="200"/>
        <w:contextualSpacing/>
        <w:rPr>
          <w:rFonts w:cs="宋体" w:asciiTheme="minorEastAsia" w:hAnsiTheme="minorEastAsia" w:eastAsiaTheme="minorEastAsia"/>
          <w:color w:val="auto"/>
        </w:rPr>
      </w:pPr>
      <w:r>
        <w:rPr>
          <w:rFonts w:hint="eastAsia" w:cs="宋体" w:asciiTheme="minorEastAsia" w:hAnsiTheme="minorEastAsia" w:eastAsiaTheme="minorEastAsia"/>
          <w:color w:val="auto"/>
        </w:rPr>
        <w:t>（1）</w:t>
      </w:r>
      <w:r>
        <w:rPr>
          <w:rFonts w:cs="宋体" w:asciiTheme="minorEastAsia" w:hAnsiTheme="minorEastAsia" w:eastAsiaTheme="minorEastAsia"/>
          <w:color w:val="auto"/>
        </w:rPr>
        <w:t>按本表费率计算的收费为</w:t>
      </w:r>
      <w:r>
        <w:rPr>
          <w:rFonts w:hint="eastAsia" w:cs="宋体" w:asciiTheme="minorEastAsia" w:hAnsiTheme="minorEastAsia" w:eastAsiaTheme="minorEastAsia"/>
          <w:color w:val="auto"/>
        </w:rPr>
        <w:t>采购</w:t>
      </w:r>
      <w:r>
        <w:rPr>
          <w:rFonts w:cs="宋体" w:asciiTheme="minorEastAsia" w:hAnsiTheme="minorEastAsia" w:eastAsiaTheme="minorEastAsia"/>
          <w:color w:val="auto"/>
        </w:rPr>
        <w:t>代理的收费基准价格</w:t>
      </w:r>
      <w:r>
        <w:rPr>
          <w:rFonts w:hint="eastAsia" w:cs="宋体" w:asciiTheme="minorEastAsia" w:hAnsiTheme="minorEastAsia" w:eastAsiaTheme="minorEastAsia"/>
          <w:color w:val="auto"/>
        </w:rPr>
        <w:t>；</w:t>
      </w:r>
    </w:p>
    <w:p>
      <w:pPr>
        <w:spacing w:line="360" w:lineRule="auto"/>
        <w:ind w:firstLine="420" w:firstLineChars="200"/>
        <w:contextualSpacing/>
        <w:rPr>
          <w:rFonts w:cs="宋体" w:asciiTheme="minorEastAsia" w:hAnsiTheme="minorEastAsia" w:eastAsiaTheme="minorEastAsia"/>
          <w:color w:val="auto"/>
        </w:rPr>
      </w:pPr>
      <w:r>
        <w:rPr>
          <w:rFonts w:hint="eastAsia" w:cs="宋体" w:asciiTheme="minorEastAsia" w:hAnsiTheme="minorEastAsia" w:eastAsiaTheme="minorEastAsia"/>
          <w:color w:val="auto"/>
        </w:rPr>
        <w:t>（2）采购</w:t>
      </w:r>
      <w:r>
        <w:rPr>
          <w:rFonts w:cs="宋体" w:asciiTheme="minorEastAsia" w:hAnsiTheme="minorEastAsia" w:eastAsiaTheme="minorEastAsia"/>
          <w:color w:val="auto"/>
        </w:rPr>
        <w:t>代理收费按差额定率累进法计算。</w:t>
      </w:r>
    </w:p>
    <w:p>
      <w:pPr>
        <w:spacing w:line="360" w:lineRule="auto"/>
        <w:ind w:firstLine="420" w:firstLineChars="200"/>
        <w:contextualSpacing/>
        <w:rPr>
          <w:rFonts w:cs="宋体" w:asciiTheme="minorEastAsia" w:hAnsiTheme="minorEastAsia" w:eastAsiaTheme="minorEastAsia"/>
          <w:color w:val="auto"/>
        </w:rPr>
      </w:pPr>
      <w:r>
        <w:rPr>
          <w:rFonts w:cs="宋体" w:asciiTheme="minorEastAsia" w:hAnsiTheme="minorEastAsia" w:eastAsiaTheme="minorEastAsia"/>
          <w:color w:val="auto"/>
        </w:rPr>
        <w:t>例如：某</w:t>
      </w:r>
      <w:r>
        <w:rPr>
          <w:rFonts w:hint="eastAsia" w:cs="宋体" w:asciiTheme="minorEastAsia" w:hAnsiTheme="minorEastAsia" w:eastAsiaTheme="minorEastAsia"/>
          <w:color w:val="auto"/>
        </w:rPr>
        <w:t>货物采购</w:t>
      </w:r>
      <w:r>
        <w:rPr>
          <w:rFonts w:cs="宋体" w:asciiTheme="minorEastAsia" w:hAnsiTheme="minorEastAsia" w:eastAsiaTheme="minorEastAsia"/>
          <w:color w:val="auto"/>
        </w:rPr>
        <w:t>代理业务</w:t>
      </w:r>
      <w:r>
        <w:rPr>
          <w:rFonts w:hint="eastAsia" w:cs="宋体" w:asciiTheme="minorEastAsia" w:hAnsiTheme="minorEastAsia" w:eastAsiaTheme="minorEastAsia"/>
          <w:color w:val="auto"/>
        </w:rPr>
        <w:t>成交</w:t>
      </w:r>
      <w:r>
        <w:rPr>
          <w:rFonts w:cs="宋体" w:asciiTheme="minorEastAsia" w:hAnsiTheme="minorEastAsia" w:eastAsiaTheme="minorEastAsia"/>
          <w:color w:val="auto"/>
        </w:rPr>
        <w:t>金额</w:t>
      </w:r>
      <w:r>
        <w:rPr>
          <w:rFonts w:hint="eastAsia" w:cs="宋体" w:asciiTheme="minorEastAsia" w:hAnsiTheme="minorEastAsia" w:eastAsiaTheme="minorEastAsia"/>
          <w:color w:val="auto"/>
        </w:rPr>
        <w:t>或者暂定价</w:t>
      </w:r>
      <w:r>
        <w:rPr>
          <w:rFonts w:cs="宋体" w:asciiTheme="minorEastAsia" w:hAnsiTheme="minorEastAsia" w:eastAsiaTheme="minorEastAsia"/>
          <w:color w:val="auto"/>
        </w:rPr>
        <w:t>为150万元，计算</w:t>
      </w:r>
      <w:r>
        <w:rPr>
          <w:rFonts w:hint="eastAsia" w:cs="宋体" w:asciiTheme="minorEastAsia" w:hAnsiTheme="minorEastAsia" w:eastAsiaTheme="minorEastAsia"/>
          <w:color w:val="auto"/>
        </w:rPr>
        <w:t>采购</w:t>
      </w:r>
      <w:r>
        <w:rPr>
          <w:rFonts w:cs="宋体" w:asciiTheme="minorEastAsia" w:hAnsiTheme="minorEastAsia" w:eastAsiaTheme="minorEastAsia"/>
          <w:color w:val="auto"/>
        </w:rPr>
        <w:t>代理收费额如下：</w:t>
      </w:r>
    </w:p>
    <w:p>
      <w:pPr>
        <w:spacing w:line="360" w:lineRule="auto"/>
        <w:ind w:firstLine="420" w:firstLineChars="200"/>
        <w:contextualSpacing/>
        <w:rPr>
          <w:rFonts w:cs="宋体" w:asciiTheme="minorEastAsia" w:hAnsiTheme="minorEastAsia" w:eastAsiaTheme="minorEastAsia"/>
          <w:color w:val="auto"/>
        </w:rPr>
      </w:pPr>
      <w:r>
        <w:rPr>
          <w:rFonts w:cs="宋体" w:asciiTheme="minorEastAsia" w:hAnsiTheme="minorEastAsia" w:eastAsiaTheme="minorEastAsia"/>
          <w:color w:val="auto"/>
        </w:rPr>
        <w:t>100 万元 ×l.5 %＝ 1.5 万元</w:t>
      </w:r>
    </w:p>
    <w:p>
      <w:pPr>
        <w:spacing w:line="360" w:lineRule="auto"/>
        <w:ind w:firstLine="420" w:firstLineChars="200"/>
        <w:contextualSpacing/>
        <w:rPr>
          <w:rFonts w:cs="宋体" w:asciiTheme="minorEastAsia" w:hAnsiTheme="minorEastAsia" w:eastAsiaTheme="minorEastAsia"/>
          <w:color w:val="auto"/>
        </w:rPr>
      </w:pPr>
      <w:r>
        <w:rPr>
          <w:rFonts w:cs="宋体" w:asciiTheme="minorEastAsia" w:hAnsiTheme="minorEastAsia" w:eastAsiaTheme="minorEastAsia"/>
          <w:color w:val="auto"/>
        </w:rPr>
        <w:t>（ 150 － 100 ）万元 ×1.1%＝ 0.55 万元</w:t>
      </w:r>
    </w:p>
    <w:p>
      <w:pPr>
        <w:spacing w:line="360" w:lineRule="auto"/>
        <w:ind w:firstLine="420" w:firstLineChars="200"/>
        <w:contextualSpacing/>
        <w:rPr>
          <w:rFonts w:cs="宋体" w:asciiTheme="minorEastAsia" w:hAnsiTheme="minorEastAsia" w:eastAsiaTheme="minorEastAsia"/>
          <w:color w:val="auto"/>
        </w:rPr>
      </w:pPr>
      <w:r>
        <w:rPr>
          <w:rFonts w:cs="宋体" w:asciiTheme="minorEastAsia" w:hAnsiTheme="minorEastAsia" w:eastAsiaTheme="minorEastAsia"/>
          <w:color w:val="auto"/>
        </w:rPr>
        <w:t>合计收费＝ 1.5 ＋ 0.55＝ 2.05 （万元）</w:t>
      </w:r>
    </w:p>
    <w:p>
      <w:pPr>
        <w:spacing w:line="360" w:lineRule="auto"/>
        <w:ind w:firstLine="482" w:firstLineChars="200"/>
        <w:contextualSpacing/>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33. 需要补充的其他内容</w:t>
      </w:r>
    </w:p>
    <w:p>
      <w:pPr>
        <w:pStyle w:val="14"/>
        <w:spacing w:line="360" w:lineRule="auto"/>
        <w:ind w:firstLine="420" w:firstLineChars="200"/>
        <w:contextualSpacing/>
        <w:rPr>
          <w:rFonts w:asciiTheme="minorEastAsia" w:hAnsiTheme="minorEastAsia" w:eastAsiaTheme="minorEastAsia"/>
          <w:color w:val="auto"/>
          <w:sz w:val="21"/>
        </w:rPr>
      </w:pPr>
      <w:r>
        <w:rPr>
          <w:rFonts w:asciiTheme="minorEastAsia" w:hAnsiTheme="minorEastAsia" w:eastAsiaTheme="minorEastAsia"/>
          <w:color w:val="auto"/>
          <w:sz w:val="21"/>
        </w:rPr>
        <w:t>33.1</w:t>
      </w:r>
      <w:r>
        <w:rPr>
          <w:rFonts w:hint="eastAsia" w:cs="宋体" w:asciiTheme="minorEastAsia" w:hAnsiTheme="minorEastAsia" w:eastAsiaTheme="minorEastAsia"/>
          <w:color w:val="auto"/>
          <w:sz w:val="21"/>
        </w:rPr>
        <w:t>本谈判文件解释规则详见</w:t>
      </w:r>
      <w:r>
        <w:rPr>
          <w:rFonts w:hint="eastAsia" w:asciiTheme="minorEastAsia" w:hAnsiTheme="minorEastAsia" w:eastAsiaTheme="minorEastAsia"/>
          <w:color w:val="auto"/>
          <w:sz w:val="21"/>
        </w:rPr>
        <w:t>“供应商须知前附表”。</w:t>
      </w:r>
    </w:p>
    <w:p>
      <w:pPr>
        <w:spacing w:line="360" w:lineRule="auto"/>
        <w:ind w:firstLine="420" w:firstLineChars="200"/>
        <w:contextualSpacing/>
        <w:rPr>
          <w:rFonts w:asciiTheme="minorEastAsia" w:hAnsiTheme="minorEastAsia" w:eastAsiaTheme="minorEastAsia"/>
          <w:color w:val="auto"/>
        </w:rPr>
      </w:pPr>
      <w:r>
        <w:rPr>
          <w:rFonts w:cs="宋体" w:asciiTheme="minorEastAsia" w:hAnsiTheme="minorEastAsia" w:eastAsiaTheme="minorEastAsia"/>
          <w:color w:val="auto"/>
          <w:kern w:val="0"/>
          <w:szCs w:val="21"/>
        </w:rPr>
        <w:t>33.2</w:t>
      </w:r>
      <w:r>
        <w:rPr>
          <w:rFonts w:hint="eastAsia" w:cs="宋体" w:asciiTheme="minorEastAsia" w:hAnsiTheme="minorEastAsia" w:eastAsiaTheme="minorEastAsia"/>
          <w:color w:val="auto"/>
          <w:kern w:val="0"/>
          <w:szCs w:val="21"/>
        </w:rPr>
        <w:t xml:space="preserve"> 其他事</w:t>
      </w:r>
      <w:r>
        <w:rPr>
          <w:rFonts w:hint="eastAsia" w:asciiTheme="minorEastAsia" w:hAnsiTheme="minorEastAsia" w:eastAsiaTheme="minorEastAsia"/>
          <w:color w:val="auto"/>
        </w:rPr>
        <w:t>项详见“供应商须知前附表”。</w:t>
      </w:r>
    </w:p>
    <w:p>
      <w:pPr>
        <w:pStyle w:val="14"/>
        <w:spacing w:line="360" w:lineRule="auto"/>
        <w:ind w:firstLine="400" w:firstLineChars="200"/>
        <w:contextualSpacing/>
        <w:rPr>
          <w:rFonts w:asciiTheme="minorEastAsia" w:hAnsiTheme="minorEastAsia" w:eastAsiaTheme="minorEastAsia"/>
          <w:color w:val="auto"/>
          <w:sz w:val="21"/>
        </w:rPr>
      </w:pPr>
      <w:r>
        <w:rPr>
          <w:rFonts w:hint="eastAsia" w:asciiTheme="minorEastAsia" w:hAnsiTheme="minorEastAsia" w:eastAsiaTheme="minorEastAsia"/>
          <w:color w:val="auto"/>
        </w:rPr>
        <w:t>3</w:t>
      </w:r>
      <w:r>
        <w:rPr>
          <w:rFonts w:asciiTheme="minorEastAsia" w:hAnsiTheme="minorEastAsia" w:eastAsiaTheme="minorEastAsia"/>
          <w:color w:val="auto"/>
        </w:rPr>
        <w:t>3.3</w:t>
      </w:r>
      <w:bookmarkStart w:id="93" w:name="_Hlk65857140"/>
      <w:r>
        <w:rPr>
          <w:rFonts w:hint="eastAsia" w:asciiTheme="minorEastAsia" w:hAnsiTheme="minorEastAsia" w:eastAsiaTheme="minorEastAsia"/>
          <w:color w:val="auto"/>
          <w:sz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pPr>
        <w:pStyle w:val="14"/>
        <w:spacing w:line="360" w:lineRule="auto"/>
        <w:ind w:firstLine="420" w:firstLineChars="200"/>
        <w:contextualSpacing/>
        <w:rPr>
          <w:rFonts w:asciiTheme="minorEastAsia" w:hAnsiTheme="minorEastAsia" w:eastAsiaTheme="minorEastAsia"/>
          <w:color w:val="auto"/>
          <w:sz w:val="21"/>
        </w:rPr>
      </w:pPr>
      <w:r>
        <w:rPr>
          <w:rFonts w:hint="eastAsia" w:asciiTheme="minorEastAsia" w:hAnsiTheme="minorEastAsia" w:eastAsiaTheme="minorEastAsia"/>
          <w:color w:val="auto"/>
          <w:sz w:val="21"/>
        </w:rPr>
        <w:t>（1）在货物采购项目中，货物由中小企业制造，即货物由中小企业生产且使用该中小企业商号或者注册商标，不对其中涉及的工程承建商和服务的承接商作出要求；</w:t>
      </w:r>
    </w:p>
    <w:p>
      <w:pPr>
        <w:pStyle w:val="14"/>
        <w:spacing w:line="360" w:lineRule="auto"/>
        <w:ind w:firstLine="420" w:firstLineChars="200"/>
        <w:contextualSpacing/>
        <w:rPr>
          <w:rFonts w:asciiTheme="minorEastAsia" w:hAnsiTheme="minorEastAsia" w:eastAsiaTheme="minorEastAsia"/>
          <w:color w:val="auto"/>
          <w:sz w:val="21"/>
        </w:rPr>
      </w:pPr>
      <w:r>
        <w:rPr>
          <w:rFonts w:hint="eastAsia" w:asciiTheme="minorEastAsia" w:hAnsiTheme="minorEastAsia" w:eastAsiaTheme="minorEastAsia"/>
          <w:color w:val="auto"/>
          <w:sz w:val="21"/>
        </w:rPr>
        <w:t>（2）在工程采购项目中，工程由中小企业承建，即工程施工单位为中小企业，不对其中涉及的货物的制造商和服务的承接商作出要求；</w:t>
      </w:r>
    </w:p>
    <w:p>
      <w:pPr>
        <w:pStyle w:val="14"/>
        <w:spacing w:line="360" w:lineRule="auto"/>
        <w:ind w:firstLine="420" w:firstLineChars="200"/>
        <w:contextualSpacing/>
        <w:rPr>
          <w:rFonts w:asciiTheme="minorEastAsia" w:hAnsiTheme="minorEastAsia" w:eastAsiaTheme="minorEastAsia"/>
          <w:color w:val="auto"/>
          <w:sz w:val="21"/>
        </w:rPr>
      </w:pPr>
      <w:r>
        <w:rPr>
          <w:rFonts w:hint="eastAsia" w:asciiTheme="minorEastAsia" w:hAnsiTheme="minorEastAsia" w:eastAsiaTheme="minorEastAsia"/>
          <w:color w:val="auto"/>
          <w:sz w:val="21"/>
        </w:rPr>
        <w:t>（3）在服务采购项目中，服务由中小企业承接，即提供服务的人员为中小企业依照《中华人民共和国劳动合同法》订立劳动合同的从业人员，不对其中涉及的货物的制造商和工程承建商作出要求。</w:t>
      </w:r>
    </w:p>
    <w:p>
      <w:pPr>
        <w:pStyle w:val="14"/>
        <w:spacing w:line="360" w:lineRule="auto"/>
        <w:ind w:firstLine="420" w:firstLineChars="200"/>
        <w:contextualSpacing/>
        <w:rPr>
          <w:rFonts w:asciiTheme="minorEastAsia" w:hAnsiTheme="minorEastAsia" w:eastAsiaTheme="minorEastAsia"/>
          <w:color w:val="auto"/>
          <w:sz w:val="21"/>
        </w:rPr>
      </w:pPr>
      <w:r>
        <w:rPr>
          <w:rFonts w:hint="eastAsia" w:asciiTheme="minorEastAsia" w:hAnsiTheme="minorEastAsia" w:eastAsiaTheme="minorEastAsia"/>
          <w:color w:val="auto"/>
          <w:sz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pPr>
        <w:spacing w:line="360" w:lineRule="auto"/>
        <w:ind w:firstLine="420" w:firstLineChars="200"/>
        <w:contextualSpacing/>
        <w:rPr>
          <w:rFonts w:cs="宋体" w:asciiTheme="minorEastAsia" w:hAnsiTheme="minorEastAsia" w:eastAsiaTheme="minorEastAsia"/>
          <w:color w:val="auto"/>
        </w:rPr>
      </w:pPr>
      <w:r>
        <w:rPr>
          <w:rFonts w:hint="eastAsia" w:asciiTheme="minorEastAsia" w:hAnsiTheme="minorEastAsia" w:eastAsiaTheme="minorEastAsia"/>
          <w:color w:val="auto"/>
        </w:rPr>
        <w:t>依据本谈判文件规定享受扶持政策获得政府采购合同的，小微企业不得将合同分包给大中型企业，中型企业不得将合同分包给大型企业。</w:t>
      </w:r>
      <w:bookmarkEnd w:id="93"/>
    </w:p>
    <w:p>
      <w:pPr>
        <w:pStyle w:val="9"/>
        <w:spacing w:line="360" w:lineRule="auto"/>
        <w:ind w:left="1" w:firstLine="3" w:firstLineChars="1"/>
        <w:rPr>
          <w:rFonts w:asciiTheme="minorEastAsia" w:hAnsiTheme="minorEastAsia" w:eastAsiaTheme="minorEastAsia"/>
          <w:b/>
          <w:bCs/>
          <w:color w:val="auto"/>
          <w:sz w:val="18"/>
          <w:szCs w:val="18"/>
        </w:rPr>
      </w:pPr>
      <w:r>
        <w:rPr>
          <w:rFonts w:cs="黑体" w:asciiTheme="minorEastAsia" w:hAnsiTheme="minorEastAsia" w:eastAsiaTheme="minorEastAsia"/>
          <w:bCs/>
          <w:color w:val="auto"/>
          <w:sz w:val="32"/>
          <w:szCs w:val="32"/>
        </w:rPr>
        <w:br w:type="page"/>
      </w:r>
    </w:p>
    <w:p>
      <w:pPr>
        <w:pStyle w:val="2"/>
        <w:spacing w:line="360" w:lineRule="auto"/>
        <w:jc w:val="center"/>
        <w:rPr>
          <w:rFonts w:asciiTheme="minorEastAsia" w:hAnsiTheme="minorEastAsia" w:eastAsiaTheme="minorEastAsia"/>
          <w:color w:val="auto"/>
        </w:rPr>
      </w:pPr>
      <w:bookmarkStart w:id="94" w:name="_Toc74322010"/>
      <w:r>
        <w:rPr>
          <w:rFonts w:hint="eastAsia" w:asciiTheme="minorEastAsia" w:hAnsiTheme="minorEastAsia" w:eastAsiaTheme="minorEastAsia"/>
          <w:color w:val="auto"/>
        </w:rPr>
        <w:t>第三章 采购需求</w:t>
      </w:r>
      <w:bookmarkEnd w:id="94"/>
    </w:p>
    <w:p>
      <w:pPr>
        <w:spacing w:line="340" w:lineRule="exact"/>
        <w:jc w:val="left"/>
        <w:rPr>
          <w:rFonts w:asciiTheme="minorEastAsia" w:hAnsiTheme="minorEastAsia" w:eastAsiaTheme="minorEastAsia"/>
          <w:color w:val="auto"/>
        </w:rPr>
      </w:pPr>
      <w:r>
        <w:rPr>
          <w:rFonts w:hint="eastAsia" w:cs="宋体" w:asciiTheme="minorEastAsia" w:hAnsiTheme="minorEastAsia" w:eastAsiaTheme="minorEastAsia"/>
          <w:color w:val="auto"/>
          <w:szCs w:val="21"/>
        </w:rPr>
        <w:t>说明：</w:t>
      </w:r>
    </w:p>
    <w:p>
      <w:pPr>
        <w:spacing w:line="340" w:lineRule="exact"/>
        <w:ind w:firstLine="420" w:firstLineChars="200"/>
        <w:jc w:val="left"/>
        <w:rPr>
          <w:rFonts w:cs="宋体" w:asciiTheme="minorEastAsia" w:hAnsiTheme="minorEastAsia" w:eastAsiaTheme="minorEastAsia"/>
          <w:color w:val="auto"/>
          <w:szCs w:val="21"/>
        </w:rPr>
      </w:pPr>
      <w:r>
        <w:rPr>
          <w:rFonts w:hint="eastAsia" w:asciiTheme="minorEastAsia" w:hAnsiTheme="minorEastAsia" w:eastAsiaTheme="minorEastAsia"/>
          <w:color w:val="auto"/>
        </w:rPr>
        <w:t>1. 为落实政府采购政策需满足的要求</w:t>
      </w:r>
    </w:p>
    <w:p>
      <w:pPr>
        <w:spacing w:line="340" w:lineRule="exact"/>
        <w:ind w:firstLine="420" w:firstLineChars="200"/>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（1）本竞争性谈判采购文件所称中小企业必须符合《政府采购促进中小企业发展管理办法》（财库〔2020〕46号）的规定。</w:t>
      </w:r>
    </w:p>
    <w:p>
      <w:pPr>
        <w:spacing w:line="340" w:lineRule="exact"/>
        <w:ind w:firstLine="424" w:firstLineChars="202"/>
        <w:jc w:val="lef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（2）“中小企业划型标准规定”具体内容详见本章“附件1”。</w:t>
      </w:r>
    </w:p>
    <w:p>
      <w:pPr>
        <w:spacing w:line="340" w:lineRule="exact"/>
        <w:ind w:firstLine="420" w:firstLineChars="200"/>
        <w:jc w:val="left"/>
        <w:rPr>
          <w:rFonts w:cs="宋体" w:asciiTheme="minorEastAsia" w:hAnsiTheme="minorEastAsia" w:eastAsiaTheme="minorEastAsia"/>
          <w:b/>
          <w:bCs/>
          <w:color w:val="auto"/>
          <w:szCs w:val="21"/>
        </w:rPr>
      </w:pPr>
      <w:r>
        <w:rPr>
          <w:rFonts w:hint="eastAsia" w:cs="宋体" w:asciiTheme="minorEastAsia" w:hAnsiTheme="minorEastAsia" w:eastAsiaTheme="minorEastAsia"/>
          <w:color w:val="auto"/>
          <w:szCs w:val="21"/>
        </w:rPr>
        <w:t>（3）</w:t>
      </w:r>
      <w:r>
        <w:rPr>
          <w:rFonts w:hint="eastAsia" w:cs="宋体" w:asciiTheme="minorEastAsia" w:hAnsiTheme="minorEastAsia" w:eastAsiaTheme="minorEastAsia"/>
          <w:b/>
          <w:color w:val="auto"/>
          <w:szCs w:val="21"/>
        </w:rPr>
        <w:t>根据《政府采购促进中小企业发展管理办法》（财库[2020]46号），本项目非专门面向中小微企业采购项目；所属行业依照《中小企业划型标准规定》（工信部联企业〔2011〕300号）及《国民经济行业分类》（GB/T4754-2017）的有关规定执行。本项目标项一“</w:t>
      </w:r>
      <w:bookmarkStart w:id="95" w:name="OLE_LINK33"/>
      <w:r>
        <w:rPr>
          <w:rFonts w:hint="eastAsia" w:cs="宋体" w:asciiTheme="minorEastAsia" w:hAnsiTheme="minorEastAsia" w:eastAsiaTheme="minorEastAsia"/>
          <w:b/>
          <w:color w:val="auto"/>
          <w:szCs w:val="21"/>
          <w:lang w:eastAsia="zh-CN"/>
        </w:rPr>
        <w:t>（</w:t>
      </w:r>
      <w:r>
        <w:rPr>
          <w:rFonts w:hint="eastAsia" w:cs="宋体" w:asciiTheme="minorEastAsia" w:hAnsiTheme="minorEastAsia" w:eastAsiaTheme="minorEastAsia"/>
          <w:b/>
          <w:color w:val="auto"/>
          <w:szCs w:val="21"/>
          <w:lang w:val="en-US" w:eastAsia="zh-CN"/>
        </w:rPr>
        <w:t>一</w:t>
      </w:r>
      <w:r>
        <w:rPr>
          <w:rFonts w:hint="eastAsia" w:cs="宋体" w:asciiTheme="minorEastAsia" w:hAnsiTheme="minorEastAsia" w:eastAsiaTheme="minorEastAsia"/>
          <w:b/>
          <w:color w:val="auto"/>
          <w:szCs w:val="21"/>
          <w:lang w:eastAsia="zh-CN"/>
        </w:rPr>
        <w:t>）</w:t>
      </w:r>
      <w:r>
        <w:rPr>
          <w:rFonts w:hint="eastAsia" w:cs="宋体" w:asciiTheme="minorEastAsia" w:hAnsiTheme="minorEastAsia" w:eastAsiaTheme="minorEastAsia"/>
          <w:b/>
          <w:color w:val="auto"/>
          <w:szCs w:val="21"/>
          <w:lang w:val="en-US" w:eastAsia="zh-CN"/>
        </w:rPr>
        <w:t>肉类、</w:t>
      </w:r>
      <w:r>
        <w:rPr>
          <w:rFonts w:hint="eastAsia" w:ascii="宋体" w:hAnsi="宋体" w:cs="宋体"/>
          <w:b/>
          <w:color w:val="auto"/>
          <w:kern w:val="0"/>
          <w:szCs w:val="21"/>
        </w:rPr>
        <w:t>（二）蔬菜类</w:t>
      </w:r>
      <w:r>
        <w:rPr>
          <w:rFonts w:hint="eastAsia" w:ascii="宋体" w:hAnsi="宋体" w:cs="宋体"/>
          <w:b/>
          <w:color w:val="auto"/>
          <w:kern w:val="0"/>
          <w:szCs w:val="21"/>
          <w:lang w:eastAsia="zh-CN"/>
        </w:rPr>
        <w:t>、</w:t>
      </w:r>
      <w:r>
        <w:rPr>
          <w:rFonts w:hint="eastAsia" w:cs="宋体" w:asciiTheme="minorEastAsia" w:hAnsiTheme="minorEastAsia" w:eastAsiaTheme="minorEastAsia"/>
          <w:b/>
          <w:color w:val="auto"/>
          <w:szCs w:val="21"/>
          <w:lang w:eastAsia="zh-CN"/>
        </w:rPr>
        <w:t>（</w:t>
      </w:r>
      <w:r>
        <w:rPr>
          <w:rFonts w:hint="eastAsia" w:cs="宋体" w:asciiTheme="minorEastAsia" w:hAnsiTheme="minorEastAsia" w:eastAsiaTheme="minorEastAsia"/>
          <w:b/>
          <w:color w:val="auto"/>
          <w:szCs w:val="21"/>
          <w:lang w:val="en-US" w:eastAsia="zh-CN"/>
        </w:rPr>
        <w:t>六）</w:t>
      </w:r>
      <w:r>
        <w:rPr>
          <w:rFonts w:hint="eastAsia" w:cs="宋体" w:asciiTheme="minorEastAsia" w:hAnsiTheme="minorEastAsia" w:eastAsiaTheme="minorEastAsia"/>
          <w:b/>
          <w:color w:val="auto"/>
          <w:szCs w:val="21"/>
        </w:rPr>
        <w:t>水果类”全部品种</w:t>
      </w:r>
      <w:r>
        <w:rPr>
          <w:rFonts w:hint="eastAsia" w:cs="宋体" w:asciiTheme="minorEastAsia" w:hAnsiTheme="minorEastAsia" w:eastAsiaTheme="minorEastAsia"/>
          <w:b/>
          <w:color w:val="auto"/>
          <w:szCs w:val="21"/>
          <w:lang w:val="en-US" w:eastAsia="zh-CN"/>
        </w:rPr>
        <w:t>及“</w:t>
      </w:r>
      <w:r>
        <w:rPr>
          <w:rFonts w:hint="eastAsia" w:ascii="宋体" w:hAnsi="宋体" w:cs="宋体"/>
          <w:b/>
          <w:color w:val="auto"/>
          <w:kern w:val="0"/>
          <w:szCs w:val="21"/>
        </w:rPr>
        <w:t>（三）调味品及副食品、鸡蛋、干货类</w:t>
      </w:r>
      <w:r>
        <w:rPr>
          <w:rFonts w:hint="eastAsia" w:ascii="宋体" w:hAnsi="宋体" w:cs="宋体"/>
          <w:b/>
          <w:color w:val="auto"/>
          <w:kern w:val="0"/>
          <w:szCs w:val="21"/>
          <w:lang w:val="en-US" w:eastAsia="zh-CN"/>
        </w:rPr>
        <w:t>中第40项鸡蛋、第42项鹌鹑蛋</w:t>
      </w:r>
      <w:r>
        <w:rPr>
          <w:rFonts w:hint="eastAsia" w:cs="宋体" w:asciiTheme="minorEastAsia" w:hAnsiTheme="minorEastAsia" w:eastAsiaTheme="minorEastAsia"/>
          <w:b/>
          <w:color w:val="auto"/>
          <w:szCs w:val="21"/>
          <w:lang w:val="en-US" w:eastAsia="zh-CN"/>
        </w:rPr>
        <w:t>”</w:t>
      </w:r>
      <w:r>
        <w:rPr>
          <w:rFonts w:hint="eastAsia" w:cs="宋体" w:asciiTheme="minorEastAsia" w:hAnsiTheme="minorEastAsia" w:eastAsiaTheme="minorEastAsia"/>
          <w:b/>
          <w:color w:val="auto"/>
          <w:szCs w:val="21"/>
        </w:rPr>
        <w:t>所属行业</w:t>
      </w:r>
      <w:bookmarkEnd w:id="95"/>
      <w:bookmarkStart w:id="96" w:name="OLE_LINK34"/>
      <w:r>
        <w:rPr>
          <w:rFonts w:hint="eastAsia" w:cs="宋体" w:asciiTheme="minorEastAsia" w:hAnsiTheme="minorEastAsia" w:eastAsiaTheme="minorEastAsia"/>
          <w:b/>
          <w:color w:val="auto"/>
          <w:szCs w:val="21"/>
        </w:rPr>
        <w:t>为</w:t>
      </w:r>
      <w:r>
        <w:rPr>
          <w:rFonts w:hint="eastAsia" w:cs="宋体" w:asciiTheme="minorEastAsia" w:hAnsiTheme="minorEastAsia" w:eastAsiaTheme="minorEastAsia"/>
          <w:b/>
          <w:color w:val="auto"/>
          <w:szCs w:val="21"/>
          <w:u w:val="single"/>
        </w:rPr>
        <w:t>农、林、牧、渔业</w:t>
      </w:r>
      <w:bookmarkEnd w:id="96"/>
      <w:r>
        <w:rPr>
          <w:rFonts w:hint="eastAsia" w:cs="宋体" w:asciiTheme="minorEastAsia" w:hAnsiTheme="minorEastAsia" w:eastAsiaTheme="minorEastAsia"/>
          <w:b/>
          <w:color w:val="auto"/>
          <w:szCs w:val="21"/>
        </w:rPr>
        <w:t>，剩余其他品种所属行业为</w:t>
      </w:r>
      <w:r>
        <w:rPr>
          <w:rFonts w:hint="eastAsia" w:cs="宋体" w:asciiTheme="minorEastAsia" w:hAnsiTheme="minorEastAsia" w:eastAsiaTheme="minorEastAsia"/>
          <w:b/>
          <w:color w:val="auto"/>
          <w:szCs w:val="21"/>
          <w:u w:val="single"/>
        </w:rPr>
        <w:t>工业（制造业）</w:t>
      </w:r>
      <w:r>
        <w:rPr>
          <w:rFonts w:hint="eastAsia" w:cs="宋体" w:asciiTheme="minorEastAsia" w:hAnsiTheme="minorEastAsia" w:eastAsiaTheme="minorEastAsia"/>
          <w:b/>
          <w:color w:val="auto"/>
          <w:szCs w:val="21"/>
        </w:rPr>
        <w:t>；标项二全部品种所属行业为</w:t>
      </w:r>
      <w:r>
        <w:rPr>
          <w:rFonts w:hint="eastAsia" w:cs="宋体" w:asciiTheme="minorEastAsia" w:hAnsiTheme="minorEastAsia" w:eastAsiaTheme="minorEastAsia"/>
          <w:b/>
          <w:color w:val="auto"/>
          <w:szCs w:val="21"/>
          <w:u w:val="single"/>
        </w:rPr>
        <w:t>工业（制造业）</w:t>
      </w:r>
      <w:r>
        <w:rPr>
          <w:rFonts w:hint="eastAsia" w:cs="宋体" w:asciiTheme="minorEastAsia" w:hAnsiTheme="minorEastAsia" w:eastAsiaTheme="minorEastAsia"/>
          <w:b/>
          <w:color w:val="auto"/>
          <w:szCs w:val="21"/>
        </w:rPr>
        <w:t>。</w:t>
      </w:r>
    </w:p>
    <w:p>
      <w:pPr>
        <w:spacing w:line="340" w:lineRule="exact"/>
        <w:ind w:firstLine="426" w:firstLineChars="202"/>
        <w:jc w:val="left"/>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rPr>
        <w:t xml:space="preserve">2. </w:t>
      </w:r>
      <w:r>
        <w:rPr>
          <w:rFonts w:hint="eastAsia" w:cs="宋体" w:asciiTheme="minorEastAsia" w:hAnsiTheme="minorEastAsia" w:eastAsiaTheme="minorEastAsia"/>
          <w:b/>
          <w:bCs/>
          <w:color w:val="auto"/>
          <w:szCs w:val="21"/>
          <w:lang w:eastAsia="zh-CN"/>
        </w:rPr>
        <w:t>“</w:t>
      </w:r>
      <w:r>
        <w:rPr>
          <w:rFonts w:hint="eastAsia" w:cs="宋体" w:asciiTheme="minorEastAsia" w:hAnsiTheme="minorEastAsia" w:eastAsiaTheme="minorEastAsia"/>
          <w:b/>
          <w:bCs/>
          <w:color w:val="auto"/>
          <w:szCs w:val="21"/>
        </w:rPr>
        <w:t>实质性要求”是本项目中第三章《采购需求》中所有内容、所有商务要求均为实质要求，任意一项不满足或负偏离均按响应文件无效处理的条款执行。</w:t>
      </w:r>
      <w:bookmarkStart w:id="97" w:name="_Hlk48036094"/>
    </w:p>
    <w:p>
      <w:pPr>
        <w:spacing w:line="340" w:lineRule="exact"/>
        <w:ind w:firstLine="426" w:firstLineChars="202"/>
        <w:jc w:val="left"/>
        <w:rPr>
          <w:rFonts w:cs="Arial" w:asciiTheme="minorEastAsia" w:hAnsiTheme="minorEastAsia" w:eastAsiaTheme="minorEastAsia"/>
          <w:b/>
          <w:color w:val="auto"/>
          <w:szCs w:val="21"/>
        </w:rPr>
      </w:pPr>
      <w:r>
        <w:rPr>
          <w:rFonts w:hint="eastAsia" w:cs="Arial" w:asciiTheme="minorEastAsia" w:hAnsiTheme="minorEastAsia" w:eastAsiaTheme="minorEastAsia"/>
          <w:b/>
          <w:color w:val="auto"/>
          <w:szCs w:val="21"/>
        </w:rPr>
        <w:t>标项一: 2026-2027年食堂运转经费项目食材采购（A分标）</w:t>
      </w:r>
    </w:p>
    <w:tbl>
      <w:tblPr>
        <w:tblStyle w:val="24"/>
        <w:tblW w:w="9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5"/>
        <w:gridCol w:w="1022"/>
        <w:gridCol w:w="630"/>
        <w:gridCol w:w="1440"/>
        <w:gridCol w:w="475"/>
        <w:gridCol w:w="4827"/>
        <w:gridCol w:w="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9"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bCs/>
                <w:color w:val="auto"/>
                <w:szCs w:val="21"/>
              </w:rPr>
            </w:pPr>
            <w:r>
              <w:rPr>
                <w:rFonts w:hint="eastAsia" w:ascii="宋体" w:hAnsi="宋体" w:cs="宋体"/>
                <w:b/>
                <w:bCs/>
                <w:color w:val="auto"/>
                <w:szCs w:val="21"/>
              </w:rPr>
              <w:t>一、采购需求表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序号</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标的名称</w:t>
            </w:r>
          </w:p>
        </w:tc>
        <w:tc>
          <w:tcPr>
            <w:tcW w:w="630"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数量</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规格</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单位</w:t>
            </w:r>
          </w:p>
        </w:tc>
        <w:tc>
          <w:tcPr>
            <w:tcW w:w="482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技术要求</w:t>
            </w:r>
          </w:p>
        </w:tc>
        <w:tc>
          <w:tcPr>
            <w:tcW w:w="90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基准价（元）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（一）肉     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五花肉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bookmarkStart w:id="98" w:name="OLE_LINK2"/>
            <w:r>
              <w:rPr>
                <w:rFonts w:hint="eastAsia" w:ascii="宋体" w:hAnsi="宋体" w:cs="宋体"/>
                <w:color w:val="auto"/>
                <w:szCs w:val="21"/>
              </w:rPr>
              <w:t>/</w:t>
            </w:r>
            <w:bookmarkEnd w:id="98"/>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spacing w:line="360" w:lineRule="exact"/>
              <w:jc w:val="left"/>
              <w:textAlignment w:val="top"/>
              <w:rPr>
                <w:rFonts w:ascii="宋体" w:hAnsi="宋体" w:cs="宋体"/>
                <w:color w:val="auto"/>
                <w:szCs w:val="21"/>
              </w:rPr>
            </w:pPr>
            <w:r>
              <w:rPr>
                <w:rFonts w:hint="eastAsia" w:ascii="宋体" w:hAnsi="宋体" w:cs="宋体"/>
                <w:color w:val="auto"/>
                <w:kern w:val="0"/>
                <w:szCs w:val="21"/>
              </w:rPr>
              <w:t>1、必须符合最新现行食品安全国家标准《鲜（冻）畜、禽产品》（GB2707-2016）、《鲜、冻猪肉及猪副产品》（GB/T 9959.1</w:t>
            </w:r>
            <w:r>
              <w:rPr>
                <w:rFonts w:hint="eastAsia" w:ascii="宋体" w:hAnsi="宋体" w:cs="宋体"/>
                <w:color w:val="auto"/>
                <w:kern w:val="0"/>
                <w:szCs w:val="21"/>
              </w:rPr>
              <w:noBreakHyphen/>
            </w:r>
            <w:r>
              <w:rPr>
                <w:rFonts w:hint="eastAsia" w:ascii="宋体" w:hAnsi="宋体" w:cs="宋体"/>
                <w:color w:val="auto"/>
                <w:kern w:val="0"/>
                <w:szCs w:val="21"/>
              </w:rPr>
              <w:t>2019、GB/T 9959.2</w:t>
            </w:r>
            <w:r>
              <w:rPr>
                <w:rFonts w:hint="eastAsia" w:ascii="宋体" w:hAnsi="宋体" w:cs="宋体"/>
                <w:color w:val="auto"/>
                <w:kern w:val="0"/>
                <w:szCs w:val="21"/>
              </w:rPr>
              <w:noBreakHyphen/>
            </w:r>
            <w:r>
              <w:rPr>
                <w:rFonts w:hint="eastAsia" w:ascii="宋体" w:hAnsi="宋体" w:cs="宋体"/>
                <w:color w:val="auto"/>
                <w:kern w:val="0"/>
                <w:szCs w:val="21"/>
              </w:rPr>
              <w:t>2008、GB/T 9959.3</w:t>
            </w:r>
            <w:r>
              <w:rPr>
                <w:rFonts w:hint="eastAsia" w:ascii="宋体" w:hAnsi="宋体" w:cs="宋体"/>
                <w:color w:val="auto"/>
                <w:kern w:val="0"/>
                <w:szCs w:val="21"/>
              </w:rPr>
              <w:noBreakHyphen/>
            </w:r>
            <w:r>
              <w:rPr>
                <w:rFonts w:hint="eastAsia" w:ascii="宋体" w:hAnsi="宋体" w:cs="宋体"/>
                <w:color w:val="auto"/>
                <w:kern w:val="0"/>
                <w:szCs w:val="21"/>
              </w:rPr>
              <w:t>2019、GB/T 9959.4</w:t>
            </w:r>
            <w:r>
              <w:rPr>
                <w:rFonts w:hint="eastAsia" w:ascii="宋体" w:hAnsi="宋体" w:cs="宋体"/>
                <w:color w:val="auto"/>
                <w:kern w:val="0"/>
                <w:szCs w:val="21"/>
              </w:rPr>
              <w:noBreakHyphen/>
            </w:r>
            <w:r>
              <w:rPr>
                <w:rFonts w:hint="eastAsia" w:ascii="宋体" w:hAnsi="宋体" w:cs="宋体"/>
                <w:color w:val="auto"/>
                <w:kern w:val="0"/>
                <w:szCs w:val="21"/>
              </w:rPr>
              <w:t>2019）、《畜禽肉水分限量》（GB 18394</w:t>
            </w:r>
            <w:r>
              <w:rPr>
                <w:rFonts w:hint="eastAsia" w:ascii="宋体" w:hAnsi="宋体" w:cs="宋体"/>
                <w:color w:val="auto"/>
                <w:kern w:val="0"/>
                <w:szCs w:val="21"/>
              </w:rPr>
              <w:noBreakHyphen/>
            </w:r>
            <w:r>
              <w:rPr>
                <w:rFonts w:hint="eastAsia" w:ascii="宋体" w:hAnsi="宋体" w:cs="宋体"/>
                <w:color w:val="auto"/>
                <w:kern w:val="0"/>
                <w:szCs w:val="21"/>
              </w:rPr>
              <w:t>2020）、《鲜、冻肉生产良好操作规范》（GB/T 20575</w:t>
            </w:r>
            <w:r>
              <w:rPr>
                <w:rFonts w:hint="eastAsia" w:ascii="宋体" w:hAnsi="宋体" w:cs="宋体"/>
                <w:color w:val="auto"/>
                <w:kern w:val="0"/>
                <w:szCs w:val="21"/>
              </w:rPr>
              <w:noBreakHyphen/>
            </w:r>
            <w:r>
              <w:rPr>
                <w:rFonts w:hint="eastAsia" w:ascii="宋体" w:hAnsi="宋体" w:cs="宋体"/>
                <w:color w:val="auto"/>
                <w:kern w:val="0"/>
                <w:szCs w:val="21"/>
              </w:rPr>
              <w:t>2019），质量符合《中华人民共和国食品安全法》、《中华人民共和国农产品质量安全法》、《中华人民共和国食品安全法实施条例》等相关国家标准。生猪、牛应来自非疫区；非公、母种猪、晚阉猪、病死猪、病死牛等。严格实行肉品品质检验制度，每次供应的猪肉、牛肉必须向采购人提供定点屠宰场出具的《肉品品质检验合格证》和动物防疫监督机构出具的《动物检疫合格证明》原件。兽药残留按国家标准及有关规定执行。</w:t>
            </w:r>
            <w:r>
              <w:rPr>
                <w:rFonts w:hint="eastAsia" w:ascii="宋体" w:hAnsi="宋体" w:cs="宋体"/>
                <w:color w:val="auto"/>
                <w:kern w:val="0"/>
                <w:szCs w:val="21"/>
              </w:rPr>
              <w:br w:type="textWrapping"/>
            </w:r>
            <w:r>
              <w:rPr>
                <w:rFonts w:hint="eastAsia" w:ascii="宋体" w:hAnsi="宋体" w:cs="宋体"/>
                <w:color w:val="auto"/>
                <w:kern w:val="0"/>
                <w:szCs w:val="21"/>
              </w:rPr>
              <w:t>2、所供每批次鲜肉必须为当天宰杀，产品符合国家标准，保证无异味、无霉烂变质、无寄生虫。</w:t>
            </w:r>
            <w:r>
              <w:rPr>
                <w:rFonts w:hint="eastAsia" w:ascii="宋体" w:hAnsi="宋体" w:cs="宋体"/>
                <w:color w:val="auto"/>
                <w:kern w:val="0"/>
                <w:szCs w:val="21"/>
              </w:rPr>
              <w:br w:type="textWrapping"/>
            </w:r>
            <w:r>
              <w:rPr>
                <w:rFonts w:hint="eastAsia" w:ascii="宋体" w:hAnsi="宋体" w:cs="宋体"/>
                <w:color w:val="auto"/>
                <w:kern w:val="0"/>
                <w:szCs w:val="21"/>
              </w:rPr>
              <w:t>3、色泽：肌肉有光泽，颜色均匀，脂肪乳白色。组织状态：纤维清晰，有坚韧性，指压后凹陷立即恢复，肉质紧密，有坚韧性。</w:t>
            </w:r>
            <w:r>
              <w:rPr>
                <w:rFonts w:hint="eastAsia" w:ascii="宋体" w:hAnsi="宋体" w:cs="宋体"/>
                <w:color w:val="auto"/>
                <w:kern w:val="0"/>
                <w:szCs w:val="21"/>
              </w:rPr>
              <w:br w:type="textWrapping"/>
            </w:r>
            <w:r>
              <w:rPr>
                <w:rFonts w:hint="eastAsia" w:ascii="宋体" w:hAnsi="宋体" w:cs="宋体"/>
                <w:color w:val="auto"/>
                <w:kern w:val="0"/>
                <w:szCs w:val="21"/>
              </w:rPr>
              <w:t>4、粘度：外表湿润、不粘手，切面有渗出液、不粘手。</w:t>
            </w:r>
            <w:r>
              <w:rPr>
                <w:rFonts w:hint="eastAsia" w:ascii="宋体" w:hAnsi="宋体" w:cs="宋体"/>
                <w:color w:val="auto"/>
                <w:kern w:val="0"/>
                <w:szCs w:val="21"/>
              </w:rPr>
              <w:br w:type="textWrapping"/>
            </w:r>
            <w:r>
              <w:rPr>
                <w:rFonts w:hint="eastAsia" w:ascii="宋体" w:hAnsi="宋体" w:cs="宋体"/>
                <w:color w:val="auto"/>
                <w:kern w:val="0"/>
                <w:szCs w:val="21"/>
              </w:rPr>
              <w:t>5、气味：具有肉类固有的气味，无异味，煮沸后肉汤澄清透明，脂肪团聚于表面澄清透明或稍有浑浊。</w:t>
            </w:r>
            <w:r>
              <w:rPr>
                <w:rFonts w:hint="eastAsia" w:ascii="宋体" w:hAnsi="宋体" w:cs="宋体"/>
                <w:color w:val="auto"/>
                <w:kern w:val="0"/>
                <w:szCs w:val="21"/>
              </w:rPr>
              <w:br w:type="textWrapping"/>
            </w:r>
            <w:r>
              <w:rPr>
                <w:rFonts w:hint="eastAsia" w:ascii="宋体" w:hAnsi="宋体" w:cs="宋体"/>
                <w:color w:val="auto"/>
                <w:kern w:val="0"/>
                <w:szCs w:val="21"/>
              </w:rPr>
              <w:t>6、外表：无泥污、无淤血，无注水，肉边整齐，无破碎肉、碎骨，无粘液渗出或很干的表皮，无点状、块状等小颗粒。</w:t>
            </w:r>
            <w:r>
              <w:rPr>
                <w:rFonts w:hint="eastAsia" w:ascii="宋体" w:hAnsi="宋体" w:cs="宋体"/>
                <w:color w:val="auto"/>
                <w:kern w:val="0"/>
                <w:szCs w:val="21"/>
              </w:rPr>
              <w:br w:type="textWrapping"/>
            </w:r>
            <w:r>
              <w:rPr>
                <w:rFonts w:hint="eastAsia" w:ascii="宋体" w:hAnsi="宋体" w:cs="宋体"/>
                <w:color w:val="auto"/>
                <w:kern w:val="0"/>
                <w:szCs w:val="21"/>
              </w:rPr>
              <w:t>7、严禁打水，在送货的过程中不能受到污染，夏季运输途中需要加冰袋保鲜。</w:t>
            </w:r>
            <w:r>
              <w:rPr>
                <w:rFonts w:hint="eastAsia" w:ascii="宋体" w:hAnsi="宋体" w:cs="宋体"/>
                <w:color w:val="auto"/>
                <w:kern w:val="0"/>
                <w:szCs w:val="21"/>
              </w:rPr>
              <w:br w:type="textWrapping"/>
            </w:r>
            <w:r>
              <w:rPr>
                <w:rFonts w:hint="eastAsia" w:ascii="宋体" w:hAnsi="宋体" w:cs="宋体"/>
                <w:color w:val="auto"/>
                <w:kern w:val="0"/>
                <w:szCs w:val="21"/>
              </w:rPr>
              <w:t>8、脚、耳、头和带皮肉一定要把毛剃干净，达到皮面无毛无脏。猪头皮、下巴肉要新鲜无异味，加工烧净，洗割干净，无淋巴，无碎骨。</w:t>
            </w:r>
            <w:r>
              <w:rPr>
                <w:rFonts w:hint="eastAsia" w:ascii="宋体" w:hAnsi="宋体" w:cs="宋体"/>
                <w:color w:val="auto"/>
                <w:kern w:val="0"/>
                <w:szCs w:val="21"/>
              </w:rPr>
              <w:br w:type="textWrapping"/>
            </w:r>
            <w:r>
              <w:rPr>
                <w:rFonts w:hint="eastAsia" w:ascii="宋体" w:hAnsi="宋体" w:cs="宋体"/>
                <w:color w:val="auto"/>
                <w:kern w:val="0"/>
                <w:szCs w:val="21"/>
              </w:rPr>
              <w:t>9、牛红</w:t>
            </w:r>
            <w:r>
              <w:rPr>
                <w:rFonts w:hint="eastAsia" w:ascii="宋体" w:hAnsi="宋体" w:cs="宋体"/>
                <w:color w:val="auto"/>
                <w:kern w:val="0"/>
                <w:szCs w:val="21"/>
                <w:lang w:val="en-US" w:eastAsia="zh-CN"/>
              </w:rPr>
              <w:t>≥</w:t>
            </w:r>
            <w:r>
              <w:rPr>
                <w:rFonts w:hint="eastAsia" w:ascii="宋体" w:hAnsi="宋体" w:cs="宋体"/>
                <w:color w:val="auto"/>
                <w:kern w:val="0"/>
                <w:szCs w:val="21"/>
              </w:rPr>
              <w:t>350g/块。</w:t>
            </w:r>
            <w:r>
              <w:rPr>
                <w:rFonts w:hint="eastAsia" w:ascii="宋体" w:hAnsi="宋体" w:cs="宋体"/>
                <w:color w:val="auto"/>
                <w:kern w:val="0"/>
                <w:szCs w:val="21"/>
              </w:rPr>
              <w:br w:type="textWrapping"/>
            </w:r>
            <w:r>
              <w:rPr>
                <w:rFonts w:hint="eastAsia" w:ascii="宋体" w:hAnsi="宋体" w:cs="宋体"/>
                <w:color w:val="auto"/>
                <w:kern w:val="0"/>
                <w:szCs w:val="21"/>
              </w:rPr>
              <w:t>10、因肉猪个体差异，每个猪肺的重量约为4斤左右。                                   11、严禁提供由死鸡、死鸭、病鸡、病鸭宰杀的鸡鸭。</w:t>
            </w:r>
            <w:r>
              <w:rPr>
                <w:rFonts w:hint="eastAsia" w:ascii="宋体" w:hAnsi="宋体" w:cs="宋体"/>
                <w:color w:val="auto"/>
                <w:kern w:val="0"/>
                <w:szCs w:val="21"/>
              </w:rPr>
              <w:br w:type="textWrapping"/>
            </w:r>
            <w:r>
              <w:rPr>
                <w:rFonts w:hint="eastAsia" w:ascii="宋体" w:hAnsi="宋体" w:cs="宋体"/>
                <w:color w:val="auto"/>
                <w:kern w:val="0"/>
                <w:szCs w:val="21"/>
              </w:rPr>
              <w:t>12、要求表皮有光泽、无病状，肌肉鲜亮、无积血、有弹性，体腔无内脏、无喉管及任何填充物，体表无淤血、黑斑，剔毛干净，形体完整，应卫生、干净，不得沾染污染物；</w:t>
            </w:r>
            <w:r>
              <w:rPr>
                <w:rFonts w:hint="eastAsia" w:ascii="宋体" w:hAnsi="宋体" w:cs="宋体"/>
                <w:color w:val="auto"/>
                <w:kern w:val="0"/>
                <w:szCs w:val="21"/>
              </w:rPr>
              <w:br w:type="textWrapping"/>
            </w:r>
            <w:r>
              <w:rPr>
                <w:rFonts w:hint="eastAsia" w:ascii="宋体" w:hAnsi="宋体" w:cs="宋体"/>
                <w:color w:val="auto"/>
                <w:kern w:val="0"/>
                <w:szCs w:val="21"/>
              </w:rPr>
              <w:t>13、开膛部位要求是肚子，外表干净无鸡毛，内部无肺，无腐烂、无变质、无打水；禽类去毛时不能使用沥青等化工用品；</w:t>
            </w:r>
            <w:r>
              <w:rPr>
                <w:rFonts w:hint="eastAsia" w:ascii="宋体" w:hAnsi="宋体" w:cs="宋体"/>
                <w:color w:val="auto"/>
                <w:kern w:val="0"/>
                <w:szCs w:val="21"/>
              </w:rPr>
              <w:br w:type="textWrapping"/>
            </w:r>
            <w:r>
              <w:rPr>
                <w:rFonts w:hint="eastAsia" w:ascii="宋体" w:hAnsi="宋体" w:cs="宋体"/>
                <w:color w:val="auto"/>
                <w:kern w:val="0"/>
                <w:szCs w:val="21"/>
              </w:rPr>
              <w:t>14、宰杀时间冬季不得超过6小时，夏季不得超过4小时，夏季在运输途中使用冰袋保鲜；</w:t>
            </w:r>
            <w:r>
              <w:rPr>
                <w:rFonts w:hint="eastAsia" w:ascii="宋体" w:hAnsi="宋体" w:cs="宋体"/>
                <w:color w:val="auto"/>
                <w:kern w:val="0"/>
                <w:szCs w:val="21"/>
              </w:rPr>
              <w:br w:type="textWrapping"/>
            </w:r>
            <w:r>
              <w:rPr>
                <w:rFonts w:hint="eastAsia" w:ascii="宋体" w:hAnsi="宋体" w:cs="宋体"/>
                <w:color w:val="auto"/>
                <w:kern w:val="0"/>
                <w:szCs w:val="21"/>
              </w:rPr>
              <w:t>15、水产品符合国家相关质量标准要求                                                                   严禁提供死亡、疾病的水产品；</w:t>
            </w:r>
            <w:r>
              <w:rPr>
                <w:rFonts w:hint="eastAsia" w:ascii="宋体" w:hAnsi="宋体" w:cs="宋体"/>
                <w:color w:val="auto"/>
                <w:kern w:val="0"/>
                <w:szCs w:val="21"/>
              </w:rPr>
              <w:br w:type="textWrapping"/>
            </w:r>
            <w:r>
              <w:rPr>
                <w:rFonts w:hint="eastAsia" w:ascii="宋体" w:hAnsi="宋体" w:cs="宋体"/>
                <w:color w:val="auto"/>
                <w:kern w:val="0"/>
                <w:szCs w:val="21"/>
              </w:rPr>
              <w:t>16、水产品在送货的过程中不能受到污染。</w:t>
            </w:r>
            <w:r>
              <w:rPr>
                <w:rFonts w:hint="eastAsia" w:ascii="宋体" w:hAnsi="宋体" w:cs="宋体"/>
                <w:color w:val="auto"/>
                <w:kern w:val="0"/>
                <w:szCs w:val="21"/>
              </w:rPr>
              <w:br w:type="textWrapping"/>
            </w:r>
            <w:r>
              <w:rPr>
                <w:rFonts w:hint="eastAsia" w:ascii="宋体" w:hAnsi="宋体" w:cs="宋体"/>
                <w:color w:val="auto"/>
                <w:kern w:val="0"/>
                <w:szCs w:val="21"/>
              </w:rPr>
              <w:t>17、水产品要求皮面光滑，无外表损伤、膛内清理干净，无杂物；</w:t>
            </w:r>
            <w:r>
              <w:rPr>
                <w:rFonts w:hint="eastAsia" w:ascii="宋体" w:hAnsi="宋体" w:cs="宋体"/>
                <w:color w:val="auto"/>
                <w:kern w:val="0"/>
                <w:szCs w:val="21"/>
              </w:rPr>
              <w:br w:type="textWrapping"/>
            </w:r>
            <w:r>
              <w:rPr>
                <w:rFonts w:hint="eastAsia" w:ascii="宋体" w:hAnsi="宋体" w:cs="宋体"/>
                <w:color w:val="auto"/>
                <w:kern w:val="0"/>
                <w:szCs w:val="21"/>
              </w:rPr>
              <w:t>18、水产品要求当天新鲜宰杀的，无异味，腐烂变味。</w:t>
            </w:r>
            <w:r>
              <w:rPr>
                <w:rFonts w:hint="eastAsia" w:ascii="宋体" w:hAnsi="宋体" w:cs="宋体"/>
                <w:color w:val="auto"/>
                <w:kern w:val="0"/>
                <w:szCs w:val="21"/>
              </w:rPr>
              <w:br w:type="textWrapping"/>
            </w:r>
            <w:r>
              <w:rPr>
                <w:rFonts w:hint="eastAsia" w:ascii="宋体" w:hAnsi="宋体" w:cs="宋体"/>
                <w:color w:val="auto"/>
                <w:kern w:val="0"/>
                <w:szCs w:val="21"/>
              </w:rPr>
              <w:t xml:space="preserve">19、符合国家相关质量标准要求。                                     </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瘦肉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猪耳朵</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猪头骨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猪头皮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排骨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筒骨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沙骨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仔排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猪脚（前）</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猪肘子（后）</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猪肝</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粉肠</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猪肚</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猪大肠</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猪心</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猪舌头</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猪尾巴</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猪肺</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梅头肉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里脊肉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肉皮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肥肉（不带皮）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24</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刀口肉</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前夹肉</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26</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前夹肉（去皮）</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27</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梅头肉（去皮）</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二股肠</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龙骨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尾节</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猪脑</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牛红</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块</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35</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牛骨头</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80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36</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黄喉</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37</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牛腱</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38</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雪花牛肉</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肥牛</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牛脑</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牛里脊</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吊龙</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蜂窝肚</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牛肉丸</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牛百叶</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牛腩</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牛八宝(配好）</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狗肉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羊排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兔肉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羊肉（干水）</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280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蛋饺</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豆腐酿</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腊肉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腊肠</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红肠</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绿头鸭（光）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土鸭（光）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土鸡（光）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bookmarkStart w:id="99" w:name="_Hlk238223519"/>
            <w:r>
              <w:rPr>
                <w:rFonts w:hint="eastAsia" w:ascii="宋体" w:hAnsi="宋体" w:cs="宋体"/>
                <w:color w:val="auto"/>
                <w:kern w:val="0"/>
                <w:szCs w:val="21"/>
              </w:rPr>
              <w:t>61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果园鸡3-6个月（光）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15.50 </w:t>
            </w:r>
          </w:p>
        </w:tc>
      </w:tr>
      <w:bookmarkEnd w:id="9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62</w:t>
            </w:r>
          </w:p>
        </w:tc>
        <w:tc>
          <w:tcPr>
            <w:tcW w:w="1022"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auto"/>
                <w:kern w:val="0"/>
                <w:szCs w:val="21"/>
              </w:rPr>
            </w:pPr>
            <w:r>
              <w:rPr>
                <w:rFonts w:hint="eastAsia" w:ascii="宋体" w:hAnsi="宋体" w:cs="宋体"/>
                <w:color w:val="auto"/>
                <w:kern w:val="0"/>
                <w:szCs w:val="21"/>
              </w:rPr>
              <w:t>果园鸡6-8个月（光）</w:t>
            </w:r>
          </w:p>
        </w:tc>
        <w:tc>
          <w:tcPr>
            <w:tcW w:w="630" w:type="dxa"/>
            <w:shd w:val="clear" w:color="auto" w:fill="auto"/>
            <w:tcMar>
              <w:top w:w="15" w:type="dxa"/>
              <w:left w:w="15" w:type="dxa"/>
              <w:right w:w="15" w:type="dxa"/>
            </w:tcMar>
            <w:vAlign w:val="center"/>
          </w:tcPr>
          <w:p>
            <w:pPr>
              <w:widowControl/>
              <w:jc w:val="center"/>
              <w:textAlignment w:val="center"/>
              <w:rPr>
                <w:rFonts w:hint="eastAsia" w:ascii="宋体" w:hAnsi="宋体" w:cs="宋体"/>
                <w:color w:val="auto"/>
                <w:kern w:val="0"/>
                <w:szCs w:val="21"/>
              </w:rPr>
            </w:pPr>
            <w:r>
              <w:rPr>
                <w:rFonts w:hint="eastAsia" w:ascii="宋体" w:hAnsi="宋体" w:cs="宋体"/>
                <w:color w:val="auto"/>
                <w:kern w:val="0"/>
                <w:szCs w:val="21"/>
              </w:rPr>
              <w:t>2500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hint="eastAsia" w:ascii="宋体" w:hAnsi="宋体" w:cs="宋体"/>
                <w:color w:val="auto"/>
                <w:kern w:val="0"/>
                <w:szCs w:val="21"/>
              </w:rPr>
            </w:pPr>
            <w:r>
              <w:rPr>
                <w:rFonts w:hint="eastAsia" w:ascii="宋体" w:hAnsi="宋体" w:cs="宋体"/>
                <w:color w:val="auto"/>
                <w:kern w:val="0"/>
                <w:szCs w:val="21"/>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三黄鸡（光）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鹅肉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田鸡</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鸡腿</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鸡中翅</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乌鸡（光）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69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腌鸡（光）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小脚鸭（光）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鹌鹑（光）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鸽子（光）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海虾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漓江虾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斑节虾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扇贝</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竹节螺</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多宝鱼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79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车螺</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小黄鱼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0"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带鱼（冰鲜）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田螺</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墨鱼（生鲜）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鱿鱼（生鲜）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泥鳅</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黄鳝</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草鱼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89</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斑鱼</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90</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剑骨鱼</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91</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鲤鱼</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92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黄善骨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93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鲈鱼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51</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94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带鱼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95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桂鱼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jc w:val="center"/>
              <w:rPr>
                <w:rFonts w:cs="宋体" w:asciiTheme="minorEastAsia" w:hAnsiTheme="minorEastAsia" w:eastAsiaTheme="minorEastAsia"/>
                <w:color w:val="auto"/>
                <w:szCs w:val="21"/>
              </w:rPr>
            </w:pPr>
            <w:r>
              <w:rPr>
                <w:rFonts w:hint="eastAsia" w:asciiTheme="minorEastAsia" w:hAnsiTheme="minorEastAsia" w:eastAsiaTheme="minorEastAsia"/>
                <w:color w:val="auto"/>
                <w:szCs w:val="21"/>
              </w:rPr>
              <w:t>96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石斑鱼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97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荷花鱼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799</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（二）蔬菜类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序号</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标的名称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数量</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规格</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单位</w:t>
            </w:r>
          </w:p>
        </w:tc>
        <w:tc>
          <w:tcPr>
            <w:tcW w:w="482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技术要求</w:t>
            </w:r>
          </w:p>
        </w:tc>
        <w:tc>
          <w:tcPr>
            <w:tcW w:w="90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基准价（元）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青椒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numPr>
                <w:ilvl w:val="0"/>
                <w:numId w:val="2"/>
              </w:numPr>
              <w:jc w:val="left"/>
              <w:textAlignment w:val="top"/>
              <w:rPr>
                <w:rFonts w:ascii="宋体" w:hAnsi="宋体" w:cs="宋体"/>
                <w:color w:val="auto"/>
                <w:kern w:val="0"/>
                <w:szCs w:val="21"/>
              </w:rPr>
            </w:pPr>
            <w:r>
              <w:rPr>
                <w:rFonts w:hint="eastAsia" w:ascii="宋体" w:hAnsi="宋体" w:cs="宋体"/>
                <w:color w:val="auto"/>
                <w:kern w:val="0"/>
                <w:szCs w:val="21"/>
              </w:rPr>
              <w:t>质量符合《中华人民共和国农产品质量安全法》的要求。供应期内每天提交批次蔬菜类《残留农药检测合格证明》。</w:t>
            </w:r>
            <w:r>
              <w:rPr>
                <w:rFonts w:hint="eastAsia" w:ascii="宋体" w:hAnsi="宋体" w:cs="宋体"/>
                <w:color w:val="auto"/>
                <w:kern w:val="0"/>
                <w:szCs w:val="21"/>
              </w:rPr>
              <w:br w:type="textWrapping"/>
            </w:r>
            <w:r>
              <w:rPr>
                <w:rFonts w:hint="eastAsia" w:ascii="宋体" w:hAnsi="宋体" w:cs="宋体"/>
                <w:color w:val="auto"/>
                <w:kern w:val="0"/>
                <w:szCs w:val="21"/>
              </w:rPr>
              <w:t>2、豆类产品要求颗粒饱满均匀，干净无杂质，无腐烂变质。</w:t>
            </w:r>
            <w:r>
              <w:rPr>
                <w:rFonts w:hint="eastAsia" w:ascii="宋体" w:hAnsi="宋体" w:cs="宋体"/>
                <w:color w:val="auto"/>
                <w:kern w:val="0"/>
                <w:szCs w:val="21"/>
              </w:rPr>
              <w:br w:type="textWrapping"/>
            </w:r>
            <w:r>
              <w:rPr>
                <w:rFonts w:hint="eastAsia" w:ascii="宋体" w:hAnsi="宋体" w:cs="宋体"/>
                <w:color w:val="auto"/>
                <w:kern w:val="0"/>
                <w:szCs w:val="21"/>
              </w:rPr>
              <w:t>3、蔬菜类（要求新鲜，干净无杂质，无腐烂变质，可食率达95%以上，残留农药检测合格）：</w:t>
            </w:r>
            <w:r>
              <w:rPr>
                <w:rFonts w:hint="eastAsia" w:ascii="宋体" w:hAnsi="宋体" w:cs="宋体"/>
                <w:color w:val="auto"/>
                <w:kern w:val="0"/>
                <w:szCs w:val="21"/>
              </w:rPr>
              <w:br w:type="textWrapping"/>
            </w:r>
            <w:r>
              <w:rPr>
                <w:rFonts w:hint="eastAsia" w:ascii="宋体" w:hAnsi="宋体" w:cs="宋体"/>
                <w:color w:val="auto"/>
                <w:kern w:val="0"/>
                <w:szCs w:val="21"/>
              </w:rPr>
              <w:t>（1）从蔬菜色泽看，各种蔬菜都应具有本品种固有的颜色，大多数有发亮的光泽，以此显示蔬菜的成熟度及鲜嫩程度；</w:t>
            </w:r>
            <w:r>
              <w:rPr>
                <w:rFonts w:hint="eastAsia" w:ascii="宋体" w:hAnsi="宋体" w:cs="宋体"/>
                <w:color w:val="auto"/>
                <w:kern w:val="0"/>
                <w:szCs w:val="21"/>
              </w:rPr>
              <w:br w:type="textWrapping"/>
            </w:r>
            <w:r>
              <w:rPr>
                <w:rFonts w:hint="eastAsia" w:ascii="宋体" w:hAnsi="宋体" w:cs="宋体"/>
                <w:color w:val="auto"/>
                <w:kern w:val="0"/>
                <w:szCs w:val="21"/>
              </w:rPr>
              <w:t>（2）从蔬菜气味看，多数蔬菜具有清新、甘辛香、甜酸香等气味，可凭嗅觉识别不同品种的质量，不允许有腐烂变质的亚硝酸盐味和其他异常气味；</w:t>
            </w:r>
            <w:r>
              <w:rPr>
                <w:rFonts w:hint="eastAsia" w:ascii="宋体" w:hAnsi="宋体" w:cs="宋体"/>
                <w:color w:val="auto"/>
                <w:kern w:val="0"/>
                <w:szCs w:val="21"/>
              </w:rPr>
              <w:br w:type="textWrapping"/>
            </w:r>
            <w:r>
              <w:rPr>
                <w:rFonts w:hint="eastAsia" w:ascii="宋体" w:hAnsi="宋体" w:cs="宋体"/>
                <w:color w:val="auto"/>
                <w:kern w:val="0"/>
                <w:szCs w:val="21"/>
              </w:rPr>
              <w:t>（3）从蔬菜滋味看，因品种不同而各异，多数蔬菜滋味甘淡、甜酸、清爽鲜美，少数具有辛酸、苦涩等特殊风味以刺激食欲，如失去本品种原有的滋味即为异常；</w:t>
            </w:r>
            <w:r>
              <w:rPr>
                <w:rFonts w:hint="eastAsia" w:ascii="宋体" w:hAnsi="宋体" w:cs="宋体"/>
                <w:color w:val="auto"/>
                <w:kern w:val="0"/>
                <w:szCs w:val="21"/>
              </w:rPr>
              <w:br w:type="textWrapping"/>
            </w:r>
            <w:r>
              <w:rPr>
                <w:rFonts w:hint="eastAsia" w:ascii="宋体" w:hAnsi="宋体" w:cs="宋体"/>
                <w:color w:val="auto"/>
                <w:kern w:val="0"/>
                <w:szCs w:val="21"/>
              </w:rPr>
              <w:t>（4）从蔬菜形态看，应尽量避免由于客观因素而造成的各种非正常、不新鲜的蔬菜，例如萎蔫、枯塌、损伤、病变、虫害侵蚀等引起的形态异常等。</w:t>
            </w:r>
            <w:r>
              <w:rPr>
                <w:rFonts w:hint="eastAsia" w:ascii="宋体" w:hAnsi="宋体" w:cs="宋体"/>
                <w:color w:val="auto"/>
                <w:kern w:val="0"/>
                <w:szCs w:val="21"/>
              </w:rPr>
              <w:br w:type="textWrapping"/>
            </w:r>
            <w:r>
              <w:rPr>
                <w:rFonts w:hint="eastAsia" w:ascii="宋体" w:hAnsi="宋体" w:cs="宋体"/>
                <w:color w:val="auto"/>
                <w:kern w:val="0"/>
                <w:szCs w:val="21"/>
              </w:rPr>
              <w:t>4、叶菜类：如生菜、白菜、油麦菜、苋菜等绿叶菜类及大白菜、椰菜等普通叶菜等。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属同一品种规格，肉质鲜嫩形态好，色泽正常，茎基部削平，无枯黄叶、病叶、泥土、明显机械伤和病虫害伤，无烧心焦边、腐烂等现象，无异味，结球叶菜要结球适度。</w:t>
            </w:r>
            <w:r>
              <w:rPr>
                <w:rFonts w:hint="eastAsia" w:ascii="宋体" w:hAnsi="宋体" w:cs="宋体"/>
                <w:color w:val="auto"/>
                <w:kern w:val="0"/>
                <w:szCs w:val="21"/>
              </w:rPr>
              <w:br w:type="textWrapping"/>
            </w:r>
            <w:r>
              <w:rPr>
                <w:rFonts w:hint="eastAsia" w:ascii="宋体" w:hAnsi="宋体" w:cs="宋体"/>
                <w:color w:val="auto"/>
                <w:kern w:val="0"/>
                <w:szCs w:val="21"/>
              </w:rPr>
              <w:t>5、茄果类：如番茄、西红柿、土椒、青椒等。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属同一品种规格，果实整洁，成熟度适中，无裂果及空洞现象，茄果不能有裂蒂及果皮变硬现象，无腐烂、异味，无明显机械伤。</w:t>
            </w:r>
            <w:r>
              <w:rPr>
                <w:rFonts w:hint="eastAsia" w:ascii="宋体" w:hAnsi="宋体" w:cs="宋体"/>
                <w:color w:val="auto"/>
                <w:kern w:val="0"/>
                <w:szCs w:val="21"/>
              </w:rPr>
              <w:br w:type="textWrapping"/>
            </w:r>
            <w:r>
              <w:rPr>
                <w:rFonts w:hint="eastAsia" w:ascii="宋体" w:hAnsi="宋体" w:cs="宋体"/>
                <w:color w:val="auto"/>
                <w:kern w:val="0"/>
                <w:szCs w:val="21"/>
              </w:rPr>
              <w:t>6、瓜果类：如黄瓜、冬瓜、丝瓜、苦瓜、南瓜、节瓜等。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属同一品种规格，色泽一致，无疤点，无断裂，无腐烂、异味、明显机械伤，不带泥土。</w:t>
            </w:r>
            <w:r>
              <w:rPr>
                <w:rFonts w:hint="eastAsia" w:ascii="宋体" w:hAnsi="宋体" w:cs="宋体"/>
                <w:color w:val="auto"/>
                <w:kern w:val="0"/>
                <w:szCs w:val="21"/>
              </w:rPr>
              <w:br w:type="textWrapping"/>
            </w:r>
            <w:r>
              <w:rPr>
                <w:rFonts w:hint="eastAsia" w:ascii="宋体" w:hAnsi="宋体" w:cs="宋体"/>
                <w:color w:val="auto"/>
                <w:kern w:val="0"/>
                <w:szCs w:val="21"/>
              </w:rPr>
              <w:t>7、根菜类：如萝卜、胡萝卜等。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属同一品种规格，皮细光滑，肉质脆嫩致密新鲜，无腐烂、裂痕、糠心、异味，不带泥沙，不带茎叶和须根。</w:t>
            </w:r>
            <w:r>
              <w:rPr>
                <w:rFonts w:hint="eastAsia" w:ascii="宋体" w:hAnsi="宋体" w:cs="宋体"/>
                <w:color w:val="auto"/>
                <w:kern w:val="0"/>
                <w:szCs w:val="21"/>
              </w:rPr>
              <w:br w:type="textWrapping"/>
            </w:r>
            <w:r>
              <w:rPr>
                <w:rFonts w:hint="eastAsia" w:ascii="宋体" w:hAnsi="宋体" w:cs="宋体"/>
                <w:color w:val="auto"/>
                <w:kern w:val="0"/>
                <w:szCs w:val="21"/>
              </w:rPr>
              <w:t>8、薯芋类：如马铃薯、芋、姜等。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属同一品种规格，色泽一致，不带泥沙，不带须根、茎叶，不干瘪，无腐烂、异味、明显机械伤、病虫害斑，马铃薯无发芽，皮不变绿。</w:t>
            </w:r>
            <w:r>
              <w:rPr>
                <w:rFonts w:hint="eastAsia" w:ascii="宋体" w:hAnsi="宋体" w:cs="宋体"/>
                <w:color w:val="auto"/>
                <w:kern w:val="0"/>
                <w:szCs w:val="21"/>
              </w:rPr>
              <w:br w:type="textWrapping"/>
            </w:r>
            <w:r>
              <w:rPr>
                <w:rFonts w:hint="eastAsia" w:ascii="宋体" w:hAnsi="宋体" w:cs="宋体"/>
                <w:color w:val="auto"/>
                <w:kern w:val="0"/>
                <w:szCs w:val="21"/>
              </w:rPr>
              <w:t>9、葱蒜类：如葱、蒜、韭菜、洋葱等。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属同一品种规格，允许葱、青蒜类保留干净须根，葱、蒜、韭菜不带老叶，蒜头、洋葱去根去枯叶，可食部分新鲜幼嫩，无腐烂、异味。</w:t>
            </w:r>
            <w:r>
              <w:rPr>
                <w:rFonts w:hint="eastAsia" w:ascii="宋体" w:hAnsi="宋体" w:cs="宋体"/>
                <w:color w:val="auto"/>
                <w:kern w:val="0"/>
                <w:szCs w:val="21"/>
              </w:rPr>
              <w:br w:type="textWrapping"/>
            </w:r>
            <w:r>
              <w:rPr>
                <w:rFonts w:hint="eastAsia" w:ascii="宋体" w:hAnsi="宋体" w:cs="宋体"/>
                <w:color w:val="auto"/>
                <w:kern w:val="0"/>
                <w:szCs w:val="21"/>
              </w:rPr>
              <w:t>10、水生菜类：如藕等。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属同一品种规格，肉质嫩，成熟度适中，无腐烂、异味，无明显机械伤，不带泥土和杂质，不干瘪，茭白不黑心。</w:t>
            </w:r>
            <w:r>
              <w:rPr>
                <w:rFonts w:hint="eastAsia" w:ascii="宋体" w:hAnsi="宋体" w:cs="宋体"/>
                <w:color w:val="auto"/>
                <w:kern w:val="0"/>
                <w:szCs w:val="21"/>
              </w:rPr>
              <w:br w:type="textWrapping"/>
            </w:r>
            <w:r>
              <w:rPr>
                <w:rFonts w:hint="eastAsia" w:ascii="宋体" w:hAnsi="宋体" w:cs="宋体"/>
                <w:color w:val="auto"/>
                <w:kern w:val="0"/>
                <w:szCs w:val="21"/>
              </w:rPr>
              <w:t>11、芽苗类：如绿豆芽、黄豆芽等。</w:t>
            </w:r>
            <w:r>
              <w:rPr>
                <w:rFonts w:hint="eastAsia" w:ascii="宋体" w:hAnsi="宋体" w:cs="宋体"/>
                <w:color w:val="auto"/>
                <w:kern w:val="0"/>
                <w:szCs w:val="21"/>
              </w:rPr>
              <w:br w:type="textWrapping"/>
            </w:r>
            <w:r>
              <w:rPr>
                <w:rFonts w:hint="eastAsia" w:ascii="宋体" w:hAnsi="宋体" w:cs="宋体"/>
                <w:color w:val="auto"/>
                <w:kern w:val="0"/>
                <w:szCs w:val="21"/>
              </w:rPr>
              <w:t>芽苗幼嫩，不带豆壳杂质，新鲜，不浸水，不浸泡防腐剂，无腐烂，异味。</w:t>
            </w:r>
          </w:p>
          <w:p>
            <w:pPr>
              <w:widowControl/>
              <w:numPr>
                <w:ilvl w:val="0"/>
                <w:numId w:val="3"/>
              </w:numPr>
              <w:jc w:val="left"/>
              <w:textAlignment w:val="top"/>
              <w:rPr>
                <w:rFonts w:ascii="宋体" w:hAnsi="宋体" w:cs="宋体"/>
                <w:color w:val="auto"/>
                <w:kern w:val="0"/>
                <w:szCs w:val="21"/>
              </w:rPr>
            </w:pPr>
            <w:r>
              <w:rPr>
                <w:rFonts w:hint="eastAsia" w:ascii="宋体" w:hAnsi="宋体" w:cs="宋体"/>
                <w:color w:val="auto"/>
                <w:kern w:val="0"/>
                <w:szCs w:val="21"/>
              </w:rPr>
              <w:t>香辛类：如西芹、芹菜、香菜等。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属同一品种规格，肉质鲜嫩形态好，色泽正常，无枯黄叶、病叶、泥土、明显机械伤和病虫害伤，无烧心焦边、腐烂等现象，具有该品种应有的味道。</w:t>
            </w:r>
            <w:r>
              <w:rPr>
                <w:rFonts w:hint="eastAsia" w:ascii="宋体" w:hAnsi="宋体" w:cs="宋体"/>
                <w:color w:val="auto"/>
                <w:kern w:val="0"/>
                <w:szCs w:val="21"/>
              </w:rPr>
              <w:br w:type="textWrapping"/>
            </w:r>
            <w:r>
              <w:rPr>
                <w:rFonts w:hint="eastAsia" w:ascii="宋体" w:hAnsi="宋体" w:cs="宋体"/>
                <w:color w:val="auto"/>
                <w:kern w:val="0"/>
                <w:szCs w:val="21"/>
              </w:rPr>
              <w:t>13、菌菇类：如凤尾菇、白蘑菇等。</w:t>
            </w:r>
            <w:r>
              <w:rPr>
                <w:rFonts w:hint="eastAsia" w:ascii="宋体" w:hAnsi="宋体" w:cs="宋体"/>
                <w:color w:val="auto"/>
                <w:kern w:val="0"/>
                <w:szCs w:val="21"/>
              </w:rPr>
              <w:br w:type="textWrapping"/>
            </w:r>
            <w:r>
              <w:rPr>
                <w:rFonts w:hint="eastAsia" w:ascii="宋体" w:hAnsi="宋体" w:cs="宋体"/>
                <w:color w:val="auto"/>
                <w:kern w:val="0"/>
                <w:szCs w:val="21"/>
              </w:rPr>
              <w:t>菇肉新鲜，肉质饱满，无防腐剂浸泡。</w:t>
            </w:r>
            <w:r>
              <w:rPr>
                <w:rFonts w:hint="eastAsia" w:ascii="宋体" w:hAnsi="宋体" w:cs="宋体"/>
                <w:color w:val="auto"/>
                <w:kern w:val="0"/>
                <w:szCs w:val="21"/>
              </w:rPr>
              <w:br w:type="textWrapping"/>
            </w:r>
            <w:r>
              <w:rPr>
                <w:rFonts w:hint="eastAsia" w:ascii="宋体" w:hAnsi="宋体" w:cs="宋体"/>
                <w:color w:val="auto"/>
                <w:kern w:val="0"/>
                <w:szCs w:val="21"/>
              </w:rPr>
              <w:t>属同一品种规格，肉质嫩，成熟度适中，无腐烂、异味，腐烂等现象，具有该品种应有的味道。</w:t>
            </w:r>
            <w:r>
              <w:rPr>
                <w:rFonts w:hint="eastAsia" w:ascii="宋体" w:hAnsi="宋体" w:cs="宋体"/>
                <w:color w:val="auto"/>
                <w:kern w:val="0"/>
                <w:szCs w:val="21"/>
              </w:rPr>
              <w:br w:type="textWrapping"/>
            </w:r>
            <w:r>
              <w:rPr>
                <w:rFonts w:hint="eastAsia" w:ascii="宋体" w:hAnsi="宋体" w:cs="宋体"/>
                <w:color w:val="auto"/>
                <w:kern w:val="0"/>
                <w:szCs w:val="21"/>
              </w:rPr>
              <w:t>14、腌制品、泡菜类：如酸豆角、酸姜、酸笋等。</w:t>
            </w:r>
            <w:r>
              <w:rPr>
                <w:rFonts w:hint="eastAsia" w:ascii="宋体" w:hAnsi="宋体" w:cs="宋体"/>
                <w:color w:val="auto"/>
                <w:kern w:val="0"/>
                <w:szCs w:val="21"/>
              </w:rPr>
              <w:br w:type="textWrapping"/>
            </w:r>
            <w:r>
              <w:rPr>
                <w:rFonts w:hint="eastAsia" w:ascii="宋体" w:hAnsi="宋体" w:cs="宋体"/>
                <w:color w:val="auto"/>
                <w:kern w:val="0"/>
                <w:szCs w:val="21"/>
              </w:rPr>
              <w:t>属同一品种规格，色泽好，无异味，不能使用工业用盐腌制，口感具有该品种应有的味道。</w:t>
            </w:r>
          </w:p>
          <w:p>
            <w:pPr>
              <w:widowControl/>
              <w:jc w:val="left"/>
              <w:textAlignment w:val="top"/>
              <w:rPr>
                <w:rFonts w:ascii="宋体" w:hAnsi="宋体" w:cs="宋体"/>
                <w:color w:val="auto"/>
                <w:szCs w:val="21"/>
              </w:rPr>
            </w:pPr>
            <w:r>
              <w:rPr>
                <w:rFonts w:hint="eastAsia" w:ascii="宋体" w:hAnsi="宋体" w:cs="宋体"/>
                <w:color w:val="auto"/>
                <w:kern w:val="0"/>
                <w:szCs w:val="21"/>
              </w:rPr>
              <w:t>15、具有固有色泽和香味，无污染、色泽、气味、口味正常，无异味或霉味（霉变），无杂质异物，运输时外包装完整，无污损等。</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土椒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大红椒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七彩椒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小南瓜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冬瓜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苦瓜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老南瓜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牛腿瓜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贝贝南瓜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丝瓜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青瓜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小节瓜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杏鲍菇</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生香菇</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白蘑菇</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凤尾菇</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金针菇</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19</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海鲜菇</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鸡枞菌</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21</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松茸</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猪肚菌</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31</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榨菜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萝卜干</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糟白菜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酸萝卜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泡椒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泡笋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腌柠檬</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酸辣椒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酸姜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酸豆角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酸笋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酸菜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头菜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梅菜（干）</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荞头酸</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大白菜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菜花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生菜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南瓜花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南瓜苗</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扶手瓜苗</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白花菜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油麻菜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上海青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空心菜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小白菜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苦麻菜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卷筒青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枸杞菜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53</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娃娃菜</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韭菜花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红薯苗</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冰草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紫甘蓝</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西红柿</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土豆</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莴笋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西芹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西蓝花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胡萝卜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长豆角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白萝卜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四季豆</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莲藕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绿豆芽</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黄豆芽</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甜玉米粒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甜玉米棒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韭菜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洋葱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淮山（去皮）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茄子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蒜苔</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胶笋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红薯</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凉薯</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鲜板栗（去皮）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糯玉米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淮山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马蹄</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芋头仔</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魔芋豆腐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生白果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白花椰菜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88</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韭黄</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89</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芦笋</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60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90</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菠菜</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大芋头（去皮）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92</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铁棍山药</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150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93</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秋葵</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94</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冬笋</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24.25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95</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生虫草</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糖炒板栗</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水煮花生</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桑叶</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豌豆苗</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荞头 </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饺子皮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102</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甜笋（去皮）</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103</w:t>
            </w:r>
          </w:p>
        </w:tc>
        <w:tc>
          <w:tcPr>
            <w:tcW w:w="1022"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生黄花菜</w:t>
            </w:r>
          </w:p>
        </w:tc>
        <w:tc>
          <w:tcPr>
            <w:tcW w:w="630" w:type="dxa"/>
            <w:shd w:val="clear" w:color="auto" w:fill="auto"/>
            <w:tcMar>
              <w:top w:w="15" w:type="dxa"/>
              <w:left w:w="15" w:type="dxa"/>
              <w:right w:w="15" w:type="dxa"/>
            </w:tcMar>
          </w:tcPr>
          <w:p>
            <w:pPr>
              <w:widowControl/>
              <w:jc w:val="center"/>
              <w:textAlignment w:val="top"/>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荷兰豆</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48</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荷包豆</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油豆腐皮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白豆腐皮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水豆腐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油豆腐果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豌豆粒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51</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青豆粒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豆腐干</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日本豆腐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葱花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芹菜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青蒜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老姜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蒜米（去皮）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仔姜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干葱头</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独蒜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春芽</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紫苏</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薄荷</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红米椒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香菜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生百合</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杨兰花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枝</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荷兰芹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夜来香</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bookmarkStart w:id="100" w:name="OLE_LINK4"/>
            <w:r>
              <w:rPr>
                <w:rFonts w:hint="eastAsia" w:ascii="宋体" w:hAnsi="宋体" w:cs="宋体"/>
                <w:b/>
                <w:color w:val="auto"/>
                <w:kern w:val="0"/>
                <w:szCs w:val="21"/>
              </w:rPr>
              <w:t>（三）调味品及副食品、鸡蛋、干货类</w:t>
            </w:r>
            <w:bookmarkEnd w:id="10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序号</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标的名称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数量</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规格</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单位</w:t>
            </w:r>
          </w:p>
        </w:tc>
        <w:tc>
          <w:tcPr>
            <w:tcW w:w="482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技术要求</w:t>
            </w:r>
          </w:p>
        </w:tc>
        <w:tc>
          <w:tcPr>
            <w:tcW w:w="90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基准价（元）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22"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袋装白醋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≥450ml/包*20包/件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1、具有正常食醋的色泽、气味和滋味，不涩，无其他不良气味与异味，无浮物，不浑浊，无沉淀，无异物，无醋鳗、醋虱。</w:t>
            </w:r>
            <w:r>
              <w:rPr>
                <w:rFonts w:hint="eastAsia" w:ascii="宋体" w:hAnsi="宋体" w:cs="宋体"/>
                <w:color w:val="auto"/>
                <w:kern w:val="0"/>
                <w:szCs w:val="21"/>
              </w:rPr>
              <w:br w:type="textWrapping"/>
            </w:r>
            <w:r>
              <w:rPr>
                <w:rFonts w:hint="eastAsia" w:ascii="宋体" w:hAnsi="宋体" w:cs="宋体"/>
                <w:color w:val="auto"/>
                <w:kern w:val="0"/>
                <w:szCs w:val="21"/>
              </w:rPr>
              <w:t>2、质量符合国家食品卫生标准。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3、品质良好，外包装上必须注明商品名称，净含量，生产企业名称，地址，生产日期，保质期。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4、规格：≥450ml/包*20包/件。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芝麻香油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≥180ml/瓶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3、规格：≥180ml/瓶。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3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啤酒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bookmarkStart w:id="101" w:name="OLE_LINK3"/>
            <w:r>
              <w:rPr>
                <w:rFonts w:hint="eastAsia" w:ascii="宋体" w:hAnsi="宋体" w:cs="宋体"/>
                <w:color w:val="auto"/>
                <w:kern w:val="0"/>
                <w:szCs w:val="21"/>
              </w:rPr>
              <w:t>≥</w:t>
            </w:r>
            <w:bookmarkEnd w:id="101"/>
            <w:r>
              <w:rPr>
                <w:rFonts w:hint="eastAsia" w:ascii="宋体" w:hAnsi="宋体" w:cs="宋体"/>
                <w:color w:val="auto"/>
                <w:kern w:val="0"/>
                <w:szCs w:val="21"/>
              </w:rPr>
              <w:t>500ml/瓶*12瓶/件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FEFEFE"/>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3、规格：≥500ml/瓶*12瓶/件。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48.50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4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桶装陈醋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≥5L/桶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w:t>
            </w:r>
          </w:p>
        </w:tc>
        <w:tc>
          <w:tcPr>
            <w:tcW w:w="4827" w:type="dxa"/>
            <w:shd w:val="clear" w:color="auto" w:fill="FEFEFE"/>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1、具有正常食醋的色泽、气味和滋味，不涩，无其他不良气味与异味，无浮物，不浑浊，无沉淀，无异物，无醋鳗、醋虱。</w:t>
            </w:r>
            <w:r>
              <w:rPr>
                <w:rFonts w:hint="eastAsia" w:ascii="宋体" w:hAnsi="宋体" w:cs="宋体"/>
                <w:color w:val="auto"/>
                <w:kern w:val="0"/>
                <w:szCs w:val="21"/>
              </w:rPr>
              <w:br w:type="textWrapping"/>
            </w:r>
            <w:r>
              <w:rPr>
                <w:rFonts w:hint="eastAsia" w:ascii="宋体" w:hAnsi="宋体" w:cs="宋体"/>
                <w:color w:val="auto"/>
                <w:kern w:val="0"/>
                <w:szCs w:val="21"/>
              </w:rPr>
              <w:t>2、质量符合国家食品卫生标准。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3、品质良好，外包装上必须注明商品名称，净含量，生产企业名称，地址，生产日期，保质期。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4、规格：≥5L/桶。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6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山西陈醋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≥420ml/瓶*20瓶/件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1、具有正常食醋的色泽、气味和滋味，不涩，无其他不良气味与异味，无浮物，不浑浊，无沉淀，无异物，无醋鳗、醋虱。</w:t>
            </w:r>
            <w:r>
              <w:rPr>
                <w:rFonts w:hint="eastAsia" w:ascii="宋体" w:hAnsi="宋体" w:cs="宋体"/>
                <w:color w:val="auto"/>
                <w:kern w:val="0"/>
                <w:szCs w:val="21"/>
              </w:rPr>
              <w:br w:type="textWrapping"/>
            </w:r>
            <w:r>
              <w:rPr>
                <w:rFonts w:hint="eastAsia" w:ascii="宋体" w:hAnsi="宋体" w:cs="宋体"/>
                <w:color w:val="auto"/>
                <w:kern w:val="0"/>
                <w:szCs w:val="21"/>
              </w:rPr>
              <w:t>2、质量符合国家食品卫生标准。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3、品质良好，外包装上必须注明商品名称，净含量，生产企业名称，地址，生产日期，保质期。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4、规格：≥420ml/瓶*20瓶/件。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31"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蒸鱼豉油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≥450ml/瓶*12瓶/件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FEFEFE"/>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3、规格：≥450ml/瓶*12瓶/件。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5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孜然粉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≥20g/包*20包/件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3、规格：≥20g/包*20包/件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孜然粉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≥35g/包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3、规格：≥35g/包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盐焗鸡粉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≥30g*6袋/盒</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盒</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3、规格：≥30g*6袋/盒</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胡椒粉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≥25g/瓶*24瓶/件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3、规格：≥25g/瓶*24瓶/件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豆豉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≥120g/袋*50袋/件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3、规格：≥120g/袋*50袋/件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鸡精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≥1000g/包*10包/件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3、规格：≥1000g/包*10包/件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3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嫩肉粉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≥250g/瓶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3、规格：≥250g/瓶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味精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≥500g/包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3、规格：≥500g/包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8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味精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≥908g/包*10包/件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1、结晶或粉末，具有特殊的鲜味，无异味，无肉眼可见杂质，无返卤吸潮现象。</w:t>
            </w:r>
            <w:r>
              <w:rPr>
                <w:rFonts w:hint="eastAsia" w:ascii="宋体" w:hAnsi="宋体" w:cs="宋体"/>
                <w:color w:val="auto"/>
                <w:kern w:val="0"/>
                <w:szCs w:val="21"/>
              </w:rPr>
              <w:br w:type="textWrapping"/>
            </w:r>
            <w:r>
              <w:rPr>
                <w:rFonts w:hint="eastAsia" w:ascii="宋体" w:hAnsi="宋体" w:cs="宋体"/>
                <w:color w:val="auto"/>
                <w:kern w:val="0"/>
                <w:szCs w:val="21"/>
              </w:rPr>
              <w:t>2、质量符合国家食品卫生标准。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3、品质良好，外包装上必须注明商品名称，净含量，生产企业名称，地址，生产日期，保质期。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4、规格：≥908g/包*10包/件。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71"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金标蚝油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≥715g/瓶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3、规格：≥715g/瓶。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0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蚝油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≥2.27kg/瓶*4瓶/件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3、规格：≥2.27kg/瓶*4瓶/件。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66.25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6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豆腐乳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≥590g/瓶*6瓶/件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3、规格：≥590g/瓶*6瓶/件。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57.75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2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9度白醋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≥450ml/瓶*12瓶/件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1、具有正常食醋的色泽、气味和滋味，不涩，无其他不良气味与异味，无浮物，不浑浊，无沉淀，无异物，无醋鳗、醋虱。</w:t>
            </w:r>
            <w:r>
              <w:rPr>
                <w:rFonts w:hint="eastAsia" w:ascii="宋体" w:hAnsi="宋体" w:cs="宋体"/>
                <w:color w:val="auto"/>
                <w:kern w:val="0"/>
                <w:szCs w:val="21"/>
              </w:rPr>
              <w:br w:type="textWrapping"/>
            </w:r>
            <w:r>
              <w:rPr>
                <w:rFonts w:hint="eastAsia" w:ascii="宋体" w:hAnsi="宋体" w:cs="宋体"/>
                <w:color w:val="auto"/>
                <w:kern w:val="0"/>
                <w:szCs w:val="21"/>
              </w:rPr>
              <w:t>2、质量符合国家食品卫生标准。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3、品质良好，外包装上必须注明商品名称，净含量，生产企业名称，地址，生产日期，保质期。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4、规格：≥450ml/瓶*12瓶/件。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3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老抽</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≥1.9L/瓶*6瓶/件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1、颜色比较红、亮，有光泽、透明，把这酱油倒在瓶子里后，摇一下，产生的泡沫非常细腻，保持持久，挂碗现象非常好，有一种发黏的感觉。</w:t>
            </w:r>
            <w:r>
              <w:rPr>
                <w:rFonts w:hint="eastAsia" w:ascii="宋体" w:hAnsi="宋体" w:cs="宋体"/>
                <w:color w:val="auto"/>
                <w:kern w:val="0"/>
                <w:szCs w:val="21"/>
              </w:rPr>
              <w:br w:type="textWrapping"/>
            </w:r>
            <w:r>
              <w:rPr>
                <w:rFonts w:hint="eastAsia" w:ascii="宋体" w:hAnsi="宋体" w:cs="宋体"/>
                <w:color w:val="auto"/>
                <w:kern w:val="0"/>
                <w:szCs w:val="21"/>
              </w:rPr>
              <w:t>2、质量符合国家食品卫生标准。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3、品质良好，外包装上必须注明商品名称，净含量，生产企业名称，地址，生产日期，保质期。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4、规格：≥1.9L/瓶*6瓶/件。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4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蒸肉粉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≥120g/盒*60盒/袋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3、规格：≥120g/盒*60盒/袋。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4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豆瓣酱（袋装）</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≥200g/袋*30袋/件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3、规格：≥200g/袋*30袋/件。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11"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袋装酒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≥450ml/袋*20袋/件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3、规格：≥450ml/袋*20袋/件。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生粉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≥200g/包*100包/件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3、规格：≥200g/包*100包/件。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8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生抽</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≥1.9L/瓶*6瓶/件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3、规格：≥1.9L/瓶*6瓶/件。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金标生抽</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≥370ml瓶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3、规格：≥370ml瓶。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3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味椒盐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≥50g/瓶*18瓶/件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3、规格：≥50g/瓶*18瓶/件。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大红醋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≥620ml/瓶*12瓶/件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3、规格：≥620ml/瓶*12瓶/件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7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辣椒油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≥200g/瓶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3、规格：≥200g/瓶。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5"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花椒油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≥200g/瓶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3、规格：≥200g/瓶。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8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十三香</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≥45g/盒</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盒</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3、规格：≥45g/盒。</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7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番茄沙司</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≥510g/瓶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3、规格：120g/袋*50袋/件。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胡椒粉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≥25g/瓶*24瓶/件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1、结晶或粉末，具有特殊的鲜味，无异味，无肉眼可见杂质，无返卤吸潮现象。</w:t>
            </w:r>
            <w:r>
              <w:rPr>
                <w:rFonts w:hint="eastAsia" w:ascii="宋体" w:hAnsi="宋体" w:cs="宋体"/>
                <w:color w:val="auto"/>
                <w:kern w:val="0"/>
                <w:szCs w:val="21"/>
              </w:rPr>
              <w:br w:type="textWrapping"/>
            </w:r>
            <w:r>
              <w:rPr>
                <w:rFonts w:hint="eastAsia" w:ascii="宋体" w:hAnsi="宋体" w:cs="宋体"/>
                <w:color w:val="auto"/>
                <w:kern w:val="0"/>
                <w:szCs w:val="21"/>
              </w:rPr>
              <w:t>2、质量符合国家食品卫生标准。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3、品质良好，外包装上必须注明商品名称，净含量，生产企业名称，地址，生产日期，保质期。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4、规格：≥25g/瓶*24瓶/件。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6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胡椒粉斤</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散装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54.90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干辣椒段</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散装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鸡汁</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≥1000g/瓶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3、规格：≥1000g/瓶。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5"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麻辣鲜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≥46克/包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3、规格：≥46克/包。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6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松茸鲜调味料</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≥40克/包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3、规格：≥40克/包。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9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海鲜酱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≥260克/瓶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3、规格：≥206克/瓶。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4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鸡蛋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360个/件*12板/件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br w:type="textWrapping"/>
            </w: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2、具有固有色泽和香味，无污染、色泽、气味、口味正常，无异味或霉味（霉变），无杂质异物，运输时外包装完整，无污损等。</w:t>
            </w:r>
            <w:r>
              <w:rPr>
                <w:rFonts w:hint="eastAsia" w:ascii="宋体" w:hAnsi="宋体" w:cs="宋体"/>
                <w:color w:val="auto"/>
                <w:kern w:val="0"/>
                <w:szCs w:val="21"/>
              </w:rPr>
              <w:br w:type="textWrapping"/>
            </w:r>
            <w:r>
              <w:rPr>
                <w:rFonts w:hint="eastAsia" w:ascii="宋体" w:hAnsi="宋体" w:cs="宋体"/>
                <w:color w:val="auto"/>
                <w:kern w:val="0"/>
                <w:szCs w:val="21"/>
              </w:rPr>
              <w:t>3、每板鸡蛋重量≥3.8斤，蛋塔皮重≤0.2斤。</w:t>
            </w:r>
            <w:r>
              <w:rPr>
                <w:rFonts w:hint="eastAsia" w:ascii="宋体" w:hAnsi="宋体" w:cs="宋体"/>
                <w:color w:val="auto"/>
                <w:kern w:val="0"/>
                <w:szCs w:val="21"/>
              </w:rPr>
              <w:br w:type="textWrapping"/>
            </w:r>
            <w:r>
              <w:rPr>
                <w:rFonts w:hint="eastAsia" w:ascii="宋体" w:hAnsi="宋体" w:cs="宋体"/>
                <w:color w:val="auto"/>
                <w:kern w:val="0"/>
                <w:szCs w:val="21"/>
              </w:rPr>
              <w:t>4、所供每批次禽蛋必须有《动物检疫合格证明》，供货现场查验。</w:t>
            </w:r>
            <w:r>
              <w:rPr>
                <w:rFonts w:hint="eastAsia" w:ascii="宋体" w:hAnsi="宋体" w:cs="宋体"/>
                <w:color w:val="auto"/>
                <w:kern w:val="0"/>
                <w:szCs w:val="21"/>
              </w:rPr>
              <w:br w:type="textWrapping"/>
            </w:r>
            <w:r>
              <w:rPr>
                <w:rFonts w:hint="eastAsia" w:ascii="宋体" w:hAnsi="宋体" w:cs="宋体"/>
                <w:color w:val="auto"/>
                <w:kern w:val="0"/>
                <w:szCs w:val="21"/>
              </w:rPr>
              <w:t>5、蛋壳清洁完整，色泽鲜明，大小均匀、无破损、裂纹，无霉斑，灯光透视时，整个蛋呈桔黄色至橙红色，蛋黄不见或略见阴影，没有霉味、酸味，臭味等不良气味，打开后蛋黄凸起、完整、有韧性，蛋白澄清、透明、稀稠分明，无异味。</w:t>
            </w:r>
            <w:r>
              <w:rPr>
                <w:rFonts w:hint="eastAsia" w:ascii="宋体" w:hAnsi="宋体" w:cs="宋体"/>
                <w:color w:val="auto"/>
                <w:kern w:val="0"/>
                <w:szCs w:val="21"/>
              </w:rPr>
              <w:br w:type="textWrapping"/>
            </w:r>
            <w:r>
              <w:rPr>
                <w:rFonts w:hint="eastAsia" w:ascii="宋体" w:hAnsi="宋体" w:cs="宋体"/>
                <w:color w:val="auto"/>
                <w:kern w:val="0"/>
                <w:szCs w:val="21"/>
              </w:rPr>
              <w:t>6、符合鲜蛋卫生标准。</w:t>
            </w:r>
            <w:r>
              <w:rPr>
                <w:rFonts w:hint="eastAsia" w:ascii="宋体" w:hAnsi="宋体" w:cs="宋体"/>
                <w:color w:val="auto"/>
                <w:kern w:val="0"/>
                <w:szCs w:val="21"/>
              </w:rPr>
              <w:br w:type="textWrapping"/>
            </w:r>
            <w:r>
              <w:rPr>
                <w:rFonts w:hint="eastAsia" w:ascii="宋体" w:hAnsi="宋体" w:cs="宋体"/>
                <w:color w:val="auto"/>
                <w:kern w:val="0"/>
                <w:szCs w:val="21"/>
              </w:rPr>
              <w:t>7、规格：360个/件*12板/件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230.00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9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皮蛋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30个/板</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板</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2、具有固有色泽和香味，无污染、色泽、气味、口味正常，无异味或霉味（霉变），无杂质异物，运输时外包装完整，无污损等。</w:t>
            </w:r>
            <w:r>
              <w:rPr>
                <w:rFonts w:hint="eastAsia" w:ascii="宋体" w:hAnsi="宋体" w:cs="宋体"/>
                <w:color w:val="auto"/>
                <w:kern w:val="0"/>
                <w:szCs w:val="21"/>
              </w:rPr>
              <w:br w:type="textWrapping"/>
            </w:r>
            <w:r>
              <w:rPr>
                <w:rFonts w:hint="eastAsia" w:ascii="宋体" w:hAnsi="宋体" w:cs="宋体"/>
                <w:color w:val="auto"/>
                <w:kern w:val="0"/>
                <w:szCs w:val="21"/>
              </w:rPr>
              <w:t>3、每板鸡蛋重量≥3.8斤，蛋塔皮重≤0.2斤。</w:t>
            </w:r>
            <w:r>
              <w:rPr>
                <w:rFonts w:hint="eastAsia" w:ascii="宋体" w:hAnsi="宋体" w:cs="宋体"/>
                <w:color w:val="auto"/>
                <w:kern w:val="0"/>
                <w:szCs w:val="21"/>
              </w:rPr>
              <w:br w:type="textWrapping"/>
            </w:r>
            <w:r>
              <w:rPr>
                <w:rFonts w:hint="eastAsia" w:ascii="宋体" w:hAnsi="宋体" w:cs="宋体"/>
                <w:color w:val="auto"/>
                <w:kern w:val="0"/>
                <w:szCs w:val="21"/>
              </w:rPr>
              <w:t>4、所供每批次禽蛋必须有《动物检疫合格证明》，供货现场查验。</w:t>
            </w:r>
            <w:r>
              <w:rPr>
                <w:rFonts w:hint="eastAsia" w:ascii="宋体" w:hAnsi="宋体" w:cs="宋体"/>
                <w:color w:val="auto"/>
                <w:kern w:val="0"/>
                <w:szCs w:val="21"/>
              </w:rPr>
              <w:br w:type="textWrapping"/>
            </w:r>
            <w:r>
              <w:rPr>
                <w:rFonts w:hint="eastAsia" w:ascii="宋体" w:hAnsi="宋体" w:cs="宋体"/>
                <w:color w:val="auto"/>
                <w:kern w:val="0"/>
                <w:szCs w:val="21"/>
              </w:rPr>
              <w:t>5、蛋壳清洁完整，色泽鲜明，大小均匀、无破损、裂纹，无霉斑，灯光透视时，整个蛋呈桔黄色至橙红色，蛋黄不见或略见阴影，没有霉味、酸味，臭味等不良气味，打开后蛋黄凸起、完整、有韧性，蛋白澄清、透明、稀稠分明，无异味。</w:t>
            </w:r>
            <w:r>
              <w:rPr>
                <w:rFonts w:hint="eastAsia" w:ascii="宋体" w:hAnsi="宋体" w:cs="宋体"/>
                <w:color w:val="auto"/>
                <w:kern w:val="0"/>
                <w:szCs w:val="21"/>
              </w:rPr>
              <w:br w:type="textWrapping"/>
            </w:r>
            <w:r>
              <w:rPr>
                <w:rFonts w:hint="eastAsia" w:ascii="宋体" w:hAnsi="宋体" w:cs="宋体"/>
                <w:color w:val="auto"/>
                <w:kern w:val="0"/>
                <w:szCs w:val="21"/>
              </w:rPr>
              <w:t>6、符合鲜蛋卫生标准。</w:t>
            </w:r>
            <w:r>
              <w:rPr>
                <w:rFonts w:hint="eastAsia" w:ascii="宋体" w:hAnsi="宋体" w:cs="宋体"/>
                <w:color w:val="auto"/>
                <w:kern w:val="0"/>
                <w:szCs w:val="21"/>
              </w:rPr>
              <w:br w:type="textWrapping"/>
            </w:r>
            <w:r>
              <w:rPr>
                <w:rFonts w:hint="eastAsia" w:ascii="宋体" w:hAnsi="宋体" w:cs="宋体"/>
                <w:color w:val="auto"/>
                <w:kern w:val="0"/>
                <w:szCs w:val="21"/>
              </w:rPr>
              <w:t>7、规格：30个/板</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鹌鹑蛋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spacing w:after="220"/>
              <w:jc w:val="left"/>
              <w:textAlignment w:val="center"/>
              <w:rPr>
                <w:rFonts w:ascii="宋体" w:hAnsi="宋体" w:cs="宋体"/>
                <w:color w:val="auto"/>
                <w:szCs w:val="21"/>
              </w:rPr>
            </w:pPr>
            <w:r>
              <w:rPr>
                <w:rFonts w:hint="eastAsia" w:ascii="宋体" w:hAnsi="宋体" w:cs="宋体"/>
                <w:color w:val="auto"/>
                <w:kern w:val="0"/>
                <w:szCs w:val="21"/>
              </w:rPr>
              <w:br w:type="textWrapping"/>
            </w:r>
            <w:r>
              <w:rPr>
                <w:rFonts w:hint="eastAsia" w:ascii="宋体" w:hAnsi="宋体" w:cs="宋体"/>
                <w:color w:val="auto"/>
                <w:kern w:val="0"/>
                <w:szCs w:val="21"/>
              </w:rPr>
              <w:t>1、具有固有色泽和香味，无污染、色泽、气味、口味正常，无异味或霉味（霉变），无杂质异物，运输时外包装完整，无污损等。</w:t>
            </w:r>
            <w:r>
              <w:rPr>
                <w:rFonts w:hint="eastAsia" w:ascii="宋体" w:hAnsi="宋体" w:cs="宋体"/>
                <w:color w:val="auto"/>
                <w:kern w:val="0"/>
                <w:szCs w:val="21"/>
              </w:rPr>
              <w:br w:type="textWrapping"/>
            </w:r>
            <w:r>
              <w:rPr>
                <w:rFonts w:hint="eastAsia" w:ascii="宋体" w:hAnsi="宋体" w:cs="宋体"/>
                <w:color w:val="auto"/>
                <w:kern w:val="0"/>
                <w:szCs w:val="21"/>
              </w:rPr>
              <w:t>2、蛋壳清洁完整，色泽鲜明，大小均匀、无破损、裂纹，无霉斑，灯光透视时，整个蛋呈桔黄色至橙红色，蛋黄不见或略见阴影，没有霉味、酸味，臭味等不良气味，打开后蛋黄凸起、完整、有韧性，蛋白澄清、透明、稀稠分明，无异味。</w:t>
            </w:r>
            <w:r>
              <w:rPr>
                <w:rFonts w:hint="eastAsia" w:ascii="宋体" w:hAnsi="宋体" w:cs="宋体"/>
                <w:color w:val="auto"/>
                <w:kern w:val="0"/>
                <w:szCs w:val="21"/>
              </w:rPr>
              <w:br w:type="textWrapping"/>
            </w:r>
            <w:r>
              <w:rPr>
                <w:rFonts w:hint="eastAsia" w:ascii="宋体" w:hAnsi="宋体" w:cs="宋体"/>
                <w:color w:val="auto"/>
                <w:kern w:val="0"/>
                <w:szCs w:val="21"/>
              </w:rPr>
              <w:t>3、符合鲜蛋卫生标准。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咸蛋黄</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咸蛋</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红枣</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枸杞</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海带</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52</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笋干</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39.40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花生米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9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玉米淀粉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≥2500克/包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3、规格：≥2500克/包。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塔塔粉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≥50克/包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3、规格：≥50克/包。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1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糯米粉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≥25kg/袋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3、规格：≥25kg/袋。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5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莲蓉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面条</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≥1kg/把</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把</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3、规格：≥1kg/把。</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9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速食面</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3、规格：12桶/件。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54.13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大碗面</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≥4kg/件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3、规格：≥4kg/件。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1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酵母</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≥500g/包*20包/件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3、规格：≥500g/包*20包/件。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紫菜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≥50g/包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3、规格：≥50g/包。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粉丝</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≥4.5斤/扎，6扎/件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3、规格：≥4.5斤/扎，6扎/件。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红糖块</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黄砂糖</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辣椒粉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24.80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蛋糕油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≥3kg/桶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具有固有色泽和香味，无污染、色泽、气味、口味正常，无异味或霉味（霉变），无杂质异物，运输时外包装完整，无污损等。</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白糖</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≥50Kg/袋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具有固有色泽和香味，无污染、色泽、气味、口味正常，无异味或霉味（霉变），无杂质异物，运输时外包装完整，无污损等。</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310.00 </w:t>
            </w:r>
          </w:p>
        </w:tc>
      </w:tr>
      <w:tr>
        <w:tblPrEx>
          <w:tblLayout w:type="fixed"/>
          <w:tblCellMar>
            <w:top w:w="0" w:type="dxa"/>
            <w:left w:w="0" w:type="dxa"/>
            <w:bottom w:w="0" w:type="dxa"/>
            <w:right w:w="0" w:type="dxa"/>
          </w:tblCellMar>
        </w:tblPrEx>
        <w:trPr>
          <w:trHeight w:val="91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干木耳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沙姜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八角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81"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桂皮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草果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香叶</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花椒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茴香</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17.90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藕带</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鲜沙姜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泡打粉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≥50g/袋*20袋/包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3、规格：≥50g/袋*20袋/包。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榨菜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≥50g/袋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3、规格：≥50g/袋。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陈皮</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干腐竹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7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吉士粉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≥300g</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罐</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3、规格：≥300g/罐。</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面包糠</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≥500g/包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3、规格：≥500g/包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黄栀子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白芷</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黑芝麻</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白芝麻</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17.40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干辣椒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黄冰糖</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白冰糖</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88</w:t>
            </w:r>
          </w:p>
        </w:tc>
        <w:tc>
          <w:tcPr>
            <w:tcW w:w="1022"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干竹荪</w:t>
            </w:r>
          </w:p>
        </w:tc>
        <w:tc>
          <w:tcPr>
            <w:tcW w:w="630"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290.00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食用小苏打</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≥250g/包</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包</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3、规格：250g/包</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当归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127.40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党参</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7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锡纸</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≥10米/盒</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盒</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3、规格：≥10米/盒</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烧碱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3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94</w:t>
            </w:r>
          </w:p>
        </w:tc>
        <w:tc>
          <w:tcPr>
            <w:tcW w:w="1022"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瑶柱</w:t>
            </w:r>
          </w:p>
        </w:tc>
        <w:tc>
          <w:tcPr>
            <w:tcW w:w="630"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9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酥炸粉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≥500g/袋</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3、规格：≥500g/袋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干山楂</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23.40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木薯</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良姜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海苔</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蜜汁红枣</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芝士</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蜂蜜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砂仁</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3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芥末</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≥43克/支</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支</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3、规格：≥43克/支</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腰果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符合《中华人民共和国食品安全法》、《中华人民共和国农产品质量安全法》、《中华人民共和国食品安全法实施条例》等国家食品卫生标准及相关要求，确保饮食安全，严禁提供假冒伪劣产品和过期食品。</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龙脊辣椒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罗汉果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干白果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银耳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干百合</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桂圆肉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38.15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云耳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干黄花菜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center"/>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114</w:t>
            </w:r>
          </w:p>
        </w:tc>
        <w:tc>
          <w:tcPr>
            <w:tcW w:w="1022"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农家锅巴</w:t>
            </w:r>
          </w:p>
        </w:tc>
        <w:tc>
          <w:tcPr>
            <w:tcW w:w="630"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10个/件</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3、规格：10个/件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115</w:t>
            </w:r>
          </w:p>
        </w:tc>
        <w:tc>
          <w:tcPr>
            <w:tcW w:w="1022"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干虫草</w:t>
            </w:r>
          </w:p>
        </w:tc>
        <w:tc>
          <w:tcPr>
            <w:tcW w:w="630"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2</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spacing w:after="220"/>
              <w:jc w:val="left"/>
              <w:textAlignment w:val="top"/>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61.25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116</w:t>
            </w:r>
          </w:p>
        </w:tc>
        <w:tc>
          <w:tcPr>
            <w:tcW w:w="1022"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干香菇</w:t>
            </w:r>
          </w:p>
        </w:tc>
        <w:tc>
          <w:tcPr>
            <w:tcW w:w="630" w:type="dxa"/>
            <w:shd w:val="clear" w:color="auto" w:fill="auto"/>
            <w:tcMar>
              <w:top w:w="15" w:type="dxa"/>
              <w:left w:w="15" w:type="dxa"/>
              <w:right w:w="15" w:type="dxa"/>
            </w:tcMar>
            <w:vAlign w:val="center"/>
          </w:tcPr>
          <w:p>
            <w:pPr>
              <w:widowControl/>
              <w:jc w:val="center"/>
              <w:textAlignment w:val="top"/>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5"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黑胡椒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≥405g/罐</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罐</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3、规格：≥405g/罐</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绿豆</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spacing w:after="220"/>
              <w:jc w:val="left"/>
              <w:textAlignment w:val="top"/>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黄豆</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桶装豆瓣酱</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≥6kg/桶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3、规格：≥6kg/桶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（四）粮油类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序号</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标的名称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数量</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规格</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单位</w:t>
            </w:r>
          </w:p>
        </w:tc>
        <w:tc>
          <w:tcPr>
            <w:tcW w:w="482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技术要求</w:t>
            </w:r>
          </w:p>
        </w:tc>
        <w:tc>
          <w:tcPr>
            <w:tcW w:w="90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基准价（元）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25kg大米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280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≥25公斤/袋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1、质量达到或优于三级以上籼米，且达到国家标准GB/T 1354 2018。</w:t>
            </w:r>
            <w:r>
              <w:rPr>
                <w:rFonts w:hint="eastAsia" w:ascii="宋体" w:hAnsi="宋体" w:cs="宋体"/>
                <w:color w:val="auto"/>
                <w:kern w:val="0"/>
                <w:szCs w:val="21"/>
              </w:rPr>
              <w:br w:type="textWrapping"/>
            </w:r>
            <w:r>
              <w:rPr>
                <w:rFonts w:hint="eastAsia" w:ascii="宋体" w:hAnsi="宋体" w:cs="宋体"/>
                <w:color w:val="auto"/>
                <w:kern w:val="0"/>
                <w:szCs w:val="21"/>
              </w:rPr>
              <w:t>2、有“SC”标志，标明加工厂名称、品名、生产日期、保质期或保存期。</w:t>
            </w:r>
            <w:r>
              <w:rPr>
                <w:rFonts w:hint="eastAsia" w:ascii="宋体" w:hAnsi="宋体" w:cs="宋体"/>
                <w:color w:val="auto"/>
                <w:kern w:val="0"/>
                <w:szCs w:val="21"/>
              </w:rPr>
              <w:br w:type="textWrapping"/>
            </w:r>
            <w:r>
              <w:rPr>
                <w:rFonts w:hint="eastAsia" w:ascii="宋体" w:hAnsi="宋体" w:cs="宋体"/>
                <w:color w:val="auto"/>
                <w:kern w:val="0"/>
                <w:szCs w:val="21"/>
              </w:rPr>
              <w:t>3、供货时的剩余保质期不少于三分之二，质量等级、产品标准号等内容，具有产品合格证。</w:t>
            </w:r>
            <w:r>
              <w:rPr>
                <w:rFonts w:hint="eastAsia" w:ascii="宋体" w:hAnsi="宋体" w:cs="宋体"/>
                <w:color w:val="auto"/>
                <w:kern w:val="0"/>
                <w:szCs w:val="21"/>
              </w:rPr>
              <w:br w:type="textWrapping"/>
            </w:r>
            <w:r>
              <w:rPr>
                <w:rFonts w:hint="eastAsia" w:ascii="宋体" w:hAnsi="宋体" w:cs="宋体"/>
                <w:color w:val="auto"/>
                <w:kern w:val="0"/>
                <w:szCs w:val="21"/>
              </w:rPr>
              <w:t>4、具有固有色泽和香味，无污染、无虫害，色泽、气味、口味正常，无异味或霉味（霉变），无虫蛀结块挂丝或杂质异物等。</w:t>
            </w:r>
            <w:r>
              <w:rPr>
                <w:rFonts w:hint="eastAsia" w:ascii="宋体" w:hAnsi="宋体" w:cs="宋体"/>
                <w:color w:val="auto"/>
                <w:kern w:val="0"/>
                <w:szCs w:val="21"/>
              </w:rPr>
              <w:br w:type="textWrapping"/>
            </w:r>
            <w:r>
              <w:rPr>
                <w:rFonts w:hint="eastAsia" w:ascii="宋体" w:hAnsi="宋体" w:cs="宋体"/>
                <w:color w:val="auto"/>
                <w:kern w:val="0"/>
                <w:szCs w:val="21"/>
              </w:rPr>
              <w:t>5、不接受陈化粮。</w:t>
            </w:r>
            <w:r>
              <w:rPr>
                <w:rFonts w:hint="eastAsia" w:ascii="宋体" w:hAnsi="宋体" w:cs="宋体"/>
                <w:color w:val="auto"/>
                <w:kern w:val="0"/>
                <w:szCs w:val="21"/>
              </w:rPr>
              <w:br w:type="textWrapping"/>
            </w:r>
            <w:r>
              <w:rPr>
                <w:rFonts w:hint="eastAsia" w:ascii="宋体" w:hAnsi="宋体" w:cs="宋体"/>
                <w:color w:val="auto"/>
                <w:kern w:val="0"/>
                <w:szCs w:val="21"/>
              </w:rPr>
              <w:t>6、规格：≥25公斤/袋。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3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5kg大米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≥5公斤/袋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1、质量达到或优于三级以上籼米，且达到国家标准GB/T 1354 2018。</w:t>
            </w:r>
            <w:r>
              <w:rPr>
                <w:rFonts w:hint="eastAsia" w:ascii="宋体" w:hAnsi="宋体" w:cs="宋体"/>
                <w:color w:val="auto"/>
                <w:kern w:val="0"/>
                <w:szCs w:val="21"/>
              </w:rPr>
              <w:br w:type="textWrapping"/>
            </w:r>
            <w:r>
              <w:rPr>
                <w:rFonts w:hint="eastAsia" w:ascii="宋体" w:hAnsi="宋体" w:cs="宋体"/>
                <w:color w:val="auto"/>
                <w:kern w:val="0"/>
                <w:szCs w:val="21"/>
              </w:rPr>
              <w:t>2、有“SC”标志，标明加工厂名称、品名、生产日期、保质期或保存期。</w:t>
            </w:r>
            <w:r>
              <w:rPr>
                <w:rFonts w:hint="eastAsia" w:ascii="宋体" w:hAnsi="宋体" w:cs="宋体"/>
                <w:color w:val="auto"/>
                <w:kern w:val="0"/>
                <w:szCs w:val="21"/>
              </w:rPr>
              <w:br w:type="textWrapping"/>
            </w:r>
            <w:r>
              <w:rPr>
                <w:rFonts w:hint="eastAsia" w:ascii="宋体" w:hAnsi="宋体" w:cs="宋体"/>
                <w:color w:val="auto"/>
                <w:kern w:val="0"/>
                <w:szCs w:val="21"/>
              </w:rPr>
              <w:t>3、供货时的剩余保质期不少于三分之二，质量等级、产品标准号等内容，具有产品合格证。</w:t>
            </w:r>
            <w:r>
              <w:rPr>
                <w:rFonts w:hint="eastAsia" w:ascii="宋体" w:hAnsi="宋体" w:cs="宋体"/>
                <w:color w:val="auto"/>
                <w:kern w:val="0"/>
                <w:szCs w:val="21"/>
              </w:rPr>
              <w:br w:type="textWrapping"/>
            </w:r>
            <w:r>
              <w:rPr>
                <w:rFonts w:hint="eastAsia" w:ascii="宋体" w:hAnsi="宋体" w:cs="宋体"/>
                <w:color w:val="auto"/>
                <w:kern w:val="0"/>
                <w:szCs w:val="21"/>
              </w:rPr>
              <w:t>4、具有固有色泽和香味，无污染、无虫害，色泽、气味、口味正常，无异味或霉味（霉变），无虫蛀结块挂丝或杂质异物等。</w:t>
            </w:r>
            <w:r>
              <w:rPr>
                <w:rFonts w:hint="eastAsia" w:ascii="宋体" w:hAnsi="宋体" w:cs="宋体"/>
                <w:color w:val="auto"/>
                <w:kern w:val="0"/>
                <w:szCs w:val="21"/>
              </w:rPr>
              <w:br w:type="textWrapping"/>
            </w:r>
            <w:r>
              <w:rPr>
                <w:rFonts w:hint="eastAsia" w:ascii="宋体" w:hAnsi="宋体" w:cs="宋体"/>
                <w:color w:val="auto"/>
                <w:kern w:val="0"/>
                <w:szCs w:val="21"/>
              </w:rPr>
              <w:t>5、不接受陈化粮。</w:t>
            </w:r>
            <w:r>
              <w:rPr>
                <w:rFonts w:hint="eastAsia" w:ascii="宋体" w:hAnsi="宋体" w:cs="宋体"/>
                <w:color w:val="auto"/>
                <w:kern w:val="0"/>
                <w:szCs w:val="21"/>
              </w:rPr>
              <w:br w:type="textWrapping"/>
            </w:r>
            <w:r>
              <w:rPr>
                <w:rFonts w:hint="eastAsia" w:ascii="宋体" w:hAnsi="宋体" w:cs="宋体"/>
                <w:color w:val="auto"/>
                <w:kern w:val="0"/>
                <w:szCs w:val="21"/>
              </w:rPr>
              <w:t>6、规格：≥5公斤/袋。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7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五常大米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≥5公斤/袋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1、质量达到或优于三级以上籼米，且达到国家标准GB/T 1354 2018。</w:t>
            </w:r>
            <w:r>
              <w:rPr>
                <w:rFonts w:hint="eastAsia" w:ascii="宋体" w:hAnsi="宋体" w:cs="宋体"/>
                <w:color w:val="auto"/>
                <w:kern w:val="0"/>
                <w:szCs w:val="21"/>
              </w:rPr>
              <w:br w:type="textWrapping"/>
            </w:r>
            <w:r>
              <w:rPr>
                <w:rFonts w:hint="eastAsia" w:ascii="宋体" w:hAnsi="宋体" w:cs="宋体"/>
                <w:color w:val="auto"/>
                <w:kern w:val="0"/>
                <w:szCs w:val="21"/>
              </w:rPr>
              <w:t>2、有“SC”标志，标明加工厂名称、品名、生产日期、保质期或保存期。</w:t>
            </w:r>
            <w:r>
              <w:rPr>
                <w:rFonts w:hint="eastAsia" w:ascii="宋体" w:hAnsi="宋体" w:cs="宋体"/>
                <w:color w:val="auto"/>
                <w:kern w:val="0"/>
                <w:szCs w:val="21"/>
              </w:rPr>
              <w:br w:type="textWrapping"/>
            </w:r>
            <w:r>
              <w:rPr>
                <w:rFonts w:hint="eastAsia" w:ascii="宋体" w:hAnsi="宋体" w:cs="宋体"/>
                <w:color w:val="auto"/>
                <w:kern w:val="0"/>
                <w:szCs w:val="21"/>
              </w:rPr>
              <w:t>3、供货时的剩余保质期不少于三分之二，质量等级、产品标准号等内容，具有产品合格证。</w:t>
            </w:r>
            <w:r>
              <w:rPr>
                <w:rFonts w:hint="eastAsia" w:ascii="宋体" w:hAnsi="宋体" w:cs="宋体"/>
                <w:color w:val="auto"/>
                <w:kern w:val="0"/>
                <w:szCs w:val="21"/>
              </w:rPr>
              <w:br w:type="textWrapping"/>
            </w:r>
            <w:r>
              <w:rPr>
                <w:rFonts w:hint="eastAsia" w:ascii="宋体" w:hAnsi="宋体" w:cs="宋体"/>
                <w:color w:val="auto"/>
                <w:kern w:val="0"/>
                <w:szCs w:val="21"/>
              </w:rPr>
              <w:t>4、具有固有色泽和香味，无污染、无虫害，色泽、气味、口味正常，无异味或霉味（霉变），无虫蛀结块挂丝或杂质异物等。</w:t>
            </w:r>
            <w:r>
              <w:rPr>
                <w:rFonts w:hint="eastAsia" w:ascii="宋体" w:hAnsi="宋体" w:cs="宋体"/>
                <w:color w:val="auto"/>
                <w:kern w:val="0"/>
                <w:szCs w:val="21"/>
              </w:rPr>
              <w:br w:type="textWrapping"/>
            </w:r>
            <w:r>
              <w:rPr>
                <w:rFonts w:hint="eastAsia" w:ascii="宋体" w:hAnsi="宋体" w:cs="宋体"/>
                <w:color w:val="auto"/>
                <w:kern w:val="0"/>
                <w:szCs w:val="21"/>
              </w:rPr>
              <w:t>5、不接受陈化粮。</w:t>
            </w:r>
            <w:r>
              <w:rPr>
                <w:rFonts w:hint="eastAsia" w:ascii="宋体" w:hAnsi="宋体" w:cs="宋体"/>
                <w:color w:val="auto"/>
                <w:kern w:val="0"/>
                <w:szCs w:val="21"/>
              </w:rPr>
              <w:br w:type="textWrapping"/>
            </w:r>
            <w:r>
              <w:rPr>
                <w:rFonts w:hint="eastAsia" w:ascii="宋体" w:hAnsi="宋体" w:cs="宋体"/>
                <w:color w:val="auto"/>
                <w:kern w:val="0"/>
                <w:szCs w:val="21"/>
              </w:rPr>
              <w:t>6、规格：≥5公斤/袋。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小米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1、质量达到国家标准GB/T 11766</w:t>
            </w:r>
            <w:r>
              <w:rPr>
                <w:rFonts w:hint="eastAsia" w:ascii="宋体" w:hAnsi="宋体" w:cs="宋体"/>
                <w:color w:val="auto"/>
                <w:kern w:val="0"/>
                <w:szCs w:val="21"/>
              </w:rPr>
              <w:noBreakHyphen/>
            </w:r>
            <w:r>
              <w:rPr>
                <w:rFonts w:hint="eastAsia" w:ascii="宋体" w:hAnsi="宋体" w:cs="宋体"/>
                <w:color w:val="auto"/>
                <w:kern w:val="0"/>
                <w:szCs w:val="21"/>
              </w:rPr>
              <w:t>2024《小米》。</w:t>
            </w:r>
            <w:r>
              <w:rPr>
                <w:rFonts w:hint="eastAsia" w:ascii="宋体" w:hAnsi="宋体" w:cs="宋体"/>
                <w:color w:val="auto"/>
                <w:kern w:val="0"/>
                <w:szCs w:val="21"/>
              </w:rPr>
              <w:br w:type="textWrapping"/>
            </w:r>
            <w:r>
              <w:rPr>
                <w:rFonts w:hint="eastAsia" w:ascii="宋体" w:hAnsi="宋体" w:cs="宋体"/>
                <w:color w:val="auto"/>
                <w:kern w:val="0"/>
                <w:szCs w:val="21"/>
              </w:rPr>
              <w:t>2、有“SC”标志，标明加工厂名称、品名、生产日期、保质期或保存期。</w:t>
            </w:r>
            <w:r>
              <w:rPr>
                <w:rFonts w:hint="eastAsia" w:ascii="宋体" w:hAnsi="宋体" w:cs="宋体"/>
                <w:color w:val="auto"/>
                <w:kern w:val="0"/>
                <w:szCs w:val="21"/>
              </w:rPr>
              <w:br w:type="textWrapping"/>
            </w:r>
            <w:r>
              <w:rPr>
                <w:rFonts w:hint="eastAsia" w:ascii="宋体" w:hAnsi="宋体" w:cs="宋体"/>
                <w:color w:val="auto"/>
                <w:kern w:val="0"/>
                <w:szCs w:val="21"/>
              </w:rPr>
              <w:t>3、供货时的剩余保质期不少于三分之二，质量等级、产品标准号等内容，具有产品合格证。</w:t>
            </w:r>
            <w:r>
              <w:rPr>
                <w:rFonts w:hint="eastAsia" w:ascii="宋体" w:hAnsi="宋体" w:cs="宋体"/>
                <w:color w:val="auto"/>
                <w:kern w:val="0"/>
                <w:szCs w:val="21"/>
              </w:rPr>
              <w:br w:type="textWrapping"/>
            </w:r>
            <w:r>
              <w:rPr>
                <w:rFonts w:hint="eastAsia" w:ascii="宋体" w:hAnsi="宋体" w:cs="宋体"/>
                <w:color w:val="auto"/>
                <w:kern w:val="0"/>
                <w:szCs w:val="21"/>
              </w:rPr>
              <w:t>4、具有固有色泽和香味，无污染、无虫害，色泽、气味、口味正常，无异味或霉味（霉变），无虫蛀结块挂丝或杂质异物等。</w:t>
            </w:r>
            <w:r>
              <w:rPr>
                <w:rFonts w:hint="eastAsia" w:ascii="宋体" w:hAnsi="宋体" w:cs="宋体"/>
                <w:color w:val="auto"/>
                <w:kern w:val="0"/>
                <w:szCs w:val="21"/>
              </w:rPr>
              <w:br w:type="textWrapping"/>
            </w:r>
            <w:r>
              <w:rPr>
                <w:rFonts w:hint="eastAsia" w:ascii="宋体" w:hAnsi="宋体" w:cs="宋体"/>
                <w:color w:val="auto"/>
                <w:kern w:val="0"/>
                <w:szCs w:val="21"/>
              </w:rPr>
              <w:t>5、不接受陈化粮。</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黑米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八宝粥米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糯米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8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花生油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≥5L*4</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1、产品必须符合国家最新相关质量标准规定，外包装完好，有SC标志，标明品名、厂名、重量、生产日期、保质期或保存期、执行标准，供货时剩余保质期不少于三分之二，具有产品合格证。</w:t>
            </w:r>
            <w:r>
              <w:rPr>
                <w:rFonts w:hint="eastAsia" w:ascii="宋体" w:hAnsi="宋体" w:cs="宋体"/>
                <w:color w:val="auto"/>
                <w:kern w:val="0"/>
                <w:szCs w:val="21"/>
              </w:rPr>
              <w:br w:type="textWrapping"/>
            </w:r>
            <w:r>
              <w:rPr>
                <w:rFonts w:hint="eastAsia" w:ascii="宋体" w:hAnsi="宋体" w:cs="宋体"/>
                <w:color w:val="auto"/>
                <w:kern w:val="0"/>
                <w:szCs w:val="21"/>
              </w:rPr>
              <w:t>2、具有正常植物油的色泽、透明度、气味和滋味，无焦臭、酸败及其他异味。原材料为非转基因。</w:t>
            </w:r>
            <w:r>
              <w:rPr>
                <w:rFonts w:hint="eastAsia" w:ascii="宋体" w:hAnsi="宋体" w:cs="宋体"/>
                <w:color w:val="auto"/>
                <w:kern w:val="0"/>
                <w:szCs w:val="21"/>
              </w:rPr>
              <w:br w:type="textWrapping"/>
            </w:r>
            <w:r>
              <w:rPr>
                <w:rFonts w:hint="eastAsia" w:ascii="宋体" w:hAnsi="宋体" w:cs="宋体"/>
                <w:color w:val="auto"/>
                <w:kern w:val="0"/>
                <w:szCs w:val="21"/>
              </w:rPr>
              <w:t>3、规格：≥5L*4/件。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568.00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4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花生油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≥5L</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1、产品必须符合国家最新相关质量标准规定，外包装完好，有SC标志，标明品名、厂名、重量、生产日期、保质期或保存期、执行标准，供货时剩余保质期不少于三分之二，具有产品合格证。</w:t>
            </w:r>
            <w:r>
              <w:rPr>
                <w:rFonts w:hint="eastAsia" w:ascii="宋体" w:hAnsi="宋体" w:cs="宋体"/>
                <w:color w:val="auto"/>
                <w:kern w:val="0"/>
                <w:szCs w:val="21"/>
              </w:rPr>
              <w:br w:type="textWrapping"/>
            </w:r>
            <w:r>
              <w:rPr>
                <w:rFonts w:hint="eastAsia" w:ascii="宋体" w:hAnsi="宋体" w:cs="宋体"/>
                <w:color w:val="auto"/>
                <w:kern w:val="0"/>
                <w:szCs w:val="21"/>
              </w:rPr>
              <w:t>2、具有正常植物油的色泽、透明度、气味和滋味，无焦臭、酸败及其他异味。原材料为非转基因。</w:t>
            </w:r>
            <w:r>
              <w:rPr>
                <w:rFonts w:hint="eastAsia" w:ascii="宋体" w:hAnsi="宋体" w:cs="宋体"/>
                <w:color w:val="auto"/>
                <w:kern w:val="0"/>
                <w:szCs w:val="21"/>
              </w:rPr>
              <w:br w:type="textWrapping"/>
            </w:r>
            <w:r>
              <w:rPr>
                <w:rFonts w:hint="eastAsia" w:ascii="宋体" w:hAnsi="宋体" w:cs="宋体"/>
                <w:color w:val="auto"/>
                <w:kern w:val="0"/>
                <w:szCs w:val="21"/>
              </w:rPr>
              <w:t>3、规格：≥5L/桶。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4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调和油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≥20L/桶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1.产品必须符合GB/T 40851</w:t>
            </w:r>
            <w:r>
              <w:rPr>
                <w:rFonts w:hint="eastAsia" w:ascii="宋体" w:hAnsi="宋体" w:cs="宋体"/>
                <w:color w:val="auto"/>
                <w:kern w:val="0"/>
                <w:szCs w:val="21"/>
              </w:rPr>
              <w:noBreakHyphen/>
            </w:r>
            <w:r>
              <w:rPr>
                <w:rFonts w:hint="eastAsia" w:ascii="宋体" w:hAnsi="宋体" w:cs="宋体"/>
                <w:color w:val="auto"/>
                <w:kern w:val="0"/>
                <w:szCs w:val="21"/>
              </w:rPr>
              <w:t>2021，外包装完好，有SC标志，标明品名、厂名、重量、生产日期、保质期或保存期、执行标准，供货时剩余保质期不少于三分之二，具有产品合格证。</w:t>
            </w:r>
            <w:r>
              <w:rPr>
                <w:rFonts w:hint="eastAsia" w:ascii="宋体" w:hAnsi="宋体" w:cs="宋体"/>
                <w:color w:val="auto"/>
                <w:kern w:val="0"/>
                <w:szCs w:val="21"/>
              </w:rPr>
              <w:br w:type="textWrapping"/>
            </w:r>
            <w:r>
              <w:rPr>
                <w:rFonts w:hint="eastAsia" w:ascii="宋体" w:hAnsi="宋体" w:cs="宋体"/>
                <w:color w:val="auto"/>
                <w:kern w:val="0"/>
                <w:szCs w:val="21"/>
              </w:rPr>
              <w:t>2.具有正常植物油的色泽、透明度、气味和滋味，无焦臭、酸败及其他异味。原材料为非转基因。</w:t>
            </w:r>
            <w:r>
              <w:rPr>
                <w:rFonts w:hint="eastAsia" w:ascii="宋体" w:hAnsi="宋体" w:cs="宋体"/>
                <w:color w:val="auto"/>
                <w:kern w:val="0"/>
                <w:szCs w:val="21"/>
              </w:rPr>
              <w:br w:type="textWrapping"/>
            </w:r>
            <w:r>
              <w:rPr>
                <w:rFonts w:hint="eastAsia" w:ascii="宋体" w:hAnsi="宋体" w:cs="宋体"/>
                <w:color w:val="auto"/>
                <w:kern w:val="0"/>
                <w:szCs w:val="21"/>
              </w:rPr>
              <w:t>3、规格：≥20L/桶。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8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大豆油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≥20L/桶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1.产品必须符合 GB/T 1535</w:t>
            </w:r>
            <w:r>
              <w:rPr>
                <w:rFonts w:hint="eastAsia" w:ascii="宋体" w:hAnsi="宋体" w:cs="宋体"/>
                <w:color w:val="auto"/>
                <w:kern w:val="0"/>
                <w:szCs w:val="21"/>
              </w:rPr>
              <w:noBreakHyphen/>
            </w:r>
            <w:r>
              <w:rPr>
                <w:rFonts w:hint="eastAsia" w:ascii="宋体" w:hAnsi="宋体" w:cs="宋体"/>
                <w:color w:val="auto"/>
                <w:kern w:val="0"/>
                <w:szCs w:val="21"/>
              </w:rPr>
              <w:t>2026，外包装完好，有SC标志，标明品名、厂名、重量、生产日期、保质期或保存期、执行标准，供货时剩余保质期不少于三分之二，具有产品合格证。</w:t>
            </w:r>
            <w:r>
              <w:rPr>
                <w:rFonts w:hint="eastAsia" w:ascii="宋体" w:hAnsi="宋体" w:cs="宋体"/>
                <w:color w:val="auto"/>
                <w:kern w:val="0"/>
                <w:szCs w:val="21"/>
              </w:rPr>
              <w:br w:type="textWrapping"/>
            </w:r>
            <w:r>
              <w:rPr>
                <w:rFonts w:hint="eastAsia" w:ascii="宋体" w:hAnsi="宋体" w:cs="宋体"/>
                <w:color w:val="auto"/>
                <w:kern w:val="0"/>
                <w:szCs w:val="21"/>
              </w:rPr>
              <w:t>2.具有正常植物油的色泽、透明度、气味和滋味，无焦臭、酸败及其他异味。原材料为非转基因。</w:t>
            </w:r>
            <w:r>
              <w:rPr>
                <w:rFonts w:hint="eastAsia" w:ascii="宋体" w:hAnsi="宋体" w:cs="宋体"/>
                <w:color w:val="auto"/>
                <w:kern w:val="0"/>
                <w:szCs w:val="21"/>
              </w:rPr>
              <w:br w:type="textWrapping"/>
            </w:r>
            <w:r>
              <w:rPr>
                <w:rFonts w:hint="eastAsia" w:ascii="宋体" w:hAnsi="宋体" w:cs="宋体"/>
                <w:color w:val="auto"/>
                <w:kern w:val="0"/>
                <w:szCs w:val="21"/>
              </w:rPr>
              <w:t>3、规格：≥20L/桶。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4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菜籽油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≥5L</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1.产品必须符合GB/T 1536</w:t>
            </w:r>
            <w:r>
              <w:rPr>
                <w:rFonts w:hint="eastAsia" w:ascii="宋体" w:hAnsi="宋体" w:cs="宋体"/>
                <w:color w:val="auto"/>
                <w:kern w:val="0"/>
                <w:szCs w:val="21"/>
              </w:rPr>
              <w:noBreakHyphen/>
            </w:r>
            <w:r>
              <w:rPr>
                <w:rFonts w:hint="eastAsia" w:ascii="宋体" w:hAnsi="宋体" w:cs="宋体"/>
                <w:color w:val="auto"/>
                <w:kern w:val="0"/>
                <w:szCs w:val="21"/>
              </w:rPr>
              <w:t>2021，外包装完好，有SC标志，标明品名、厂名、重量、生产日期、保质期或保存期、执行标准，供货时剩余保质期不少于三分之二，具有产品合格证。</w:t>
            </w:r>
            <w:r>
              <w:rPr>
                <w:rFonts w:hint="eastAsia" w:ascii="宋体" w:hAnsi="宋体" w:cs="宋体"/>
                <w:color w:val="auto"/>
                <w:kern w:val="0"/>
                <w:szCs w:val="21"/>
              </w:rPr>
              <w:br w:type="textWrapping"/>
            </w:r>
            <w:r>
              <w:rPr>
                <w:rFonts w:hint="eastAsia" w:ascii="宋体" w:hAnsi="宋体" w:cs="宋体"/>
                <w:color w:val="auto"/>
                <w:kern w:val="0"/>
                <w:szCs w:val="21"/>
              </w:rPr>
              <w:t>2.具有正常植物油的色泽、透明度、气味和滋味，无焦臭、酸败及其他异味。原材料为非转基因。</w:t>
            </w:r>
            <w:r>
              <w:rPr>
                <w:rFonts w:hint="eastAsia" w:ascii="宋体" w:hAnsi="宋体" w:cs="宋体"/>
                <w:color w:val="auto"/>
                <w:kern w:val="0"/>
                <w:szCs w:val="21"/>
              </w:rPr>
              <w:br w:type="textWrapping"/>
            </w:r>
            <w:r>
              <w:rPr>
                <w:rFonts w:hint="eastAsia" w:ascii="宋体" w:hAnsi="宋体" w:cs="宋体"/>
                <w:color w:val="auto"/>
                <w:kern w:val="0"/>
                <w:szCs w:val="21"/>
              </w:rPr>
              <w:t>3、规格：≥5L/桶。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面粉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≥25kg/袋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1、呈白色或微黄色，没有麸皮等杂质，无任何增白剂，无异味无霉变，手握无粗粒感，具有正常的香气味；入口淡而微甜，无异味，细度高。</w:t>
            </w:r>
            <w:r>
              <w:rPr>
                <w:rFonts w:hint="eastAsia" w:ascii="宋体" w:hAnsi="宋体" w:cs="宋体"/>
                <w:color w:val="auto"/>
                <w:kern w:val="0"/>
                <w:szCs w:val="21"/>
              </w:rPr>
              <w:br w:type="textWrapping"/>
            </w:r>
            <w:r>
              <w:rPr>
                <w:rFonts w:hint="eastAsia" w:ascii="宋体" w:hAnsi="宋体" w:cs="宋体"/>
                <w:color w:val="auto"/>
                <w:kern w:val="0"/>
                <w:szCs w:val="21"/>
              </w:rPr>
              <w:t>2、规格：≥25kg/袋。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低筋面粉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≥5斤/袋（蛋糕专用粉）</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1、呈白色或微黄色，没有麸皮等杂质，无任何增白剂，无异味无霉变，手握无粗粒感，具有正常的香气味；入口淡而微甜，无异味，细度高。</w:t>
            </w:r>
            <w:r>
              <w:rPr>
                <w:rFonts w:hint="eastAsia" w:ascii="宋体" w:hAnsi="宋体" w:cs="宋体"/>
                <w:color w:val="auto"/>
                <w:kern w:val="0"/>
                <w:szCs w:val="21"/>
              </w:rPr>
              <w:br w:type="textWrapping"/>
            </w:r>
            <w:r>
              <w:rPr>
                <w:rFonts w:hint="eastAsia" w:ascii="宋体" w:hAnsi="宋体" w:cs="宋体"/>
                <w:color w:val="auto"/>
                <w:kern w:val="0"/>
                <w:szCs w:val="21"/>
              </w:rPr>
              <w:t>2、规格：≥5斤/袋。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面包粉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spacing w:after="220"/>
              <w:jc w:val="left"/>
              <w:textAlignment w:val="center"/>
              <w:rPr>
                <w:rFonts w:ascii="宋体" w:hAnsi="宋体" w:cs="宋体"/>
                <w:color w:val="auto"/>
                <w:szCs w:val="21"/>
              </w:rPr>
            </w:pPr>
            <w:r>
              <w:rPr>
                <w:rFonts w:hint="eastAsia" w:ascii="宋体" w:hAnsi="宋体" w:cs="宋体"/>
                <w:color w:val="auto"/>
                <w:kern w:val="0"/>
                <w:szCs w:val="21"/>
              </w:rPr>
              <w:t>呈白色或微黄色，没有麸皮等杂质，无任何增白剂，无异味无霉变，手握无粗粒感，具有正常的香气味；入口淡而微甜，无异味，细度高。</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0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螺蛳粉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≥330g/包*5包/件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2、包装要求：全部按标准规格</w:t>
            </w:r>
            <w:r>
              <w:rPr>
                <w:rFonts w:hint="eastAsia" w:ascii="宋体" w:hAnsi="宋体" w:cs="宋体"/>
                <w:color w:val="auto"/>
                <w:kern w:val="0"/>
                <w:szCs w:val="21"/>
              </w:rPr>
              <w:br w:type="textWrapping"/>
            </w:r>
            <w:r>
              <w:rPr>
                <w:rFonts w:hint="eastAsia" w:ascii="宋体" w:hAnsi="宋体" w:cs="宋体"/>
                <w:color w:val="auto"/>
                <w:kern w:val="0"/>
                <w:szCs w:val="21"/>
              </w:rPr>
              <w:t>包装。</w:t>
            </w:r>
            <w:r>
              <w:rPr>
                <w:rFonts w:hint="eastAsia" w:ascii="宋体" w:hAnsi="宋体" w:cs="宋体"/>
                <w:color w:val="auto"/>
                <w:kern w:val="0"/>
                <w:szCs w:val="21"/>
              </w:rPr>
              <w:br w:type="textWrapping"/>
            </w:r>
            <w:r>
              <w:rPr>
                <w:rFonts w:hint="eastAsia" w:ascii="宋体" w:hAnsi="宋体" w:cs="宋体"/>
                <w:color w:val="auto"/>
                <w:kern w:val="0"/>
                <w:szCs w:val="21"/>
              </w:rPr>
              <w:t>3、标明加工厂名称、品名、生产日期、保质期或保存期，供货时的剩余保质期不少于三分之二，产品标准号等内容。</w:t>
            </w:r>
            <w:r>
              <w:rPr>
                <w:rFonts w:hint="eastAsia" w:ascii="宋体" w:hAnsi="宋体" w:cs="宋体"/>
                <w:color w:val="auto"/>
                <w:kern w:val="0"/>
                <w:szCs w:val="21"/>
              </w:rPr>
              <w:br w:type="textWrapping"/>
            </w:r>
            <w:r>
              <w:rPr>
                <w:rFonts w:hint="eastAsia" w:ascii="宋体" w:hAnsi="宋体" w:cs="宋体"/>
                <w:color w:val="auto"/>
                <w:kern w:val="0"/>
                <w:szCs w:val="21"/>
              </w:rPr>
              <w:t>4、规格：≥330g/包*5包/件。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（五）杂物类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序号</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标的名称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数量</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规格</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单位</w:t>
            </w:r>
          </w:p>
        </w:tc>
        <w:tc>
          <w:tcPr>
            <w:tcW w:w="4827" w:type="dxa"/>
            <w:shd w:val="clear" w:color="auto" w:fill="auto"/>
            <w:tcMar>
              <w:top w:w="15" w:type="dxa"/>
              <w:left w:w="15" w:type="dxa"/>
              <w:right w:w="15" w:type="dxa"/>
            </w:tcMar>
            <w:vAlign w:val="center"/>
          </w:tcPr>
          <w:p>
            <w:pPr>
              <w:jc w:val="center"/>
              <w:rPr>
                <w:rFonts w:ascii="宋体" w:hAnsi="宋体" w:cs="宋体"/>
                <w:b/>
                <w:bCs/>
                <w:color w:val="auto"/>
                <w:szCs w:val="21"/>
              </w:rPr>
            </w:pPr>
            <w:r>
              <w:rPr>
                <w:rFonts w:hint="eastAsia" w:ascii="宋体" w:hAnsi="宋体" w:cs="宋体"/>
                <w:b/>
                <w:bCs/>
                <w:color w:val="auto"/>
                <w:szCs w:val="21"/>
              </w:rPr>
              <w:t>技术要求</w:t>
            </w:r>
          </w:p>
        </w:tc>
        <w:tc>
          <w:tcPr>
            <w:tcW w:w="90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基准价（元）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4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一次性桌布</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≥200*200cm  10张/袋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2、规格：≥200*200cm</w:t>
            </w:r>
            <w:r>
              <w:rPr>
                <w:rFonts w:hint="eastAsia" w:ascii="宋体" w:hAnsi="宋体" w:cs="宋体"/>
                <w:color w:val="auto"/>
                <w:kern w:val="0"/>
                <w:szCs w:val="21"/>
              </w:rPr>
              <w:br w:type="textWrapping"/>
            </w:r>
            <w:r>
              <w:rPr>
                <w:rFonts w:hint="eastAsia" w:ascii="宋体" w:hAnsi="宋体" w:cs="宋体"/>
                <w:color w:val="auto"/>
                <w:kern w:val="0"/>
                <w:szCs w:val="21"/>
              </w:rPr>
              <w:t>3、10张/袋。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4"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钢丝球</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1*1个/袋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2、规格：1*1个/袋。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牙签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12包/袋</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袋</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2、规格：12包/袋。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洗洁精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≥1千克/瓶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2、规格：≥1千克/瓶。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4"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洗洁精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≥2.5千克/瓶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2、规格：≥2.5千克/瓶。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洗洁精</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≥5千克/桶，4桶/件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2、规格：≥5千克/桶，4桶/件。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17袋子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≥17#60个/扎</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扎</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2、规格：≥17# 60个/扎。</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22袋子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≥22#30个/扎</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扎</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2、规格：≥22# 30个/扎。</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30袋子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≥30#40个/扎</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扎</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2、规格：≥30# 40个/扎。</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23"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洗衣粉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≥508g/包*12包/件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2、规格：≥508g/包*12包/件。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54.00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抽纸</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≥120抽8包/提*10提/件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2、规格：≥120抽8包/提*10提/件。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04"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食品级爆炸盐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钢丝抹布</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张</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4"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五格环保餐盒（带盖））</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≥25*4.4*19cm个*200个/件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3、规格：≥25*4.4*19cm个*200个/件。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195.00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一次性筷子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20双/包*100包/件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Style w:val="70"/>
                <w:rFonts w:hint="default"/>
                <w:color w:val="auto"/>
                <w:sz w:val="21"/>
                <w:szCs w:val="21"/>
              </w:rPr>
              <w:t>1、符合国家相关质量标准要求。</w:t>
            </w:r>
            <w:r>
              <w:rPr>
                <w:rStyle w:val="70"/>
                <w:rFonts w:hint="default"/>
                <w:color w:val="auto"/>
                <w:sz w:val="21"/>
                <w:szCs w:val="21"/>
              </w:rPr>
              <w:br w:type="textWrapping"/>
            </w:r>
            <w:r>
              <w:rPr>
                <w:rStyle w:val="70"/>
                <w:rFonts w:hint="default"/>
                <w:color w:val="auto"/>
                <w:sz w:val="21"/>
                <w:szCs w:val="21"/>
              </w:rPr>
              <w:t>2、规格：20双/包*100包/件。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一次性手套</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72盒/件*100只/盒</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2、规格：72盒/件*100只/盒。</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250.00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7"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一次性豆浆杯</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 ≥340ml*1000套</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1、符合国家相关质量标准要求。</w:t>
            </w:r>
            <w:r>
              <w:rPr>
                <w:rFonts w:hint="eastAsia" w:ascii="宋体" w:hAnsi="宋体" w:cs="宋体"/>
                <w:color w:val="auto"/>
                <w:kern w:val="0"/>
                <w:szCs w:val="21"/>
              </w:rPr>
              <w:br w:type="textWrapping"/>
            </w:r>
            <w:r>
              <w:rPr>
                <w:rFonts w:hint="eastAsia" w:ascii="宋体" w:hAnsi="宋体" w:cs="宋体"/>
                <w:color w:val="auto"/>
                <w:kern w:val="0"/>
                <w:szCs w:val="21"/>
              </w:rPr>
              <w:t>2、规格：≥340ml*1000套</w:t>
            </w:r>
            <w:r>
              <w:rPr>
                <w:rFonts w:hint="eastAsia" w:ascii="宋体" w:hAnsi="宋体" w:cs="宋体"/>
                <w:color w:val="auto"/>
                <w:kern w:val="0"/>
                <w:szCs w:val="21"/>
              </w:rPr>
              <w:br w:type="textWrapping"/>
            </w:r>
            <w:r>
              <w:rPr>
                <w:rFonts w:hint="eastAsia" w:ascii="宋体" w:hAnsi="宋体" w:cs="宋体"/>
                <w:color w:val="auto"/>
                <w:kern w:val="0"/>
                <w:szCs w:val="21"/>
              </w:rPr>
              <w:t>3、现磨杯+盖+吸管+袋。</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186.25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52"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环保餐盒</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≥750ml/个*288个/件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1、质量符合国家食品卫生标准。</w:t>
            </w:r>
            <w:r>
              <w:rPr>
                <w:rFonts w:hint="eastAsia" w:ascii="宋体" w:hAnsi="宋体" w:cs="宋体"/>
                <w:color w:val="auto"/>
                <w:kern w:val="0"/>
                <w:szCs w:val="21"/>
              </w:rPr>
              <w:br w:type="textWrapping"/>
            </w:r>
            <w:r>
              <w:rPr>
                <w:rFonts w:hint="eastAsia" w:ascii="宋体" w:hAnsi="宋体" w:cs="宋体"/>
                <w:color w:val="auto"/>
                <w:kern w:val="0"/>
                <w:szCs w:val="21"/>
              </w:rPr>
              <w:t>2、品质良好，外包装上必须注明商品名称，净含量，生产企业名称，地址，生产日期，保质期。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3、规格：≥750ml/个*288个/件。</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87.00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（六）水果类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0"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序号</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标的名称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数量</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规格</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单位</w:t>
            </w:r>
          </w:p>
        </w:tc>
        <w:tc>
          <w:tcPr>
            <w:tcW w:w="4827" w:type="dxa"/>
            <w:shd w:val="clear" w:color="auto" w:fill="auto"/>
            <w:tcMar>
              <w:top w:w="15" w:type="dxa"/>
              <w:left w:w="15" w:type="dxa"/>
              <w:right w:w="15" w:type="dxa"/>
            </w:tcMar>
            <w:vAlign w:val="center"/>
          </w:tcPr>
          <w:p>
            <w:pPr>
              <w:jc w:val="center"/>
              <w:rPr>
                <w:rFonts w:ascii="宋体" w:hAnsi="宋体" w:cs="宋体"/>
                <w:b/>
                <w:bCs/>
                <w:color w:val="auto"/>
                <w:szCs w:val="21"/>
              </w:rPr>
            </w:pPr>
            <w:r>
              <w:rPr>
                <w:rFonts w:hint="eastAsia" w:ascii="宋体" w:hAnsi="宋体" w:cs="宋体"/>
                <w:b/>
                <w:bCs/>
                <w:color w:val="auto"/>
                <w:szCs w:val="21"/>
              </w:rPr>
              <w:t>技术要求</w:t>
            </w:r>
          </w:p>
        </w:tc>
        <w:tc>
          <w:tcPr>
            <w:tcW w:w="90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基准价（元）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11"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香蕉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成熟度八成以上，果实丰满，肥壮，果型端正，单果香蕉体弯曲排列成梳状，梳柄完整，无缺只和脱落现象，体形大而均匀，色泽新鲜光亮果皮呈鲜黄或青黄色，无病斑，无虫疤，无霉菌，无创伤，果肉柔软糯滑，香甜适口无怪味，无软烂等。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3.29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13"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苹果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果型为90果，色泽均匀而鲜艳，表面洁净，光亮，具有各自品种固有的清香味，肉质香甜，鲜脆，味美可口，大小均匀，无病虫害无外伤。农残检测达到国家标准。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7.75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65"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雪梨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颜色浅黄白，表皮光滑，有细小果点，果体饱满微软，有晶莹之感，果形整齐均匀，无挤压痕，无机械损伤。农残检测达到国家标准。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6"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橙子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果形端正，橙红色或橙色，色泽均匀，无日灼斑。农残检测达到国家标准。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43"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菠萝</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果实大小均匀适中，果形端正，芽眼数量少，外皮呈淡黄色或亮黄色，两端略带青绿色，上顶的冠芽呈青褐色，内部呈淡黄色，组织致密，果肉厚而果心细小，且纤维少，汁多味美等。农残检测达到国家标准。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79"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青枣</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果实珠圆玉润，果皮完整且光滑的，无明显斑点、破损，大小适中，颜色青中带黄，色泽水灵，气味香甜等。农残检测达到国家标准。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4"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柑橘</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颜色金黄、金红、橙黄色、有光泽、扁圆形，表皮油点颗粒细小、结构松软。皮薄、皮肉结合不紧密、容易剥落，水分充足，汁多，口味酸甜。</w:t>
            </w:r>
            <w:r>
              <w:rPr>
                <w:rFonts w:hint="eastAsia" w:ascii="宋体" w:hAnsi="宋体" w:cs="宋体"/>
                <w:color w:val="auto"/>
                <w:kern w:val="0"/>
                <w:szCs w:val="21"/>
              </w:rPr>
              <w:br w:type="textWrapping"/>
            </w:r>
            <w:r>
              <w:rPr>
                <w:rFonts w:hint="eastAsia" w:ascii="宋体" w:hAnsi="宋体" w:cs="宋体"/>
                <w:color w:val="auto"/>
                <w:kern w:val="0"/>
                <w:szCs w:val="21"/>
              </w:rPr>
              <w:t>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9"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沙糖橘</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沃柑</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79"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西瓜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颜色墨绿、淡绿、白绿、或浓绿，形状周正，瓜无蒂，瓜脐小，瓜身坚实，瓜皮较薄，水分充足，汁多，肉脆爽，味道甜美。农残检测达到国家标准。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圣女果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果实呈圆形，果皮火红色、橙黄色、皮薄肉厚，口感酸甜。农残检测达到国家标准。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千禧</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果实呈圆形，果皮火红色、橙黄色、皮薄肉厚，口感酸甜。农残检测达到国家标准。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5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桃子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颜色鲜艳、黄底红晕，表面有细小绒毛，形状呈圆形，果体微软，果肉柔嫩，味甜，内核分离，有桃的芳香。农残检测达到国家标准。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65"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火龙果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颜色鲜红光亮，体表有较厚的短叶子，叶子挺直，淡绿色，果实结实、水分充足无皱纹。果肉乳白，肉中布满黑色芝麻一粒粒黑色种子，口感清单，味甜。农残检测达到国家标准。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46"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芒果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皮色有黄色、浅绿色、红黄等色，形状圆形、肾形、心形等。果肉为黄色，味道酸甜，有香气，汁多，果皮光滑。农残检测达到国家标准。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8"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哈密瓜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瓜外皮光滑无瑕疵，无坑洼，颜色淡黄色或浅绿色,且均匀一致，口感清脆香甜。农残检测达到国家标准。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9"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荔枝</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果肉为白色，质地柔软，口感清甜，果体形状匀称，核小。农残检测达到国家标准。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10.40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山竹</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vAlign w:val="cente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4"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冬枣</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br w:type="textWrapping"/>
            </w:r>
            <w:r>
              <w:rPr>
                <w:rFonts w:hint="eastAsia" w:ascii="宋体" w:hAnsi="宋体" w:cs="宋体"/>
                <w:color w:val="auto"/>
                <w:kern w:val="0"/>
                <w:szCs w:val="21"/>
              </w:rPr>
              <w:t>果实珠圆玉润，果皮完整且光滑的，无明显斑点、破损，大小适中，颜色青红色，气味香甜等。农残检测达到国家标准。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8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青提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jc w:val="left"/>
              <w:textAlignment w:val="top"/>
              <w:rPr>
                <w:rFonts w:ascii="宋体" w:hAnsi="宋体" w:cs="宋体"/>
                <w:color w:val="auto"/>
                <w:szCs w:val="21"/>
              </w:rPr>
            </w:pPr>
            <w:r>
              <w:rPr>
                <w:rFonts w:hint="eastAsia" w:ascii="宋体" w:hAnsi="宋体" w:cs="宋体"/>
                <w:color w:val="auto"/>
                <w:kern w:val="0"/>
                <w:szCs w:val="21"/>
              </w:rPr>
              <w:t>果实珠圆玉润，果皮完整且光滑的，无明显斑点、破损，大小适中，颜色青红色，气味香甜等。农残检测达到国家标准。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 </w:t>
            </w:r>
          </w:p>
        </w:tc>
      </w:tr>
      <w:tr>
        <w:tblPrEx>
          <w:tblLayout w:type="fixed"/>
          <w:tblCellMar>
            <w:top w:w="0" w:type="dxa"/>
            <w:left w:w="0" w:type="dxa"/>
            <w:bottom w:w="0" w:type="dxa"/>
            <w:right w:w="0" w:type="dxa"/>
          </w:tblCellMar>
        </w:tblPrEx>
        <w:trPr>
          <w:trHeight w:val="768"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3"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龙眼</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果肉为白色，质地柔软，口感清甜，果体形状匀称，核小。农残检测达到国家标准。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10.95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7"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葡萄</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果质新鲜，果实珠圆玉润，果皮完整且光滑的，无明显斑点、破损，大小适中。农残检测达到国家标准。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27"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百香果（黄金）</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果质新鲜，果皮完整且光滑，皮色为黄色，汁多清甜。农残检测达到国家标准。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9.50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金桔（融安）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果实珠圆玉润，无明显斑点、破损，大小适中。农残检测达到国家标准。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7"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猕猴桃</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果实珠圆玉润，无明显斑点、破损，大小适中。农残检测达到国家标准。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4"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阳光玫瑰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果质新鲜，果实珠圆玉润，果皮完整且光滑的，颜色为翠绿色，口感清甜。</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12.00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37"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柠檬</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果实珠圆玉润，无明显斑点、破损，大小适中。农残检测达到国家标准。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6"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草莓</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1、单果15-20g（一级果）以上，允许5％轻微偏差。</w:t>
            </w:r>
            <w:r>
              <w:rPr>
                <w:rFonts w:hint="eastAsia" w:ascii="宋体" w:hAnsi="宋体" w:cs="宋体"/>
                <w:color w:val="auto"/>
                <w:kern w:val="0"/>
                <w:szCs w:val="21"/>
              </w:rPr>
              <w:br w:type="textWrapping"/>
            </w:r>
            <w:r>
              <w:rPr>
                <w:rFonts w:hint="eastAsia" w:ascii="宋体" w:hAnsi="宋体" w:cs="宋体"/>
                <w:color w:val="auto"/>
                <w:kern w:val="0"/>
                <w:szCs w:val="21"/>
              </w:rPr>
              <w:t>2、圆锥形／心形，色泽鲜红均匀（白草莓品种除外），无青肩、白斑，萼片翠绿挺括。</w:t>
            </w:r>
            <w:r>
              <w:rPr>
                <w:rFonts w:hint="eastAsia" w:ascii="宋体" w:hAnsi="宋体" w:cs="宋体"/>
                <w:color w:val="auto"/>
                <w:kern w:val="0"/>
                <w:szCs w:val="21"/>
              </w:rPr>
              <w:br w:type="textWrapping"/>
            </w:r>
            <w:r>
              <w:rPr>
                <w:rFonts w:hint="eastAsia" w:ascii="宋体" w:hAnsi="宋体" w:cs="宋体"/>
                <w:color w:val="auto"/>
                <w:kern w:val="0"/>
                <w:szCs w:val="21"/>
              </w:rPr>
              <w:t>3、表皮无软化，运输后受压破损率≤5%。                                                     4、农残检测达到国家标准。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1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车厘子</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1、果形：车厘子果形应圆润饱满，无明显缺口和变形，果皮应光滑。</w:t>
            </w:r>
            <w:r>
              <w:rPr>
                <w:rFonts w:hint="eastAsia" w:ascii="宋体" w:hAnsi="宋体" w:cs="宋体"/>
                <w:color w:val="auto"/>
                <w:kern w:val="0"/>
                <w:szCs w:val="21"/>
              </w:rPr>
              <w:br w:type="textWrapping"/>
            </w:r>
            <w:r>
              <w:rPr>
                <w:rFonts w:hint="eastAsia" w:ascii="宋体" w:hAnsi="宋体" w:cs="宋体"/>
                <w:color w:val="auto"/>
                <w:kern w:val="0"/>
                <w:szCs w:val="21"/>
              </w:rPr>
              <w:t>2、果色：车厘子果色应鲜艳均匀，无瑕疵和斑点。</w:t>
            </w:r>
            <w:r>
              <w:rPr>
                <w:rFonts w:hint="eastAsia" w:ascii="宋体" w:hAnsi="宋体" w:cs="宋体"/>
                <w:color w:val="auto"/>
                <w:kern w:val="0"/>
                <w:szCs w:val="21"/>
              </w:rPr>
              <w:br w:type="textWrapping"/>
            </w:r>
            <w:r>
              <w:rPr>
                <w:rFonts w:hint="eastAsia" w:ascii="宋体" w:hAnsi="宋体" w:cs="宋体"/>
                <w:color w:val="auto"/>
                <w:kern w:val="0"/>
                <w:szCs w:val="21"/>
              </w:rPr>
              <w:t>3、果肉：车厘子果肉应脆甜多汁，无虫蛀和霉斑。</w:t>
            </w:r>
            <w:r>
              <w:rPr>
                <w:rFonts w:hint="eastAsia" w:ascii="宋体" w:hAnsi="宋体" w:cs="宋体"/>
                <w:color w:val="auto"/>
                <w:kern w:val="0"/>
                <w:szCs w:val="21"/>
              </w:rPr>
              <w:br w:type="textWrapping"/>
            </w:r>
            <w:r>
              <w:rPr>
                <w:rFonts w:hint="eastAsia" w:ascii="宋体" w:hAnsi="宋体" w:cs="宋体"/>
                <w:color w:val="auto"/>
                <w:kern w:val="0"/>
                <w:szCs w:val="21"/>
              </w:rPr>
              <w:t xml:space="preserve">4、果核：车厘子果核应小而紧，易脱落。 </w:t>
            </w:r>
            <w:r>
              <w:rPr>
                <w:rFonts w:hint="eastAsia" w:ascii="宋体" w:hAnsi="宋体" w:cs="宋体"/>
                <w:color w:val="auto"/>
                <w:kern w:val="0"/>
                <w:szCs w:val="21"/>
              </w:rPr>
              <w:br w:type="textWrapping"/>
            </w:r>
            <w:r>
              <w:rPr>
                <w:rFonts w:hint="eastAsia" w:ascii="宋体" w:hAnsi="宋体" w:cs="宋体"/>
                <w:color w:val="auto"/>
                <w:kern w:val="0"/>
                <w:szCs w:val="21"/>
              </w:rPr>
              <w:t>5、果汁：车厘子果汁应透明清亮，无杂质和异味。                                        6、单果≥15-20g一级果以上。                                                                        7、农残检测达到国家标准。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35.00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11"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水果黄瓜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1、果实要求无刺、表皮光滑。</w:t>
            </w:r>
            <w:r>
              <w:rPr>
                <w:rFonts w:hint="eastAsia" w:ascii="宋体" w:hAnsi="宋体" w:cs="宋体"/>
                <w:color w:val="auto"/>
                <w:kern w:val="0"/>
                <w:szCs w:val="21"/>
              </w:rPr>
              <w:br w:type="textWrapping"/>
            </w:r>
            <w:r>
              <w:rPr>
                <w:rFonts w:hint="eastAsia" w:ascii="宋体" w:hAnsi="宋体" w:cs="宋体"/>
                <w:color w:val="auto"/>
                <w:kern w:val="0"/>
                <w:szCs w:val="21"/>
              </w:rPr>
              <w:t>2、外观品质：长度10-15cm，直径2-3cm，粗细均匀，无弯曲变形。</w:t>
            </w:r>
            <w:r>
              <w:rPr>
                <w:rFonts w:hint="eastAsia" w:ascii="宋体" w:hAnsi="宋体" w:cs="宋体"/>
                <w:color w:val="auto"/>
                <w:kern w:val="0"/>
                <w:szCs w:val="21"/>
              </w:rPr>
              <w:br w:type="textWrapping"/>
            </w:r>
            <w:r>
              <w:rPr>
                <w:rFonts w:hint="eastAsia" w:ascii="宋体" w:hAnsi="宋体" w:cs="宋体"/>
                <w:color w:val="auto"/>
                <w:kern w:val="0"/>
                <w:szCs w:val="21"/>
              </w:rPr>
              <w:t>3、颜色翠绿均匀，无黄斑、机械损伤及病虫害。</w:t>
            </w:r>
            <w:r>
              <w:rPr>
                <w:rFonts w:hint="eastAsia" w:ascii="宋体" w:hAnsi="宋体" w:cs="宋体"/>
                <w:color w:val="auto"/>
                <w:kern w:val="0"/>
                <w:szCs w:val="21"/>
              </w:rPr>
              <w:br w:type="textWrapping"/>
            </w:r>
            <w:r>
              <w:rPr>
                <w:rFonts w:hint="eastAsia" w:ascii="宋体" w:hAnsi="宋体" w:cs="宋体"/>
                <w:color w:val="auto"/>
                <w:kern w:val="0"/>
                <w:szCs w:val="21"/>
              </w:rPr>
              <w:t>4、成熟度：幼嫩饱满，种子未完全发育，瓜肉脆嫩。                              5、农残检测达到国家标准。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11.00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33"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心里美</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br w:type="textWrapping"/>
            </w:r>
            <w:r>
              <w:rPr>
                <w:rFonts w:hint="eastAsia" w:ascii="宋体" w:hAnsi="宋体" w:cs="宋体"/>
                <w:color w:val="auto"/>
                <w:kern w:val="0"/>
                <w:szCs w:val="21"/>
              </w:rPr>
              <w:t>1、品种要求：紫皮绿瓤品种</w:t>
            </w:r>
            <w:r>
              <w:rPr>
                <w:rFonts w:hint="eastAsia" w:ascii="宋体" w:hAnsi="宋体" w:cs="宋体"/>
                <w:color w:val="auto"/>
                <w:kern w:val="0"/>
                <w:szCs w:val="21"/>
              </w:rPr>
              <w:br w:type="textWrapping"/>
            </w:r>
            <w:r>
              <w:rPr>
                <w:rFonts w:hint="eastAsia" w:ascii="宋体" w:hAnsi="宋体" w:cs="宋体"/>
                <w:color w:val="auto"/>
                <w:kern w:val="0"/>
                <w:szCs w:val="21"/>
              </w:rPr>
              <w:t>2、外观品质：单重300-500g，表皮光滑无裂痕，根部无分叉。</w:t>
            </w:r>
            <w:r>
              <w:rPr>
                <w:rFonts w:hint="eastAsia" w:ascii="宋体" w:hAnsi="宋体" w:cs="宋体"/>
                <w:color w:val="auto"/>
                <w:kern w:val="0"/>
                <w:szCs w:val="21"/>
              </w:rPr>
              <w:br w:type="textWrapping"/>
            </w:r>
            <w:r>
              <w:rPr>
                <w:rFonts w:hint="eastAsia" w:ascii="宋体" w:hAnsi="宋体" w:cs="宋体"/>
                <w:color w:val="auto"/>
                <w:kern w:val="0"/>
                <w:szCs w:val="21"/>
              </w:rPr>
              <w:t>3、横切呈放射状紫绿相间，色泽鲜艳。</w:t>
            </w:r>
            <w:r>
              <w:rPr>
                <w:rFonts w:hint="eastAsia" w:ascii="宋体" w:hAnsi="宋体" w:cs="宋体"/>
                <w:color w:val="auto"/>
                <w:kern w:val="0"/>
                <w:szCs w:val="21"/>
              </w:rPr>
              <w:br w:type="textWrapping"/>
            </w:r>
            <w:r>
              <w:rPr>
                <w:rFonts w:hint="eastAsia" w:ascii="宋体" w:hAnsi="宋体" w:cs="宋体"/>
                <w:color w:val="auto"/>
                <w:kern w:val="0"/>
                <w:szCs w:val="21"/>
              </w:rPr>
              <w:t>4、口感指标：脆嫩多汁，甜辣适中，无糖心。                                          5、农残检测达到国家标准。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33"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水果木瓜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Style w:val="71"/>
                <w:rFonts w:hint="default"/>
                <w:color w:val="auto"/>
                <w:sz w:val="21"/>
                <w:szCs w:val="21"/>
              </w:rPr>
              <w:t>1.品种要求：红肉品种</w:t>
            </w:r>
            <w:r>
              <w:rPr>
                <w:rStyle w:val="71"/>
                <w:rFonts w:hint="default"/>
                <w:color w:val="auto"/>
                <w:sz w:val="21"/>
                <w:szCs w:val="21"/>
              </w:rPr>
              <w:br w:type="textWrapping"/>
            </w:r>
            <w:r>
              <w:rPr>
                <w:rStyle w:val="71"/>
                <w:rFonts w:hint="default"/>
                <w:color w:val="auto"/>
                <w:sz w:val="21"/>
                <w:szCs w:val="21"/>
              </w:rPr>
              <w:t>2、成熟度：表皮黄转红≥60%（即7-8成熟）。</w:t>
            </w:r>
            <w:r>
              <w:rPr>
                <w:rStyle w:val="71"/>
                <w:rFonts w:hint="default"/>
                <w:color w:val="auto"/>
                <w:sz w:val="21"/>
                <w:szCs w:val="21"/>
              </w:rPr>
              <w:br w:type="textWrapping"/>
            </w:r>
            <w:r>
              <w:rPr>
                <w:rStyle w:val="71"/>
                <w:rFonts w:hint="default"/>
                <w:color w:val="auto"/>
                <w:sz w:val="21"/>
                <w:szCs w:val="21"/>
              </w:rPr>
              <w:t>禁止使用催熟剂。</w:t>
            </w:r>
            <w:r>
              <w:rPr>
                <w:rStyle w:val="71"/>
                <w:rFonts w:hint="default"/>
                <w:color w:val="auto"/>
                <w:sz w:val="21"/>
                <w:szCs w:val="21"/>
              </w:rPr>
              <w:br w:type="textWrapping"/>
            </w:r>
            <w:r>
              <w:rPr>
                <w:rStyle w:val="71"/>
                <w:rFonts w:hint="default"/>
                <w:color w:val="auto"/>
                <w:sz w:val="21"/>
                <w:szCs w:val="21"/>
              </w:rPr>
              <w:t>3、果形端正，无压伤、病斑，单果重500-800g。</w:t>
            </w:r>
            <w:r>
              <w:rPr>
                <w:rStyle w:val="71"/>
                <w:rFonts w:hint="default"/>
                <w:color w:val="auto"/>
                <w:sz w:val="21"/>
                <w:szCs w:val="21"/>
              </w:rPr>
              <w:br w:type="textWrapping"/>
            </w:r>
            <w:r>
              <w:rPr>
                <w:rStyle w:val="71"/>
                <w:rFonts w:hint="default"/>
                <w:color w:val="auto"/>
                <w:sz w:val="21"/>
                <w:szCs w:val="21"/>
              </w:rPr>
              <w:t>4、果肉橙红，无黑籽或空心。</w:t>
            </w:r>
            <w:r>
              <w:rPr>
                <w:rStyle w:val="71"/>
                <w:rFonts w:hint="default"/>
                <w:color w:val="auto"/>
                <w:sz w:val="21"/>
                <w:szCs w:val="21"/>
              </w:rPr>
              <w:br w:type="textWrapping"/>
            </w:r>
            <w:r>
              <w:rPr>
                <w:rStyle w:val="71"/>
                <w:rFonts w:hint="default"/>
                <w:color w:val="auto"/>
                <w:sz w:val="21"/>
                <w:szCs w:val="21"/>
              </w:rPr>
              <w:t>5、农残检测达到国家标准。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4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蓝莓</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果质新鲜，蓝莓应呈深蓝色或紫黑色，表面有均匀的果粉，果质新鲜，一等果(10-12MM)以上，大小应基本相同，硬度适中，口感清甜。农残检测达到国家标准。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（七）糕点类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38" w:hRule="atLeast"/>
          <w:jc w:val="center"/>
        </w:trPr>
        <w:tc>
          <w:tcPr>
            <w:tcW w:w="58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序号</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标的名称</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数量</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规格</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单位</w:t>
            </w:r>
          </w:p>
        </w:tc>
        <w:tc>
          <w:tcPr>
            <w:tcW w:w="482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技术要求</w:t>
            </w:r>
          </w:p>
        </w:tc>
        <w:tc>
          <w:tcPr>
            <w:tcW w:w="90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基准价（元）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咸甜年糕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restart"/>
            <w:shd w:val="clear" w:color="auto" w:fill="auto"/>
            <w:tcMar>
              <w:top w:w="15" w:type="dxa"/>
              <w:left w:w="15" w:type="dxa"/>
              <w:right w:w="15" w:type="dxa"/>
            </w:tcMar>
          </w:tcPr>
          <w:p>
            <w:pPr>
              <w:widowControl/>
              <w:numPr>
                <w:ilvl w:val="0"/>
                <w:numId w:val="4"/>
              </w:numPr>
              <w:jc w:val="left"/>
              <w:textAlignment w:val="top"/>
              <w:rPr>
                <w:rFonts w:ascii="宋体" w:hAnsi="宋体" w:cs="宋体"/>
                <w:color w:val="auto"/>
                <w:kern w:val="0"/>
                <w:szCs w:val="21"/>
              </w:rPr>
            </w:pPr>
            <w:r>
              <w:rPr>
                <w:rFonts w:hint="eastAsia" w:ascii="宋体" w:hAnsi="宋体" w:cs="宋体"/>
                <w:color w:val="auto"/>
                <w:kern w:val="0"/>
                <w:szCs w:val="21"/>
              </w:rPr>
              <w:t xml:space="preserve">糕点应具有统一的形状，色泽和质感，色泽和质感。                           </w:t>
            </w:r>
          </w:p>
          <w:p>
            <w:pPr>
              <w:widowControl/>
              <w:numPr>
                <w:ilvl w:val="0"/>
                <w:numId w:val="4"/>
              </w:numPr>
              <w:jc w:val="left"/>
              <w:textAlignment w:val="top"/>
              <w:rPr>
                <w:rFonts w:ascii="宋体" w:hAnsi="宋体" w:cs="宋体"/>
                <w:color w:val="auto"/>
                <w:kern w:val="0"/>
                <w:szCs w:val="21"/>
              </w:rPr>
            </w:pPr>
            <w:r>
              <w:rPr>
                <w:rFonts w:hint="eastAsia" w:ascii="宋体" w:hAnsi="宋体" w:cs="宋体"/>
                <w:color w:val="auto"/>
                <w:kern w:val="0"/>
                <w:szCs w:val="21"/>
              </w:rPr>
              <w:t xml:space="preserve">表面应光滑，无明显缺陷，没有受损、变形或气泡。                           </w:t>
            </w:r>
          </w:p>
          <w:p>
            <w:pPr>
              <w:widowControl/>
              <w:numPr>
                <w:ilvl w:val="0"/>
                <w:numId w:val="4"/>
              </w:numPr>
              <w:jc w:val="left"/>
              <w:textAlignment w:val="top"/>
              <w:rPr>
                <w:rFonts w:ascii="宋体" w:hAnsi="宋体" w:cs="宋体"/>
                <w:color w:val="auto"/>
                <w:kern w:val="0"/>
                <w:szCs w:val="21"/>
              </w:rPr>
            </w:pPr>
            <w:r>
              <w:rPr>
                <w:rFonts w:hint="eastAsia" w:ascii="宋体" w:hAnsi="宋体" w:cs="宋体"/>
                <w:color w:val="auto"/>
                <w:kern w:val="0"/>
                <w:szCs w:val="21"/>
              </w:rPr>
              <w:t xml:space="preserve">糕点应具有特色香味，无异味或发霉味道。                                          4、糕点应具有适宜的口感，嚼上去柔软，不粘牙。不过干或过失。         </w:t>
            </w:r>
          </w:p>
          <w:p>
            <w:pPr>
              <w:widowControl/>
              <w:jc w:val="left"/>
              <w:textAlignment w:val="top"/>
              <w:rPr>
                <w:rFonts w:ascii="宋体" w:hAnsi="宋体" w:cs="宋体"/>
                <w:color w:val="auto"/>
                <w:kern w:val="0"/>
                <w:szCs w:val="21"/>
              </w:rPr>
            </w:pPr>
            <w:r>
              <w:rPr>
                <w:rFonts w:hint="eastAsia" w:ascii="宋体" w:hAnsi="宋体" w:cs="宋体"/>
                <w:color w:val="auto"/>
                <w:kern w:val="0"/>
                <w:szCs w:val="21"/>
              </w:rPr>
              <w:t xml:space="preserve">5、糕点的原材料应符合国家相关标准，解除任何有害物质。                   </w:t>
            </w:r>
          </w:p>
          <w:p>
            <w:pPr>
              <w:widowControl/>
              <w:jc w:val="left"/>
              <w:textAlignment w:val="top"/>
              <w:rPr>
                <w:rFonts w:ascii="宋体" w:hAnsi="宋体" w:cs="宋体"/>
                <w:color w:val="auto"/>
                <w:szCs w:val="21"/>
              </w:rPr>
            </w:pPr>
            <w:r>
              <w:rPr>
                <w:rFonts w:hint="eastAsia" w:ascii="宋体" w:hAnsi="宋体" w:cs="宋体"/>
                <w:color w:val="auto"/>
                <w:kern w:val="0"/>
                <w:szCs w:val="21"/>
              </w:rPr>
              <w:t xml:space="preserve">6、加工原材料符合国家食品质量及卫生标准。                                           7、油茶为新鲜现打的油茶，口感纯正，无变色变味。                              8、符合国家食品卫生标准。  </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船上糕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芋头糕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碗糕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红枣糕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艾粑粑</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13.50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油茶</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lang w:val="en-US" w:eastAsia="zh-CN"/>
              </w:rPr>
              <w:t>≥</w:t>
            </w:r>
            <w:r>
              <w:rPr>
                <w:rFonts w:hint="eastAsia" w:ascii="宋体" w:hAnsi="宋体" w:cs="宋体"/>
                <w:color w:val="auto"/>
                <w:kern w:val="0"/>
                <w:szCs w:val="21"/>
              </w:rPr>
              <w:t>3斤/壶</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壶</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16.50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油果</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流沙包</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15.00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炒米</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4.50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马蹄糕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10.00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红豆糕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0"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松糕</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00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粽子(鲜肉）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1、外形：粽子形态完整，捆扎松紧适度，无破损、漏米或露馅现象。</w:t>
            </w:r>
            <w:r>
              <w:rPr>
                <w:rFonts w:hint="eastAsia" w:ascii="宋体" w:hAnsi="宋体" w:cs="宋体"/>
                <w:color w:val="auto"/>
                <w:kern w:val="0"/>
                <w:szCs w:val="21"/>
              </w:rPr>
              <w:br w:type="textWrapping"/>
            </w:r>
            <w:r>
              <w:rPr>
                <w:rFonts w:hint="eastAsia" w:ascii="宋体" w:hAnsi="宋体" w:cs="宋体"/>
                <w:color w:val="auto"/>
                <w:kern w:val="0"/>
                <w:szCs w:val="21"/>
              </w:rPr>
              <w:t>2、色泽：糯米呈自然米色或酱色（根据调味）,肉块色泽鲜亮，无发黑或变色。</w:t>
            </w:r>
            <w:r>
              <w:rPr>
                <w:rFonts w:hint="eastAsia" w:ascii="宋体" w:hAnsi="宋体" w:cs="宋体"/>
                <w:color w:val="auto"/>
                <w:kern w:val="0"/>
                <w:szCs w:val="21"/>
              </w:rPr>
              <w:br w:type="textWrapping"/>
            </w:r>
            <w:r>
              <w:rPr>
                <w:rFonts w:hint="eastAsia" w:ascii="宋体" w:hAnsi="宋体" w:cs="宋体"/>
                <w:color w:val="auto"/>
                <w:kern w:val="0"/>
                <w:szCs w:val="21"/>
              </w:rPr>
              <w:t>3、气味：具有糯米、肉馅及粽叶的清香，无酸败、哈喇味等异味。</w:t>
            </w:r>
            <w:r>
              <w:rPr>
                <w:rFonts w:hint="eastAsia" w:ascii="宋体" w:hAnsi="宋体" w:cs="宋体"/>
                <w:color w:val="auto"/>
                <w:kern w:val="0"/>
                <w:szCs w:val="21"/>
              </w:rPr>
              <w:br w:type="textWrapping"/>
            </w:r>
            <w:r>
              <w:rPr>
                <w:rFonts w:hint="eastAsia" w:ascii="宋体" w:hAnsi="宋体" w:cs="宋体"/>
                <w:color w:val="auto"/>
                <w:kern w:val="0"/>
                <w:szCs w:val="21"/>
              </w:rPr>
              <w:t>4、口感：糯米软糯适中，肉块鲜嫩不柴，咸淡适宜，调味协调。</w:t>
            </w:r>
            <w:r>
              <w:rPr>
                <w:rFonts w:hint="eastAsia" w:ascii="宋体" w:hAnsi="宋体" w:cs="宋体"/>
                <w:color w:val="auto"/>
                <w:kern w:val="0"/>
                <w:szCs w:val="21"/>
              </w:rPr>
              <w:br w:type="textWrapping"/>
            </w:r>
            <w:r>
              <w:rPr>
                <w:rFonts w:hint="eastAsia" w:ascii="宋体" w:hAnsi="宋体" w:cs="宋体"/>
                <w:color w:val="auto"/>
                <w:kern w:val="0"/>
                <w:szCs w:val="21"/>
              </w:rPr>
              <w:t>5、馅料：鲜肉、绿豆分布均匀，肥瘦比例合理。                                      6、符合国家食品卫生标准。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002"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粽子(排骨）</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个</w:t>
            </w:r>
          </w:p>
        </w:tc>
        <w:tc>
          <w:tcPr>
            <w:tcW w:w="4827" w:type="dxa"/>
            <w:shd w:val="clear" w:color="auto" w:fill="auto"/>
            <w:tcMar>
              <w:top w:w="15" w:type="dxa"/>
              <w:left w:w="15" w:type="dxa"/>
              <w:right w:w="15" w:type="dxa"/>
            </w:tcMar>
            <w:vAlign w:val="center"/>
          </w:tcPr>
          <w:p>
            <w:pPr>
              <w:widowControl/>
              <w:numPr>
                <w:ilvl w:val="0"/>
                <w:numId w:val="5"/>
              </w:numPr>
              <w:jc w:val="left"/>
              <w:textAlignment w:val="center"/>
              <w:rPr>
                <w:rFonts w:ascii="宋体" w:hAnsi="宋体" w:cs="宋体"/>
                <w:color w:val="auto"/>
                <w:kern w:val="0"/>
                <w:szCs w:val="21"/>
              </w:rPr>
            </w:pPr>
            <w:r>
              <w:rPr>
                <w:rFonts w:hint="eastAsia" w:ascii="宋体" w:hAnsi="宋体" w:cs="宋体"/>
                <w:color w:val="auto"/>
                <w:kern w:val="0"/>
                <w:szCs w:val="21"/>
              </w:rPr>
              <w:t>外形：粽子形态完整，捆扎松紧适度，无破损、漏米或露馅现象。</w:t>
            </w:r>
            <w:r>
              <w:rPr>
                <w:rFonts w:hint="eastAsia" w:ascii="宋体" w:hAnsi="宋体" w:cs="宋体"/>
                <w:color w:val="auto"/>
                <w:kern w:val="0"/>
                <w:szCs w:val="21"/>
              </w:rPr>
              <w:br w:type="textWrapping"/>
            </w:r>
            <w:r>
              <w:rPr>
                <w:rFonts w:hint="eastAsia" w:ascii="宋体" w:hAnsi="宋体" w:cs="宋体"/>
                <w:color w:val="auto"/>
                <w:kern w:val="0"/>
                <w:szCs w:val="21"/>
              </w:rPr>
              <w:t>2、色泽：糯米呈自然米色或酱色（根据调味）,肉块色泽鲜亮，无发黑或变色。</w:t>
            </w:r>
            <w:r>
              <w:rPr>
                <w:rFonts w:hint="eastAsia" w:ascii="宋体" w:hAnsi="宋体" w:cs="宋体"/>
                <w:color w:val="auto"/>
                <w:kern w:val="0"/>
                <w:szCs w:val="21"/>
              </w:rPr>
              <w:br w:type="textWrapping"/>
            </w:r>
            <w:r>
              <w:rPr>
                <w:rFonts w:hint="eastAsia" w:ascii="宋体" w:hAnsi="宋体" w:cs="宋体"/>
                <w:color w:val="auto"/>
                <w:kern w:val="0"/>
                <w:szCs w:val="21"/>
              </w:rPr>
              <w:t>3、气味：具有糯米、肉馅及粽叶的清香，无酸败、哈喇味等异味。</w:t>
            </w:r>
            <w:r>
              <w:rPr>
                <w:rFonts w:hint="eastAsia" w:ascii="宋体" w:hAnsi="宋体" w:cs="宋体"/>
                <w:color w:val="auto"/>
                <w:kern w:val="0"/>
                <w:szCs w:val="21"/>
              </w:rPr>
              <w:br w:type="textWrapping"/>
            </w:r>
            <w:r>
              <w:rPr>
                <w:rFonts w:hint="eastAsia" w:ascii="宋体" w:hAnsi="宋体" w:cs="宋体"/>
                <w:color w:val="auto"/>
                <w:kern w:val="0"/>
                <w:szCs w:val="21"/>
              </w:rPr>
              <w:t>4、口感：糯米软糯适中，肉块鲜嫩不柴，咸淡适宜，调味协调。</w:t>
            </w:r>
            <w:r>
              <w:rPr>
                <w:rFonts w:hint="eastAsia" w:ascii="宋体" w:hAnsi="宋体" w:cs="宋体"/>
                <w:color w:val="auto"/>
                <w:kern w:val="0"/>
                <w:szCs w:val="21"/>
              </w:rPr>
              <w:br w:type="textWrapping"/>
            </w:r>
            <w:r>
              <w:rPr>
                <w:rFonts w:hint="eastAsia" w:ascii="宋体" w:hAnsi="宋体" w:cs="宋体"/>
                <w:color w:val="auto"/>
                <w:kern w:val="0"/>
                <w:szCs w:val="21"/>
              </w:rPr>
              <w:t xml:space="preserve">5、馅料：鲜肉、绿豆分布均匀，肥瘦比例合理。(加排骨）。                      </w:t>
            </w:r>
          </w:p>
          <w:p>
            <w:pPr>
              <w:widowControl/>
              <w:jc w:val="left"/>
              <w:textAlignment w:val="center"/>
              <w:rPr>
                <w:rFonts w:ascii="宋体" w:hAnsi="宋体" w:cs="宋体"/>
                <w:color w:val="auto"/>
                <w:szCs w:val="21"/>
              </w:rPr>
            </w:pPr>
            <w:r>
              <w:rPr>
                <w:rFonts w:hint="eastAsia" w:ascii="宋体" w:hAnsi="宋体" w:cs="宋体"/>
                <w:color w:val="auto"/>
                <w:kern w:val="0"/>
                <w:szCs w:val="21"/>
              </w:rPr>
              <w:t>6、符合国家食品卫生标准。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58" w:hRule="atLeast"/>
          <w:jc w:val="center"/>
        </w:trPr>
        <w:tc>
          <w:tcPr>
            <w:tcW w:w="585"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022"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湿米粉</w:t>
            </w:r>
          </w:p>
        </w:tc>
        <w:tc>
          <w:tcPr>
            <w:tcW w:w="63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15000</w:t>
            </w:r>
          </w:p>
        </w:tc>
        <w:tc>
          <w:tcPr>
            <w:tcW w:w="1440" w:type="dxa"/>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w:t>
            </w:r>
          </w:p>
        </w:tc>
        <w:tc>
          <w:tcPr>
            <w:tcW w:w="475"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斤</w:t>
            </w:r>
          </w:p>
        </w:tc>
        <w:tc>
          <w:tcPr>
            <w:tcW w:w="4827" w:type="dxa"/>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1、鲜湿米粉：色泽洁白或微黄，无霉斑、黑点。</w:t>
            </w:r>
            <w:r>
              <w:rPr>
                <w:rFonts w:hint="eastAsia" w:ascii="宋体" w:hAnsi="宋体" w:cs="宋体"/>
                <w:color w:val="auto"/>
                <w:kern w:val="0"/>
                <w:szCs w:val="21"/>
              </w:rPr>
              <w:br w:type="textWrapping"/>
            </w:r>
            <w:r>
              <w:rPr>
                <w:rFonts w:hint="eastAsia" w:ascii="宋体" w:hAnsi="宋体" w:cs="宋体"/>
                <w:color w:val="auto"/>
                <w:kern w:val="0"/>
                <w:szCs w:val="21"/>
              </w:rPr>
              <w:t>2、色泽：具有大米自然色泽，无发灰、发暗或异常变色。</w:t>
            </w:r>
            <w:r>
              <w:rPr>
                <w:rFonts w:hint="eastAsia" w:ascii="宋体" w:hAnsi="宋体" w:cs="宋体"/>
                <w:color w:val="auto"/>
                <w:kern w:val="0"/>
                <w:szCs w:val="21"/>
              </w:rPr>
              <w:br w:type="textWrapping"/>
            </w:r>
            <w:r>
              <w:rPr>
                <w:rFonts w:hint="eastAsia" w:ascii="宋体" w:hAnsi="宋体" w:cs="宋体"/>
                <w:color w:val="auto"/>
                <w:kern w:val="0"/>
                <w:szCs w:val="21"/>
              </w:rPr>
              <w:t>3、气味：有大米清香，无酸馊、霉味或其他异味。</w:t>
            </w:r>
            <w:r>
              <w:rPr>
                <w:rFonts w:hint="eastAsia" w:ascii="宋体" w:hAnsi="宋体" w:cs="宋体"/>
                <w:color w:val="auto"/>
                <w:kern w:val="0"/>
                <w:szCs w:val="21"/>
              </w:rPr>
              <w:br w:type="textWrapping"/>
            </w:r>
            <w:r>
              <w:rPr>
                <w:rFonts w:hint="eastAsia" w:ascii="宋体" w:hAnsi="宋体" w:cs="宋体"/>
                <w:color w:val="auto"/>
                <w:kern w:val="0"/>
                <w:szCs w:val="21"/>
              </w:rPr>
              <w:t>4、口感：爽滑有弹性，不粘牙，无砂感。                                                  5、符合国家食品卫生标准。</w:t>
            </w:r>
          </w:p>
        </w:tc>
        <w:tc>
          <w:tcPr>
            <w:tcW w:w="90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2.25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4" w:hRule="atLeast"/>
          <w:jc w:val="center"/>
        </w:trPr>
        <w:tc>
          <w:tcPr>
            <w:tcW w:w="9888" w:type="dxa"/>
            <w:gridSpan w:val="7"/>
            <w:shd w:val="clear" w:color="auto" w:fill="auto"/>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注：以上采购清单内容为采购人一年的预计采购量。上述采购清单内容仅作为参考，实际采购量根据采购人的实际需求确定，供应商不得因实际供应量与采购清单内容不一致提出异议。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0" w:hRule="atLeast"/>
          <w:jc w:val="center"/>
        </w:trPr>
        <w:tc>
          <w:tcPr>
            <w:tcW w:w="9888" w:type="dxa"/>
            <w:gridSpan w:val="7"/>
            <w:shd w:val="clear" w:color="auto" w:fill="auto"/>
            <w:noWrap/>
            <w:tcMar>
              <w:top w:w="15" w:type="dxa"/>
              <w:left w:w="15" w:type="dxa"/>
              <w:right w:w="15" w:type="dxa"/>
            </w:tcMar>
            <w:vAlign w:val="center"/>
          </w:tcPr>
          <w:p>
            <w:pPr>
              <w:widowControl/>
              <w:jc w:val="left"/>
              <w:textAlignment w:val="center"/>
              <w:rPr>
                <w:rFonts w:ascii="宋体" w:hAnsi="宋体" w:cs="宋体"/>
                <w:b/>
                <w:color w:val="auto"/>
                <w:szCs w:val="21"/>
              </w:rPr>
            </w:pPr>
            <w:r>
              <w:rPr>
                <w:rFonts w:hint="eastAsia" w:ascii="宋体" w:hAnsi="宋体" w:cs="宋体"/>
                <w:b/>
                <w:color w:val="auto"/>
                <w:kern w:val="0"/>
                <w:szCs w:val="21"/>
              </w:rPr>
              <w:t>二、商务要求</w:t>
            </w:r>
          </w:p>
        </w:tc>
      </w:tr>
      <w:tr>
        <w:tblPrEx>
          <w:tblLayout w:type="fixed"/>
          <w:tblCellMar>
            <w:top w:w="0" w:type="dxa"/>
            <w:left w:w="0" w:type="dxa"/>
            <w:bottom w:w="0" w:type="dxa"/>
            <w:right w:w="0" w:type="dxa"/>
          </w:tblCellMar>
        </w:tblPrEx>
        <w:trPr>
          <w:trHeight w:val="508" w:hRule="atLeast"/>
          <w:jc w:val="center"/>
        </w:trPr>
        <w:tc>
          <w:tcPr>
            <w:tcW w:w="2237" w:type="dxa"/>
            <w:gridSpan w:val="3"/>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竞标报价要求</w:t>
            </w:r>
          </w:p>
        </w:tc>
        <w:tc>
          <w:tcPr>
            <w:tcW w:w="7651" w:type="dxa"/>
            <w:gridSpan w:val="4"/>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1、本分标竞标报价按竞标折扣系数报价，报价包括货物及服务采购、检验检测、包装、运输、仓储、人工费等各种费用和售后服务、税金及其它所有成本费用的总和。采购人不再支付任何费用。</w:t>
            </w:r>
            <w:r>
              <w:rPr>
                <w:rFonts w:hint="eastAsia" w:ascii="宋体" w:hAnsi="宋体" w:cs="宋体"/>
                <w:color w:val="auto"/>
                <w:kern w:val="0"/>
                <w:szCs w:val="21"/>
              </w:rPr>
              <w:br w:type="textWrapping"/>
            </w:r>
            <w:r>
              <w:rPr>
                <w:rFonts w:hint="eastAsia" w:ascii="宋体" w:hAnsi="宋体" w:cs="宋体"/>
                <w:color w:val="auto"/>
                <w:kern w:val="0"/>
                <w:szCs w:val="21"/>
              </w:rPr>
              <w:t>2、竞标单价超过第三章《采购需求》列出的基准价格的，其竞标无效。</w:t>
            </w:r>
            <w:r>
              <w:rPr>
                <w:rFonts w:hint="eastAsia" w:ascii="宋体" w:hAnsi="宋体"/>
                <w:color w:val="auto"/>
                <w:szCs w:val="21"/>
              </w:rPr>
              <w:t>【供应商的竞标单价=</w:t>
            </w:r>
            <w:r>
              <w:rPr>
                <w:rFonts w:hint="eastAsia" w:ascii="宋体" w:hAnsi="宋体" w:cs="宋体"/>
                <w:color w:val="auto"/>
                <w:kern w:val="0"/>
                <w:szCs w:val="21"/>
              </w:rPr>
              <w:t>基准价格</w:t>
            </w:r>
            <w:r>
              <w:rPr>
                <w:rFonts w:hint="eastAsia" w:ascii="宋体" w:hAnsi="宋体"/>
                <w:color w:val="auto"/>
                <w:szCs w:val="21"/>
              </w:rPr>
              <w:t>×竞标报价折扣系数】</w:t>
            </w:r>
            <w:r>
              <w:rPr>
                <w:rFonts w:hint="eastAsia" w:ascii="宋体" w:hAnsi="宋体" w:cs="宋体"/>
                <w:color w:val="auto"/>
                <w:kern w:val="0"/>
                <w:szCs w:val="21"/>
              </w:rPr>
              <w:br w:type="textWrapping"/>
            </w:r>
            <w:r>
              <w:rPr>
                <w:rFonts w:hint="eastAsia" w:ascii="宋体" w:hAnsi="宋体" w:cs="宋体"/>
                <w:color w:val="auto"/>
                <w:kern w:val="0"/>
                <w:szCs w:val="21"/>
              </w:rPr>
              <w:t>3、</w:t>
            </w:r>
            <w:r>
              <w:rPr>
                <w:rFonts w:hint="eastAsia" w:asciiTheme="minorEastAsia" w:hAnsiTheme="minorEastAsia" w:eastAsiaTheme="minorEastAsia"/>
                <w:color w:val="auto"/>
                <w:szCs w:val="21"/>
              </w:rPr>
              <w:t>竞标报价范围：</w:t>
            </w:r>
            <w:r>
              <w:rPr>
                <w:rFonts w:hint="eastAsia" w:ascii="宋体" w:hAnsi="宋体" w:cs="宋体" w:eastAsiaTheme="minorEastAsia"/>
                <w:color w:val="auto"/>
                <w:kern w:val="0"/>
                <w:szCs w:val="21"/>
                <w:lang w:eastAsia="zh-CN"/>
              </w:rPr>
              <w:t>竞标报价折扣系数≤100%</w:t>
            </w:r>
            <w:r>
              <w:rPr>
                <w:rFonts w:hint="eastAsia" w:ascii="宋体" w:hAnsi="宋体" w:cs="宋体"/>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19" w:hRule="atLeast"/>
          <w:jc w:val="center"/>
        </w:trPr>
        <w:tc>
          <w:tcPr>
            <w:tcW w:w="2237" w:type="dxa"/>
            <w:gridSpan w:val="3"/>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质保期</w:t>
            </w:r>
          </w:p>
        </w:tc>
        <w:tc>
          <w:tcPr>
            <w:tcW w:w="7651" w:type="dxa"/>
            <w:gridSpan w:val="4"/>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1、肉类及家禽、鱼、水豆腐、白豆腐片、油豆腐类自每批次货物验收合格之日起计算，不少于24小时。</w:t>
            </w:r>
            <w:r>
              <w:rPr>
                <w:rFonts w:hint="eastAsia" w:ascii="宋体" w:hAnsi="宋体" w:cs="宋体"/>
                <w:color w:val="auto"/>
                <w:kern w:val="0"/>
                <w:szCs w:val="21"/>
              </w:rPr>
              <w:br w:type="textWrapping"/>
            </w:r>
            <w:r>
              <w:rPr>
                <w:rFonts w:hint="eastAsia" w:ascii="宋体" w:hAnsi="宋体" w:cs="宋体"/>
                <w:color w:val="auto"/>
                <w:kern w:val="0"/>
                <w:szCs w:val="21"/>
              </w:rPr>
              <w:t>2、蔬菜类从采摘到送货不超过24小时，且保持良好的色泽和新鲜度，不得有黄叶、枯叶、腐烂、泥沙等现象，并保持整体完整，应属无公害蔬菜。</w:t>
            </w:r>
            <w:r>
              <w:rPr>
                <w:rFonts w:hint="eastAsia" w:ascii="宋体" w:hAnsi="宋体" w:cs="宋体"/>
                <w:color w:val="auto"/>
                <w:kern w:val="0"/>
                <w:szCs w:val="21"/>
              </w:rPr>
              <w:br w:type="textWrapping"/>
            </w:r>
            <w:r>
              <w:rPr>
                <w:rFonts w:hint="eastAsia" w:ascii="宋体" w:hAnsi="宋体" w:cs="宋体"/>
                <w:color w:val="auto"/>
                <w:kern w:val="0"/>
                <w:szCs w:val="21"/>
              </w:rPr>
              <w:t>3、瓜果类每批次货物验收合格之日起计算不少于5天。</w:t>
            </w:r>
            <w:r>
              <w:rPr>
                <w:rFonts w:hint="eastAsia" w:ascii="宋体" w:hAnsi="宋体" w:cs="宋体"/>
                <w:color w:val="auto"/>
                <w:kern w:val="0"/>
                <w:szCs w:val="21"/>
              </w:rPr>
              <w:br w:type="textWrapping"/>
            </w:r>
            <w:r>
              <w:rPr>
                <w:rFonts w:hint="eastAsia" w:ascii="宋体" w:hAnsi="宋体" w:cs="宋体"/>
                <w:color w:val="auto"/>
                <w:kern w:val="0"/>
                <w:szCs w:val="21"/>
              </w:rPr>
              <w:t>4、米面类货物、食用油及调味品类供货时的剩余保质期不少于三分之二，保质期按产品生产厂家标注的保质期为准。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51" w:hRule="atLeast"/>
          <w:jc w:val="center"/>
        </w:trPr>
        <w:tc>
          <w:tcPr>
            <w:tcW w:w="2237" w:type="dxa"/>
            <w:gridSpan w:val="3"/>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交货时间及交货地点、服务合同有效期</w:t>
            </w:r>
          </w:p>
        </w:tc>
        <w:tc>
          <w:tcPr>
            <w:tcW w:w="7651" w:type="dxa"/>
            <w:gridSpan w:val="4"/>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1、交货时间：分批次供货，按采购人采购计划规定的时间供货，确保一日一供，节假日正常供应，特殊情况双方协商确定。产品运输由成交人负责，运输及卸车费用由成交人承担。</w:t>
            </w:r>
            <w:r>
              <w:rPr>
                <w:rFonts w:hint="eastAsia" w:ascii="宋体" w:hAnsi="宋体" w:cs="宋体"/>
                <w:color w:val="auto"/>
                <w:kern w:val="0"/>
                <w:szCs w:val="21"/>
              </w:rPr>
              <w:br w:type="textWrapping"/>
            </w:r>
            <w:r>
              <w:rPr>
                <w:rFonts w:hint="eastAsia" w:ascii="宋体" w:hAnsi="宋体" w:cs="宋体"/>
                <w:color w:val="auto"/>
                <w:kern w:val="0"/>
                <w:szCs w:val="21"/>
              </w:rPr>
              <w:t>2、交货地点：广西桂林市采购单位指定地点；</w:t>
            </w:r>
            <w:r>
              <w:rPr>
                <w:rFonts w:hint="eastAsia" w:ascii="宋体" w:hAnsi="宋体" w:cs="宋体"/>
                <w:color w:val="auto"/>
                <w:kern w:val="0"/>
                <w:szCs w:val="21"/>
              </w:rPr>
              <w:br w:type="textWrapping"/>
            </w:r>
            <w:r>
              <w:rPr>
                <w:rFonts w:hint="eastAsia" w:ascii="宋体" w:hAnsi="宋体" w:cs="宋体"/>
                <w:color w:val="auto"/>
                <w:kern w:val="0"/>
                <w:szCs w:val="21"/>
              </w:rPr>
              <w:t>3、服务合同有效期：自签订合同之日起一年。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76" w:hRule="atLeast"/>
          <w:jc w:val="center"/>
        </w:trPr>
        <w:tc>
          <w:tcPr>
            <w:tcW w:w="2237" w:type="dxa"/>
            <w:gridSpan w:val="3"/>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付款条件</w:t>
            </w:r>
          </w:p>
        </w:tc>
        <w:tc>
          <w:tcPr>
            <w:tcW w:w="7651" w:type="dxa"/>
            <w:gridSpan w:val="4"/>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1、分批供货，每批次货款根据双方确认的单价及该批次的供货数量进行结算；</w:t>
            </w:r>
            <w:r>
              <w:rPr>
                <w:rFonts w:hint="eastAsia" w:ascii="宋体" w:hAnsi="宋体" w:cs="宋体"/>
                <w:color w:val="auto"/>
                <w:kern w:val="0"/>
                <w:szCs w:val="21"/>
              </w:rPr>
              <w:br w:type="textWrapping"/>
            </w:r>
            <w:r>
              <w:rPr>
                <w:rFonts w:hint="eastAsia" w:ascii="宋体" w:hAnsi="宋体" w:cs="宋体"/>
                <w:color w:val="auto"/>
                <w:kern w:val="0"/>
                <w:szCs w:val="21"/>
              </w:rPr>
              <w:t>2、按月结算，供应商每月26日与采购人核对本月的采购数量（结算周期：上月26日至本月25日为一个结算周期）,每月27日提供当月供应食材的等额发票及供货单据结算货款，每月结算一次。采购人收到发票及相关票据后10个工作日内，以银行转账方式向供应商支付货款。供应商须按时足额提供发票及相关票据，否则采购人有权拒绝付款而不构成违约。供应商开具的发票必须真实、合法、有效，如供应商提供虚假发票，由此引发的一切责任由供应商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7" w:hRule="atLeast"/>
          <w:jc w:val="center"/>
        </w:trPr>
        <w:tc>
          <w:tcPr>
            <w:tcW w:w="2237" w:type="dxa"/>
            <w:gridSpan w:val="3"/>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配送要求</w:t>
            </w:r>
          </w:p>
        </w:tc>
        <w:tc>
          <w:tcPr>
            <w:tcW w:w="7651" w:type="dxa"/>
            <w:gridSpan w:val="4"/>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供应商必须按照采购人通知的时间、数量、品种、品质要求及协定的价格准时送货，且不得随意增减数量，否则，采购人有权拒收，且承担相应的经济赔偿。如因市场流通问题确实需要变更的，应事先书面申请，并经采购人同意后方可变更。</w:t>
            </w:r>
            <w:r>
              <w:rPr>
                <w:rFonts w:hint="eastAsia" w:ascii="宋体" w:hAnsi="宋体" w:cs="宋体"/>
                <w:color w:val="auto"/>
                <w:kern w:val="0"/>
                <w:szCs w:val="21"/>
              </w:rPr>
              <w:br w:type="textWrapping"/>
            </w:r>
            <w:r>
              <w:rPr>
                <w:rFonts w:hint="eastAsia" w:ascii="宋体" w:hAnsi="宋体" w:cs="宋体"/>
                <w:color w:val="auto"/>
                <w:kern w:val="0"/>
                <w:szCs w:val="21"/>
              </w:rPr>
              <w:t>2、在收到采购人发出订货通知后，供应商最迟在次日上午8时前必须到达采购人指定地点。</w:t>
            </w:r>
            <w:r>
              <w:rPr>
                <w:rFonts w:hint="eastAsia" w:ascii="宋体" w:hAnsi="宋体" w:cs="宋体"/>
                <w:color w:val="auto"/>
                <w:kern w:val="0"/>
                <w:szCs w:val="21"/>
              </w:rPr>
              <w:br w:type="textWrapping"/>
            </w:r>
            <w:r>
              <w:rPr>
                <w:rFonts w:hint="eastAsia" w:ascii="宋体" w:hAnsi="宋体" w:cs="宋体"/>
                <w:color w:val="auto"/>
                <w:kern w:val="0"/>
                <w:szCs w:val="21"/>
              </w:rPr>
              <w:t>3、除客观不可抗力外，供应商不得推迟送货。如确需延迟送货，供应商应在得知情况的同时告知采购人并征得采购人的同意。除此之外，供应商如送货迟到超过30分钟，可扣罚当天总货款的 10%，若超过60分钟，可扣罚当天总货款的 20%，三次以上，采购人有权单方解除合同。</w:t>
            </w:r>
            <w:r>
              <w:rPr>
                <w:rFonts w:hint="eastAsia" w:ascii="宋体" w:hAnsi="宋体" w:cs="宋体"/>
                <w:color w:val="auto"/>
                <w:kern w:val="0"/>
                <w:szCs w:val="21"/>
              </w:rPr>
              <w:br w:type="textWrapping"/>
            </w:r>
            <w:r>
              <w:rPr>
                <w:rFonts w:hint="eastAsia" w:ascii="宋体" w:hAnsi="宋体" w:cs="宋体"/>
                <w:color w:val="auto"/>
                <w:kern w:val="0"/>
                <w:szCs w:val="21"/>
              </w:rPr>
              <w:t>4、紧急供货要求：在收到采购人发出紧急供货通知后，供应商最迟2小时内完成当次现场供货。</w:t>
            </w:r>
            <w:r>
              <w:rPr>
                <w:rFonts w:hint="eastAsia" w:ascii="宋体" w:hAnsi="宋体" w:cs="宋体"/>
                <w:color w:val="auto"/>
                <w:kern w:val="0"/>
                <w:szCs w:val="21"/>
              </w:rPr>
              <w:br w:type="textWrapping"/>
            </w:r>
            <w:r>
              <w:rPr>
                <w:rFonts w:hint="eastAsia" w:ascii="宋体" w:hAnsi="宋体" w:cs="宋体"/>
                <w:color w:val="auto"/>
                <w:kern w:val="0"/>
                <w:szCs w:val="21"/>
              </w:rPr>
              <w:t>5、供应商必须在双方约定的时间内将货物送到采购人指定的地点，运输费用由供应商承担，如出现不合格、损坏的情况，由供应商负责及时调换，并于2小时内送达指定地点。</w:t>
            </w:r>
            <w:r>
              <w:rPr>
                <w:rFonts w:hint="eastAsia" w:ascii="宋体" w:hAnsi="宋体" w:cs="宋体"/>
                <w:color w:val="auto"/>
                <w:kern w:val="0"/>
                <w:szCs w:val="21"/>
              </w:rPr>
              <w:br w:type="textWrapping"/>
            </w:r>
            <w:r>
              <w:rPr>
                <w:rFonts w:hint="eastAsia" w:ascii="宋体" w:hAnsi="宋体" w:cs="宋体"/>
                <w:color w:val="auto"/>
                <w:kern w:val="0"/>
                <w:szCs w:val="21"/>
              </w:rPr>
              <w:t>6、供应商必须由有健康证的固定人员及车辆长期送货</w:t>
            </w:r>
            <w:r>
              <w:rPr>
                <w:rFonts w:hint="eastAsia" w:ascii="宋体" w:hAnsi="宋体" w:cs="宋体"/>
                <w:color w:val="auto"/>
                <w:szCs w:val="21"/>
              </w:rPr>
              <w:t>（本项目至少配备1名固定人员和1辆货车）</w:t>
            </w:r>
            <w:r>
              <w:rPr>
                <w:rFonts w:hint="eastAsia" w:ascii="宋体" w:hAnsi="宋体" w:cs="宋体"/>
                <w:color w:val="auto"/>
                <w:kern w:val="0"/>
                <w:szCs w:val="21"/>
              </w:rPr>
              <w:t>，且必须穿着便于辨认的工衣和配戴胸卡，在办理好进入监区相关手续后不得变动，如临时非固定人员送货，须取得采购人同意。送货专员在采购人单位活动必须严格遵守采购人单位各项规章制度，不得做出有损采购人形象和利益的事情。</w:t>
            </w:r>
            <w:r>
              <w:rPr>
                <w:rFonts w:hint="eastAsia" w:ascii="宋体" w:hAnsi="宋体" w:cs="宋体"/>
                <w:b/>
                <w:bCs/>
                <w:color w:val="auto"/>
                <w:szCs w:val="21"/>
              </w:rPr>
              <w:t>【响应中必须提供固定人员有效期内的身份证复印件、有效的健康证复印件、有效的无犯罪记录证明复印件及供应商为其缴纳的2026年1月份以来任意1个月社保证明或劳动/劳务合同复印件，以及拟配备车辆（不含轿车或客车）须提供有效年检期内的《机动车行驶证》或机动车登记证复印件、彩色照片（如配送车辆为投标人租赁的，提供有效年检期内的《机动车行驶证》复印件、车辆租赁协议复印件、彩色照片；如供应商承诺成交后聘请固定人员、购买或租赁相应车辆的，则提供相应承诺函，并加盖供应商公章】</w:t>
            </w:r>
            <w:r>
              <w:rPr>
                <w:rFonts w:hint="eastAsia" w:ascii="宋体" w:hAnsi="宋体" w:cs="宋体"/>
                <w:b/>
                <w:bCs/>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25" w:hRule="atLeast"/>
          <w:jc w:val="center"/>
        </w:trPr>
        <w:tc>
          <w:tcPr>
            <w:tcW w:w="2237" w:type="dxa"/>
            <w:gridSpan w:val="3"/>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售后服务要求</w:t>
            </w:r>
          </w:p>
        </w:tc>
        <w:tc>
          <w:tcPr>
            <w:tcW w:w="7651" w:type="dxa"/>
            <w:gridSpan w:val="4"/>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1、按照国家有关产品“三包”规定执行“三包”。</w:t>
            </w:r>
            <w:r>
              <w:rPr>
                <w:rFonts w:hint="eastAsia" w:ascii="宋体" w:hAnsi="宋体" w:cs="宋体"/>
                <w:color w:val="auto"/>
                <w:kern w:val="0"/>
                <w:szCs w:val="21"/>
              </w:rPr>
              <w:br w:type="textWrapping"/>
            </w:r>
            <w:r>
              <w:rPr>
                <w:rFonts w:hint="eastAsia" w:ascii="宋体" w:hAnsi="宋体" w:cs="宋体"/>
                <w:color w:val="auto"/>
                <w:kern w:val="0"/>
                <w:szCs w:val="21"/>
              </w:rPr>
              <w:t>2、免费送货上门。</w:t>
            </w:r>
            <w:r>
              <w:rPr>
                <w:rFonts w:hint="eastAsia" w:ascii="宋体" w:hAnsi="宋体" w:cs="宋体"/>
                <w:color w:val="auto"/>
                <w:kern w:val="0"/>
                <w:szCs w:val="21"/>
              </w:rPr>
              <w:br w:type="textWrapping"/>
            </w:r>
            <w:r>
              <w:rPr>
                <w:rFonts w:hint="eastAsia" w:ascii="宋体" w:hAnsi="宋体" w:cs="宋体"/>
                <w:color w:val="auto"/>
                <w:kern w:val="0"/>
                <w:szCs w:val="21"/>
              </w:rPr>
              <w:t>3、保质保量，如在质保期内发现质量问题，供应商必须在接到采购人通知后1小时内到达现场处理，如属质量问题的及时给予更换。</w:t>
            </w:r>
            <w:r>
              <w:rPr>
                <w:rFonts w:hint="eastAsia" w:ascii="宋体" w:hAnsi="宋体" w:cs="宋体"/>
                <w:color w:val="auto"/>
                <w:kern w:val="0"/>
                <w:szCs w:val="21"/>
              </w:rPr>
              <w:br w:type="textWrapping"/>
            </w:r>
            <w:r>
              <w:rPr>
                <w:rFonts w:hint="eastAsia" w:ascii="宋体" w:hAnsi="宋体" w:cs="宋体"/>
                <w:color w:val="auto"/>
                <w:kern w:val="0"/>
                <w:szCs w:val="21"/>
              </w:rPr>
              <w:t>4、关于发生不按要求配送（不准时、质量不符）等情况，退货，达到三次以上采购人有权解除合同，并要求供应商赔偿采购人因此而产生的损失。</w:t>
            </w:r>
            <w:r>
              <w:rPr>
                <w:rFonts w:hint="eastAsia" w:ascii="宋体" w:hAnsi="宋体" w:cs="宋体"/>
                <w:color w:val="auto"/>
                <w:kern w:val="0"/>
                <w:szCs w:val="21"/>
              </w:rPr>
              <w:br w:type="textWrapping"/>
            </w:r>
            <w:r>
              <w:rPr>
                <w:rFonts w:hint="eastAsia" w:ascii="宋体" w:hAnsi="宋体" w:cs="宋体"/>
                <w:color w:val="auto"/>
                <w:kern w:val="0"/>
                <w:szCs w:val="21"/>
              </w:rPr>
              <w:t>5、每批次成交人无法按规定时间交货，采购人从其他地方进行临时应急补货的， 产生的相关成本及费用由成交人负责。</w:t>
            </w:r>
            <w:r>
              <w:rPr>
                <w:rFonts w:hint="eastAsia" w:ascii="宋体" w:hAnsi="宋体" w:cs="宋体"/>
                <w:color w:val="auto"/>
                <w:kern w:val="0"/>
                <w:szCs w:val="21"/>
              </w:rPr>
              <w:br w:type="textWrapping"/>
            </w:r>
            <w:r>
              <w:rPr>
                <w:rFonts w:hint="eastAsia" w:ascii="宋体" w:hAnsi="宋体" w:cs="宋体"/>
                <w:color w:val="auto"/>
                <w:kern w:val="0"/>
                <w:szCs w:val="21"/>
              </w:rPr>
              <w:t>6、供应商若违反采购人相关管理规定，包括违规携带或者传递违禁物品等，采购人有权立即解除合同。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754" w:hRule="atLeast"/>
          <w:jc w:val="center"/>
        </w:trPr>
        <w:tc>
          <w:tcPr>
            <w:tcW w:w="2237" w:type="dxa"/>
            <w:gridSpan w:val="3"/>
            <w:shd w:val="clear" w:color="auto" w:fill="auto"/>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其他要求</w:t>
            </w:r>
          </w:p>
        </w:tc>
        <w:tc>
          <w:tcPr>
            <w:tcW w:w="7651" w:type="dxa"/>
            <w:gridSpan w:val="4"/>
            <w:shd w:val="clear" w:color="auto" w:fill="auto"/>
            <w:tcMar>
              <w:top w:w="15" w:type="dxa"/>
              <w:left w:w="15" w:type="dxa"/>
              <w:right w:w="15" w:type="dxa"/>
            </w:tcMar>
            <w:vAlign w:val="center"/>
          </w:tcPr>
          <w:p>
            <w:pPr>
              <w:widowControl/>
              <w:numPr>
                <w:ilvl w:val="0"/>
                <w:numId w:val="6"/>
              </w:numPr>
              <w:jc w:val="left"/>
              <w:textAlignment w:val="center"/>
              <w:rPr>
                <w:rFonts w:ascii="宋体" w:hAnsi="宋体" w:cs="宋体"/>
                <w:color w:val="auto"/>
                <w:kern w:val="0"/>
                <w:szCs w:val="21"/>
              </w:rPr>
            </w:pPr>
            <w:r>
              <w:rPr>
                <w:rFonts w:hint="eastAsia" w:ascii="宋体" w:hAnsi="宋体" w:cs="宋体"/>
                <w:color w:val="auto"/>
                <w:kern w:val="0"/>
                <w:szCs w:val="21"/>
              </w:rPr>
              <w:t>供应商提供的货物必须是具有合法销售途径的、完整、新鲜合格产品。货物的技术质量必须符合中华人民共和国农产品质量安全法等有关规定。</w:t>
            </w:r>
            <w:r>
              <w:rPr>
                <w:rFonts w:hint="eastAsia" w:ascii="宋体" w:hAnsi="宋体" w:cs="宋体"/>
                <w:color w:val="auto"/>
                <w:kern w:val="0"/>
                <w:szCs w:val="21"/>
              </w:rPr>
              <w:br w:type="textWrapping"/>
            </w:r>
            <w:r>
              <w:rPr>
                <w:rFonts w:hint="eastAsia" w:ascii="宋体" w:hAnsi="宋体" w:cs="宋体"/>
                <w:color w:val="auto"/>
                <w:kern w:val="0"/>
                <w:szCs w:val="21"/>
              </w:rPr>
              <w:t>2、供应商要遵守采购人的防疫采购要求。</w:t>
            </w:r>
            <w:r>
              <w:rPr>
                <w:rFonts w:hint="eastAsia" w:ascii="宋体" w:hAnsi="宋体" w:cs="宋体"/>
                <w:color w:val="auto"/>
                <w:kern w:val="0"/>
                <w:szCs w:val="21"/>
              </w:rPr>
              <w:br w:type="textWrapping"/>
            </w:r>
            <w:r>
              <w:rPr>
                <w:rFonts w:hint="eastAsia" w:ascii="宋体" w:hAnsi="宋体" w:cs="宋体"/>
                <w:color w:val="auto"/>
                <w:kern w:val="0"/>
                <w:szCs w:val="21"/>
              </w:rPr>
              <w:t>3、供货时，供应商必须提供以下证明文件：</w:t>
            </w:r>
            <w:r>
              <w:rPr>
                <w:rFonts w:hint="eastAsia" w:ascii="宋体" w:hAnsi="宋体" w:cs="宋体"/>
                <w:color w:val="auto"/>
                <w:kern w:val="0"/>
                <w:szCs w:val="21"/>
              </w:rPr>
              <w:br w:type="textWrapping"/>
            </w:r>
            <w:r>
              <w:rPr>
                <w:rFonts w:hint="eastAsia" w:ascii="宋体" w:hAnsi="宋体" w:cs="宋体"/>
                <w:color w:val="auto"/>
                <w:kern w:val="0"/>
                <w:szCs w:val="21"/>
              </w:rPr>
              <w:t>（1）</w:t>
            </w:r>
            <w:r>
              <w:rPr>
                <w:rFonts w:hint="eastAsia"/>
                <w:color w:val="auto"/>
              </w:rPr>
              <w:t>技术要求有写明的，</w:t>
            </w:r>
            <w:r>
              <w:rPr>
                <w:rFonts w:hint="eastAsia" w:ascii="宋体" w:hAnsi="宋体" w:cs="宋体"/>
                <w:color w:val="auto"/>
                <w:kern w:val="0"/>
                <w:szCs w:val="21"/>
              </w:rPr>
              <w:t>每批货物必须提供相关的质量安全检验合格证明。</w:t>
            </w:r>
            <w:r>
              <w:rPr>
                <w:rFonts w:hint="eastAsia" w:ascii="宋体" w:hAnsi="宋体" w:cs="宋体"/>
                <w:color w:val="auto"/>
                <w:kern w:val="0"/>
                <w:szCs w:val="21"/>
              </w:rPr>
              <w:br w:type="textWrapping"/>
            </w:r>
            <w:r>
              <w:rPr>
                <w:rFonts w:hint="eastAsia" w:ascii="宋体" w:hAnsi="宋体" w:cs="宋体"/>
                <w:color w:val="auto"/>
                <w:kern w:val="0"/>
                <w:szCs w:val="21"/>
              </w:rPr>
              <w:t>（2）供应商每次随货物送上一式两份的送货清单，经双方验收合格后签字确认，双方各执一份，作为送收货凭证。供应商的送货清单必须详细注明商品的单价、数量，送货清单不得涂改。标记不清的，采购人将拒绝签收。结算期末供应商还应提供送货清单供采购人结算。</w:t>
            </w:r>
            <w:r>
              <w:rPr>
                <w:rFonts w:hint="eastAsia" w:ascii="宋体" w:hAnsi="宋体" w:cs="宋体"/>
                <w:color w:val="auto"/>
                <w:kern w:val="0"/>
                <w:szCs w:val="21"/>
              </w:rPr>
              <w:br w:type="textWrapping"/>
            </w:r>
            <w:r>
              <w:rPr>
                <w:rFonts w:hint="eastAsia" w:ascii="宋体" w:hAnsi="宋体" w:cs="宋体"/>
                <w:color w:val="auto"/>
                <w:kern w:val="0"/>
                <w:szCs w:val="21"/>
              </w:rPr>
              <w:t>4、交货验收必须由采购人和供应商共同进行，采购人如认为有需要的，可委托相关检验部门对产品进行抽检，自检或检验部门抽检不合格的不给予验收，影响采购人实施进度的将追究相关责任，抽检所产生的费用全部由供应商负责。</w:t>
            </w:r>
            <w:r>
              <w:rPr>
                <w:rFonts w:hint="eastAsia" w:ascii="宋体" w:hAnsi="宋体" w:cs="宋体"/>
                <w:color w:val="auto"/>
                <w:kern w:val="0"/>
                <w:szCs w:val="21"/>
              </w:rPr>
              <w:br w:type="textWrapping"/>
            </w:r>
            <w:r>
              <w:rPr>
                <w:rFonts w:hint="eastAsia" w:ascii="宋体" w:hAnsi="宋体" w:cs="宋体"/>
                <w:color w:val="auto"/>
                <w:kern w:val="0"/>
                <w:szCs w:val="21"/>
              </w:rPr>
              <w:t>5、验收工作的一般程序为：根据货物采购清单的具体要求，对所购名称进行清点、外观检查进行实测，并逐项记录。检测结束后，验收人员在验收单上签字。对未能通过验收的，一律退货、更换直至验收合格。</w:t>
            </w:r>
            <w:r>
              <w:rPr>
                <w:rFonts w:hint="eastAsia" w:ascii="宋体" w:hAnsi="宋体" w:cs="宋体"/>
                <w:color w:val="auto"/>
                <w:kern w:val="0"/>
                <w:szCs w:val="21"/>
              </w:rPr>
              <w:br w:type="textWrapping"/>
            </w:r>
            <w:r>
              <w:rPr>
                <w:rFonts w:hint="eastAsia" w:ascii="宋体" w:hAnsi="宋体" w:cs="宋体"/>
                <w:color w:val="auto"/>
                <w:kern w:val="0"/>
                <w:szCs w:val="21"/>
              </w:rPr>
              <w:t>6、肉类和蔬菜类可以调价，其他类产品不调价。竞标报价按竞标折扣系数报价，供货和定价方式：由于随着季节交替，存在市场价格变动，采用定额统筹供货和上限价弹性议价机制,采购单价=基准单价×竞标报价折扣系数。合同签订之日起3个月（90天）价格不予调整，往后对市场价格变动幅度超过±10%的商品价格，双方各可申请一次调整。由供应商或者采购人提出调价调整申请，由采购人在采购人所在地以询价方式，选择不少于3家具有代表性的调查对象开展市场价格调查，拟定调整价格经采购人招标工作小组复核，报采购人党委审定，方可调整价格，确定基准单价。实行基准单价调整后，采购单价为变动后的基准单价×竞标报价折扣系数（如上级部门出台新的政策文件按新的政策文件执行）。</w:t>
            </w:r>
            <w:r>
              <w:rPr>
                <w:rFonts w:hint="eastAsia" w:ascii="宋体" w:hAnsi="宋体" w:cs="宋体"/>
                <w:color w:val="auto"/>
                <w:kern w:val="0"/>
                <w:szCs w:val="21"/>
              </w:rPr>
              <w:br w:type="textWrapping"/>
            </w:r>
            <w:r>
              <w:rPr>
                <w:rFonts w:hint="eastAsia" w:ascii="宋体" w:hAnsi="宋体" w:cs="宋体"/>
                <w:color w:val="auto"/>
                <w:kern w:val="0"/>
                <w:szCs w:val="21"/>
              </w:rPr>
              <w:t>7、供应商不得泄露采购人的</w:t>
            </w:r>
            <w:r>
              <w:rPr>
                <w:rFonts w:hint="eastAsia" w:ascii="宋体" w:hAnsi="宋体" w:cs="宋体"/>
                <w:color w:val="auto"/>
                <w:szCs w:val="21"/>
              </w:rPr>
              <w:t>工作秘密及内部敏感信息</w:t>
            </w:r>
            <w:r>
              <w:rPr>
                <w:rFonts w:hint="eastAsia" w:ascii="宋体" w:hAnsi="宋体" w:cs="宋体"/>
                <w:color w:val="auto"/>
                <w:kern w:val="0"/>
                <w:szCs w:val="21"/>
              </w:rPr>
              <w:t>。泄密造成采购人损失的，供应商将承担由此产生的一切损失和法律责任，</w:t>
            </w:r>
            <w:r>
              <w:rPr>
                <w:rFonts w:hint="eastAsia" w:ascii="宋体" w:hAnsi="宋体" w:cs="宋体"/>
                <w:b/>
                <w:bCs/>
                <w:color w:val="auto"/>
                <w:kern w:val="0"/>
                <w:szCs w:val="21"/>
              </w:rPr>
              <w:t>供应商必须在响应文件中单独提供承诺函，并由法定代表人（负责人）签字</w:t>
            </w:r>
            <w:r>
              <w:rPr>
                <w:rFonts w:hint="eastAsia" w:ascii="宋体" w:hAnsi="宋体" w:cs="宋体"/>
                <w:b/>
                <w:bCs/>
                <w:color w:val="auto"/>
                <w:szCs w:val="21"/>
              </w:rPr>
              <w:t>（或盖个人印章）</w:t>
            </w:r>
            <w:r>
              <w:rPr>
                <w:rFonts w:hint="eastAsia" w:ascii="宋体" w:hAnsi="宋体" w:cs="宋体"/>
                <w:b/>
                <w:bCs/>
                <w:color w:val="auto"/>
                <w:kern w:val="0"/>
                <w:szCs w:val="21"/>
              </w:rPr>
              <w:t>并加盖供应商公章（格式自拟）</w:t>
            </w:r>
            <w:r>
              <w:rPr>
                <w:rFonts w:hint="eastAsia" w:ascii="宋体" w:hAnsi="宋体" w:cs="宋体"/>
                <w:color w:val="auto"/>
                <w:kern w:val="0"/>
                <w:szCs w:val="21"/>
              </w:rPr>
              <w:t>。</w:t>
            </w:r>
            <w:r>
              <w:rPr>
                <w:rFonts w:hint="eastAsia" w:ascii="宋体" w:hAnsi="宋体" w:cs="宋体"/>
                <w:color w:val="auto"/>
                <w:kern w:val="0"/>
                <w:szCs w:val="21"/>
              </w:rPr>
              <w:br w:type="textWrapping"/>
            </w:r>
            <w:r>
              <w:rPr>
                <w:rFonts w:hint="eastAsia" w:ascii="宋体" w:hAnsi="宋体" w:cs="宋体"/>
                <w:color w:val="auto"/>
                <w:kern w:val="0"/>
                <w:szCs w:val="21"/>
              </w:rPr>
              <w:t>8、及时落实采购人安排的食材突击供应任务。</w:t>
            </w:r>
            <w:r>
              <w:rPr>
                <w:rFonts w:hint="eastAsia" w:ascii="宋体" w:hAnsi="宋体" w:cs="宋体"/>
                <w:color w:val="auto"/>
                <w:kern w:val="0"/>
                <w:szCs w:val="21"/>
              </w:rPr>
              <w:br w:type="textWrapping"/>
            </w:r>
            <w:r>
              <w:rPr>
                <w:rFonts w:hint="eastAsia" w:ascii="宋体" w:hAnsi="宋体" w:cs="宋体"/>
                <w:color w:val="auto"/>
                <w:kern w:val="0"/>
                <w:szCs w:val="21"/>
              </w:rPr>
              <w:t>9、安全责任方面要求</w:t>
            </w:r>
            <w:r>
              <w:rPr>
                <w:rFonts w:hint="eastAsia" w:ascii="宋体" w:hAnsi="宋体" w:cs="宋体"/>
                <w:color w:val="auto"/>
                <w:kern w:val="0"/>
                <w:szCs w:val="21"/>
              </w:rPr>
              <w:br w:type="textWrapping"/>
            </w:r>
            <w:r>
              <w:rPr>
                <w:rFonts w:hint="eastAsia" w:ascii="宋体" w:hAnsi="宋体" w:cs="宋体"/>
                <w:color w:val="auto"/>
                <w:kern w:val="0"/>
                <w:szCs w:val="21"/>
              </w:rPr>
              <w:t>1）供应商应保证所提供的的食品必须是合格安全的食品，因其所送的食品造成食物中毒等事故，立即终止合同，供应商应承担全部责任，同时通过法律途径解决。</w:t>
            </w:r>
            <w:r>
              <w:rPr>
                <w:rFonts w:hint="eastAsia" w:ascii="宋体" w:hAnsi="宋体" w:cs="宋体"/>
                <w:color w:val="auto"/>
                <w:kern w:val="0"/>
                <w:szCs w:val="21"/>
              </w:rPr>
              <w:br w:type="textWrapping"/>
            </w:r>
            <w:r>
              <w:rPr>
                <w:rFonts w:hint="eastAsia" w:ascii="宋体" w:hAnsi="宋体" w:cs="宋体"/>
                <w:color w:val="auto"/>
                <w:kern w:val="0"/>
                <w:szCs w:val="21"/>
              </w:rPr>
              <w:t>2）供应商应严格遵守《中华人民共和国食品安全法》、《中华人民共和国食品安全法实施条例》等相关规定，一经发现以下食品，除全部退货外，将取消供货资格，供应商并承担由此造成的经济责任和法律责任：</w:t>
            </w:r>
            <w:r>
              <w:rPr>
                <w:rFonts w:hint="eastAsia" w:ascii="宋体" w:hAnsi="宋体" w:cs="宋体"/>
                <w:color w:val="auto"/>
                <w:kern w:val="0"/>
                <w:szCs w:val="21"/>
              </w:rPr>
              <w:br w:type="textWrapping"/>
            </w:r>
            <w:r>
              <w:rPr>
                <w:rFonts w:hint="eastAsia" w:ascii="宋体" w:hAnsi="宋体" w:cs="宋体"/>
                <w:color w:val="auto"/>
                <w:kern w:val="0"/>
                <w:szCs w:val="21"/>
              </w:rPr>
              <w:t>①食材没有合法供货来源的；</w:t>
            </w:r>
            <w:r>
              <w:rPr>
                <w:rFonts w:hint="eastAsia" w:ascii="宋体" w:hAnsi="宋体" w:cs="宋体"/>
                <w:color w:val="auto"/>
                <w:kern w:val="0"/>
                <w:szCs w:val="21"/>
              </w:rPr>
              <w:br w:type="textWrapping"/>
            </w:r>
            <w:r>
              <w:rPr>
                <w:rFonts w:hint="eastAsia" w:ascii="宋体" w:hAnsi="宋体" w:cs="宋体"/>
                <w:color w:val="auto"/>
                <w:kern w:val="0"/>
                <w:szCs w:val="21"/>
              </w:rPr>
              <w:t>②腐败变质、霉变、生虫、污秽不洁、混有异物或者其他感官性状异常，对人体健康有害的；</w:t>
            </w:r>
            <w:r>
              <w:rPr>
                <w:rFonts w:hint="eastAsia" w:ascii="宋体" w:hAnsi="宋体" w:cs="宋体"/>
                <w:color w:val="auto"/>
                <w:kern w:val="0"/>
                <w:szCs w:val="21"/>
              </w:rPr>
              <w:br w:type="textWrapping"/>
            </w:r>
            <w:r>
              <w:rPr>
                <w:rFonts w:hint="eastAsia" w:ascii="宋体" w:hAnsi="宋体" w:cs="宋体"/>
                <w:color w:val="auto"/>
                <w:kern w:val="0"/>
                <w:szCs w:val="21"/>
              </w:rPr>
              <w:t>③含有毒、有害物质或者被有害物质污染，对人体健康有害的；</w:t>
            </w:r>
            <w:r>
              <w:rPr>
                <w:rFonts w:hint="eastAsia" w:ascii="宋体" w:hAnsi="宋体" w:cs="宋体"/>
                <w:color w:val="auto"/>
                <w:kern w:val="0"/>
                <w:szCs w:val="21"/>
              </w:rPr>
              <w:br w:type="textWrapping"/>
            </w:r>
            <w:r>
              <w:rPr>
                <w:rFonts w:hint="eastAsia" w:ascii="宋体" w:hAnsi="宋体" w:cs="宋体"/>
                <w:color w:val="auto"/>
                <w:kern w:val="0"/>
                <w:szCs w:val="21"/>
              </w:rPr>
              <w:t>④含有致病性寄生虫、微生物或者微生物含量超过国家限定标准的；</w:t>
            </w:r>
            <w:r>
              <w:rPr>
                <w:rFonts w:hint="eastAsia" w:ascii="宋体" w:hAnsi="宋体" w:cs="宋体"/>
                <w:color w:val="auto"/>
                <w:kern w:val="0"/>
                <w:szCs w:val="21"/>
              </w:rPr>
              <w:br w:type="textWrapping"/>
            </w:r>
            <w:r>
              <w:rPr>
                <w:rFonts w:hint="eastAsia" w:ascii="宋体" w:hAnsi="宋体" w:cs="宋体"/>
                <w:color w:val="auto"/>
                <w:kern w:val="0"/>
                <w:szCs w:val="21"/>
              </w:rPr>
              <w:t>⑤未经检疫部门检疫、检验或者检疫、检验不合格的食材；</w:t>
            </w:r>
            <w:r>
              <w:rPr>
                <w:rFonts w:hint="eastAsia" w:ascii="宋体" w:hAnsi="宋体" w:cs="宋体"/>
                <w:color w:val="auto"/>
                <w:kern w:val="0"/>
                <w:szCs w:val="21"/>
              </w:rPr>
              <w:br w:type="textWrapping"/>
            </w:r>
            <w:r>
              <w:rPr>
                <w:rFonts w:hint="eastAsia" w:ascii="宋体" w:hAnsi="宋体" w:cs="宋体"/>
                <w:color w:val="auto"/>
                <w:kern w:val="0"/>
                <w:szCs w:val="21"/>
              </w:rPr>
              <w:t>⑥掺假、掺杂、伪造，影响营养、卫生的；</w:t>
            </w:r>
          </w:p>
          <w:p>
            <w:pPr>
              <w:widowControl/>
              <w:jc w:val="left"/>
              <w:textAlignment w:val="center"/>
              <w:rPr>
                <w:rFonts w:ascii="宋体" w:hAnsi="宋体" w:cs="宋体"/>
                <w:color w:val="auto"/>
                <w:szCs w:val="21"/>
              </w:rPr>
            </w:pPr>
            <w:r>
              <w:rPr>
                <w:rFonts w:hint="eastAsia" w:ascii="宋体" w:hAnsi="宋体" w:cs="宋体"/>
                <w:color w:val="auto"/>
                <w:kern w:val="0"/>
                <w:szCs w:val="21"/>
              </w:rPr>
              <w:t>⑦病死、毒死或者死因不明的禽畜类。</w:t>
            </w:r>
            <w:r>
              <w:rPr>
                <w:rFonts w:hint="eastAsia" w:ascii="宋体" w:hAnsi="宋体" w:cs="宋体"/>
                <w:color w:val="auto"/>
                <w:kern w:val="0"/>
                <w:szCs w:val="21"/>
              </w:rPr>
              <w:br w:type="textWrapping"/>
            </w:r>
            <w:r>
              <w:rPr>
                <w:rFonts w:hint="eastAsia" w:ascii="宋体" w:hAnsi="宋体" w:cs="宋体"/>
                <w:color w:val="auto"/>
                <w:kern w:val="0"/>
                <w:szCs w:val="21"/>
              </w:rPr>
              <w:t>10、</w:t>
            </w:r>
            <w:r>
              <w:rPr>
                <w:rFonts w:hint="eastAsia" w:ascii="宋体" w:hAnsi="宋体" w:cs="宋体"/>
                <w:b/>
                <w:bCs/>
                <w:color w:val="auto"/>
                <w:kern w:val="0"/>
                <w:szCs w:val="21"/>
              </w:rPr>
              <w:t>成交供应商在签订合同后5个工作日内，须向采购人提供购买《食品安全责任保险》的证明材料。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0" w:hRule="atLeast"/>
          <w:jc w:val="center"/>
        </w:trPr>
        <w:tc>
          <w:tcPr>
            <w:tcW w:w="9888" w:type="dxa"/>
            <w:gridSpan w:val="7"/>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b/>
                <w:bCs/>
                <w:color w:val="auto"/>
                <w:kern w:val="0"/>
                <w:szCs w:val="21"/>
              </w:rPr>
              <w:t>三、进口产品说明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8" w:hRule="atLeast"/>
          <w:jc w:val="center"/>
        </w:trPr>
        <w:tc>
          <w:tcPr>
            <w:tcW w:w="9888" w:type="dxa"/>
            <w:gridSpan w:val="7"/>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本标项货物不接受进口产品竞标（即通过中国海关报关验放进入中国境内且产自关境外的产品），如有此类产品参与竞标的，响应文件按无效响应处理。</w:t>
            </w:r>
          </w:p>
        </w:tc>
      </w:tr>
      <w:bookmarkEnd w:id="97"/>
    </w:tbl>
    <w:p>
      <w:pPr>
        <w:pStyle w:val="9"/>
        <w:spacing w:line="360" w:lineRule="auto"/>
        <w:jc w:val="left"/>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标项二: 2026-2027年食堂运转经费项目食材采购（B分标）</w:t>
      </w:r>
    </w:p>
    <w:tbl>
      <w:tblPr>
        <w:tblStyle w:val="24"/>
        <w:tblW w:w="102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0"/>
        <w:gridCol w:w="1500"/>
        <w:gridCol w:w="927"/>
        <w:gridCol w:w="987"/>
        <w:gridCol w:w="722"/>
        <w:gridCol w:w="3047"/>
        <w:gridCol w:w="1539"/>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2" w:hRule="atLeast"/>
          <w:jc w:val="center"/>
        </w:trPr>
        <w:tc>
          <w:tcPr>
            <w:tcW w:w="10263" w:type="dxa"/>
            <w:gridSpan w:val="8"/>
            <w:shd w:val="clear" w:color="auto" w:fill="auto"/>
            <w:tcMar>
              <w:top w:w="15" w:type="dxa"/>
              <w:left w:w="15" w:type="dxa"/>
              <w:right w:w="15" w:type="dxa"/>
            </w:tcMar>
            <w:vAlign w:val="center"/>
          </w:tcPr>
          <w:p>
            <w:pPr>
              <w:pStyle w:val="9"/>
              <w:spacing w:line="360" w:lineRule="auto"/>
              <w:rPr>
                <w:rFonts w:ascii="宋体" w:hAnsi="宋体" w:cs="宋体"/>
                <w:b/>
                <w:color w:val="auto"/>
                <w:szCs w:val="21"/>
              </w:rPr>
            </w:pPr>
            <w:r>
              <w:rPr>
                <w:rFonts w:hint="eastAsia" w:asciiTheme="minorEastAsia" w:hAnsiTheme="minorEastAsia" w:eastAsiaTheme="minorEastAsia"/>
                <w:b/>
                <w:color w:val="auto"/>
                <w:szCs w:val="21"/>
              </w:rPr>
              <w:t>一、采购需求表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2" w:hRule="atLeast"/>
          <w:jc w:val="center"/>
        </w:trPr>
        <w:tc>
          <w:tcPr>
            <w:tcW w:w="65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序号</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标的名称</w:t>
            </w:r>
          </w:p>
        </w:tc>
        <w:tc>
          <w:tcPr>
            <w:tcW w:w="92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参考品牌</w:t>
            </w:r>
          </w:p>
        </w:tc>
        <w:tc>
          <w:tcPr>
            <w:tcW w:w="98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数量</w:t>
            </w:r>
          </w:p>
        </w:tc>
        <w:tc>
          <w:tcPr>
            <w:tcW w:w="722"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单位</w:t>
            </w:r>
          </w:p>
        </w:tc>
        <w:tc>
          <w:tcPr>
            <w:tcW w:w="3047"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技术要求</w:t>
            </w: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b/>
                <w:bCs/>
                <w:color w:val="auto"/>
                <w:kern w:val="0"/>
                <w:szCs w:val="21"/>
              </w:rPr>
            </w:pPr>
            <w:r>
              <w:rPr>
                <w:rFonts w:hint="eastAsia" w:ascii="宋体" w:hAnsi="宋体" w:cs="宋体"/>
                <w:b/>
                <w:bCs/>
                <w:color w:val="auto"/>
                <w:kern w:val="0"/>
                <w:szCs w:val="21"/>
              </w:rPr>
              <w:t>商品规格</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b/>
                <w:color w:val="auto"/>
                <w:kern w:val="0"/>
                <w:szCs w:val="21"/>
              </w:rPr>
            </w:pPr>
            <w:r>
              <w:rPr>
                <w:rFonts w:hint="eastAsia" w:ascii="宋体" w:hAnsi="宋体" w:cs="宋体"/>
                <w:b/>
                <w:color w:val="auto"/>
                <w:kern w:val="0"/>
                <w:szCs w:val="21"/>
              </w:rPr>
              <w:t>基准价格</w:t>
            </w:r>
            <w:r>
              <w:rPr>
                <w:rFonts w:hint="eastAsia" w:cs="宋体" w:asciiTheme="minorEastAsia" w:hAnsiTheme="minorEastAsia" w:eastAsiaTheme="minorEastAsia"/>
                <w:b/>
                <w:bCs/>
                <w:color w:val="auto"/>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原味酸奶</w:t>
            </w:r>
          </w:p>
        </w:tc>
        <w:tc>
          <w:tcPr>
            <w:tcW w:w="927" w:type="dxa"/>
            <w:vMerge w:val="restart"/>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color w:val="auto"/>
                <w:szCs w:val="21"/>
              </w:rPr>
              <w:t>蒙牛、伊利、光明或同档次及以上品牌</w:t>
            </w: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550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restart"/>
            <w:shd w:val="clear" w:color="auto" w:fill="auto"/>
            <w:tcMar>
              <w:top w:w="15" w:type="dxa"/>
              <w:left w:w="15" w:type="dxa"/>
              <w:right w:w="15" w:type="dxa"/>
            </w:tcMar>
          </w:tcPr>
          <w:p>
            <w:pPr>
              <w:widowControl/>
              <w:spacing w:line="360" w:lineRule="auto"/>
              <w:jc w:val="left"/>
              <w:textAlignment w:val="top"/>
              <w:rPr>
                <w:rFonts w:ascii="宋体" w:hAnsi="宋体" w:cs="宋体"/>
                <w:color w:val="auto"/>
                <w:szCs w:val="21"/>
              </w:rPr>
            </w:pPr>
            <w:r>
              <w:rPr>
                <w:rFonts w:hint="eastAsia" w:ascii="宋体" w:hAnsi="宋体" w:cs="宋体"/>
                <w:color w:val="auto"/>
                <w:kern w:val="0"/>
                <w:szCs w:val="21"/>
              </w:rPr>
              <w:t>1、一级品质，正规厂家生产，品质良好，外包装上注明商品名称，配料表，净含量，生产企业名称、地址、生产日期、保质期。</w:t>
            </w:r>
            <w:r>
              <w:rPr>
                <w:rFonts w:hint="eastAsia" w:ascii="宋体" w:hAnsi="宋体" w:cs="宋体"/>
                <w:color w:val="auto"/>
                <w:kern w:val="0"/>
                <w:szCs w:val="21"/>
              </w:rPr>
              <w:br w:type="textWrapping"/>
            </w:r>
            <w:r>
              <w:rPr>
                <w:rFonts w:hint="eastAsia" w:ascii="宋体" w:hAnsi="宋体" w:cs="宋体"/>
                <w:color w:val="auto"/>
                <w:kern w:val="0"/>
                <w:szCs w:val="21"/>
              </w:rPr>
              <w:t>2、无异味、无变色、无杂质、无破损现象，质量符合国家有关质量要求。</w:t>
            </w:r>
            <w:r>
              <w:rPr>
                <w:rFonts w:hint="eastAsia" w:ascii="宋体" w:hAnsi="宋体" w:cs="宋体"/>
                <w:color w:val="auto"/>
                <w:kern w:val="0"/>
                <w:szCs w:val="21"/>
              </w:rPr>
              <w:br w:type="textWrapping"/>
            </w:r>
            <w:r>
              <w:rPr>
                <w:rFonts w:hint="eastAsia" w:ascii="宋体" w:hAnsi="宋体" w:cs="宋体"/>
                <w:color w:val="auto"/>
                <w:kern w:val="0"/>
                <w:szCs w:val="21"/>
              </w:rPr>
              <w:t xml:space="preserve">3、质量达到《中华人民共和国食品安全法》、《中华人民共和国食品安全法实施条例》相关规定并符合行业或国家相关标准。 </w:t>
            </w: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≥205ml/盒×12盒/提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瓶装</w:t>
            </w:r>
            <w:r>
              <w:rPr>
                <w:rFonts w:hint="eastAsia" w:ascii="PingFang SC" w:hAnsi="PingFang SC"/>
                <w:color w:val="auto"/>
                <w:shd w:val="clear" w:color="auto" w:fill="FFFFFF"/>
              </w:rPr>
              <w:t>风味酸奶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550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≥230ml/盒×10瓶/提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黄桃燕麦味酸奶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500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≥200ml/盒×10盒/提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纯牛奶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1800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≥250ml/盒×24盒/提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脱脂奶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≥250ml/盒×24盒/提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高钙奶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≥250ml/盒×24盒/提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无乳糖调制乳</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699</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r>
              <w:rPr>
                <w:rFonts w:hint="eastAsia" w:ascii="宋体" w:hAnsi="宋体" w:cs="宋体"/>
                <w:color w:val="auto"/>
                <w:kern w:val="0"/>
                <w:szCs w:val="21"/>
                <w:lang w:val="en-US" w:eastAsia="zh-CN"/>
              </w:rPr>
              <w:t>2</w:t>
            </w:r>
            <w:r>
              <w:rPr>
                <w:rFonts w:hint="eastAsia" w:ascii="宋体" w:hAnsi="宋体" w:cs="宋体"/>
                <w:color w:val="auto"/>
                <w:kern w:val="0"/>
                <w:szCs w:val="21"/>
              </w:rPr>
              <w:t>0ml/盒×12盒/提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8</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燕麦</w:t>
            </w:r>
            <w:r>
              <w:rPr>
                <w:rFonts w:hint="eastAsia" w:cs="宋体" w:asciiTheme="minorEastAsia" w:hAnsiTheme="minorEastAsia" w:eastAsiaTheme="minorEastAsia"/>
                <w:color w:val="auto"/>
                <w:kern w:val="0"/>
                <w:szCs w:val="21"/>
              </w:rPr>
              <w:t>牛奶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301</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≥200ml/盒×12盒/提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早餐奶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≥250ml/盒×24盒/提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燕麦牛奶（含红谷与黑谷）</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400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≥200ml/盒×12盒/提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11</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有机纯牛奶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1600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≥250ml/盒×10盒/提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含乳饮料（酸甜型）</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401</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≥250ml/盒×24盒/提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13</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水牛纯奶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812</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≥200ml/盒×12盒/提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9"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14</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水牛高钙奶</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50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≥200ml/盒×12盒/提</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4"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15</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凉茶(纸盒装）</w:t>
            </w:r>
          </w:p>
        </w:tc>
        <w:tc>
          <w:tcPr>
            <w:tcW w:w="92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w:t>
            </w: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1000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≥250ml/盒×24盒/提(纸盒装）</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43.50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4"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16</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椰汁(纸盒装）</w:t>
            </w:r>
          </w:p>
        </w:tc>
        <w:tc>
          <w:tcPr>
            <w:tcW w:w="92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w:t>
            </w: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400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≥245ml/盒×24盒/提(纸盒装）</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4"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椰汁（听装)</w:t>
            </w:r>
          </w:p>
        </w:tc>
        <w:tc>
          <w:tcPr>
            <w:tcW w:w="92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w:t>
            </w: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1200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提</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≥245ml/瓶×24瓶/提（听装)</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103.50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1"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18</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椰汁（塑料瓶装）</w:t>
            </w:r>
          </w:p>
        </w:tc>
        <w:tc>
          <w:tcPr>
            <w:tcW w:w="92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szCs w:val="21"/>
              </w:rPr>
              <w:t>/</w:t>
            </w: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400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瓶</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≥1.25L/瓶（塑料瓶装）</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4"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19</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矿泉水（中水）</w:t>
            </w:r>
          </w:p>
        </w:tc>
        <w:tc>
          <w:tcPr>
            <w:tcW w:w="927" w:type="dxa"/>
            <w:vMerge w:val="restart"/>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ascii="PingFang SC" w:hAnsi="PingFang SC"/>
                <w:bCs/>
                <w:color w:val="auto"/>
                <w:szCs w:val="21"/>
              </w:rPr>
              <w:t>农夫山泉</w:t>
            </w:r>
            <w:r>
              <w:rPr>
                <w:rFonts w:hint="eastAsia" w:ascii="PingFang SC" w:hAnsi="PingFang SC"/>
                <w:bCs/>
                <w:color w:val="auto"/>
                <w:szCs w:val="21"/>
              </w:rPr>
              <w:t>、娃哈哈、百岁山</w:t>
            </w:r>
            <w:r>
              <w:rPr>
                <w:rFonts w:hint="eastAsia"/>
                <w:color w:val="auto"/>
                <w:szCs w:val="21"/>
              </w:rPr>
              <w:t>或同档次及以上品牌</w:t>
            </w: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1800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≥550ml/瓶*24瓶/件(中水)</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4"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20</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矿泉水（小水）</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400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≥380ml/瓶*24瓶/件（小水）</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7"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21</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矿泉水（桶装）</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桶</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≥5L/桶</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4" w:hRule="atLeast"/>
          <w:jc w:val="center"/>
        </w:trPr>
        <w:tc>
          <w:tcPr>
            <w:tcW w:w="650"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22</w:t>
            </w:r>
          </w:p>
        </w:tc>
        <w:tc>
          <w:tcPr>
            <w:tcW w:w="1500"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纯净水</w:t>
            </w:r>
          </w:p>
        </w:tc>
        <w:tc>
          <w:tcPr>
            <w:tcW w:w="927" w:type="dxa"/>
            <w:vMerge w:val="continue"/>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p>
        </w:tc>
        <w:tc>
          <w:tcPr>
            <w:tcW w:w="987"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20</w:t>
            </w:r>
          </w:p>
        </w:tc>
        <w:tc>
          <w:tcPr>
            <w:tcW w:w="722"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件</w:t>
            </w:r>
          </w:p>
        </w:tc>
        <w:tc>
          <w:tcPr>
            <w:tcW w:w="3047" w:type="dxa"/>
            <w:vMerge w:val="continue"/>
            <w:shd w:val="clear" w:color="auto" w:fill="auto"/>
            <w:tcMar>
              <w:top w:w="15" w:type="dxa"/>
              <w:left w:w="15" w:type="dxa"/>
              <w:right w:w="15" w:type="dxa"/>
            </w:tcMar>
          </w:tcPr>
          <w:p>
            <w:pPr>
              <w:jc w:val="left"/>
              <w:rPr>
                <w:rFonts w:ascii="宋体" w:hAnsi="宋体" w:cs="宋体"/>
                <w:color w:val="auto"/>
                <w:szCs w:val="21"/>
              </w:rPr>
            </w:pPr>
          </w:p>
        </w:tc>
        <w:tc>
          <w:tcPr>
            <w:tcW w:w="1539" w:type="dxa"/>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≥550ml/瓶*24瓶/件（中水）</w:t>
            </w:r>
          </w:p>
        </w:tc>
        <w:tc>
          <w:tcPr>
            <w:tcW w:w="891" w:type="dxa"/>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2" w:hRule="atLeast"/>
          <w:jc w:val="center"/>
        </w:trPr>
        <w:tc>
          <w:tcPr>
            <w:tcW w:w="10263" w:type="dxa"/>
            <w:gridSpan w:val="8"/>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b/>
                <w:bCs/>
                <w:color w:val="auto"/>
                <w:kern w:val="0"/>
                <w:szCs w:val="21"/>
              </w:rPr>
              <w:t>注：以上采购清单内容为采购人一年的预计采购量。上述采购清单内容仅作为参考，实际采购量根据采购人的实际需求确定，供应商不得因实际供应量与采购清单内容不一致提出异议。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02" w:hRule="atLeast"/>
          <w:jc w:val="center"/>
        </w:trPr>
        <w:tc>
          <w:tcPr>
            <w:tcW w:w="10263" w:type="dxa"/>
            <w:gridSpan w:val="8"/>
            <w:shd w:val="clear" w:color="auto" w:fill="auto"/>
            <w:noWrap/>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55" w:hRule="atLeast"/>
          <w:jc w:val="center"/>
        </w:trPr>
        <w:tc>
          <w:tcPr>
            <w:tcW w:w="2150" w:type="dxa"/>
            <w:gridSpan w:val="2"/>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竞标报价要求</w:t>
            </w:r>
          </w:p>
        </w:tc>
        <w:tc>
          <w:tcPr>
            <w:tcW w:w="8113" w:type="dxa"/>
            <w:gridSpan w:val="6"/>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1、本分标竞标报价按竞标折扣系数（%）报价，报价包括货物及服务采购、检验检测、包装、运输、仓储、人工费等各种费用和售后服务、税金及其它所有成本费用的总和。采购人不再支付任何费用。</w:t>
            </w:r>
            <w:r>
              <w:rPr>
                <w:rFonts w:hint="eastAsia" w:ascii="宋体" w:hAnsi="宋体" w:cs="宋体"/>
                <w:color w:val="auto"/>
                <w:kern w:val="0"/>
                <w:szCs w:val="21"/>
              </w:rPr>
              <w:br w:type="textWrapping"/>
            </w:r>
            <w:r>
              <w:rPr>
                <w:rFonts w:hint="eastAsia" w:ascii="宋体" w:hAnsi="宋体" w:cs="宋体"/>
                <w:color w:val="auto"/>
                <w:kern w:val="0"/>
                <w:szCs w:val="21"/>
              </w:rPr>
              <w:t>2、竞标单价超过第三章《采购需求》列出的基准价格的，其竞标无效。</w:t>
            </w:r>
            <w:r>
              <w:rPr>
                <w:rFonts w:hint="eastAsia" w:ascii="宋体" w:hAnsi="宋体"/>
                <w:color w:val="auto"/>
                <w:szCs w:val="21"/>
              </w:rPr>
              <w:t>【供应商的竞标单价=</w:t>
            </w:r>
            <w:r>
              <w:rPr>
                <w:rFonts w:hint="eastAsia" w:ascii="宋体" w:hAnsi="宋体" w:cs="宋体"/>
                <w:color w:val="auto"/>
                <w:kern w:val="0"/>
                <w:szCs w:val="21"/>
              </w:rPr>
              <w:t>基准价格</w:t>
            </w:r>
            <w:r>
              <w:rPr>
                <w:rFonts w:hint="eastAsia" w:ascii="宋体" w:hAnsi="宋体"/>
                <w:color w:val="auto"/>
                <w:szCs w:val="21"/>
              </w:rPr>
              <w:t>×竞标报价折扣系数】</w:t>
            </w:r>
            <w:r>
              <w:rPr>
                <w:rFonts w:hint="eastAsia" w:ascii="宋体" w:hAnsi="宋体" w:cs="宋体"/>
                <w:color w:val="auto"/>
                <w:kern w:val="0"/>
                <w:szCs w:val="21"/>
              </w:rPr>
              <w:br w:type="textWrapping"/>
            </w:r>
            <w:r>
              <w:rPr>
                <w:rFonts w:hint="eastAsia" w:ascii="宋体" w:hAnsi="宋体" w:cs="宋体"/>
                <w:color w:val="auto"/>
                <w:kern w:val="0"/>
                <w:szCs w:val="21"/>
              </w:rPr>
              <w:t>3、</w:t>
            </w:r>
            <w:r>
              <w:rPr>
                <w:rFonts w:hint="eastAsia" w:asciiTheme="minorEastAsia" w:hAnsiTheme="minorEastAsia" w:eastAsiaTheme="minorEastAsia"/>
                <w:color w:val="auto"/>
                <w:szCs w:val="21"/>
              </w:rPr>
              <w:t>竞标报价范围：</w:t>
            </w:r>
            <w:r>
              <w:rPr>
                <w:rFonts w:hint="eastAsia" w:ascii="宋体" w:hAnsi="宋体" w:cs="宋体" w:eastAsiaTheme="minorEastAsia"/>
                <w:color w:val="auto"/>
                <w:kern w:val="0"/>
                <w:szCs w:val="21"/>
                <w:lang w:eastAsia="zh-CN"/>
              </w:rPr>
              <w:t>竞标报价折扣系数≤100%</w:t>
            </w:r>
            <w:r>
              <w:rPr>
                <w:rFonts w:hint="eastAsia" w:ascii="宋体" w:hAnsi="宋体" w:cs="宋体"/>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3" w:hRule="atLeast"/>
          <w:jc w:val="center"/>
        </w:trPr>
        <w:tc>
          <w:tcPr>
            <w:tcW w:w="2150" w:type="dxa"/>
            <w:gridSpan w:val="2"/>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质保期</w:t>
            </w:r>
          </w:p>
        </w:tc>
        <w:tc>
          <w:tcPr>
            <w:tcW w:w="8113" w:type="dxa"/>
            <w:gridSpan w:val="6"/>
            <w:shd w:val="clear" w:color="auto" w:fill="auto"/>
            <w:noWrap/>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供货时的剩余保质期不少于三分之二。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560" w:hRule="atLeast"/>
          <w:jc w:val="center"/>
        </w:trPr>
        <w:tc>
          <w:tcPr>
            <w:tcW w:w="2150" w:type="dxa"/>
            <w:gridSpan w:val="2"/>
            <w:shd w:val="clear" w:color="auto" w:fill="auto"/>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交货时间及交货地点、合同有效期</w:t>
            </w:r>
          </w:p>
        </w:tc>
        <w:tc>
          <w:tcPr>
            <w:tcW w:w="8113" w:type="dxa"/>
            <w:gridSpan w:val="6"/>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1、交货时间：分批次供货，按采购人采购计划规定的时间供货，如有需求，节假日正常供应，特殊情况双方协商确定。产品运输由成交人负责，运输及卸车费用由成交人承担。</w:t>
            </w:r>
            <w:r>
              <w:rPr>
                <w:rFonts w:hint="eastAsia" w:ascii="宋体" w:hAnsi="宋体" w:cs="宋体"/>
                <w:color w:val="auto"/>
                <w:kern w:val="0"/>
                <w:szCs w:val="21"/>
              </w:rPr>
              <w:br w:type="textWrapping"/>
            </w:r>
            <w:r>
              <w:rPr>
                <w:rFonts w:hint="eastAsia" w:ascii="宋体" w:hAnsi="宋体" w:cs="宋体"/>
                <w:color w:val="auto"/>
                <w:kern w:val="0"/>
                <w:szCs w:val="21"/>
              </w:rPr>
              <w:t>2、交货地点：广西桂林市采购单位指定地点；</w:t>
            </w:r>
            <w:r>
              <w:rPr>
                <w:rFonts w:hint="eastAsia" w:ascii="宋体" w:hAnsi="宋体" w:cs="宋体"/>
                <w:color w:val="auto"/>
                <w:kern w:val="0"/>
                <w:szCs w:val="21"/>
              </w:rPr>
              <w:br w:type="textWrapping"/>
            </w:r>
            <w:r>
              <w:rPr>
                <w:rFonts w:hint="eastAsia" w:ascii="宋体" w:hAnsi="宋体" w:cs="宋体"/>
                <w:color w:val="auto"/>
                <w:kern w:val="0"/>
                <w:szCs w:val="21"/>
              </w:rPr>
              <w:t>3、合同有效期：自签订合同之日起一年。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155" w:hRule="atLeast"/>
          <w:jc w:val="center"/>
        </w:trPr>
        <w:tc>
          <w:tcPr>
            <w:tcW w:w="2150" w:type="dxa"/>
            <w:gridSpan w:val="2"/>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付款条件</w:t>
            </w:r>
          </w:p>
        </w:tc>
        <w:tc>
          <w:tcPr>
            <w:tcW w:w="8113" w:type="dxa"/>
            <w:gridSpan w:val="6"/>
            <w:shd w:val="clear" w:color="auto" w:fill="auto"/>
            <w:tcMar>
              <w:top w:w="15" w:type="dxa"/>
              <w:left w:w="15" w:type="dxa"/>
              <w:right w:w="15" w:type="dxa"/>
            </w:tcMar>
            <w:vAlign w:val="center"/>
          </w:tcPr>
          <w:p>
            <w:pPr>
              <w:widowControl/>
              <w:jc w:val="left"/>
              <w:textAlignment w:val="center"/>
              <w:rPr>
                <w:rFonts w:ascii="宋体" w:hAnsi="宋体" w:cs="宋体"/>
                <w:color w:val="auto"/>
                <w:szCs w:val="21"/>
              </w:rPr>
            </w:pPr>
            <w:r>
              <w:rPr>
                <w:rFonts w:hint="eastAsia" w:ascii="宋体" w:hAnsi="宋体" w:cs="宋体"/>
                <w:color w:val="auto"/>
                <w:kern w:val="0"/>
                <w:szCs w:val="21"/>
              </w:rPr>
              <w:t>1、分批供货，每批次货款根据双方确认的单价及该批次的供货数量进行结算；</w:t>
            </w:r>
            <w:r>
              <w:rPr>
                <w:rFonts w:hint="eastAsia" w:ascii="宋体" w:hAnsi="宋体" w:cs="宋体"/>
                <w:color w:val="auto"/>
                <w:kern w:val="0"/>
                <w:szCs w:val="21"/>
              </w:rPr>
              <w:br w:type="textWrapping"/>
            </w:r>
            <w:r>
              <w:rPr>
                <w:rFonts w:hint="eastAsia" w:ascii="宋体" w:hAnsi="宋体" w:cs="宋体"/>
                <w:color w:val="auto"/>
                <w:kern w:val="0"/>
                <w:szCs w:val="21"/>
              </w:rPr>
              <w:t>2、按月结算，供应商每月26日与采购人核对本月的采购数量（结算周期：上月26日至本月25日为一个结算周期）,每月27日提供当月供应食材的等额发票及供货单据结算货款，每月结算一次。采购人收到发票及相关票据后10个工作日内，以银行转账方式向供应商支付货款。供应商须按时足额提供发票及相关票据，否则采购人有权拒绝付款而不构成违约。供应商开具的发票必须真实、合法、有效，如供应商提供虚假发票，由此引发的一切责任由供应商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2150" w:type="dxa"/>
            <w:gridSpan w:val="2"/>
            <w:shd w:val="clear" w:color="auto" w:fill="auto"/>
            <w:noWrap/>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配送要求</w:t>
            </w:r>
          </w:p>
        </w:tc>
        <w:tc>
          <w:tcPr>
            <w:tcW w:w="8113" w:type="dxa"/>
            <w:gridSpan w:val="6"/>
            <w:shd w:val="clear" w:color="auto" w:fill="auto"/>
            <w:tcMar>
              <w:top w:w="15" w:type="dxa"/>
              <w:left w:w="15" w:type="dxa"/>
              <w:right w:w="15" w:type="dxa"/>
            </w:tcMar>
          </w:tcPr>
          <w:p>
            <w:pPr>
              <w:pStyle w:val="7"/>
              <w:rPr>
                <w:rFonts w:ascii="宋体" w:hAnsi="宋体" w:cs="宋体"/>
                <w:color w:val="auto"/>
                <w:szCs w:val="21"/>
              </w:rPr>
            </w:pPr>
            <w:r>
              <w:rPr>
                <w:rFonts w:hint="eastAsia" w:ascii="宋体" w:hAnsi="宋体" w:cs="宋体"/>
                <w:color w:val="auto"/>
                <w:kern w:val="0"/>
                <w:szCs w:val="21"/>
              </w:rPr>
              <w:t>1、供应商必须按照采购人通知的时间、数量、品种、品质要求及协定的价格准时送货，且不得随意增减数量，否则，采购人有权拒收，且承担相应的经济赔偿。如因市场流通问题确实需要变更的，应事先书面申请，并经采购人同意后方可变更。</w:t>
            </w:r>
            <w:r>
              <w:rPr>
                <w:rFonts w:hint="eastAsia" w:ascii="宋体" w:hAnsi="宋体" w:cs="宋体"/>
                <w:color w:val="auto"/>
                <w:kern w:val="0"/>
                <w:szCs w:val="21"/>
              </w:rPr>
              <w:br w:type="textWrapping"/>
            </w:r>
            <w:r>
              <w:rPr>
                <w:rFonts w:hint="eastAsia" w:ascii="宋体" w:hAnsi="宋体" w:cs="宋体"/>
                <w:color w:val="auto"/>
                <w:kern w:val="0"/>
                <w:szCs w:val="21"/>
              </w:rPr>
              <w:t>2、在收到采购人发出订货通知后，供应商最迟在次日上午8时前必须到达采购人指定地点。</w:t>
            </w:r>
            <w:r>
              <w:rPr>
                <w:rFonts w:hint="eastAsia" w:ascii="宋体" w:hAnsi="宋体" w:cs="宋体"/>
                <w:color w:val="auto"/>
                <w:kern w:val="0"/>
                <w:szCs w:val="21"/>
              </w:rPr>
              <w:br w:type="textWrapping"/>
            </w:r>
            <w:r>
              <w:rPr>
                <w:rFonts w:hint="eastAsia" w:ascii="宋体" w:hAnsi="宋体" w:cs="宋体"/>
                <w:color w:val="auto"/>
                <w:kern w:val="0"/>
                <w:szCs w:val="21"/>
              </w:rPr>
              <w:t>3、除客观不可抗力外，供应商不得推迟送货。如确需延迟送货，供应商应在得知情况的同时告知采购人并征得采购人的同意。除此之外，供应商如送货迟到超过 30 分钟，可扣罚当天总货款的 10%，若超过 60 分钟，可扣罚当天总货款的 20%，三次以上，采购人有权单方解除合同。</w:t>
            </w:r>
            <w:r>
              <w:rPr>
                <w:rFonts w:hint="eastAsia" w:ascii="宋体" w:hAnsi="宋体" w:cs="宋体"/>
                <w:color w:val="auto"/>
                <w:kern w:val="0"/>
                <w:szCs w:val="21"/>
              </w:rPr>
              <w:br w:type="textWrapping"/>
            </w:r>
            <w:r>
              <w:rPr>
                <w:rFonts w:hint="eastAsia" w:ascii="宋体" w:hAnsi="宋体" w:cs="宋体"/>
                <w:color w:val="auto"/>
                <w:kern w:val="0"/>
                <w:szCs w:val="21"/>
              </w:rPr>
              <w:t>4、紧急供货要求：在收到采购人发出紧急供货通知后，供应商最迟2小时内完成当次现场供货。</w:t>
            </w:r>
            <w:r>
              <w:rPr>
                <w:rFonts w:hint="eastAsia" w:ascii="宋体" w:hAnsi="宋体" w:cs="宋体"/>
                <w:color w:val="auto"/>
                <w:kern w:val="0"/>
                <w:szCs w:val="21"/>
              </w:rPr>
              <w:br w:type="textWrapping"/>
            </w:r>
            <w:r>
              <w:rPr>
                <w:rFonts w:hint="eastAsia" w:ascii="宋体" w:hAnsi="宋体" w:cs="宋体"/>
                <w:color w:val="auto"/>
                <w:kern w:val="0"/>
                <w:szCs w:val="21"/>
              </w:rPr>
              <w:t>5、供应商必须在双方约定的时间内将货物送到采购人指定的地点，运输费用由供应商承担，如出现不合格、损坏的情况，由供应商负责及时调换，并于2小时内送达指定地点。</w:t>
            </w:r>
            <w:r>
              <w:rPr>
                <w:rFonts w:hint="eastAsia" w:ascii="宋体" w:hAnsi="宋体" w:cs="宋体"/>
                <w:color w:val="auto"/>
                <w:kern w:val="0"/>
                <w:szCs w:val="21"/>
              </w:rPr>
              <w:br w:type="textWrapping"/>
            </w:r>
            <w:r>
              <w:rPr>
                <w:rFonts w:hint="eastAsia" w:ascii="宋体" w:hAnsi="宋体" w:cs="宋体"/>
                <w:color w:val="auto"/>
                <w:kern w:val="0"/>
                <w:szCs w:val="21"/>
              </w:rPr>
              <w:t>6、供应商必须由有健康证的固定人员及车辆长期送货</w:t>
            </w:r>
            <w:r>
              <w:rPr>
                <w:rFonts w:hint="eastAsia" w:ascii="宋体" w:hAnsi="宋体" w:cs="宋体"/>
                <w:color w:val="auto"/>
                <w:szCs w:val="21"/>
              </w:rPr>
              <w:t>（本项目至少配备1名固定人员和1辆货车）</w:t>
            </w:r>
            <w:r>
              <w:rPr>
                <w:rFonts w:hint="eastAsia" w:ascii="宋体" w:hAnsi="宋体" w:cs="宋体"/>
                <w:color w:val="auto"/>
                <w:kern w:val="0"/>
                <w:szCs w:val="21"/>
              </w:rPr>
              <w:t>，且必须穿着便于辨认的工衣和配戴胸卡，在办理好进入监区相关手续后不得变动，如临时非固定人员送货，须取得采购人同意。送货专员在采购人单位活动必须严格遵守采购人单位各项规章制度，不得做出有损采购人形象和利益的事情。</w:t>
            </w:r>
            <w:r>
              <w:rPr>
                <w:rFonts w:hint="eastAsia" w:ascii="宋体" w:hAnsi="宋体" w:cs="宋体"/>
                <w:b/>
                <w:bCs/>
                <w:color w:val="auto"/>
                <w:szCs w:val="21"/>
              </w:rPr>
              <w:t>【响应中必须提供固定人员有效期内的身份证复印件、有效的健康证复印件、有效的无犯罪记录证明复印件及供应商为其缴纳的2026年1月份以来任意1个月社保证明或劳动/劳务合同复印件，以及拟配备车辆（不含轿车或客车）须提供有效年检期内的《机动车行驶证》或机动车登记证复印件、彩色照片（如配送车辆为投标人租赁的，提供有效年检期内的《机动车行驶证》复印件、车辆租赁协议复印件、彩色照片；如供应商承诺成交后聘请固定人员、购买或租赁相应车辆的，则提供相应承诺函，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86" w:hRule="atLeast"/>
          <w:jc w:val="center"/>
        </w:trPr>
        <w:tc>
          <w:tcPr>
            <w:tcW w:w="2150" w:type="dxa"/>
            <w:gridSpan w:val="2"/>
            <w:shd w:val="clear" w:color="auto" w:fill="auto"/>
            <w:noWrap/>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售后服务要求</w:t>
            </w:r>
          </w:p>
        </w:tc>
        <w:tc>
          <w:tcPr>
            <w:tcW w:w="8113" w:type="dxa"/>
            <w:gridSpan w:val="6"/>
            <w:shd w:val="clear" w:color="auto" w:fill="auto"/>
            <w:tcMar>
              <w:top w:w="15" w:type="dxa"/>
              <w:left w:w="15" w:type="dxa"/>
              <w:right w:w="15" w:type="dxa"/>
            </w:tcMar>
          </w:tcPr>
          <w:p>
            <w:pPr>
              <w:pStyle w:val="7"/>
              <w:rPr>
                <w:rFonts w:ascii="宋体" w:hAnsi="宋体" w:cs="宋体"/>
                <w:color w:val="auto"/>
                <w:szCs w:val="21"/>
              </w:rPr>
            </w:pPr>
            <w:r>
              <w:rPr>
                <w:rFonts w:hint="eastAsia" w:ascii="宋体" w:hAnsi="宋体" w:cs="宋体"/>
                <w:color w:val="auto"/>
                <w:kern w:val="0"/>
                <w:szCs w:val="21"/>
              </w:rPr>
              <w:t>1、按照国家有关产品“三包”规定执行“三包”；</w:t>
            </w:r>
            <w:r>
              <w:rPr>
                <w:rFonts w:hint="eastAsia" w:ascii="宋体" w:hAnsi="宋体" w:cs="宋体"/>
                <w:color w:val="auto"/>
                <w:kern w:val="0"/>
                <w:szCs w:val="21"/>
              </w:rPr>
              <w:br w:type="textWrapping"/>
            </w:r>
            <w:r>
              <w:rPr>
                <w:rFonts w:hint="eastAsia" w:ascii="宋体" w:hAnsi="宋体" w:cs="宋体"/>
                <w:color w:val="auto"/>
                <w:kern w:val="0"/>
                <w:szCs w:val="21"/>
              </w:rPr>
              <w:t>2、免费送货上门；</w:t>
            </w:r>
            <w:r>
              <w:rPr>
                <w:rFonts w:hint="eastAsia" w:ascii="宋体" w:hAnsi="宋体" w:cs="宋体"/>
                <w:color w:val="auto"/>
                <w:kern w:val="0"/>
                <w:szCs w:val="21"/>
              </w:rPr>
              <w:br w:type="textWrapping"/>
            </w:r>
            <w:r>
              <w:rPr>
                <w:rFonts w:hint="eastAsia" w:ascii="宋体" w:hAnsi="宋体" w:cs="宋体"/>
                <w:color w:val="auto"/>
                <w:kern w:val="0"/>
                <w:szCs w:val="21"/>
              </w:rPr>
              <w:t>3、保质保量，如在质保期内发现质量问题，供应商必须在接到采购人通知后1小时内到达现场处理，如属质量问题的及时给予更换。</w:t>
            </w:r>
            <w:r>
              <w:rPr>
                <w:rFonts w:hint="eastAsia" w:ascii="宋体" w:hAnsi="宋体" w:cs="宋体"/>
                <w:color w:val="auto"/>
                <w:kern w:val="0"/>
                <w:szCs w:val="21"/>
              </w:rPr>
              <w:br w:type="textWrapping"/>
            </w:r>
            <w:r>
              <w:rPr>
                <w:rFonts w:hint="eastAsia" w:ascii="宋体" w:hAnsi="宋体" w:cs="宋体"/>
                <w:color w:val="auto"/>
                <w:kern w:val="0"/>
                <w:szCs w:val="21"/>
              </w:rPr>
              <w:t>4、关于发生不按要求配送（不准时、质量不符）等情况，退货，达到三次以上采购人有权解除合同，并要求供应商赔偿采购人因此而产生的损失。</w:t>
            </w:r>
            <w:r>
              <w:rPr>
                <w:rFonts w:hint="eastAsia" w:ascii="宋体" w:hAnsi="宋体" w:cs="宋体"/>
                <w:color w:val="auto"/>
                <w:kern w:val="0"/>
                <w:szCs w:val="21"/>
              </w:rPr>
              <w:br w:type="textWrapping"/>
            </w:r>
            <w:r>
              <w:rPr>
                <w:rFonts w:hint="eastAsia" w:ascii="宋体" w:hAnsi="宋体" w:cs="宋体"/>
                <w:color w:val="auto"/>
                <w:kern w:val="0"/>
                <w:szCs w:val="21"/>
              </w:rPr>
              <w:t>5、每批次成交人无法按规定时间交货，采购人从其他地方进行临时应急补货的， 产生的相关成本及费用由成交人负责。</w:t>
            </w:r>
            <w:r>
              <w:rPr>
                <w:rFonts w:hint="eastAsia" w:ascii="宋体" w:hAnsi="宋体" w:cs="宋体"/>
                <w:color w:val="auto"/>
                <w:kern w:val="0"/>
                <w:szCs w:val="21"/>
              </w:rPr>
              <w:br w:type="textWrapping"/>
            </w:r>
            <w:r>
              <w:rPr>
                <w:rFonts w:hint="eastAsia" w:ascii="宋体" w:hAnsi="宋体" w:cs="宋体"/>
                <w:color w:val="auto"/>
                <w:kern w:val="0"/>
                <w:szCs w:val="21"/>
              </w:rPr>
              <w:t>6、供应商若违反采购人相关管理规定，包括违规携带或者传递违禁物品等，采购人有权立即解除合同。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86" w:hRule="atLeast"/>
          <w:jc w:val="center"/>
        </w:trPr>
        <w:tc>
          <w:tcPr>
            <w:tcW w:w="2150" w:type="dxa"/>
            <w:gridSpan w:val="2"/>
            <w:shd w:val="clear" w:color="auto" w:fill="auto"/>
            <w:noWrap/>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kern w:val="0"/>
                <w:szCs w:val="21"/>
              </w:rPr>
              <w:t>其他要求</w:t>
            </w:r>
          </w:p>
        </w:tc>
        <w:tc>
          <w:tcPr>
            <w:tcW w:w="8113" w:type="dxa"/>
            <w:gridSpan w:val="6"/>
            <w:shd w:val="clear" w:color="auto" w:fill="auto"/>
            <w:tcMar>
              <w:top w:w="15" w:type="dxa"/>
              <w:left w:w="15" w:type="dxa"/>
              <w:right w:w="15" w:type="dxa"/>
            </w:tcMar>
          </w:tcPr>
          <w:p>
            <w:pPr>
              <w:jc w:val="left"/>
              <w:rPr>
                <w:rFonts w:ascii="宋体" w:hAnsi="宋体" w:cs="宋体"/>
                <w:color w:val="auto"/>
                <w:szCs w:val="21"/>
              </w:rPr>
            </w:pPr>
            <w:r>
              <w:rPr>
                <w:rFonts w:hint="eastAsia" w:ascii="宋体" w:hAnsi="宋体" w:cs="宋体"/>
                <w:color w:val="auto"/>
                <w:kern w:val="0"/>
                <w:szCs w:val="21"/>
              </w:rPr>
              <w:t>1、供应商提供的货物必须是具有合法销售途径的、合格产品。货物的技术质量必须符合中华人民共和国农产品质量安全法等有关规定。</w:t>
            </w:r>
            <w:r>
              <w:rPr>
                <w:rFonts w:hint="eastAsia" w:ascii="宋体" w:hAnsi="宋体" w:cs="宋体"/>
                <w:color w:val="auto"/>
                <w:kern w:val="0"/>
                <w:szCs w:val="21"/>
              </w:rPr>
              <w:br w:type="textWrapping"/>
            </w:r>
            <w:r>
              <w:rPr>
                <w:rFonts w:hint="eastAsia" w:ascii="宋体" w:hAnsi="宋体" w:cs="宋体"/>
                <w:color w:val="auto"/>
                <w:kern w:val="0"/>
                <w:szCs w:val="21"/>
              </w:rPr>
              <w:t>2、供应商要符合采购人的防疫采购要求。</w:t>
            </w:r>
            <w:r>
              <w:rPr>
                <w:rFonts w:hint="eastAsia" w:ascii="宋体" w:hAnsi="宋体" w:cs="宋体"/>
                <w:color w:val="auto"/>
                <w:kern w:val="0"/>
                <w:szCs w:val="21"/>
              </w:rPr>
              <w:br w:type="textWrapping"/>
            </w:r>
            <w:r>
              <w:rPr>
                <w:rFonts w:hint="eastAsia" w:ascii="宋体" w:hAnsi="宋体" w:cs="宋体"/>
                <w:color w:val="auto"/>
                <w:kern w:val="0"/>
                <w:szCs w:val="21"/>
              </w:rPr>
              <w:t>3、供货时，供应商必须提供以下证明文件：</w:t>
            </w:r>
            <w:r>
              <w:rPr>
                <w:rFonts w:hint="eastAsia" w:ascii="宋体" w:hAnsi="宋体" w:cs="宋体"/>
                <w:color w:val="auto"/>
                <w:kern w:val="0"/>
                <w:szCs w:val="21"/>
              </w:rPr>
              <w:br w:type="textWrapping"/>
            </w:r>
            <w:r>
              <w:rPr>
                <w:rFonts w:hint="eastAsia" w:ascii="宋体" w:hAnsi="宋体" w:cs="宋体"/>
                <w:color w:val="auto"/>
                <w:kern w:val="0"/>
                <w:szCs w:val="21"/>
              </w:rPr>
              <w:t>（1）每批货物必须提供相关的质量安全检验合格证明。</w:t>
            </w:r>
            <w:r>
              <w:rPr>
                <w:rFonts w:hint="eastAsia" w:ascii="宋体" w:hAnsi="宋体" w:cs="宋体"/>
                <w:color w:val="auto"/>
                <w:kern w:val="0"/>
                <w:szCs w:val="21"/>
              </w:rPr>
              <w:br w:type="textWrapping"/>
            </w:r>
            <w:r>
              <w:rPr>
                <w:rFonts w:hint="eastAsia" w:ascii="宋体" w:hAnsi="宋体" w:cs="宋体"/>
                <w:color w:val="auto"/>
                <w:kern w:val="0"/>
                <w:szCs w:val="21"/>
              </w:rPr>
              <w:t>（2）供应商每次随货物送上一式两份的送货清单，经双方验收合格后签字确认，双方各执一份，作为送收货凭证。供应商的送货清单必须详细注明商品的单价、数量，送货清单不得涂改。标记不清的，采购人将拒绝签收。结算期末供应商还应提供送货清单供采购人结算。</w:t>
            </w:r>
            <w:r>
              <w:rPr>
                <w:rFonts w:hint="eastAsia" w:ascii="宋体" w:hAnsi="宋体" w:cs="宋体"/>
                <w:color w:val="auto"/>
                <w:kern w:val="0"/>
                <w:szCs w:val="21"/>
              </w:rPr>
              <w:br w:type="textWrapping"/>
            </w:r>
            <w:r>
              <w:rPr>
                <w:rFonts w:hint="eastAsia" w:ascii="宋体" w:hAnsi="宋体" w:cs="宋体"/>
                <w:color w:val="auto"/>
                <w:kern w:val="0"/>
                <w:szCs w:val="21"/>
              </w:rPr>
              <w:t>4、交货验收必须由采购人和供应商共同进行，采购人如认为有需要的，可委托相关检验部门对产品进行抽检，自检或检验部门抽检不合格的不给予验收，影响采购人实施进度的将追究相关责任，抽检所产生的费用全部由供应商负责。</w:t>
            </w:r>
            <w:r>
              <w:rPr>
                <w:rFonts w:hint="eastAsia" w:ascii="宋体" w:hAnsi="宋体" w:cs="宋体"/>
                <w:color w:val="auto"/>
                <w:kern w:val="0"/>
                <w:szCs w:val="21"/>
              </w:rPr>
              <w:br w:type="textWrapping"/>
            </w:r>
            <w:r>
              <w:rPr>
                <w:rFonts w:hint="eastAsia" w:ascii="宋体" w:hAnsi="宋体" w:cs="宋体"/>
                <w:color w:val="auto"/>
                <w:kern w:val="0"/>
                <w:szCs w:val="21"/>
              </w:rPr>
              <w:t>5、验收工作的一般程序为：根据货物采购清单的具体要求，对所购名称进行清点、外观检查进行实测，并逐项记录。检测结束后，验收人员在验收单上签字。对未能通过验收的，一律退货、更换直至验收合格。</w:t>
            </w:r>
            <w:r>
              <w:rPr>
                <w:rFonts w:hint="eastAsia" w:ascii="宋体" w:hAnsi="宋体" w:cs="宋体"/>
                <w:color w:val="auto"/>
                <w:kern w:val="0"/>
                <w:szCs w:val="21"/>
              </w:rPr>
              <w:br w:type="textWrapping"/>
            </w:r>
            <w:r>
              <w:rPr>
                <w:rFonts w:hint="eastAsia" w:ascii="宋体" w:hAnsi="宋体" w:cs="宋体"/>
                <w:color w:val="auto"/>
                <w:kern w:val="0"/>
                <w:szCs w:val="21"/>
              </w:rPr>
              <w:t>6、货物竞标单价为货物供应期限一年的供货单价，不受市场价格行情变化的影响，不进行调价。</w:t>
            </w:r>
            <w:r>
              <w:rPr>
                <w:rFonts w:hint="eastAsia" w:ascii="宋体" w:hAnsi="宋体" w:cs="宋体"/>
                <w:color w:val="auto"/>
                <w:kern w:val="0"/>
                <w:szCs w:val="21"/>
              </w:rPr>
              <w:br w:type="textWrapping"/>
            </w:r>
            <w:r>
              <w:rPr>
                <w:rFonts w:hint="eastAsia" w:ascii="宋体" w:hAnsi="宋体" w:cs="宋体"/>
                <w:color w:val="auto"/>
                <w:kern w:val="0"/>
                <w:szCs w:val="21"/>
              </w:rPr>
              <w:t>7、供应商不得泄露采购人的</w:t>
            </w:r>
            <w:r>
              <w:rPr>
                <w:rFonts w:hint="eastAsia" w:ascii="宋体" w:hAnsi="宋体" w:cs="宋体"/>
                <w:color w:val="auto"/>
                <w:szCs w:val="21"/>
              </w:rPr>
              <w:t>工作秘密及内部敏感信息</w:t>
            </w:r>
            <w:r>
              <w:rPr>
                <w:rFonts w:hint="eastAsia" w:ascii="宋体" w:hAnsi="宋体" w:cs="宋体"/>
                <w:color w:val="auto"/>
                <w:kern w:val="0"/>
                <w:szCs w:val="21"/>
              </w:rPr>
              <w:t>。泄密造成采购人损失的，供应商将承担由此产生的一切损失和法律责任，</w:t>
            </w:r>
            <w:r>
              <w:rPr>
                <w:rFonts w:hint="eastAsia" w:ascii="宋体" w:hAnsi="宋体" w:cs="宋体"/>
                <w:b/>
                <w:bCs/>
                <w:color w:val="auto"/>
                <w:kern w:val="0"/>
                <w:szCs w:val="21"/>
              </w:rPr>
              <w:t>供应商必须在响应文件中单独提供承诺函，并由法定代表人（负责人）签字</w:t>
            </w:r>
            <w:r>
              <w:rPr>
                <w:rFonts w:hint="eastAsia" w:ascii="宋体" w:hAnsi="宋体" w:cs="宋体"/>
                <w:b/>
                <w:bCs/>
                <w:color w:val="auto"/>
                <w:szCs w:val="21"/>
              </w:rPr>
              <w:t>（或盖个人印章）</w:t>
            </w:r>
            <w:r>
              <w:rPr>
                <w:rFonts w:hint="eastAsia" w:ascii="宋体" w:hAnsi="宋体" w:cs="宋体"/>
                <w:b/>
                <w:bCs/>
                <w:color w:val="auto"/>
                <w:kern w:val="0"/>
                <w:szCs w:val="21"/>
              </w:rPr>
              <w:t>并加盖供应商公章（格式自拟）。</w:t>
            </w:r>
            <w:r>
              <w:rPr>
                <w:rFonts w:hint="eastAsia" w:ascii="宋体" w:hAnsi="宋体" w:cs="宋体"/>
                <w:b/>
                <w:bCs/>
                <w:color w:val="auto"/>
                <w:kern w:val="0"/>
                <w:szCs w:val="21"/>
              </w:rPr>
              <w:br w:type="textWrapping"/>
            </w:r>
            <w:r>
              <w:rPr>
                <w:rFonts w:hint="eastAsia" w:ascii="宋体" w:hAnsi="宋体" w:cs="宋体"/>
                <w:color w:val="auto"/>
                <w:kern w:val="0"/>
                <w:szCs w:val="21"/>
              </w:rPr>
              <w:t>8、及时落实采购人安排的食品突击供应任务。</w:t>
            </w:r>
            <w:r>
              <w:rPr>
                <w:rFonts w:hint="eastAsia" w:ascii="宋体" w:hAnsi="宋体" w:cs="宋体"/>
                <w:color w:val="auto"/>
                <w:kern w:val="0"/>
                <w:szCs w:val="21"/>
              </w:rPr>
              <w:br w:type="textWrapping"/>
            </w:r>
            <w:r>
              <w:rPr>
                <w:rFonts w:hint="eastAsia" w:ascii="宋体" w:hAnsi="宋体" w:cs="宋体"/>
                <w:color w:val="auto"/>
                <w:kern w:val="0"/>
                <w:szCs w:val="21"/>
              </w:rPr>
              <w:t>9、安全责任方面要求</w:t>
            </w:r>
            <w:r>
              <w:rPr>
                <w:rFonts w:hint="eastAsia" w:ascii="宋体" w:hAnsi="宋体" w:cs="宋体"/>
                <w:color w:val="auto"/>
                <w:kern w:val="0"/>
                <w:szCs w:val="21"/>
              </w:rPr>
              <w:br w:type="textWrapping"/>
            </w:r>
            <w:r>
              <w:rPr>
                <w:rFonts w:hint="eastAsia" w:ascii="宋体" w:hAnsi="宋体" w:cs="宋体"/>
                <w:color w:val="auto"/>
                <w:kern w:val="0"/>
                <w:szCs w:val="21"/>
              </w:rPr>
              <w:t>1）供应商应保证所提供的的食品必须是合格安全的食品，因其所送的食品造成食物中毒等事故，立即终止合同，供应商应承担全部责任，同时通过法律途径解决。</w:t>
            </w:r>
            <w:r>
              <w:rPr>
                <w:rFonts w:hint="eastAsia" w:ascii="宋体" w:hAnsi="宋体" w:cs="宋体"/>
                <w:color w:val="auto"/>
                <w:kern w:val="0"/>
                <w:szCs w:val="21"/>
              </w:rPr>
              <w:br w:type="textWrapping"/>
            </w:r>
            <w:r>
              <w:rPr>
                <w:rFonts w:hint="eastAsia" w:ascii="宋体" w:hAnsi="宋体" w:cs="宋体"/>
                <w:color w:val="auto"/>
                <w:kern w:val="0"/>
                <w:szCs w:val="21"/>
              </w:rPr>
              <w:t>2）供应商应严格遵守《中华人民共和国食品安全法》、《中华人民共和国食品安全法实施条例》等相关规定，一经发现以下食品，除全部退货外，将取消供货资格，供应商并承担由此造成的经济责任和法律责任：</w:t>
            </w:r>
            <w:r>
              <w:rPr>
                <w:rFonts w:hint="eastAsia" w:ascii="宋体" w:hAnsi="宋体" w:cs="宋体"/>
                <w:color w:val="auto"/>
                <w:kern w:val="0"/>
                <w:szCs w:val="21"/>
              </w:rPr>
              <w:br w:type="textWrapping"/>
            </w:r>
            <w:r>
              <w:rPr>
                <w:rFonts w:hint="eastAsia" w:ascii="宋体" w:hAnsi="宋体" w:cs="宋体"/>
                <w:color w:val="auto"/>
                <w:kern w:val="0"/>
                <w:szCs w:val="21"/>
              </w:rPr>
              <w:t>①食品没有合法供货来源的；</w:t>
            </w:r>
            <w:r>
              <w:rPr>
                <w:rFonts w:hint="eastAsia" w:ascii="宋体" w:hAnsi="宋体" w:cs="宋体"/>
                <w:color w:val="auto"/>
                <w:kern w:val="0"/>
                <w:szCs w:val="21"/>
              </w:rPr>
              <w:br w:type="textWrapping"/>
            </w:r>
            <w:r>
              <w:rPr>
                <w:rFonts w:hint="eastAsia" w:ascii="宋体" w:hAnsi="宋体" w:cs="宋体"/>
                <w:color w:val="auto"/>
                <w:kern w:val="0"/>
                <w:szCs w:val="21"/>
              </w:rPr>
              <w:t>②腐败变质、霉变、生虫、污秽不洁、混有异物或者其他感官性状异常，对人体健康有害的；</w:t>
            </w:r>
            <w:r>
              <w:rPr>
                <w:rFonts w:hint="eastAsia" w:ascii="宋体" w:hAnsi="宋体" w:cs="宋体"/>
                <w:color w:val="auto"/>
                <w:kern w:val="0"/>
                <w:szCs w:val="21"/>
              </w:rPr>
              <w:br w:type="textWrapping"/>
            </w:r>
            <w:r>
              <w:rPr>
                <w:rFonts w:hint="eastAsia" w:ascii="宋体" w:hAnsi="宋体" w:cs="宋体"/>
                <w:color w:val="auto"/>
                <w:kern w:val="0"/>
                <w:szCs w:val="21"/>
              </w:rPr>
              <w:t>③含有毒、有害物质或者被有害物质污染，对人体健康有害的；</w:t>
            </w:r>
            <w:r>
              <w:rPr>
                <w:rFonts w:hint="eastAsia" w:ascii="宋体" w:hAnsi="宋体" w:cs="宋体"/>
                <w:color w:val="auto"/>
                <w:kern w:val="0"/>
                <w:szCs w:val="21"/>
              </w:rPr>
              <w:br w:type="textWrapping"/>
            </w:r>
            <w:r>
              <w:rPr>
                <w:rFonts w:hint="eastAsia" w:ascii="宋体" w:hAnsi="宋体" w:cs="宋体"/>
                <w:color w:val="auto"/>
                <w:kern w:val="0"/>
                <w:szCs w:val="21"/>
              </w:rPr>
              <w:t>④含有致病性寄生虫、微生物或者微生物含量超过国家限定标准的；</w:t>
            </w:r>
            <w:r>
              <w:rPr>
                <w:rFonts w:hint="eastAsia" w:ascii="宋体" w:hAnsi="宋体" w:cs="宋体"/>
                <w:color w:val="auto"/>
                <w:kern w:val="0"/>
                <w:szCs w:val="21"/>
              </w:rPr>
              <w:br w:type="textWrapping"/>
            </w:r>
            <w:r>
              <w:rPr>
                <w:rFonts w:hint="eastAsia" w:ascii="宋体" w:hAnsi="宋体" w:cs="宋体"/>
                <w:color w:val="auto"/>
                <w:kern w:val="0"/>
                <w:szCs w:val="21"/>
              </w:rPr>
              <w:t>⑤未经检疫部门检疫、检验或者检疫、检验不合格的奶制品；</w:t>
            </w:r>
            <w:r>
              <w:rPr>
                <w:rFonts w:hint="eastAsia" w:ascii="宋体" w:hAnsi="宋体" w:cs="宋体"/>
                <w:color w:val="auto"/>
                <w:kern w:val="0"/>
                <w:szCs w:val="21"/>
              </w:rPr>
              <w:br w:type="textWrapping"/>
            </w:r>
            <w:r>
              <w:rPr>
                <w:rFonts w:hint="eastAsia" w:ascii="宋体" w:hAnsi="宋体" w:cs="宋体"/>
                <w:color w:val="auto"/>
                <w:kern w:val="0"/>
                <w:szCs w:val="21"/>
              </w:rPr>
              <w:t>⑥掺假、掺杂、伪造，影响营养、卫生的。</w:t>
            </w:r>
            <w:r>
              <w:rPr>
                <w:rFonts w:hint="eastAsia" w:ascii="宋体" w:hAnsi="宋体" w:cs="宋体"/>
                <w:color w:val="auto"/>
                <w:kern w:val="0"/>
                <w:szCs w:val="21"/>
              </w:rPr>
              <w:br w:type="textWrapping"/>
            </w:r>
            <w:r>
              <w:rPr>
                <w:rFonts w:hint="eastAsia" w:ascii="宋体" w:hAnsi="宋体" w:cs="宋体"/>
                <w:color w:val="auto"/>
                <w:kern w:val="0"/>
                <w:szCs w:val="21"/>
              </w:rPr>
              <w:t>10、</w:t>
            </w:r>
            <w:r>
              <w:rPr>
                <w:rFonts w:hint="eastAsia" w:ascii="宋体" w:hAnsi="宋体" w:cs="宋体"/>
                <w:b/>
                <w:bCs/>
                <w:color w:val="auto"/>
                <w:kern w:val="0"/>
                <w:szCs w:val="21"/>
              </w:rPr>
              <w:t>成交供应商在签订合同后5个工作日内，须向采购人提供购买《食品安全责任保险》的证明材料。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10263" w:type="dxa"/>
            <w:gridSpan w:val="8"/>
            <w:shd w:val="clear" w:color="auto" w:fill="auto"/>
            <w:noWrap/>
            <w:tcMar>
              <w:top w:w="15" w:type="dxa"/>
              <w:left w:w="15" w:type="dxa"/>
              <w:right w:w="15" w:type="dxa"/>
            </w:tcMar>
            <w:vAlign w:val="center"/>
          </w:tcPr>
          <w:p>
            <w:pPr>
              <w:widowControl/>
              <w:jc w:val="left"/>
              <w:textAlignment w:val="center"/>
              <w:rPr>
                <w:rFonts w:ascii="宋体" w:hAnsi="宋体" w:cs="宋体"/>
                <w:color w:val="auto"/>
                <w:kern w:val="0"/>
                <w:szCs w:val="21"/>
              </w:rPr>
            </w:pPr>
            <w:r>
              <w:rPr>
                <w:rFonts w:hint="eastAsia" w:ascii="宋体" w:hAnsi="宋体" w:cs="宋体"/>
                <w:b/>
                <w:bCs/>
                <w:color w:val="auto"/>
                <w:kern w:val="0"/>
                <w:szCs w:val="21"/>
              </w:rPr>
              <w:t>三、进口产品说明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0" w:hRule="atLeast"/>
          <w:jc w:val="center"/>
        </w:trPr>
        <w:tc>
          <w:tcPr>
            <w:tcW w:w="10263" w:type="dxa"/>
            <w:gridSpan w:val="8"/>
            <w:shd w:val="clear" w:color="auto" w:fill="auto"/>
            <w:noWrap/>
            <w:tcMar>
              <w:top w:w="15" w:type="dxa"/>
              <w:left w:w="15" w:type="dxa"/>
              <w:right w:w="15" w:type="dxa"/>
            </w:tcMar>
            <w:vAlign w:val="center"/>
          </w:tcPr>
          <w:p>
            <w:pPr>
              <w:widowControl/>
              <w:jc w:val="left"/>
              <w:textAlignment w:val="center"/>
              <w:rPr>
                <w:rFonts w:ascii="宋体" w:hAnsi="宋体" w:cs="宋体"/>
                <w:color w:val="auto"/>
                <w:kern w:val="0"/>
                <w:szCs w:val="21"/>
              </w:rPr>
            </w:pPr>
            <w:r>
              <w:rPr>
                <w:rFonts w:hint="eastAsia" w:ascii="宋体" w:hAnsi="宋体" w:cs="宋体"/>
                <w:color w:val="auto"/>
                <w:kern w:val="0"/>
                <w:szCs w:val="21"/>
              </w:rPr>
              <w:t>本标项货物不接受进口产品竞标（即通过中国海关报关验放进入中国境内且产自关境外的产品），如有此类产品参与竞标的，响应文件按无效响应处理。</w:t>
            </w:r>
          </w:p>
        </w:tc>
      </w:tr>
    </w:tbl>
    <w:p>
      <w:pPr>
        <w:spacing w:line="360" w:lineRule="auto"/>
        <w:rPr>
          <w:rFonts w:cs="黑体" w:asciiTheme="minorEastAsia" w:hAnsiTheme="minorEastAsia" w:eastAsiaTheme="minorEastAsia"/>
          <w:color w:val="auto"/>
          <w:sz w:val="32"/>
          <w:szCs w:val="32"/>
        </w:rPr>
      </w:pPr>
    </w:p>
    <w:p>
      <w:pPr>
        <w:spacing w:line="360" w:lineRule="auto"/>
        <w:rPr>
          <w:rFonts w:cs="黑体" w:asciiTheme="minorEastAsia" w:hAnsiTheme="minorEastAsia" w:eastAsiaTheme="minorEastAsia"/>
          <w:color w:val="auto"/>
          <w:sz w:val="32"/>
          <w:szCs w:val="32"/>
        </w:rPr>
      </w:pPr>
      <w:r>
        <w:rPr>
          <w:rFonts w:hint="eastAsia" w:cs="黑体" w:asciiTheme="minorEastAsia" w:hAnsiTheme="minorEastAsia" w:eastAsiaTheme="minorEastAsia"/>
          <w:color w:val="auto"/>
          <w:sz w:val="32"/>
          <w:szCs w:val="32"/>
        </w:rPr>
        <w:t>附件1</w:t>
      </w:r>
    </w:p>
    <w:p>
      <w:pPr>
        <w:pStyle w:val="9"/>
        <w:spacing w:line="360" w:lineRule="auto"/>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中小企业划型标准规定</w:t>
      </w:r>
    </w:p>
    <w:p>
      <w:pPr>
        <w:pStyle w:val="9"/>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工信部联企业〔2011〕300号</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一、根据《中华人民共和国中小企业促进法》和《国务院关于进一步促进中小企业发展的若干意见》</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国发〔2009〕36号</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，制定本规定。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二、中小企业划分为中型、小型、微型三种类型，具体标准根据企业从业人员、营业收入、资产总额等指标，结合行业特点制定。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四、各行业划型标准为：</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（一）农、林、牧、渔业。营业收入</w:t>
      </w:r>
      <w:r>
        <w:rPr>
          <w:rFonts w:asciiTheme="minorEastAsia" w:hAnsiTheme="minorEastAsia" w:eastAsiaTheme="minorEastAsia"/>
          <w:color w:val="auto"/>
          <w:szCs w:val="21"/>
        </w:rPr>
        <w:t>20000</w:t>
      </w:r>
      <w:r>
        <w:rPr>
          <w:rFonts w:hint="eastAsia" w:asciiTheme="minorEastAsia" w:hAnsiTheme="minorEastAsia" w:eastAsiaTheme="minorEastAsia"/>
          <w:color w:val="auto"/>
          <w:szCs w:val="21"/>
        </w:rPr>
        <w:t>万元以下的为中小微型企业。其中，营业收入</w:t>
      </w:r>
      <w:r>
        <w:rPr>
          <w:rFonts w:asciiTheme="minorEastAsia" w:hAnsiTheme="minorEastAsia" w:eastAsiaTheme="minorEastAsia"/>
          <w:color w:val="auto"/>
          <w:szCs w:val="21"/>
        </w:rPr>
        <w:t>500</w:t>
      </w:r>
      <w:r>
        <w:rPr>
          <w:rFonts w:hint="eastAsia" w:asciiTheme="minorEastAsia" w:hAnsiTheme="minorEastAsia" w:eastAsiaTheme="minorEastAsia"/>
          <w:color w:val="auto"/>
          <w:szCs w:val="21"/>
        </w:rPr>
        <w:t>万元及以上的为中型企业，营业收入</w:t>
      </w:r>
      <w:r>
        <w:rPr>
          <w:rFonts w:asciiTheme="minorEastAsia" w:hAnsiTheme="minorEastAsia" w:eastAsiaTheme="minorEastAsia"/>
          <w:color w:val="auto"/>
          <w:szCs w:val="21"/>
        </w:rPr>
        <w:t>50</w:t>
      </w:r>
      <w:r>
        <w:rPr>
          <w:rFonts w:hint="eastAsia" w:asciiTheme="minorEastAsia" w:hAnsiTheme="minorEastAsia" w:eastAsiaTheme="minorEastAsia"/>
          <w:color w:val="auto"/>
          <w:szCs w:val="21"/>
        </w:rPr>
        <w:t>万元及以上的为小型企业，营业收入</w:t>
      </w:r>
      <w:r>
        <w:rPr>
          <w:rFonts w:asciiTheme="minorEastAsia" w:hAnsiTheme="minorEastAsia" w:eastAsiaTheme="minorEastAsia"/>
          <w:color w:val="auto"/>
          <w:szCs w:val="21"/>
        </w:rPr>
        <w:t>50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（二）工业。从业人员</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40000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2000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（三）建筑业。营业收入</w:t>
      </w:r>
      <w:r>
        <w:rPr>
          <w:rFonts w:asciiTheme="minorEastAsia" w:hAnsiTheme="minorEastAsia" w:eastAsiaTheme="minorEastAsia"/>
          <w:color w:val="auto"/>
          <w:szCs w:val="21"/>
        </w:rPr>
        <w:t>80000</w:t>
      </w:r>
      <w:r>
        <w:rPr>
          <w:rFonts w:hint="eastAsia" w:asciiTheme="minorEastAsia" w:hAnsiTheme="minorEastAsia" w:eastAsiaTheme="minorEastAsia"/>
          <w:color w:val="auto"/>
          <w:szCs w:val="21"/>
        </w:rPr>
        <w:t>万元以下或资产总额</w:t>
      </w:r>
      <w:r>
        <w:rPr>
          <w:rFonts w:asciiTheme="minorEastAsia" w:hAnsiTheme="minorEastAsia" w:eastAsiaTheme="minorEastAsia"/>
          <w:color w:val="auto"/>
          <w:szCs w:val="21"/>
        </w:rPr>
        <w:t>80000</w:t>
      </w:r>
      <w:r>
        <w:rPr>
          <w:rFonts w:hint="eastAsia" w:asciiTheme="minorEastAsia" w:hAnsiTheme="minorEastAsia" w:eastAsiaTheme="minorEastAsia"/>
          <w:color w:val="auto"/>
          <w:szCs w:val="21"/>
        </w:rPr>
        <w:t>万元以下的为中小微型企业。其中，营业收入</w:t>
      </w:r>
      <w:r>
        <w:rPr>
          <w:rFonts w:asciiTheme="minorEastAsia" w:hAnsiTheme="minorEastAsia" w:eastAsiaTheme="minorEastAsia"/>
          <w:color w:val="auto"/>
          <w:szCs w:val="21"/>
        </w:rPr>
        <w:t>6000</w:t>
      </w:r>
      <w:r>
        <w:rPr>
          <w:rFonts w:hint="eastAsia" w:asciiTheme="minorEastAsia" w:hAnsiTheme="minorEastAsia" w:eastAsiaTheme="minorEastAsia"/>
          <w:color w:val="auto"/>
          <w:szCs w:val="21"/>
        </w:rPr>
        <w:t>万元及以上，且资产总额</w:t>
      </w:r>
      <w:r>
        <w:rPr>
          <w:rFonts w:asciiTheme="minorEastAsia" w:hAnsiTheme="minorEastAsia" w:eastAsiaTheme="minorEastAsia"/>
          <w:color w:val="auto"/>
          <w:szCs w:val="21"/>
        </w:rPr>
        <w:t>5000</w:t>
      </w:r>
      <w:r>
        <w:rPr>
          <w:rFonts w:hint="eastAsia" w:asciiTheme="minorEastAsia" w:hAnsiTheme="minorEastAsia" w:eastAsiaTheme="minorEastAsia"/>
          <w:color w:val="auto"/>
          <w:szCs w:val="21"/>
        </w:rPr>
        <w:t>万元及以上的为中型企业；营业收入</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万元及以上，且资产总额</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万元及以上的为小型企业；营业收入</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万元以下或资产总额</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（四）批发业。从业人员</w:t>
      </w:r>
      <w:r>
        <w:rPr>
          <w:rFonts w:asciiTheme="minorEastAsia" w:hAnsiTheme="minorEastAsia" w:eastAsiaTheme="minorEastAsia"/>
          <w:color w:val="auto"/>
          <w:szCs w:val="21"/>
        </w:rPr>
        <w:t>200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40000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5000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5</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5</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（五）零售业。从业人员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20000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50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500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（六）交通运输业。从业人员</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30000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3000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200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200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（七）仓储业。从业人员</w:t>
      </w:r>
      <w:r>
        <w:rPr>
          <w:rFonts w:asciiTheme="minorEastAsia" w:hAnsiTheme="minorEastAsia" w:eastAsiaTheme="minorEastAsia"/>
          <w:color w:val="auto"/>
          <w:szCs w:val="21"/>
        </w:rPr>
        <w:t>200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30000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（八）邮政业。从业人员</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30000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2000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20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（九）住宿业。从业人员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2000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（十）餐饮业。从业人员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2000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（十一）信息传输业。从业人员</w:t>
      </w:r>
      <w:r>
        <w:rPr>
          <w:rFonts w:asciiTheme="minorEastAsia" w:hAnsiTheme="minorEastAsia" w:eastAsiaTheme="minorEastAsia"/>
          <w:color w:val="auto"/>
          <w:szCs w:val="21"/>
        </w:rPr>
        <w:t>2000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（十二）软件和信息技术服务业。从业人员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10000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50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50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（十三）房地产开发经营。营业收入</w:t>
      </w:r>
      <w:r>
        <w:rPr>
          <w:rFonts w:asciiTheme="minorEastAsia" w:hAnsiTheme="minorEastAsia" w:eastAsiaTheme="minorEastAsia"/>
          <w:color w:val="auto"/>
          <w:szCs w:val="21"/>
        </w:rPr>
        <w:t>200000</w:t>
      </w:r>
      <w:r>
        <w:rPr>
          <w:rFonts w:hint="eastAsia" w:asciiTheme="minorEastAsia" w:hAnsiTheme="minorEastAsia" w:eastAsiaTheme="minorEastAsia"/>
          <w:color w:val="auto"/>
          <w:szCs w:val="21"/>
        </w:rPr>
        <w:t>万元以下或资产总额</w:t>
      </w:r>
      <w:r>
        <w:rPr>
          <w:rFonts w:asciiTheme="minorEastAsia" w:hAnsiTheme="minorEastAsia" w:eastAsiaTheme="minorEastAsia"/>
          <w:color w:val="auto"/>
          <w:szCs w:val="21"/>
        </w:rPr>
        <w:t>10000</w:t>
      </w:r>
      <w:r>
        <w:rPr>
          <w:rFonts w:hint="eastAsia" w:asciiTheme="minorEastAsia" w:hAnsiTheme="minorEastAsia" w:eastAsiaTheme="minorEastAsia"/>
          <w:color w:val="auto"/>
          <w:szCs w:val="21"/>
        </w:rPr>
        <w:t>万元以下的为中小微型企业。其中，营业收入</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万元及以上，且资产总额</w:t>
      </w:r>
      <w:r>
        <w:rPr>
          <w:rFonts w:asciiTheme="minorEastAsia" w:hAnsiTheme="minorEastAsia" w:eastAsiaTheme="minorEastAsia"/>
          <w:color w:val="auto"/>
          <w:szCs w:val="21"/>
        </w:rPr>
        <w:t>5000</w:t>
      </w:r>
      <w:r>
        <w:rPr>
          <w:rFonts w:hint="eastAsia" w:asciiTheme="minorEastAsia" w:hAnsiTheme="minorEastAsia" w:eastAsiaTheme="minorEastAsia"/>
          <w:color w:val="auto"/>
          <w:szCs w:val="21"/>
        </w:rPr>
        <w:t>万元及以上的为中型企业；营业收入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万元及以上，且资产总额</w:t>
      </w:r>
      <w:r>
        <w:rPr>
          <w:rFonts w:asciiTheme="minorEastAsia" w:hAnsiTheme="minorEastAsia" w:eastAsiaTheme="minorEastAsia"/>
          <w:color w:val="auto"/>
          <w:szCs w:val="21"/>
        </w:rPr>
        <w:t>2000</w:t>
      </w:r>
      <w:r>
        <w:rPr>
          <w:rFonts w:hint="eastAsia" w:asciiTheme="minorEastAsia" w:hAnsiTheme="minorEastAsia" w:eastAsiaTheme="minorEastAsia"/>
          <w:color w:val="auto"/>
          <w:szCs w:val="21"/>
        </w:rPr>
        <w:t>万元及以上的为小型企业；营业收入</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万元以下或资产总额</w:t>
      </w:r>
      <w:r>
        <w:rPr>
          <w:rFonts w:asciiTheme="minorEastAsia" w:hAnsiTheme="minorEastAsia" w:eastAsiaTheme="minorEastAsia"/>
          <w:color w:val="auto"/>
          <w:szCs w:val="21"/>
        </w:rPr>
        <w:t>2000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（十四）物业管理。从业人员</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5000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1000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人及以上，且营业收入</w:t>
      </w:r>
      <w:r>
        <w:rPr>
          <w:rFonts w:asciiTheme="minorEastAsia" w:hAnsiTheme="minorEastAsia" w:eastAsiaTheme="minorEastAsia"/>
          <w:color w:val="auto"/>
          <w:szCs w:val="21"/>
        </w:rPr>
        <w:t>500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人以下或营业收入</w:t>
      </w:r>
      <w:r>
        <w:rPr>
          <w:rFonts w:asciiTheme="minorEastAsia" w:hAnsiTheme="minorEastAsia" w:eastAsiaTheme="minorEastAsia"/>
          <w:color w:val="auto"/>
          <w:szCs w:val="21"/>
        </w:rPr>
        <w:t>500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（十五）租赁和商务服务业。从业人员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人以下或资产总额</w:t>
      </w:r>
      <w:r>
        <w:rPr>
          <w:rFonts w:asciiTheme="minorEastAsia" w:hAnsiTheme="minorEastAsia" w:eastAsiaTheme="minorEastAsia"/>
          <w:color w:val="auto"/>
          <w:szCs w:val="21"/>
        </w:rPr>
        <w:t>120000</w:t>
      </w:r>
      <w:r>
        <w:rPr>
          <w:rFonts w:hint="eastAsia" w:asciiTheme="minorEastAsia" w:hAnsiTheme="minorEastAsia" w:eastAsiaTheme="minorEastAsia"/>
          <w:color w:val="auto"/>
          <w:szCs w:val="21"/>
        </w:rPr>
        <w:t>万元以下的为中小微型企业。其中，从业人员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人及以上，且资产总额</w:t>
      </w:r>
      <w:r>
        <w:rPr>
          <w:rFonts w:asciiTheme="minorEastAsia" w:hAnsiTheme="minorEastAsia" w:eastAsiaTheme="minorEastAsia"/>
          <w:color w:val="auto"/>
          <w:szCs w:val="21"/>
        </w:rPr>
        <w:t>8000</w:t>
      </w:r>
      <w:r>
        <w:rPr>
          <w:rFonts w:hint="eastAsia" w:asciiTheme="minorEastAsia" w:hAnsiTheme="minorEastAsia" w:eastAsiaTheme="minorEastAsia"/>
          <w:color w:val="auto"/>
          <w:szCs w:val="21"/>
        </w:rPr>
        <w:t>万元及以上的为中型企业；从业人员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人及以上，且资产总额</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万元及以上的为小型企业；从业人员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人以下或资产总额</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万元以下的为微型企业。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（十六）其他未列明行业。从业人员</w:t>
      </w:r>
      <w:r>
        <w:rPr>
          <w:rFonts w:asciiTheme="minorEastAsia" w:hAnsiTheme="minorEastAsia" w:eastAsiaTheme="minorEastAsia"/>
          <w:color w:val="auto"/>
          <w:szCs w:val="21"/>
        </w:rPr>
        <w:t>300</w:t>
      </w:r>
      <w:r>
        <w:rPr>
          <w:rFonts w:hint="eastAsia" w:asciiTheme="minorEastAsia" w:hAnsiTheme="minorEastAsia" w:eastAsiaTheme="minorEastAsia"/>
          <w:color w:val="auto"/>
          <w:szCs w:val="21"/>
        </w:rPr>
        <w:t>人以下的为中小微型企业。其中，从业人员</w:t>
      </w:r>
      <w:r>
        <w:rPr>
          <w:rFonts w:asciiTheme="minorEastAsia" w:hAnsiTheme="minorEastAsia" w:eastAsiaTheme="minorEastAsia"/>
          <w:color w:val="auto"/>
          <w:szCs w:val="21"/>
        </w:rPr>
        <w:t>100</w:t>
      </w:r>
      <w:r>
        <w:rPr>
          <w:rFonts w:hint="eastAsia" w:asciiTheme="minorEastAsia" w:hAnsiTheme="minorEastAsia" w:eastAsiaTheme="minorEastAsia"/>
          <w:color w:val="auto"/>
          <w:szCs w:val="21"/>
        </w:rPr>
        <w:t>人及以上的为中型企业；从业人员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人及以上的为小型企业；从业人员</w:t>
      </w:r>
      <w:r>
        <w:rPr>
          <w:rFonts w:asciiTheme="minorEastAsia" w:hAnsiTheme="minorEastAsia" w:eastAsiaTheme="minorEastAsia"/>
          <w:color w:val="auto"/>
          <w:szCs w:val="21"/>
        </w:rPr>
        <w:t>10</w:t>
      </w:r>
      <w:r>
        <w:rPr>
          <w:rFonts w:hint="eastAsia" w:asciiTheme="minorEastAsia" w:hAnsiTheme="minorEastAsia" w:eastAsiaTheme="minorEastAsia"/>
          <w:color w:val="auto"/>
          <w:szCs w:val="21"/>
        </w:rPr>
        <w:t>人以下的为微型企业。</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五、企业类型的划分以统计部门的统计数据为依据。</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六、本规定适用于在中华人民共和国境内依法设立的各类所有制和各种组织形式的企业。个体工商户和本规定以外的行业，参照本规定进行划型。</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七、本规定的中型企业标准上限即为大型企业标准的下限，国家统计部门据此制定大中小微型企业的统计分类。国务院有关部门据此进行相关数据分析，不得制定与本规定不一致的企业划型标准。</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八、本规定由工业和信息化部、国家统计局会同有关部门根据《国民经济行业分类》修订情况和企业发展变化情况适时修订。</w:t>
      </w:r>
    </w:p>
    <w:p>
      <w:pPr>
        <w:pStyle w:val="9"/>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　　九、本规定由工业和信息化部、国家统计局会同有关部门负责解释。</w:t>
      </w:r>
    </w:p>
    <w:p>
      <w:pPr>
        <w:pStyle w:val="9"/>
        <w:spacing w:line="360" w:lineRule="auto"/>
        <w:ind w:firstLine="420"/>
        <w:rPr>
          <w:rFonts w:asciiTheme="minorEastAsia" w:hAnsiTheme="minorEastAsia" w:eastAsiaTheme="minorEastAsia"/>
          <w:color w:val="auto"/>
          <w:szCs w:val="21"/>
        </w:rPr>
      </w:pPr>
      <w:r>
        <w:rPr>
          <w:rFonts w:hint="eastAsia" w:asciiTheme="minorEastAsia" w:hAnsiTheme="minorEastAsia" w:eastAsiaTheme="minorEastAsia"/>
          <w:color w:val="auto"/>
          <w:szCs w:val="21"/>
        </w:rPr>
        <w:t>十、本规定自发布之日起执行，原国家经贸委、原国家计委、财政部和国家统计局</w:t>
      </w:r>
      <w:r>
        <w:rPr>
          <w:rFonts w:asciiTheme="minorEastAsia" w:hAnsiTheme="minorEastAsia" w:eastAsiaTheme="minorEastAsia"/>
          <w:color w:val="auto"/>
          <w:szCs w:val="21"/>
        </w:rPr>
        <w:t>2003</w:t>
      </w:r>
      <w:r>
        <w:rPr>
          <w:rFonts w:hint="eastAsia" w:asciiTheme="minorEastAsia" w:hAnsiTheme="minorEastAsia" w:eastAsiaTheme="minorEastAsia"/>
          <w:color w:val="auto"/>
          <w:szCs w:val="21"/>
        </w:rPr>
        <w:t>年颁布的《中小企业标准暂行规定》同时废止。</w:t>
      </w:r>
    </w:p>
    <w:p>
      <w:pPr>
        <w:widowControl/>
        <w:spacing w:line="360" w:lineRule="auto"/>
        <w:jc w:val="left"/>
        <w:rPr>
          <w:rFonts w:cs="宋体" w:asciiTheme="minorEastAsia" w:hAnsiTheme="minorEastAsia" w:eastAsiaTheme="minorEastAsia"/>
          <w:color w:val="auto"/>
          <w:sz w:val="20"/>
          <w:szCs w:val="20"/>
        </w:rPr>
      </w:pPr>
    </w:p>
    <w:p>
      <w:pPr>
        <w:pStyle w:val="2"/>
        <w:spacing w:line="360" w:lineRule="auto"/>
        <w:jc w:val="center"/>
        <w:rPr>
          <w:rFonts w:asciiTheme="minorEastAsia" w:hAnsiTheme="minorEastAsia" w:eastAsiaTheme="minorEastAsia"/>
          <w:color w:val="auto"/>
        </w:rPr>
      </w:pPr>
      <w:r>
        <w:rPr>
          <w:rFonts w:cs="宋体" w:asciiTheme="minorEastAsia" w:hAnsiTheme="minorEastAsia" w:eastAsiaTheme="minorEastAsia"/>
          <w:color w:val="auto"/>
          <w:sz w:val="20"/>
          <w:szCs w:val="20"/>
        </w:rPr>
        <w:br w:type="page"/>
      </w:r>
      <w:bookmarkStart w:id="102" w:name="_Toc74322011"/>
      <w:r>
        <w:rPr>
          <w:rFonts w:hint="eastAsia" w:asciiTheme="minorEastAsia" w:hAnsiTheme="minorEastAsia" w:eastAsiaTheme="minorEastAsia"/>
          <w:color w:val="auto"/>
        </w:rPr>
        <w:t xml:space="preserve">第四章  </w:t>
      </w:r>
      <w:bookmarkStart w:id="103" w:name="_Hlk68601507"/>
      <w:r>
        <w:rPr>
          <w:rFonts w:hint="eastAsia" w:asciiTheme="minorEastAsia" w:hAnsiTheme="minorEastAsia" w:eastAsiaTheme="minorEastAsia"/>
          <w:color w:val="auto"/>
        </w:rPr>
        <w:t>评审程序和评定成交的标准</w:t>
      </w:r>
      <w:bookmarkEnd w:id="102"/>
      <w:bookmarkEnd w:id="103"/>
    </w:p>
    <w:p>
      <w:pPr>
        <w:spacing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一、评审程序</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1</w:t>
      </w:r>
      <w:r>
        <w:rPr>
          <w:rFonts w:hint="eastAsia" w:cs="宋体" w:asciiTheme="minorEastAsia" w:hAnsiTheme="minorEastAsia" w:eastAsiaTheme="minorEastAsia"/>
          <w:b/>
          <w:bCs/>
          <w:color w:val="auto"/>
          <w:sz w:val="24"/>
        </w:rPr>
        <w:t>.确认谈判文件</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1.1由谈判小组确认谈判文件。</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2</w:t>
      </w:r>
      <w:r>
        <w:rPr>
          <w:rFonts w:hint="eastAsia" w:cs="宋体" w:asciiTheme="minorEastAsia" w:hAnsiTheme="minorEastAsia" w:eastAsiaTheme="minorEastAsia"/>
          <w:b/>
          <w:bCs/>
          <w:color w:val="auto"/>
          <w:sz w:val="24"/>
        </w:rPr>
        <w:t>.资格审查</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.1响应文件开启后，谈判小组依法对供应商的资格证明文件进行审查。</w:t>
      </w:r>
    </w:p>
    <w:p>
      <w:pPr>
        <w:snapToGrid w:val="0"/>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注：</w:t>
      </w:r>
      <w:r>
        <w:rPr>
          <w:rFonts w:hint="eastAsia" w:asciiTheme="minorEastAsia" w:hAnsiTheme="minorEastAsia" w:eastAsiaTheme="minorEastAsia"/>
          <w:color w:val="auto"/>
        </w:rPr>
        <w:t>谈判小组</w:t>
      </w:r>
      <w:r>
        <w:rPr>
          <w:rFonts w:hint="eastAsia" w:cs="宋体" w:asciiTheme="minorEastAsia" w:hAnsiTheme="minorEastAsia" w:eastAsiaTheme="minorEastAsia"/>
          <w:color w:val="auto"/>
          <w:szCs w:val="21"/>
        </w:rPr>
        <w:t>在资格审查结束前，对供应商进行信用查询。</w:t>
      </w:r>
    </w:p>
    <w:p>
      <w:pPr>
        <w:snapToGrid w:val="0"/>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（1）查询渠道：广西政府采购云平台</w:t>
      </w:r>
      <w:r>
        <w:rPr>
          <w:rFonts w:hint="eastAsia" w:hAnsi="宋体" w:cs="宋体"/>
          <w:color w:val="auto"/>
        </w:rPr>
        <w:t>中国执行信息公开网（https://zxgk.court.gov.cn/shixin/）、</w:t>
      </w:r>
      <w:r>
        <w:rPr>
          <w:rFonts w:hint="eastAsia" w:cs="宋体" w:asciiTheme="minorEastAsia" w:hAnsiTheme="minorEastAsia" w:eastAsiaTheme="minorEastAsia"/>
          <w:color w:val="auto"/>
          <w:szCs w:val="21"/>
        </w:rPr>
        <w:t>“信用中国”网站(www.creditchina.gov.cn)、中国政府采购网(www.ccgp.gov.cn)。</w:t>
      </w:r>
    </w:p>
    <w:p>
      <w:pPr>
        <w:snapToGrid w:val="0"/>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（2）信用查询截止时点：资格审查结束前。</w:t>
      </w:r>
    </w:p>
    <w:p>
      <w:pPr>
        <w:snapToGrid w:val="0"/>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（3）查询记录和证据留存方式：在查询网站中直接查询，截图另存为电子文档作为评审资料保存。</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（4）信用信息使用规则：对在</w:t>
      </w:r>
      <w:r>
        <w:rPr>
          <w:rFonts w:hint="eastAsia" w:hAnsi="宋体" w:cs="宋体"/>
          <w:color w:val="auto"/>
        </w:rPr>
        <w:t>中国执行信息公开网（https://zxgk.court.gov.cn/shixin/）</w:t>
      </w:r>
      <w:r>
        <w:rPr>
          <w:rFonts w:hint="eastAsia" w:cs="宋体" w:asciiTheme="minorEastAsia" w:hAnsiTheme="minorEastAsia" w:eastAsiaTheme="minorEastAsia"/>
          <w:color w:val="auto"/>
          <w:szCs w:val="21"/>
        </w:rPr>
        <w:t>、“信用中国”网站(www.creditchina.gov.cn)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Theme="minorEastAsia" w:hAnsiTheme="minorEastAsia" w:eastAsiaTheme="minorEastAsia"/>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w:t>
      </w:r>
      <w:r>
        <w:rPr>
          <w:rFonts w:hint="eastAsia" w:cs="宋体" w:asciiTheme="minorEastAsia" w:hAnsiTheme="minorEastAsia" w:eastAsiaTheme="minorEastAsia"/>
          <w:color w:val="auto"/>
          <w:szCs w:val="21"/>
        </w:rPr>
        <w:t>十二条规定条件的供应商）的，视同联合体存在不良信用记录。</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2.2资格审查标准为本谈判文件中载明对供应商资格要求的条件。本项目资格审查采用合格制，凡符合谈判文件规定的供应商资格要求的供应商均通过资格审查。</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2.3 供应商有下列情形之一的，资格审查不通过，其响应文件按无效处理：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（1）不具备谈判文件中规定的资格要求的；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（2）未按谈判文件规定的方式获取本谈判文件的供应商；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（3）响应文件中的资格证明文件缺少任一项“供应商须知前附表”资格证明文件规定的“必须提供”的文件资料的；</w:t>
      </w:r>
    </w:p>
    <w:p>
      <w:pPr>
        <w:spacing w:line="360" w:lineRule="auto"/>
        <w:ind w:firstLine="420" w:firstLineChars="200"/>
        <w:contextualSpacing/>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4</w:t>
      </w:r>
      <w:r>
        <w:rPr>
          <w:rFonts w:hint="eastAsia" w:cs="宋体" w:asciiTheme="minorEastAsia" w:hAnsiTheme="minorEastAsia" w:eastAsiaTheme="minorEastAsia"/>
          <w:color w:val="auto"/>
          <w:szCs w:val="21"/>
        </w:rPr>
        <w:t>）响应文件中的资格证明文件出现任一项不符合“供应商须知前附表”资格证明文件规定的“必须提供”的文件资料要求或者无效的；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5</w:t>
      </w:r>
      <w:r>
        <w:rPr>
          <w:rFonts w:hint="eastAsia" w:cs="宋体" w:asciiTheme="minorEastAsia" w:hAnsiTheme="minorEastAsia" w:eastAsiaTheme="minorEastAsia"/>
          <w:color w:val="auto"/>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.4通过资格审查的合格供应商不足3家（本章</w:t>
      </w:r>
      <w:r>
        <w:rPr>
          <w:rFonts w:cs="宋体" w:asciiTheme="minorEastAsia" w:hAnsiTheme="minorEastAsia" w:eastAsiaTheme="minorEastAsia"/>
          <w:color w:val="auto"/>
          <w:szCs w:val="21"/>
        </w:rPr>
        <w:t>3.7</w:t>
      </w:r>
      <w:r>
        <w:rPr>
          <w:rFonts w:hint="eastAsia" w:cs="宋体" w:asciiTheme="minorEastAsia" w:hAnsiTheme="minorEastAsia" w:eastAsiaTheme="minorEastAsia"/>
          <w:color w:val="auto"/>
          <w:szCs w:val="21"/>
        </w:rPr>
        <w:t>条规定除外）的，不得进入符合性审查环节，应当重新开展采购活动。</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3</w:t>
      </w:r>
      <w:r>
        <w:rPr>
          <w:rFonts w:hint="eastAsia" w:cs="宋体" w:asciiTheme="minorEastAsia" w:hAnsiTheme="minorEastAsia" w:eastAsiaTheme="minorEastAsia"/>
          <w:b/>
          <w:bCs/>
          <w:color w:val="auto"/>
          <w:sz w:val="24"/>
        </w:rPr>
        <w:t>.符合性审查</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谈判小组应当对符合资格的供应商的响应文件进行竞标报价、商务、技术等实质性要求符合性审查，以确定其是否满足谈判文件的实质性要求。</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w:t>
      </w: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cs="宋体" w:asciiTheme="minorEastAsia" w:hAnsiTheme="minorEastAsia" w:eastAsiaTheme="minorEastAsia"/>
          <w:color w:val="auto"/>
          <w:spacing w:val="-6"/>
          <w:szCs w:val="21"/>
        </w:rPr>
      </w:pP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asciiTheme="minorEastAsia" w:hAnsiTheme="minorEastAsia" w:eastAsiaTheme="minorEastAsia"/>
          <w:color w:val="auto"/>
        </w:rPr>
        <w:t>签章</w:t>
      </w:r>
      <w:r>
        <w:rPr>
          <w:rFonts w:hint="eastAsia" w:cs="宋体" w:asciiTheme="minorEastAsia" w:hAnsiTheme="minorEastAsia" w:eastAsiaTheme="minorEastAsia"/>
          <w:color w:val="auto"/>
          <w:spacing w:val="-6"/>
          <w:szCs w:val="21"/>
        </w:rPr>
        <w:t>。</w:t>
      </w:r>
    </w:p>
    <w:p>
      <w:pPr>
        <w:spacing w:line="360" w:lineRule="auto"/>
        <w:ind w:firstLine="420" w:firstLineChars="200"/>
        <w:rPr>
          <w:rFonts w:cs="Courier New" w:asciiTheme="minorEastAsia" w:hAnsiTheme="minorEastAsia" w:eastAsiaTheme="minorEastAsia"/>
          <w:color w:val="auto"/>
          <w:szCs w:val="21"/>
        </w:rPr>
      </w:pPr>
      <w:r>
        <w:rPr>
          <w:rFonts w:hint="eastAsia" w:cs="Courier New" w:asciiTheme="minorEastAsia" w:hAnsiTheme="minorEastAsia" w:eastAsiaTheme="minorEastAsia"/>
          <w:color w:val="auto"/>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396"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pacing w:val="-6"/>
          <w:szCs w:val="21"/>
        </w:rPr>
        <w:t>3.4</w:t>
      </w:r>
      <w:r>
        <w:rPr>
          <w:rFonts w:hint="eastAsia" w:cs="宋体" w:asciiTheme="minorEastAsia" w:hAnsiTheme="minorEastAsia" w:eastAsiaTheme="minorEastAsia"/>
          <w:color w:val="auto"/>
          <w:szCs w:val="21"/>
        </w:rPr>
        <w:t xml:space="preserve">首次响应文件报价出现前后不一致的，按照下列规定修正： </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（1）响应文件中报价表内容与响应文件中相应内容不一致的，以报价表为准；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（2）大写金额和小写金额不一致的，以大写金额为准；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（3）单价金额小数点或者百分比有明显错位的，以报价表的总价为准，并修改单价；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（4）总价金额与按单价汇总金额不一致的，以单价金额计算结果为准。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同时出现两种以上不一致的，按照以上（1）-（4）规定的顺序逐条进行修正。修正后的报价经供应商确认后产生约束力，供应商不确认的，其响应文件按无效响应处理。</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5</w:t>
      </w:r>
      <w:r>
        <w:rPr>
          <w:rFonts w:hint="eastAsia" w:cs="宋体" w:asciiTheme="minorEastAsia" w:hAnsiTheme="minorEastAsia" w:eastAsiaTheme="minorEastAsia"/>
          <w:color w:val="auto"/>
          <w:szCs w:val="21"/>
        </w:rPr>
        <w:t>商务技术报价评审</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在评审时，如发现下列情形之一的，将被视为响应文件无效处理：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（1）商务技术评审</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1）响应文件未按谈判文件要求签署、盖章的；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2）委托代理人未能出具有效身份证或者出具的身份证与授权委托书中的信息不符的； </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3）提交的谈判保证金无效的或者未按照谈判文件的规定提交谈判保证金；</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5）商务要求允许负偏离的条款数超过“供应商须知前附表”规定项数的；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6）未对竞标有效期作出响应或者响应文件承诺的竞标有效期不满足谈判文件要求；</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7）响应文件的实质性内容未使用中文表述、使用计量单位不符合谈判文件要求的；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8）响应文件中的文件资料因填写不齐全或者内容虚假或者出现其他情形而导致被谈判小组认定无效的；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9）响应文件含有采购人不能接受的附加条件的；</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0）属于“供应商须知正文”第7.</w:t>
      </w:r>
      <w:r>
        <w:rPr>
          <w:rFonts w:cs="宋体" w:asciiTheme="minorEastAsia" w:hAnsiTheme="minorEastAsia" w:eastAsiaTheme="minorEastAsia"/>
          <w:color w:val="auto"/>
          <w:szCs w:val="21"/>
        </w:rPr>
        <w:t>5</w:t>
      </w:r>
      <w:r>
        <w:rPr>
          <w:rFonts w:hint="eastAsia" w:cs="宋体" w:asciiTheme="minorEastAsia" w:hAnsiTheme="minorEastAsia" w:eastAsiaTheme="minorEastAsia"/>
          <w:color w:val="auto"/>
          <w:szCs w:val="21"/>
        </w:rPr>
        <w:t>条的情形的；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11）技术评审允许负偏离的条款数超过“供应商须知前附表”规定项数的；</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2）虚假竞标，或者出现其他情形而导致被谈判小组认定无效的；</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3）</w:t>
      </w:r>
      <w:bookmarkStart w:id="104" w:name="_Hlk71704147"/>
      <w:r>
        <w:rPr>
          <w:rFonts w:hint="eastAsia" w:cs="宋体" w:asciiTheme="minorEastAsia" w:hAnsiTheme="minorEastAsia" w:eastAsiaTheme="minorEastAsia"/>
          <w:color w:val="auto"/>
          <w:szCs w:val="21"/>
        </w:rPr>
        <w:t>谈判文件未载明允许提供备选（替代）竞标方案或明确不允许提供备选（替代）竞标方案时，供应商提供了备选（替代）竞标方案的；</w:t>
      </w:r>
      <w:bookmarkEnd w:id="104"/>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4）响应文件标注的项目名称或者项目编号与谈判文件标注的项目名称或者项目编号不一致的；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15）</w:t>
      </w:r>
      <w:r>
        <w:rPr>
          <w:rFonts w:hint="eastAsia" w:asciiTheme="minorEastAsia" w:hAnsiTheme="minorEastAsia" w:eastAsiaTheme="minorEastAsia"/>
          <w:color w:val="auto"/>
          <w:szCs w:val="21"/>
        </w:rPr>
        <w:t>谈判文件明确不允许分包，响应文件拟分包的；</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6）未响应谈判文件实质性要求；</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17）法律、法规和谈判文件规定的其他无效情形。</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2）报</w:t>
      </w:r>
      <w:r>
        <w:rPr>
          <w:rFonts w:hint="eastAsia" w:cs="宋体" w:asciiTheme="minorEastAsia" w:hAnsiTheme="minorEastAsia" w:eastAsiaTheme="minorEastAsia"/>
          <w:color w:val="auto"/>
          <w:szCs w:val="21"/>
        </w:rPr>
        <w:t>价评审</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1）响应文件未提供“供应商须知前附表”报价文件中规定的“竞标报价表”的；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2）未采用人民币报价或者未按照谈判文件标明的币种报价的；</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竞标报价（包含首次报价、最后报价）超过所竞标分标规定的采购预算金额或者最高限价或报价范围的（如本项目公布了最高限价）；竞标报价（包含首次报价、最后报价）超过谈判文件分项采购预算金额或者最高限价或报价范围的（如本项目公布了最高限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修正后的报价，供应商不确认的；或者经供应商确认修正后的竞标报价（包含首次报价、最后报价）超过所竞标分标规定的采购预算金额或者最高限价或报价范围（如本项目公布了最高限价）；或者经供应商确认修正后竞标报价（包含首次报价、最后报价）超过谈判文件分项采购预算金额或者最高限价或报价范围的（如本项目公布了最高限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w:t>
      </w:r>
      <w:r>
        <w:rPr>
          <w:rFonts w:hint="eastAsia" w:asciiTheme="minorEastAsia" w:hAnsiTheme="minorEastAsia" w:eastAsiaTheme="minorEastAsia"/>
          <w:color w:val="auto"/>
          <w:szCs w:val="21"/>
        </w:rPr>
        <w:t>响应文件响应的标的数量及单位与竞争性谈判文件要求实质性不一致的。</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3</w:t>
      </w:r>
      <w:r>
        <w:rPr>
          <w:rFonts w:hint="eastAsia" w:cs="宋体" w:asciiTheme="minorEastAsia" w:hAnsiTheme="minorEastAsia" w:eastAsiaTheme="minorEastAsia"/>
          <w:color w:val="auto"/>
          <w:szCs w:val="21"/>
        </w:rPr>
        <w:t>.8除本章3.7条规定的情形外，通过符合性审查的合格供应商不足3家的，不得进入谈判环节，应当重新开展采购活动。</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4</w:t>
      </w:r>
      <w:r>
        <w:rPr>
          <w:rFonts w:cs="宋体" w:asciiTheme="minorEastAsia" w:hAnsiTheme="minorEastAsia" w:eastAsiaTheme="minorEastAsia"/>
          <w:b/>
          <w:bCs/>
          <w:color w:val="auto"/>
          <w:sz w:val="24"/>
        </w:rPr>
        <w:t>.</w:t>
      </w:r>
      <w:r>
        <w:rPr>
          <w:rFonts w:hint="eastAsia" w:cs="宋体" w:asciiTheme="minorEastAsia" w:hAnsiTheme="minorEastAsia" w:eastAsiaTheme="minorEastAsia"/>
          <w:b/>
          <w:bCs/>
          <w:color w:val="auto"/>
          <w:sz w:val="24"/>
        </w:rPr>
        <w:t>谈判程序</w:t>
      </w:r>
    </w:p>
    <w:p>
      <w:pPr>
        <w:spacing w:line="360" w:lineRule="auto"/>
        <w:ind w:firstLine="420" w:firstLineChars="200"/>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4</w:t>
      </w: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rPr>
        <w:t>谈判小组</w:t>
      </w:r>
      <w:r>
        <w:rPr>
          <w:rFonts w:hint="eastAsia" w:cs="宋体" w:asciiTheme="minorEastAsia" w:hAnsiTheme="minorEastAsia" w:eastAsiaTheme="minorEastAsia"/>
          <w:color w:val="auto"/>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4</w:t>
      </w: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4.3</w:t>
      </w:r>
      <w:r>
        <w:rPr>
          <w:rFonts w:hint="eastAsia" w:cs="宋体" w:asciiTheme="minorEastAsia" w:hAnsiTheme="minorEastAsia" w:eastAsiaTheme="minorEastAsia"/>
          <w:color w:val="auto"/>
          <w:szCs w:val="21"/>
        </w:rPr>
        <w:t>对谈判文件作出的实质性变动是谈判文件的有效组成部分，由谈判小组及时以电子澄清函形式同时通知所有参加谈判的供应商。</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4.4</w:t>
      </w:r>
      <w:r>
        <w:rPr>
          <w:rFonts w:hint="eastAsia" w:cs="宋体" w:asciiTheme="minorEastAsia" w:hAnsiTheme="minorEastAsia" w:eastAsiaTheme="minorEastAsia"/>
          <w:color w:val="auto"/>
          <w:szCs w:val="21"/>
        </w:rPr>
        <w:t>供应商必须按照谈判文件的变动情况和谈判小组的要求以回函的形式重新提交响应文件，并加盖电子签章。参加谈判的供应商未在规定时间内重新提交响应文件的，视同退出谈判，其响应文件按无效处理。</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4.5</w:t>
      </w:r>
      <w:r>
        <w:rPr>
          <w:rFonts w:hint="eastAsia" w:cs="宋体" w:asciiTheme="minorEastAsia" w:hAnsiTheme="minorEastAsia" w:eastAsiaTheme="minorEastAsia"/>
          <w:color w:val="auto"/>
          <w:szCs w:val="21"/>
        </w:rPr>
        <w:t>谈判中，谈判的任何一方不得透露与谈判有关的其他供应商的技术资料、价格和其他信息。</w:t>
      </w:r>
    </w:p>
    <w:p>
      <w:pPr>
        <w:widowControl/>
        <w:tabs>
          <w:tab w:val="left" w:pos="540"/>
        </w:tabs>
        <w:spacing w:line="360" w:lineRule="auto"/>
        <w:ind w:firstLine="420" w:firstLineChars="200"/>
        <w:jc w:val="left"/>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4.6</w:t>
      </w:r>
      <w:r>
        <w:rPr>
          <w:rFonts w:hint="eastAsia" w:cs="宋体" w:asciiTheme="minorEastAsia" w:hAnsiTheme="minorEastAsia" w:eastAsiaTheme="minorEastAsia"/>
          <w:color w:val="auto"/>
          <w:szCs w:val="21"/>
        </w:rPr>
        <w:t>谈判小组应对谈判过程和重要谈判内容进行记录。</w:t>
      </w:r>
    </w:p>
    <w:p>
      <w:pPr>
        <w:tabs>
          <w:tab w:val="left" w:pos="2835"/>
        </w:tabs>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4.</w:t>
      </w:r>
      <w:r>
        <w:rPr>
          <w:rFonts w:hint="eastAsia" w:cs="宋体" w:asciiTheme="minorEastAsia" w:hAnsiTheme="minorEastAsia" w:eastAsiaTheme="minorEastAsia"/>
          <w:color w:val="auto"/>
          <w:szCs w:val="21"/>
        </w:rPr>
        <w:t>7除本章第3.7条外，</w:t>
      </w:r>
      <w:r>
        <w:rPr>
          <w:rFonts w:hint="eastAsia" w:asciiTheme="minorEastAsia" w:hAnsiTheme="minorEastAsia" w:eastAsiaTheme="minorEastAsia"/>
          <w:color w:val="auto"/>
          <w:szCs w:val="21"/>
        </w:rPr>
        <w:t>对谈判过程提交的响应文件进行有效性、完整性和响应程度审查，通过审查的合格供应商不足3家的，采购人或者采购代理机构应当重新开展采购活动</w:t>
      </w:r>
      <w:r>
        <w:rPr>
          <w:rFonts w:hint="eastAsia" w:cs="宋体" w:asciiTheme="minorEastAsia" w:hAnsiTheme="minorEastAsia" w:eastAsiaTheme="minorEastAsia"/>
          <w:color w:val="auto"/>
          <w:szCs w:val="21"/>
        </w:rPr>
        <w:t>。</w:t>
      </w:r>
    </w:p>
    <w:p>
      <w:pPr>
        <w:spacing w:line="360" w:lineRule="auto"/>
        <w:ind w:firstLine="482" w:firstLineChars="20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5</w:t>
      </w:r>
      <w:r>
        <w:rPr>
          <w:rFonts w:cs="宋体" w:asciiTheme="minorEastAsia" w:hAnsiTheme="minorEastAsia" w:eastAsiaTheme="minorEastAsia"/>
          <w:b/>
          <w:bCs/>
          <w:color w:val="auto"/>
          <w:sz w:val="24"/>
        </w:rPr>
        <w:t>.</w:t>
      </w:r>
      <w:r>
        <w:rPr>
          <w:rFonts w:hint="eastAsia" w:cs="宋体" w:asciiTheme="minorEastAsia" w:hAnsiTheme="minorEastAsia" w:eastAsiaTheme="minorEastAsia"/>
          <w:b/>
          <w:bCs/>
          <w:color w:val="auto"/>
          <w:sz w:val="24"/>
        </w:rPr>
        <w:t xml:space="preserve"> 最后报价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w:t>
      </w:r>
      <w:r>
        <w:rPr>
          <w:rFonts w:hint="eastAsia" w:cs="宋体" w:asciiTheme="minorEastAsia" w:hAnsiTheme="minorEastAsia" w:eastAsiaTheme="minorEastAsia"/>
          <w:color w:val="auto"/>
          <w:szCs w:val="21"/>
        </w:rPr>
        <w:t>.</w:t>
      </w:r>
      <w:r>
        <w:rPr>
          <w:rFonts w:cs="宋体" w:asciiTheme="minorEastAsia" w:hAnsiTheme="minorEastAsia" w:eastAsiaTheme="minorEastAsia"/>
          <w:color w:val="auto"/>
          <w:szCs w:val="21"/>
        </w:rPr>
        <w:t>2</w:t>
      </w:r>
      <w:r>
        <w:rPr>
          <w:rFonts w:hint="eastAsia" w:cs="宋体" w:asciiTheme="minorEastAsia" w:hAnsiTheme="minorEastAsia" w:eastAsiaTheme="minorEastAsia"/>
          <w:color w:val="auto"/>
          <w:szCs w:val="21"/>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5.3</w:t>
      </w:r>
      <w:r>
        <w:rPr>
          <w:rFonts w:hint="eastAsia" w:cs="宋体" w:asciiTheme="minorEastAsia" w:hAnsiTheme="minorEastAsia" w:eastAsiaTheme="minorEastAsia"/>
          <w:color w:val="auto"/>
          <w:szCs w:val="21"/>
        </w:rPr>
        <w:t>最后报价是供应商响应文件的有效组成部分。</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5.4</w:t>
      </w:r>
      <w:r>
        <w:rPr>
          <w:rFonts w:hint="eastAsia" w:cs="宋体" w:asciiTheme="minorEastAsia" w:hAnsiTheme="minorEastAsia" w:eastAsiaTheme="minorEastAsia"/>
          <w:color w:val="auto"/>
          <w:szCs w:val="21"/>
        </w:rPr>
        <w:t>已经提交响应文件的供应商，在提交最后报价之前，可以根据谈判情况退出谈判，退出谈判的供应商的响应文件按无效响应处理。采购人、采购代理机构将退还退出谈判的供应商的保证金。</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5.5</w:t>
      </w:r>
      <w:r>
        <w:rPr>
          <w:rFonts w:hint="eastAsia" w:cs="宋体" w:asciiTheme="minorEastAsia" w:hAnsiTheme="minorEastAsia" w:eastAsiaTheme="minorEastAsia"/>
          <w:color w:val="auto"/>
          <w:szCs w:val="21"/>
        </w:rPr>
        <w:t>供应商未在规定时间内提交最后报价的，视为退出谈判，其响应文件按无效处理。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w:t>
      </w:r>
      <w:r>
        <w:rPr>
          <w:rFonts w:cs="宋体" w:asciiTheme="minorEastAsia" w:hAnsiTheme="minorEastAsia" w:eastAsiaTheme="minorEastAsia"/>
          <w:color w:val="auto"/>
          <w:szCs w:val="21"/>
        </w:rPr>
        <w:t>.6</w:t>
      </w:r>
      <w:r>
        <w:rPr>
          <w:rFonts w:hint="eastAsia" w:cs="宋体" w:asciiTheme="minorEastAsia" w:hAnsiTheme="minorEastAsia" w:eastAsiaTheme="minorEastAsia"/>
          <w:color w:val="auto"/>
          <w:szCs w:val="21"/>
        </w:rPr>
        <w:t>最后报价统一开启后，谈判小组对最后报价进行有效性、完整性和响应程度的审查。</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5.7</w:t>
      </w:r>
      <w:r>
        <w:rPr>
          <w:rFonts w:hint="eastAsia" w:cs="宋体" w:asciiTheme="minorEastAsia" w:hAnsiTheme="minorEastAsia" w:eastAsiaTheme="minorEastAsia"/>
          <w:color w:val="auto"/>
          <w:szCs w:val="21"/>
        </w:rPr>
        <w:t>最后报价出现前后不一致的，按照本章第</w:t>
      </w:r>
      <w:r>
        <w:rPr>
          <w:rFonts w:cs="宋体" w:asciiTheme="minorEastAsia" w:hAnsiTheme="minorEastAsia" w:eastAsiaTheme="minorEastAsia"/>
          <w:color w:val="auto"/>
          <w:szCs w:val="21"/>
        </w:rPr>
        <w:t>3.4</w:t>
      </w:r>
      <w:r>
        <w:rPr>
          <w:rFonts w:hint="eastAsia" w:cs="宋体" w:asciiTheme="minorEastAsia" w:hAnsiTheme="minorEastAsia" w:eastAsiaTheme="minorEastAsia"/>
          <w:color w:val="auto"/>
          <w:szCs w:val="21"/>
        </w:rPr>
        <w:t xml:space="preserve">条的规定修正。 </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5.8</w:t>
      </w:r>
      <w:r>
        <w:rPr>
          <w:rFonts w:hint="eastAsia" w:cs="宋体" w:asciiTheme="minorEastAsia" w:hAnsiTheme="minorEastAsia" w:eastAsiaTheme="minorEastAsia"/>
          <w:color w:val="auto"/>
          <w:szCs w:val="21"/>
        </w:rPr>
        <w:t>修正后的报价出现下列情形的，按无效响应处理：</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（1）供应商不确认的（全流程电子化评标采取在线确认）；</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（2）经供应商确认修正后的竞标报价（包含首次报价、最后报价）超过所竞标分标规定的采购预算金额或者最高限价或报价范围的（如本项目公布了最高限价）；</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（3）经供应商确认修正后的竞标报价（包含首次报价、最后报价）超过分项采购预算金额或者最高限价或报价范围的（如本项目公布了最高限价）。</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5.9</w:t>
      </w:r>
      <w:r>
        <w:rPr>
          <w:rFonts w:hint="eastAsia" w:cs="宋体" w:asciiTheme="minorEastAsia" w:hAnsiTheme="minorEastAsia" w:eastAsiaTheme="minorEastAsia"/>
          <w:color w:val="auto"/>
          <w:szCs w:val="21"/>
        </w:rPr>
        <w:t>经供应商确认修正后的最后报价作为评审及签订合同的依据。</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5.10供应商出现最后报价按无效响应处理或者响应文件按无效处理时</w:t>
      </w:r>
      <w:r>
        <w:rPr>
          <w:rFonts w:hint="eastAsia" w:asciiTheme="minorEastAsia" w:hAnsiTheme="minorEastAsia" w:eastAsiaTheme="minorEastAsia"/>
          <w:color w:val="auto"/>
          <w:sz w:val="22"/>
          <w:szCs w:val="22"/>
        </w:rPr>
        <w:t>，谈判小组应当告知有关供应商</w:t>
      </w:r>
      <w:r>
        <w:rPr>
          <w:rFonts w:hint="eastAsia" w:cs="宋体" w:asciiTheme="minorEastAsia" w:hAnsiTheme="minorEastAsia" w:eastAsiaTheme="minorEastAsia"/>
          <w:color w:val="auto"/>
          <w:szCs w:val="21"/>
        </w:rPr>
        <w:t>。</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5.1</w:t>
      </w:r>
      <w:r>
        <w:rPr>
          <w:rFonts w:hint="eastAsia" w:cs="宋体" w:asciiTheme="minorEastAsia" w:hAnsiTheme="minorEastAsia" w:eastAsiaTheme="minorEastAsia"/>
          <w:color w:val="auto"/>
          <w:szCs w:val="21"/>
        </w:rPr>
        <w:t>1最后报价结束后，谈判小组不得再与供应商进行任何形式的商谈。</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5.12政府采购评审中出现下列情形之一的，谈判小组应当启动异常低价投标（响应）审查程序：</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（1）投标（响应）报价低于全部通过符合性审查供应商投标（响应）报价平均值65%的，即投标（响应）报价&lt;全部通过符合性审查供应商投标（响应）报价平均值×65%；</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（2）投标（响应）报价低于通过符合性审查的次低报价供应商投标（响应）报价65%的，即投标（响应）报价&lt;通过符合性审查的次低报价供应商投标（响应）报价×65%；</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（3）投标（响应）报价低于采购项目最高限价65%的，即投标（响应）报价&lt;采购项目最高限价×65%；本项最高限价指最高报价折扣系数（即100%）。</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（4）谈判小组基于专业判断，认为供应商报价过低，有可能影响产品质量或者不能诚信履约的其他情形。</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pPr>
        <w:pStyle w:val="4"/>
        <w:keepNext w:val="0"/>
        <w:keepLines w:val="0"/>
        <w:numPr>
          <w:ilvl w:val="4"/>
          <w:numId w:val="0"/>
        </w:numPr>
        <w:spacing w:before="0" w:after="0" w:line="360" w:lineRule="auto"/>
        <w:ind w:firstLine="422" w:firstLineChars="200"/>
        <w:rPr>
          <w:rFonts w:ascii="宋体" w:hAnsi="宋体" w:cs="宋体"/>
          <w:color w:val="auto"/>
          <w:sz w:val="21"/>
          <w:szCs w:val="21"/>
        </w:rPr>
      </w:pPr>
      <w:r>
        <w:rPr>
          <w:rFonts w:hint="eastAsia" w:ascii="宋体" w:hAnsi="宋体" w:cs="宋体"/>
          <w:color w:val="auto"/>
          <w:sz w:val="21"/>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pPr>
        <w:pStyle w:val="4"/>
        <w:keepNext w:val="0"/>
        <w:keepLines w:val="0"/>
        <w:numPr>
          <w:ilvl w:val="4"/>
          <w:numId w:val="0"/>
        </w:numPr>
        <w:spacing w:before="0" w:after="0" w:line="360" w:lineRule="auto"/>
        <w:ind w:firstLine="422" w:firstLineChars="200"/>
        <w:rPr>
          <w:rFonts w:cs="宋体" w:asciiTheme="minorEastAsia" w:hAnsiTheme="minorEastAsia" w:eastAsiaTheme="minorEastAsia"/>
          <w:color w:val="auto"/>
          <w:sz w:val="24"/>
        </w:rPr>
      </w:pPr>
      <w:r>
        <w:rPr>
          <w:rFonts w:hint="eastAsia" w:ascii="宋体" w:hAnsi="宋体" w:cs="宋体"/>
          <w:color w:val="auto"/>
          <w:sz w:val="21"/>
          <w:szCs w:val="21"/>
        </w:rPr>
        <w:t>异常低价投标（响应）审查的启动原因、审查意见和审查结果应当在评审报告中记录，并随供应商提供的相关书面说明及证明材料，以及谈判小组有关互联网浏览、查询历史一并归档。</w:t>
      </w:r>
    </w:p>
    <w:p>
      <w:pPr>
        <w:spacing w:line="360" w:lineRule="auto"/>
        <w:ind w:firstLine="472" w:firstLineChars="196"/>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6.</w:t>
      </w:r>
      <w:r>
        <w:rPr>
          <w:rFonts w:hint="eastAsia" w:cs="宋体" w:asciiTheme="minorEastAsia" w:hAnsiTheme="minorEastAsia" w:eastAsiaTheme="minorEastAsia"/>
          <w:b/>
          <w:bCs/>
          <w:color w:val="auto"/>
          <w:sz w:val="24"/>
        </w:rPr>
        <w:t xml:space="preserve"> 最后报价政府采购政策性扣除</w:t>
      </w:r>
    </w:p>
    <w:p>
      <w:pPr>
        <w:spacing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6</w:t>
      </w: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评审价为供应商的最后报价进行政策性扣除后的价格，评审价只是作为评审时使用。最终成交供应商的成交金额等于最后报价（如有修正，以确认修正后的最后报价为准）。</w:t>
      </w:r>
    </w:p>
    <w:p>
      <w:pPr>
        <w:spacing w:line="360" w:lineRule="auto"/>
        <w:ind w:firstLine="420" w:firstLineChars="200"/>
        <w:rPr>
          <w:rFonts w:cs="宋体" w:asciiTheme="minorEastAsia" w:hAnsiTheme="minorEastAsia" w:eastAsiaTheme="minorEastAsia"/>
          <w:color w:val="auto"/>
        </w:rPr>
      </w:pPr>
      <w:r>
        <w:rPr>
          <w:rFonts w:cs="宋体" w:asciiTheme="minorEastAsia" w:hAnsiTheme="minorEastAsia" w:eastAsiaTheme="minorEastAsia"/>
          <w:color w:val="auto"/>
          <w:szCs w:val="21"/>
        </w:rPr>
        <w:t>6.2</w:t>
      </w:r>
      <w:r>
        <w:rPr>
          <w:rFonts w:hint="eastAsia" w:cs="宋体" w:asciiTheme="minorEastAsia" w:hAnsiTheme="minorEastAsia" w:eastAsiaTheme="minorEastAsia"/>
          <w:color w:val="auto"/>
        </w:rPr>
        <w:t>政策性扣除计算方法。</w:t>
      </w:r>
    </w:p>
    <w:p>
      <w:pPr>
        <w:spacing w:line="360" w:lineRule="auto"/>
        <w:ind w:firstLine="369" w:firstLineChars="176"/>
        <w:rPr>
          <w:rFonts w:cs="宋体" w:asciiTheme="minorEastAsia" w:hAnsiTheme="minorEastAsia" w:eastAsiaTheme="minorEastAsia"/>
          <w:color w:val="auto"/>
        </w:rPr>
      </w:pPr>
      <w:r>
        <w:rPr>
          <w:rFonts w:hint="eastAsia" w:cs="宋体" w:asciiTheme="minorEastAsia" w:hAnsiTheme="minorEastAsia" w:eastAsiaTheme="minorEastAsia"/>
          <w:color w:val="auto"/>
          <w:szCs w:val="21"/>
        </w:rPr>
        <w:t>根据《政府采购促进中小企业发展管理办法》（财库〔2020〕46号）</w:t>
      </w:r>
      <w:r>
        <w:rPr>
          <w:rFonts w:hint="eastAsia" w:asciiTheme="minorEastAsia" w:hAnsiTheme="minorEastAsia" w:eastAsiaTheme="minorEastAsia"/>
          <w:bCs/>
          <w:color w:val="auto"/>
          <w:szCs w:val="21"/>
        </w:rPr>
        <w:t>及《广西壮族自治区财政厅关于持续优化政府采购营商环境推动高质量发展的通知》（桂财采〔2024〕55号）的规定，供应商在其响应文件中提供《中小企业声明函》，且响应货物全部由小微企业制造，对供应商的竞标报价给予</w:t>
      </w:r>
      <w:r>
        <w:rPr>
          <w:rFonts w:hint="eastAsia" w:asciiTheme="minorEastAsia" w:hAnsiTheme="minorEastAsia" w:eastAsiaTheme="minorEastAsia"/>
          <w:bCs/>
          <w:color w:val="auto"/>
          <w:szCs w:val="21"/>
          <w:u w:val="single"/>
        </w:rPr>
        <w:t>20%</w:t>
      </w:r>
      <w:r>
        <w:rPr>
          <w:rFonts w:hint="eastAsia" w:asciiTheme="minorEastAsia" w:hAnsiTheme="minorEastAsia" w:eastAsiaTheme="minorEastAsia"/>
          <w:bCs/>
          <w:color w:val="auto"/>
          <w:szCs w:val="21"/>
        </w:rPr>
        <w:t>的扣除，扣除后的价格为评审价，即评审价=竞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Theme="minorEastAsia" w:hAnsiTheme="minorEastAsia" w:eastAsiaTheme="minorEastAsia"/>
          <w:bCs/>
          <w:color w:val="auto"/>
          <w:szCs w:val="21"/>
          <w:u w:val="single"/>
        </w:rPr>
        <w:t>4%</w:t>
      </w:r>
      <w:r>
        <w:rPr>
          <w:rFonts w:hint="eastAsia" w:asciiTheme="minorEastAsia" w:hAnsiTheme="minorEastAsia" w:eastAsiaTheme="minorEastAsia"/>
          <w:bCs/>
          <w:color w:val="auto"/>
          <w:szCs w:val="21"/>
        </w:rPr>
        <w:t>的扣除，用扣除后的价格参加评审，扣除后的价格为评审价，即评审价=竞标报价×（1-</w:t>
      </w:r>
      <w:r>
        <w:rPr>
          <w:rFonts w:hint="eastAsia" w:asciiTheme="minorEastAsia" w:hAnsiTheme="minorEastAsia" w:eastAsiaTheme="minorEastAsia"/>
          <w:bCs/>
          <w:color w:val="auto"/>
          <w:szCs w:val="21"/>
          <w:u w:val="single"/>
        </w:rPr>
        <w:t>4</w:t>
      </w:r>
      <w:r>
        <w:rPr>
          <w:rFonts w:hint="eastAsia" w:asciiTheme="minorEastAsia" w:hAnsiTheme="minorEastAsia" w:eastAsiaTheme="minorEastAsia"/>
          <w:bCs/>
          <w:color w:val="auto"/>
          <w:szCs w:val="21"/>
        </w:rPr>
        <w:t>%）。除上述情况外，评审价=竞标报价。</w:t>
      </w:r>
    </w:p>
    <w:p>
      <w:pPr>
        <w:spacing w:line="360" w:lineRule="auto"/>
        <w:ind w:firstLine="420" w:firstLineChars="200"/>
        <w:rPr>
          <w:rFonts w:cs="宋体" w:asciiTheme="minorEastAsia" w:hAnsiTheme="minorEastAsia" w:eastAsiaTheme="minorEastAsia"/>
          <w:color w:val="auto"/>
          <w:szCs w:val="21"/>
        </w:rPr>
      </w:pPr>
      <w:r>
        <w:rPr>
          <w:rFonts w:cs="宋体" w:asciiTheme="minorEastAsia" w:hAnsiTheme="minorEastAsia" w:eastAsiaTheme="minorEastAsia"/>
          <w:color w:val="auto"/>
          <w:szCs w:val="21"/>
        </w:rPr>
        <w:t>6.3</w:t>
      </w:r>
      <w:r>
        <w:rPr>
          <w:rFonts w:hint="eastAsia" w:cs="宋体" w:asciiTheme="minorEastAsia" w:hAnsiTheme="minorEastAsia" w:eastAsiaTheme="minorEastAsia"/>
          <w:color w:val="auto"/>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Theme="minorEastAsia" w:hAnsiTheme="minorEastAsia" w:eastAsiaTheme="minorEastAsia"/>
          <w:bCs/>
          <w:color w:val="auto"/>
          <w:szCs w:val="21"/>
        </w:rPr>
        <w:t>监狱企业属于小型、微型企业的，</w:t>
      </w:r>
      <w:r>
        <w:rPr>
          <w:rFonts w:hint="eastAsia" w:cs="宋体" w:asciiTheme="minorEastAsia" w:hAnsiTheme="minorEastAsia" w:eastAsiaTheme="minorEastAsia"/>
          <w:color w:val="auto"/>
          <w:szCs w:val="21"/>
        </w:rPr>
        <w:t>不重复享受政策。</w:t>
      </w:r>
    </w:p>
    <w:p>
      <w:pPr>
        <w:spacing w:line="360" w:lineRule="auto"/>
        <w:ind w:firstLine="420" w:firstLineChars="200"/>
        <w:rPr>
          <w:rFonts w:cs="宋体" w:asciiTheme="minorEastAsia" w:hAnsiTheme="minorEastAsia" w:eastAsiaTheme="minorEastAsia"/>
          <w:color w:val="auto"/>
        </w:rPr>
      </w:pPr>
      <w:r>
        <w:rPr>
          <w:rFonts w:cs="宋体" w:asciiTheme="minorEastAsia" w:hAnsiTheme="minorEastAsia" w:eastAsiaTheme="minorEastAsia"/>
          <w:color w:val="auto"/>
          <w:szCs w:val="21"/>
        </w:rPr>
        <w:t>6.4</w:t>
      </w:r>
      <w:r>
        <w:rPr>
          <w:rFonts w:hint="eastAsia" w:cs="宋体" w:asciiTheme="minorEastAsia" w:hAnsiTheme="minorEastAsia" w:eastAsiaTheme="minorEastAsia"/>
          <w:color w:val="auto"/>
          <w:szCs w:val="21"/>
        </w:rPr>
        <w:t>按照《关于促进残疾人就业政府采购政策的通知》（财库〔2017〕141号）的规定，残疾人福利性单位视同小型、微型企业，享受预留份额、评审中价格扣除等</w:t>
      </w:r>
      <w:r>
        <w:rPr>
          <w:rFonts w:hint="eastAsia" w:cs="宋体" w:asciiTheme="minorEastAsia" w:hAnsiTheme="minorEastAsia" w:eastAsiaTheme="minorEastAsia"/>
          <w:color w:val="auto"/>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pPr>
        <w:spacing w:line="360" w:lineRule="auto"/>
        <w:ind w:firstLine="420" w:firstLineChars="200"/>
        <w:rPr>
          <w:rFonts w:cs="宋体" w:asciiTheme="minorEastAsia" w:hAnsiTheme="minorEastAsia" w:eastAsiaTheme="minorEastAsia"/>
          <w:color w:val="auto"/>
        </w:rPr>
      </w:pPr>
      <w:r>
        <w:rPr>
          <w:rFonts w:cs="宋体" w:asciiTheme="minorEastAsia" w:hAnsiTheme="minorEastAsia" w:eastAsiaTheme="minorEastAsia"/>
          <w:color w:val="auto"/>
        </w:rPr>
        <w:t>6.5</w:t>
      </w:r>
      <w:r>
        <w:rPr>
          <w:rFonts w:hint="eastAsia" w:cs="宋体" w:asciiTheme="minorEastAsia" w:hAnsiTheme="minorEastAsia" w:eastAsiaTheme="minorEastAsia"/>
          <w:color w:val="auto"/>
        </w:rPr>
        <w:t>除上述情况外，评审价＝最后报价。</w:t>
      </w:r>
    </w:p>
    <w:p>
      <w:pPr>
        <w:spacing w:line="360" w:lineRule="auto"/>
        <w:ind w:firstLine="420" w:firstLineChars="200"/>
        <w:rPr>
          <w:rFonts w:cs="宋体" w:asciiTheme="minorEastAsia" w:hAnsiTheme="minorEastAsia" w:eastAsiaTheme="minorEastAsia"/>
          <w:color w:val="auto"/>
        </w:rPr>
      </w:pPr>
    </w:p>
    <w:p>
      <w:pPr>
        <w:spacing w:line="360" w:lineRule="auto"/>
        <w:jc w:val="center"/>
        <w:rPr>
          <w:rFonts w:asciiTheme="minorEastAsia" w:hAnsiTheme="minorEastAsia" w:eastAsiaTheme="minorEastAsia"/>
          <w:b/>
          <w:color w:val="auto"/>
          <w:sz w:val="32"/>
          <w:szCs w:val="32"/>
        </w:rPr>
      </w:pPr>
    </w:p>
    <w:p>
      <w:pPr>
        <w:widowControl/>
        <w:jc w:val="left"/>
        <w:rPr>
          <w:rFonts w:asciiTheme="minorEastAsia" w:hAnsiTheme="minorEastAsia" w:eastAsiaTheme="minorEastAsia"/>
          <w:b/>
          <w:color w:val="auto"/>
          <w:sz w:val="32"/>
          <w:szCs w:val="32"/>
        </w:rPr>
      </w:pPr>
      <w:r>
        <w:rPr>
          <w:rFonts w:asciiTheme="minorEastAsia" w:hAnsiTheme="minorEastAsia" w:eastAsiaTheme="minorEastAsia"/>
          <w:b/>
          <w:color w:val="auto"/>
          <w:sz w:val="32"/>
          <w:szCs w:val="32"/>
        </w:rPr>
        <w:br w:type="page"/>
      </w:r>
    </w:p>
    <w:p>
      <w:pPr>
        <w:spacing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二、评定成交的标准</w:t>
      </w:r>
    </w:p>
    <w:p>
      <w:pPr>
        <w:spacing w:line="360" w:lineRule="auto"/>
        <w:ind w:firstLine="482" w:firstLineChars="200"/>
        <w:rPr>
          <w:rFonts w:cs="宋体" w:asciiTheme="minorEastAsia" w:hAnsiTheme="minorEastAsia" w:eastAsiaTheme="minorEastAsia"/>
          <w:b/>
          <w:bCs/>
          <w:color w:val="auto"/>
          <w:sz w:val="24"/>
        </w:rPr>
      </w:pPr>
      <w:r>
        <w:rPr>
          <w:rFonts w:cs="宋体" w:asciiTheme="minorEastAsia" w:hAnsiTheme="minorEastAsia" w:eastAsiaTheme="minorEastAsia"/>
          <w:b/>
          <w:bCs/>
          <w:color w:val="auto"/>
          <w:sz w:val="24"/>
        </w:rPr>
        <w:t>7.</w:t>
      </w:r>
      <w:r>
        <w:rPr>
          <w:rFonts w:hint="eastAsia" w:cs="宋体" w:asciiTheme="minorEastAsia" w:hAnsiTheme="minorEastAsia" w:eastAsiaTheme="minorEastAsia"/>
          <w:b/>
          <w:bCs/>
          <w:color w:val="auto"/>
          <w:sz w:val="24"/>
        </w:rPr>
        <w:t xml:space="preserve"> 成交候选人推荐原则</w:t>
      </w:r>
    </w:p>
    <w:p>
      <w:pPr>
        <w:spacing w:line="360" w:lineRule="auto"/>
        <w:ind w:firstLine="420" w:firstLineChars="200"/>
        <w:contextualSpacing/>
        <w:rPr>
          <w:rFonts w:asciiTheme="minorEastAsia" w:hAnsiTheme="minorEastAsia" w:eastAsiaTheme="minorEastAsia"/>
          <w:color w:val="auto"/>
        </w:rPr>
      </w:pPr>
      <w:r>
        <w:rPr>
          <w:rFonts w:hint="eastAsia" w:cs="宋体" w:asciiTheme="minorEastAsia" w:hAnsiTheme="minorEastAsia" w:eastAsiaTheme="minorEastAsia"/>
          <w:color w:val="auto"/>
        </w:rPr>
        <w:t>谈判小组应当从质量和服务均能满足谈判文件实质性响应要求的供应商中，按照评审价由低到高的顺序提出3名</w:t>
      </w:r>
      <w:r>
        <w:rPr>
          <w:rFonts w:hint="eastAsia" w:asciiTheme="minorEastAsia" w:hAnsiTheme="minorEastAsia" w:eastAsiaTheme="minorEastAsia"/>
          <w:color w:val="auto"/>
        </w:rPr>
        <w:t>及</w:t>
      </w:r>
      <w:r>
        <w:rPr>
          <w:rFonts w:hint="eastAsia" w:cs="宋体" w:asciiTheme="minorEastAsia" w:hAnsiTheme="minorEastAsia" w:eastAsiaTheme="minorEastAsia"/>
          <w:color w:val="auto"/>
        </w:rPr>
        <w:t>以上成交候选人（评审价相同时，按照最后报价由低到高顺序依次推荐；最后报价相同时，由谈判小组按“供应商须知前附表”第2</w:t>
      </w:r>
      <w:r>
        <w:rPr>
          <w:rFonts w:cs="宋体" w:asciiTheme="minorEastAsia" w:hAnsiTheme="minorEastAsia" w:eastAsiaTheme="minorEastAsia"/>
          <w:color w:val="auto"/>
        </w:rPr>
        <w:t>6</w:t>
      </w:r>
      <w:r>
        <w:rPr>
          <w:rFonts w:hint="eastAsia" w:cs="宋体" w:asciiTheme="minorEastAsia" w:hAnsiTheme="minorEastAsia" w:eastAsiaTheme="minorEastAsia"/>
          <w:color w:val="auto"/>
        </w:rPr>
        <w:t>条规定的顺序推荐），并编写评审报告，评审报告</w:t>
      </w:r>
      <w:r>
        <w:rPr>
          <w:rFonts w:hint="eastAsia" w:asciiTheme="minorEastAsia" w:hAnsiTheme="minorEastAsia" w:eastAsiaTheme="minorEastAsia"/>
          <w:color w:val="auto"/>
        </w:rPr>
        <w:t>通过电子交易平台向采购人、采购代理机构提交。</w:t>
      </w:r>
    </w:p>
    <w:p>
      <w:pPr>
        <w:spacing w:line="360" w:lineRule="auto"/>
        <w:ind w:firstLine="422" w:firstLineChars="200"/>
        <w:rPr>
          <w:rFonts w:cs="宋体" w:asciiTheme="minorEastAsia" w:hAnsiTheme="minorEastAsia" w:eastAsiaTheme="minorEastAsia"/>
          <w:color w:val="auto"/>
        </w:rPr>
      </w:pPr>
      <w:r>
        <w:rPr>
          <w:rFonts w:hint="eastAsia" w:asciiTheme="minorEastAsia" w:hAnsiTheme="minorEastAsia" w:eastAsiaTheme="minorEastAsia"/>
          <w:b/>
          <w:bCs/>
          <w:color w:val="auto"/>
          <w:szCs w:val="21"/>
        </w:rPr>
        <w:t>供应商可同时参与标项一、标项二两个标项的竞标，实行兼投不兼中，每家供应商仅能中标一个标项。评审顺序为先标项一、后标项二。若同一供应商两个标项</w:t>
      </w:r>
      <w:r>
        <w:rPr>
          <w:rFonts w:hint="eastAsia" w:ascii="宋体" w:hAnsi="宋体"/>
          <w:b/>
          <w:color w:val="auto"/>
          <w:szCs w:val="21"/>
        </w:rPr>
        <w:t>评审结果均排名第一</w:t>
      </w:r>
      <w:r>
        <w:rPr>
          <w:rFonts w:hint="eastAsia" w:asciiTheme="minorEastAsia" w:hAnsiTheme="minorEastAsia" w:eastAsiaTheme="minorEastAsia"/>
          <w:b/>
          <w:bCs/>
          <w:color w:val="auto"/>
          <w:szCs w:val="21"/>
        </w:rPr>
        <w:t>，则确定为标项一第一成交候选人，直接取消其标项二全部候选资格，标项二其他供应商名次依次递补。剔除该供应商后，标项二有效供应商≥3 家方可正常评审，不足 3 家则标项二废标。</w:t>
      </w:r>
    </w:p>
    <w:p>
      <w:pPr>
        <w:pStyle w:val="2"/>
        <w:spacing w:line="360" w:lineRule="auto"/>
        <w:jc w:val="center"/>
        <w:rPr>
          <w:rFonts w:asciiTheme="minorEastAsia" w:hAnsiTheme="minorEastAsia" w:eastAsiaTheme="minorEastAsia"/>
          <w:color w:val="auto"/>
        </w:rPr>
      </w:pPr>
      <w:r>
        <w:rPr>
          <w:rFonts w:asciiTheme="minorEastAsia" w:hAnsiTheme="minorEastAsia" w:eastAsiaTheme="minorEastAsia"/>
          <w:color w:val="auto"/>
        </w:rPr>
        <w:br w:type="page"/>
      </w: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spacing w:line="360" w:lineRule="auto"/>
        <w:rPr>
          <w:rFonts w:asciiTheme="minorEastAsia" w:hAnsiTheme="minorEastAsia" w:eastAsiaTheme="minorEastAsia"/>
          <w:color w:val="auto"/>
        </w:rPr>
      </w:pPr>
    </w:p>
    <w:p>
      <w:pPr>
        <w:pStyle w:val="2"/>
        <w:spacing w:line="360" w:lineRule="auto"/>
        <w:jc w:val="center"/>
        <w:rPr>
          <w:rFonts w:asciiTheme="minorEastAsia" w:hAnsiTheme="minorEastAsia" w:eastAsiaTheme="minorEastAsia"/>
          <w:color w:val="auto"/>
        </w:rPr>
      </w:pPr>
      <w:bookmarkStart w:id="105" w:name="_Toc74322012"/>
      <w:r>
        <w:rPr>
          <w:rFonts w:hint="eastAsia" w:asciiTheme="minorEastAsia" w:hAnsiTheme="minorEastAsia" w:eastAsiaTheme="minorEastAsia"/>
          <w:color w:val="auto"/>
        </w:rPr>
        <w:t>第五章 响应文件格式</w:t>
      </w:r>
      <w:bookmarkEnd w:id="105"/>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p>
    <w:p>
      <w:pPr>
        <w:spacing w:line="360" w:lineRule="auto"/>
        <w:rPr>
          <w:rFonts w:asciiTheme="minorEastAsia" w:hAnsiTheme="minorEastAsia" w:eastAsiaTheme="minorEastAsia"/>
          <w:b/>
          <w:color w:val="auto"/>
          <w:sz w:val="32"/>
          <w:szCs w:val="32"/>
        </w:rPr>
      </w:pPr>
      <w:bookmarkStart w:id="106" w:name="_Toc71366060"/>
      <w:bookmarkStart w:id="107" w:name="_Toc71365382"/>
      <w:r>
        <w:rPr>
          <w:rFonts w:hint="eastAsia" w:asciiTheme="minorEastAsia" w:hAnsiTheme="minorEastAsia" w:eastAsiaTheme="minorEastAsia"/>
          <w:b/>
          <w:color w:val="auto"/>
          <w:sz w:val="32"/>
          <w:szCs w:val="32"/>
        </w:rPr>
        <w:br w:type="page"/>
      </w:r>
      <w:r>
        <w:rPr>
          <w:rFonts w:hint="eastAsia" w:asciiTheme="minorEastAsia" w:hAnsiTheme="minorEastAsia" w:eastAsiaTheme="minorEastAsia"/>
          <w:b/>
          <w:color w:val="auto"/>
          <w:sz w:val="32"/>
          <w:szCs w:val="32"/>
        </w:rPr>
        <w:t>一、资格证明文件格式</w:t>
      </w:r>
      <w:bookmarkEnd w:id="106"/>
      <w:bookmarkEnd w:id="107"/>
    </w:p>
    <w:p>
      <w:pPr>
        <w:snapToGrid w:val="0"/>
        <w:spacing w:beforeLines="50" w:after="50"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32"/>
          <w:szCs w:val="32"/>
        </w:rPr>
        <w:t>1.资格证明文件封面格式：</w:t>
      </w:r>
      <w:r>
        <w:rPr>
          <w:rFonts w:hint="eastAsia" w:asciiTheme="minorEastAsia" w:hAnsiTheme="minorEastAsia" w:eastAsiaTheme="minorEastAsia"/>
          <w:b/>
          <w:color w:val="auto"/>
          <w:sz w:val="24"/>
        </w:rPr>
        <w:t xml:space="preserve"> </w:t>
      </w:r>
    </w:p>
    <w:p>
      <w:pPr>
        <w:snapToGrid w:val="0"/>
        <w:spacing w:beforeLines="50" w:after="50" w:line="360" w:lineRule="auto"/>
        <w:rPr>
          <w:rFonts w:asciiTheme="minorEastAsia" w:hAnsiTheme="minorEastAsia" w:eastAsiaTheme="minorEastAsia"/>
          <w:bCs/>
          <w:color w:val="auto"/>
          <w:sz w:val="32"/>
          <w:szCs w:val="20"/>
        </w:rPr>
      </w:pPr>
      <w:r>
        <w:rPr>
          <w:rFonts w:hint="eastAsia" w:asciiTheme="minorEastAsia" w:hAnsiTheme="minorEastAsia" w:eastAsiaTheme="minorEastAsia"/>
          <w:color w:val="auto"/>
          <w:sz w:val="24"/>
        </w:rPr>
        <w:t xml:space="preserve">                                                    </w:t>
      </w:r>
    </w:p>
    <w:p>
      <w:pPr>
        <w:snapToGrid w:val="0"/>
        <w:spacing w:beforeLines="50" w:after="50" w:line="360" w:lineRule="auto"/>
        <w:jc w:val="center"/>
        <w:rPr>
          <w:rFonts w:asciiTheme="minorEastAsia" w:hAnsiTheme="minorEastAsia" w:eastAsiaTheme="minorEastAsia"/>
          <w:color w:val="auto"/>
          <w:sz w:val="44"/>
          <w:szCs w:val="44"/>
        </w:rPr>
      </w:pPr>
      <w:r>
        <w:rPr>
          <w:rFonts w:hint="eastAsia" w:asciiTheme="minorEastAsia" w:hAnsiTheme="minorEastAsia" w:eastAsiaTheme="minorEastAsia"/>
          <w:color w:val="auto"/>
          <w:sz w:val="44"/>
          <w:szCs w:val="44"/>
        </w:rPr>
        <w:t>电 子 响 应 文 件</w:t>
      </w:r>
    </w:p>
    <w:p>
      <w:pPr>
        <w:snapToGrid w:val="0"/>
        <w:spacing w:beforeLines="50" w:after="50" w:line="360" w:lineRule="auto"/>
        <w:rPr>
          <w:rFonts w:asciiTheme="minorEastAsia" w:hAnsiTheme="minorEastAsia" w:eastAsiaTheme="minorEastAsia"/>
          <w:color w:val="auto"/>
          <w:sz w:val="24"/>
          <w:szCs w:val="20"/>
        </w:rPr>
      </w:pPr>
    </w:p>
    <w:p>
      <w:pPr>
        <w:snapToGrid w:val="0"/>
        <w:spacing w:beforeLines="50" w:after="50" w:line="360" w:lineRule="auto"/>
        <w:jc w:val="center"/>
        <w:rPr>
          <w:rFonts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资  格  证  明  文  件</w:t>
      </w: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项目名称：</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项目编号：</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所竞标项（如有则填写，无分标时填写“无”或者留空）：</w:t>
      </w:r>
    </w:p>
    <w:p>
      <w:pPr>
        <w:pStyle w:val="5"/>
        <w:snapToGrid w:val="0"/>
        <w:spacing w:before="50" w:after="50" w:line="360" w:lineRule="auto"/>
        <w:ind w:firstLine="720" w:firstLineChars="225"/>
        <w:rPr>
          <w:rFonts w:cs="仿宋_GB2312" w:asciiTheme="minorEastAsia" w:hAnsiTheme="minorEastAsia" w:eastAsiaTheme="minorEastAsia"/>
          <w:bCs/>
          <w:color w:val="auto"/>
          <w:sz w:val="32"/>
          <w:szCs w:val="32"/>
        </w:rPr>
      </w:pPr>
    </w:p>
    <w:p>
      <w:pPr>
        <w:pStyle w:val="5"/>
        <w:snapToGrid w:val="0"/>
        <w:spacing w:before="50" w:after="50" w:line="360" w:lineRule="auto"/>
        <w:ind w:firstLine="720" w:firstLineChars="225"/>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供应商名称：</w:t>
      </w: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p>
    <w:p>
      <w:pPr>
        <w:pStyle w:val="5"/>
        <w:snapToGrid w:val="0"/>
        <w:spacing w:before="50" w:after="50" w:line="360" w:lineRule="auto"/>
        <w:ind w:firstLine="1280" w:firstLineChars="400"/>
        <w:rPr>
          <w:rFonts w:cs="仿宋_GB2312" w:asciiTheme="minorEastAsia" w:hAnsiTheme="minorEastAsia" w:eastAsiaTheme="minorEastAsia"/>
          <w:bCs/>
          <w:color w:val="auto"/>
          <w:sz w:val="32"/>
          <w:szCs w:val="32"/>
        </w:rPr>
      </w:pPr>
    </w:p>
    <w:p>
      <w:pPr>
        <w:snapToGrid w:val="0"/>
        <w:spacing w:beforeLines="50" w:after="50" w:line="360" w:lineRule="auto"/>
        <w:jc w:val="center"/>
        <w:rPr>
          <w:rFonts w:cs="仿宋_GB2312" w:asciiTheme="minorEastAsia" w:hAnsiTheme="minorEastAsia" w:eastAsiaTheme="minorEastAsia"/>
          <w:color w:val="auto"/>
          <w:sz w:val="32"/>
          <w:szCs w:val="32"/>
        </w:rPr>
      </w:pPr>
      <w:r>
        <w:rPr>
          <w:rFonts w:hint="eastAsia" w:cs="仿宋_GB2312" w:asciiTheme="minorEastAsia" w:hAnsiTheme="minorEastAsia" w:eastAsiaTheme="minorEastAsia"/>
          <w:color w:val="auto"/>
          <w:sz w:val="32"/>
          <w:szCs w:val="32"/>
        </w:rPr>
        <w:t>年    月    日</w:t>
      </w:r>
    </w:p>
    <w:p>
      <w:pPr>
        <w:snapToGrid w:val="0"/>
        <w:spacing w:beforeLines="50" w:after="50" w:line="360" w:lineRule="auto"/>
        <w:ind w:left="142"/>
        <w:jc w:val="left"/>
        <w:rPr>
          <w:rFonts w:asciiTheme="minorEastAsia" w:hAnsiTheme="minorEastAsia" w:eastAsiaTheme="minorEastAsia"/>
          <w:b/>
          <w:bCs/>
          <w:color w:val="auto"/>
          <w:sz w:val="32"/>
          <w:szCs w:val="32"/>
        </w:rPr>
      </w:pPr>
      <w:r>
        <w:rPr>
          <w:rFonts w:asciiTheme="minorEastAsia" w:hAnsiTheme="minorEastAsia" w:eastAsiaTheme="minorEastAsia"/>
          <w:color w:val="auto"/>
          <w:sz w:val="24"/>
        </w:rPr>
        <w:br w:type="page"/>
      </w:r>
      <w:r>
        <w:rPr>
          <w:rFonts w:hint="eastAsia" w:asciiTheme="minorEastAsia" w:hAnsiTheme="minorEastAsia" w:eastAsiaTheme="minorEastAsia"/>
          <w:b/>
          <w:bCs/>
          <w:color w:val="auto"/>
          <w:sz w:val="32"/>
          <w:szCs w:val="32"/>
        </w:rPr>
        <w:t>2.资格证明文件目录</w:t>
      </w:r>
    </w:p>
    <w:p>
      <w:pPr>
        <w:snapToGrid w:val="0"/>
        <w:spacing w:beforeLines="50" w:after="50" w:line="360" w:lineRule="auto"/>
        <w:ind w:firstLine="645"/>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根据谈判文件规定及供应商提供的材料自行编写目录（部分格式后附）。</w:t>
      </w:r>
    </w:p>
    <w:p>
      <w:pPr>
        <w:snapToGrid w:val="0"/>
        <w:spacing w:beforeLines="50" w:after="50" w:line="360" w:lineRule="auto"/>
        <w:rPr>
          <w:rFonts w:asciiTheme="minorEastAsia" w:hAnsiTheme="minorEastAsia" w:eastAsiaTheme="minorEastAsia"/>
          <w:color w:val="auto"/>
          <w:sz w:val="24"/>
          <w:szCs w:val="20"/>
        </w:rPr>
      </w:pPr>
      <w:r>
        <w:rPr>
          <w:rFonts w:asciiTheme="minorEastAsia" w:hAnsiTheme="minorEastAsia" w:eastAsiaTheme="minorEastAsia"/>
          <w:color w:val="auto"/>
          <w:sz w:val="24"/>
          <w:szCs w:val="20"/>
        </w:rPr>
        <w:t xml:space="preserve"> </w:t>
      </w: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rPr>
          <w:rFonts w:asciiTheme="minorEastAsia" w:hAnsiTheme="minorEastAsia" w:eastAsiaTheme="minorEastAsia"/>
          <w:color w:val="auto"/>
          <w:szCs w:val="21"/>
        </w:rPr>
      </w:pPr>
    </w:p>
    <w:p>
      <w:pPr>
        <w:spacing w:line="360" w:lineRule="auto"/>
        <w:jc w:val="left"/>
        <w:rPr>
          <w:rFonts w:asciiTheme="minorEastAsia" w:hAnsiTheme="minorEastAsia" w:eastAsiaTheme="minorEastAsia"/>
          <w:color w:val="auto"/>
          <w:szCs w:val="21"/>
        </w:rPr>
      </w:pPr>
    </w:p>
    <w:p>
      <w:pPr>
        <w:snapToGrid w:val="0"/>
        <w:spacing w:beforeLines="50" w:after="50" w:line="360" w:lineRule="auto"/>
        <w:jc w:val="center"/>
        <w:rPr>
          <w:rFonts w:asciiTheme="minorEastAsia" w:hAnsiTheme="minorEastAsia" w:eastAsiaTheme="minorEastAsia"/>
          <w:b/>
          <w:color w:val="auto"/>
          <w:sz w:val="32"/>
          <w:szCs w:val="32"/>
        </w:rPr>
      </w:pPr>
      <w:r>
        <w:rPr>
          <w:rFonts w:asciiTheme="minorEastAsia" w:hAnsiTheme="minorEastAsia" w:eastAsiaTheme="minorEastAsia"/>
          <w:b/>
          <w:color w:val="auto"/>
          <w:sz w:val="32"/>
          <w:szCs w:val="32"/>
        </w:rPr>
        <w:br w:type="page"/>
      </w:r>
    </w:p>
    <w:p>
      <w:pPr>
        <w:snapToGrid w:val="0"/>
        <w:spacing w:beforeLines="50" w:after="50" w:line="360" w:lineRule="auto"/>
        <w:jc w:val="center"/>
        <w:rPr>
          <w:rFonts w:asciiTheme="minorEastAsia" w:hAnsiTheme="minorEastAsia" w:eastAsiaTheme="minorEastAsia"/>
          <w:b/>
          <w:color w:val="auto"/>
          <w:sz w:val="32"/>
          <w:szCs w:val="32"/>
        </w:rPr>
      </w:pPr>
    </w:p>
    <w:p>
      <w:pPr>
        <w:snapToGrid w:val="0"/>
        <w:spacing w:beforeLines="50" w:after="50"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供应商直接控股股东信息表</w:t>
      </w:r>
    </w:p>
    <w:p>
      <w:pPr>
        <w:snapToGrid w:val="0"/>
        <w:spacing w:before="50" w:afterLines="50" w:line="360" w:lineRule="auto"/>
        <w:jc w:val="center"/>
        <w:rPr>
          <w:rFonts w:asciiTheme="minorEastAsia" w:hAnsiTheme="minorEastAsia" w:eastAsiaTheme="minorEastAsia"/>
          <w:b/>
          <w:color w:val="auto"/>
          <w:sz w:val="32"/>
          <w:szCs w:val="32"/>
        </w:rPr>
      </w:pPr>
    </w:p>
    <w:tbl>
      <w:tblPr>
        <w:tblStyle w:val="24"/>
        <w:tblW w:w="8889" w:type="dxa"/>
        <w:jc w:val="center"/>
        <w:tblInd w:w="0" w:type="dxa"/>
        <w:shd w:val="clear" w:color="auto" w:fill="FBFBFB"/>
        <w:tblLayout w:type="fixed"/>
        <w:tblCellMar>
          <w:top w:w="0" w:type="dxa"/>
          <w:left w:w="0" w:type="dxa"/>
          <w:bottom w:w="0" w:type="dxa"/>
          <w:right w:w="0" w:type="dxa"/>
        </w:tblCellMar>
      </w:tblPr>
      <w:tblGrid>
        <w:gridCol w:w="880"/>
        <w:gridCol w:w="2655"/>
        <w:gridCol w:w="1455"/>
        <w:gridCol w:w="2807"/>
        <w:gridCol w:w="1092"/>
      </w:tblGrid>
      <w:tr>
        <w:tblPrEx>
          <w:tblLayout w:type="fixed"/>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出资比例</w:t>
            </w:r>
            <w:r>
              <w:rPr>
                <w:rFonts w:hint="eastAsia" w:cs="宋体" w:asciiTheme="minorEastAsia" w:hAnsiTheme="minorEastAsia" w:eastAsiaTheme="minorEastAsia"/>
                <w:b/>
                <w:bCs/>
                <w:color w:val="auto"/>
                <w:kern w:val="0"/>
                <w:sz w:val="24"/>
              </w:rPr>
              <w:t>(%)</w:t>
            </w:r>
          </w:p>
        </w:tc>
        <w:tc>
          <w:tcPr>
            <w:tcW w:w="280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身份证号码或者统一社会信用代码</w:t>
            </w:r>
          </w:p>
        </w:tc>
        <w:tc>
          <w:tcPr>
            <w:tcW w:w="109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备注</w:t>
            </w: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280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09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280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09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280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09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280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c>
          <w:tcPr>
            <w:tcW w:w="109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color w:val="auto"/>
                <w:kern w:val="0"/>
                <w:sz w:val="28"/>
                <w:szCs w:val="28"/>
              </w:rPr>
            </w:pPr>
          </w:p>
        </w:tc>
      </w:tr>
    </w:tbl>
    <w:p>
      <w:pPr>
        <w:spacing w:line="360" w:lineRule="auto"/>
        <w:contextualSpacing/>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w:t>
      </w:r>
    </w:p>
    <w:p>
      <w:pPr>
        <w:spacing w:line="360" w:lineRule="auto"/>
        <w:ind w:firstLine="480" w:firstLineChars="200"/>
        <w:contextualSpacing/>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3.供应商不存在直接控股股东的，</w:t>
      </w:r>
      <w:r>
        <w:rPr>
          <w:rFonts w:hint="eastAsia" w:asciiTheme="minorEastAsia" w:hAnsiTheme="minorEastAsia" w:eastAsiaTheme="minorEastAsia"/>
          <w:color w:val="auto"/>
          <w:sz w:val="24"/>
        </w:rPr>
        <w:t>则在“直接控股股东名称”填“无”</w:t>
      </w:r>
      <w:r>
        <w:rPr>
          <w:rFonts w:hint="eastAsia" w:cs="宋体" w:asciiTheme="minorEastAsia" w:hAnsiTheme="minorEastAsia" w:eastAsiaTheme="minorEastAsia"/>
          <w:color w:val="auto"/>
          <w:sz w:val="24"/>
        </w:rPr>
        <w:t>。</w:t>
      </w:r>
    </w:p>
    <w:p>
      <w:pPr>
        <w:spacing w:line="360" w:lineRule="auto"/>
        <w:ind w:firstLine="420" w:firstLineChars="200"/>
        <w:contextualSpacing/>
        <w:jc w:val="left"/>
        <w:rPr>
          <w:rFonts w:cs="宋体" w:asciiTheme="minorEastAsia" w:hAnsiTheme="minorEastAsia" w:eastAsiaTheme="minorEastAsia"/>
          <w:color w:val="auto"/>
          <w:szCs w:val="21"/>
        </w:rPr>
      </w:pPr>
    </w:p>
    <w:p>
      <w:pPr>
        <w:spacing w:line="360" w:lineRule="auto"/>
        <w:ind w:firstLine="560" w:firstLineChars="200"/>
        <w:contextualSpacing/>
        <w:jc w:val="left"/>
        <w:rPr>
          <w:rFonts w:cs="宋体" w:asciiTheme="minorEastAsia" w:hAnsiTheme="minorEastAsia" w:eastAsiaTheme="minorEastAsia"/>
          <w:color w:val="auto"/>
          <w:sz w:val="28"/>
          <w:szCs w:val="28"/>
        </w:rPr>
      </w:pPr>
    </w:p>
    <w:p>
      <w:pPr>
        <w:spacing w:line="360" w:lineRule="auto"/>
        <w:ind w:right="480"/>
        <w:contextualSpacing/>
        <w:jc w:val="center"/>
        <w:rPr>
          <w:rFonts w:cs="宋体" w:asciiTheme="minorEastAsia" w:hAnsiTheme="minorEastAsia" w:eastAsiaTheme="minorEastAsia"/>
          <w:color w:val="auto"/>
          <w:sz w:val="24"/>
          <w:u w:val="single"/>
        </w:rPr>
      </w:pPr>
      <w:r>
        <w:rPr>
          <w:rFonts w:hint="eastAsia" w:cs="宋体" w:asciiTheme="minorEastAsia" w:hAnsiTheme="minorEastAsia" w:eastAsiaTheme="minorEastAsia"/>
          <w:color w:val="auto"/>
          <w:sz w:val="24"/>
        </w:rPr>
        <w:t xml:space="preserve"> </w:t>
      </w:r>
      <w:r>
        <w:rPr>
          <w:rFonts w:cs="宋体" w:asciiTheme="minorEastAsia" w:hAnsiTheme="minorEastAsia" w:eastAsiaTheme="minorEastAsia"/>
          <w:color w:val="auto"/>
          <w:sz w:val="24"/>
        </w:rPr>
        <w:t xml:space="preserve">       </w:t>
      </w:r>
      <w:r>
        <w:rPr>
          <w:rFonts w:hint="eastAsia" w:cs="宋体" w:asciiTheme="minorEastAsia" w:hAnsiTheme="minorEastAsia" w:eastAsiaTheme="minorEastAsia"/>
          <w:color w:val="auto"/>
          <w:sz w:val="24"/>
        </w:rPr>
        <w:t>法定代表人或者委托代理人</w:t>
      </w:r>
      <w:r>
        <w:rPr>
          <w:rFonts w:hint="eastAsia" w:asciiTheme="minorEastAsia" w:hAnsiTheme="minorEastAsia" w:eastAsiaTheme="minorEastAsia"/>
          <w:color w:val="auto"/>
          <w:sz w:val="24"/>
        </w:rPr>
        <w:t>（签字或者电子签名）</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cs="宋体" w:asciiTheme="minorEastAsia" w:hAnsiTheme="minorEastAsia" w:eastAsiaTheme="minorEastAsia"/>
          <w:color w:val="auto"/>
          <w:sz w:val="24"/>
          <w:u w:val="single"/>
        </w:rPr>
        <w:t xml:space="preserve">                   </w:t>
      </w:r>
    </w:p>
    <w:p>
      <w:pPr>
        <w:spacing w:line="360" w:lineRule="auto"/>
        <w:ind w:right="480" w:firstLine="3000" w:firstLineChars="1250"/>
        <w:contextualSpacing/>
        <w:rPr>
          <w:rFonts w:cs="宋体" w:asciiTheme="minorEastAsia" w:hAnsiTheme="minorEastAsia" w:eastAsiaTheme="minorEastAsia"/>
          <w:color w:val="auto"/>
          <w:sz w:val="24"/>
          <w:u w:val="single"/>
        </w:rPr>
      </w:pPr>
      <w:r>
        <w:rPr>
          <w:rFonts w:hint="eastAsia" w:cs="宋体" w:asciiTheme="minorEastAsia" w:hAnsiTheme="minorEastAsia" w:eastAsiaTheme="minorEastAsia"/>
          <w:color w:val="auto"/>
          <w:sz w:val="24"/>
        </w:rPr>
        <w:t xml:space="preserve">供应商名称（电子签章）： </w:t>
      </w:r>
      <w:r>
        <w:rPr>
          <w:rFonts w:hint="eastAsia" w:cs="宋体" w:asciiTheme="minorEastAsia" w:hAnsiTheme="minorEastAsia" w:eastAsiaTheme="minorEastAsia"/>
          <w:color w:val="auto"/>
          <w:sz w:val="24"/>
          <w:u w:val="single"/>
        </w:rPr>
        <w:t xml:space="preserve">                              </w:t>
      </w:r>
    </w:p>
    <w:p>
      <w:pPr>
        <w:spacing w:line="360" w:lineRule="auto"/>
        <w:ind w:right="480" w:firstLine="5280" w:firstLineChars="2200"/>
        <w:contextualSpacing/>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4"/>
        </w:rPr>
        <w:t>年    月    日</w:t>
      </w:r>
    </w:p>
    <w:p>
      <w:pPr>
        <w:snapToGrid w:val="0"/>
        <w:spacing w:line="360" w:lineRule="auto"/>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br w:type="page"/>
      </w:r>
    </w:p>
    <w:p>
      <w:pPr>
        <w:snapToGrid w:val="0"/>
        <w:spacing w:line="360" w:lineRule="auto"/>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供应商直接管理关系信息表</w:t>
      </w:r>
    </w:p>
    <w:p>
      <w:pPr>
        <w:snapToGrid w:val="0"/>
        <w:spacing w:line="360" w:lineRule="auto"/>
        <w:jc w:val="center"/>
        <w:rPr>
          <w:rFonts w:asciiTheme="minorEastAsia" w:hAnsiTheme="minorEastAsia" w:eastAsiaTheme="minorEastAsia"/>
          <w:b/>
          <w:color w:val="auto"/>
          <w:sz w:val="32"/>
          <w:szCs w:val="32"/>
        </w:rPr>
      </w:pPr>
    </w:p>
    <w:tbl>
      <w:tblPr>
        <w:tblStyle w:val="24"/>
        <w:tblW w:w="8683" w:type="dxa"/>
        <w:jc w:val="center"/>
        <w:tblInd w:w="0" w:type="dxa"/>
        <w:shd w:val="clear" w:color="auto" w:fill="FBFBFB"/>
        <w:tblLayout w:type="fixed"/>
        <w:tblCellMar>
          <w:top w:w="0" w:type="dxa"/>
          <w:left w:w="0" w:type="dxa"/>
          <w:bottom w:w="0" w:type="dxa"/>
          <w:right w:w="0" w:type="dxa"/>
        </w:tblCellMar>
      </w:tblPr>
      <w:tblGrid>
        <w:gridCol w:w="808"/>
        <w:gridCol w:w="3600"/>
        <w:gridCol w:w="2857"/>
        <w:gridCol w:w="1418"/>
      </w:tblGrid>
      <w:tr>
        <w:tblPrEx>
          <w:tblLayout w:type="fixed"/>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直接管理关系单位名称</w:t>
            </w:r>
          </w:p>
        </w:tc>
        <w:tc>
          <w:tcPr>
            <w:tcW w:w="28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widowControl/>
              <w:spacing w:line="360" w:lineRule="auto"/>
              <w:jc w:val="center"/>
              <w:rPr>
                <w:rFonts w:cs="宋体" w:asciiTheme="minorEastAsia" w:hAnsiTheme="minorEastAsia" w:eastAsiaTheme="minorEastAsia"/>
                <w:b/>
                <w:bCs/>
                <w:color w:val="auto"/>
                <w:kern w:val="0"/>
                <w:sz w:val="28"/>
                <w:szCs w:val="28"/>
              </w:rPr>
            </w:pPr>
            <w:r>
              <w:rPr>
                <w:rFonts w:hint="eastAsia" w:cs="宋体" w:asciiTheme="minorEastAsia" w:hAnsiTheme="minorEastAsia" w:eastAsiaTheme="minorEastAsia"/>
                <w:b/>
                <w:bCs/>
                <w:color w:val="auto"/>
                <w:kern w:val="0"/>
                <w:sz w:val="28"/>
                <w:szCs w:val="28"/>
              </w:rPr>
              <w:t>备注</w:t>
            </w: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28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28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28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28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widowControl/>
              <w:wordWrap w:val="0"/>
              <w:spacing w:line="360" w:lineRule="auto"/>
              <w:jc w:val="center"/>
              <w:rPr>
                <w:rFonts w:cs="宋体" w:asciiTheme="minorEastAsia" w:hAnsiTheme="minorEastAsia" w:eastAsiaTheme="minorEastAsia"/>
                <w:color w:val="auto"/>
                <w:kern w:val="0"/>
                <w:sz w:val="28"/>
                <w:szCs w:val="28"/>
              </w:rPr>
            </w:pPr>
          </w:p>
        </w:tc>
      </w:tr>
    </w:tbl>
    <w:p>
      <w:pPr>
        <w:spacing w:line="360" w:lineRule="auto"/>
        <w:contextualSpacing/>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注：</w:t>
      </w:r>
    </w:p>
    <w:p>
      <w:pPr>
        <w:spacing w:line="360" w:lineRule="auto"/>
        <w:ind w:firstLine="480" w:firstLineChars="200"/>
        <w:contextualSpacing/>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2.</w:t>
      </w:r>
      <w:r>
        <w:rPr>
          <w:rFonts w:hint="eastAsia" w:asciiTheme="minorEastAsia" w:hAnsiTheme="minorEastAsia" w:eastAsiaTheme="minorEastAsia"/>
          <w:color w:val="auto"/>
          <w:spacing w:val="-6"/>
          <w:sz w:val="24"/>
        </w:rPr>
        <w:t>本表所指的管理关系仅限于直接管理关系，不包括间接的管理关系。</w:t>
      </w:r>
    </w:p>
    <w:p>
      <w:pPr>
        <w:spacing w:line="360" w:lineRule="auto"/>
        <w:ind w:firstLine="480" w:firstLineChars="200"/>
        <w:contextualSpacing/>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3.供应商不存在直接管理关系的，则在“直接管理关系单位名称”填“无”。</w:t>
      </w:r>
    </w:p>
    <w:p>
      <w:pPr>
        <w:spacing w:line="360" w:lineRule="auto"/>
        <w:contextualSpacing/>
        <w:jc w:val="left"/>
        <w:rPr>
          <w:rFonts w:asciiTheme="minorEastAsia" w:hAnsiTheme="minorEastAsia" w:eastAsiaTheme="minorEastAsia"/>
          <w:color w:val="auto"/>
          <w:sz w:val="28"/>
          <w:szCs w:val="28"/>
        </w:rPr>
      </w:pPr>
    </w:p>
    <w:p>
      <w:pPr>
        <w:spacing w:line="360" w:lineRule="auto"/>
        <w:contextualSpacing/>
        <w:jc w:val="left"/>
        <w:rPr>
          <w:rFonts w:asciiTheme="minorEastAsia" w:hAnsiTheme="minorEastAsia" w:eastAsiaTheme="minorEastAsia"/>
          <w:color w:val="auto"/>
          <w:sz w:val="28"/>
          <w:szCs w:val="28"/>
        </w:rPr>
      </w:pPr>
    </w:p>
    <w:p>
      <w:pPr>
        <w:spacing w:line="360" w:lineRule="auto"/>
        <w:contextualSpacing/>
        <w:jc w:val="left"/>
        <w:rPr>
          <w:rFonts w:asciiTheme="minorEastAsia" w:hAnsiTheme="minorEastAsia" w:eastAsiaTheme="minorEastAsia"/>
          <w:color w:val="auto"/>
          <w:sz w:val="28"/>
          <w:szCs w:val="28"/>
        </w:rPr>
      </w:pPr>
    </w:p>
    <w:p>
      <w:pPr>
        <w:spacing w:line="360" w:lineRule="auto"/>
        <w:contextualSpacing/>
        <w:jc w:val="left"/>
        <w:rPr>
          <w:rFonts w:asciiTheme="minorEastAsia" w:hAnsiTheme="minorEastAsia" w:eastAsiaTheme="minorEastAsia"/>
          <w:color w:val="auto"/>
          <w:sz w:val="28"/>
          <w:szCs w:val="28"/>
        </w:rPr>
      </w:pPr>
    </w:p>
    <w:p>
      <w:pPr>
        <w:spacing w:line="360" w:lineRule="auto"/>
        <w:contextualSpacing/>
        <w:jc w:val="left"/>
        <w:rPr>
          <w:rFonts w:asciiTheme="minorEastAsia" w:hAnsiTheme="minorEastAsia" w:eastAsiaTheme="minorEastAsia"/>
          <w:color w:val="auto"/>
          <w:sz w:val="28"/>
          <w:szCs w:val="28"/>
        </w:rPr>
      </w:pPr>
    </w:p>
    <w:p>
      <w:pPr>
        <w:spacing w:line="360" w:lineRule="auto"/>
        <w:contextualSpacing/>
        <w:jc w:val="left"/>
        <w:rPr>
          <w:rFonts w:asciiTheme="minorEastAsia" w:hAnsiTheme="minorEastAsia" w:eastAsiaTheme="minorEastAsia"/>
          <w:color w:val="auto"/>
          <w:sz w:val="28"/>
          <w:szCs w:val="28"/>
        </w:rPr>
      </w:pPr>
    </w:p>
    <w:p>
      <w:pPr>
        <w:spacing w:line="360" w:lineRule="auto"/>
        <w:ind w:right="480"/>
        <w:contextualSpacing/>
        <w:jc w:val="center"/>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 xml:space="preserve"> </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法定代表人或者委托代理人（签字或者电子签名）：</w:t>
      </w:r>
      <w:r>
        <w:rPr>
          <w:rFonts w:hint="eastAsia" w:asciiTheme="minorEastAsia" w:hAnsiTheme="minorEastAsia" w:eastAsiaTheme="minorEastAsia"/>
          <w:color w:val="auto"/>
          <w:sz w:val="24"/>
          <w:u w:val="single"/>
        </w:rPr>
        <w:t xml:space="preserve"> </w:t>
      </w:r>
      <w:r>
        <w:rPr>
          <w:rFonts w:asciiTheme="minorEastAsia" w:hAnsiTheme="minorEastAsia" w:eastAsiaTheme="minorEastAsia"/>
          <w:color w:val="auto"/>
          <w:sz w:val="24"/>
          <w:u w:val="single"/>
        </w:rPr>
        <w:t xml:space="preserve">                  </w:t>
      </w:r>
    </w:p>
    <w:p>
      <w:pPr>
        <w:spacing w:line="360" w:lineRule="auto"/>
        <w:ind w:right="480" w:firstLine="3360" w:firstLineChars="1400"/>
        <w:contextualSpacing/>
        <w:rPr>
          <w:rFonts w:asciiTheme="minorEastAsia" w:hAnsiTheme="minorEastAsia" w:eastAsiaTheme="minorEastAsia"/>
          <w:color w:val="auto"/>
          <w:sz w:val="24"/>
        </w:rPr>
      </w:pPr>
      <w:r>
        <w:rPr>
          <w:rFonts w:hint="eastAsia" w:asciiTheme="minorEastAsia" w:hAnsiTheme="minorEastAsia" w:eastAsiaTheme="minorEastAsia"/>
          <w:color w:val="auto"/>
          <w:sz w:val="24"/>
        </w:rPr>
        <w:t>供应商名称（电子签章）：</w:t>
      </w:r>
      <w:r>
        <w:rPr>
          <w:rFonts w:hint="eastAsia" w:asciiTheme="minorEastAsia" w:hAnsiTheme="minorEastAsia" w:eastAsiaTheme="minorEastAsia"/>
          <w:color w:val="auto"/>
          <w:sz w:val="24"/>
          <w:u w:val="single"/>
        </w:rPr>
        <w:t xml:space="preserve">                </w:t>
      </w:r>
    </w:p>
    <w:p>
      <w:pPr>
        <w:spacing w:line="360" w:lineRule="auto"/>
        <w:ind w:right="480" w:firstLine="240" w:firstLineChars="100"/>
        <w:contextualSpacing/>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4"/>
        </w:rPr>
        <w:t xml:space="preserve">                                        年    月    日</w:t>
      </w:r>
    </w:p>
    <w:p>
      <w:pPr>
        <w:spacing w:line="360" w:lineRule="auto"/>
        <w:jc w:val="center"/>
        <w:rPr>
          <w:rFonts w:asciiTheme="minorEastAsia" w:hAnsiTheme="minorEastAsia" w:eastAsiaTheme="minorEastAsia"/>
          <w:b/>
          <w:color w:val="auto"/>
          <w:sz w:val="32"/>
          <w:szCs w:val="32"/>
        </w:rPr>
      </w:pPr>
      <w:r>
        <w:rPr>
          <w:rFonts w:asciiTheme="minorEastAsia" w:hAnsiTheme="minorEastAsia" w:eastAsiaTheme="minorEastAsia"/>
          <w:b/>
          <w:color w:val="auto"/>
          <w:sz w:val="32"/>
          <w:szCs w:val="32"/>
        </w:rPr>
        <w:br w:type="page"/>
      </w:r>
      <w:r>
        <w:rPr>
          <w:rFonts w:hint="eastAsia" w:asciiTheme="minorEastAsia" w:hAnsiTheme="minorEastAsia" w:eastAsiaTheme="minorEastAsia"/>
          <w:b/>
          <w:color w:val="auto"/>
          <w:sz w:val="32"/>
          <w:szCs w:val="32"/>
        </w:rPr>
        <w:t>竞标声明</w:t>
      </w:r>
    </w:p>
    <w:p>
      <w:pPr>
        <w:spacing w:line="360" w:lineRule="auto"/>
        <w:jc w:val="center"/>
        <w:rPr>
          <w:rFonts w:asciiTheme="minorEastAsia" w:hAnsiTheme="minorEastAsia" w:eastAsiaTheme="minorEastAsia"/>
          <w:color w:val="auto"/>
          <w:sz w:val="24"/>
          <w:szCs w:val="20"/>
        </w:rPr>
      </w:pPr>
    </w:p>
    <w:p>
      <w:pPr>
        <w:spacing w:line="360" w:lineRule="auto"/>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致：</w:t>
      </w:r>
      <w:r>
        <w:rPr>
          <w:rFonts w:hint="eastAsia" w:cs="宋体" w:asciiTheme="minorEastAsia" w:hAnsiTheme="minorEastAsia" w:eastAsiaTheme="minorEastAsia"/>
          <w:color w:val="auto"/>
          <w:sz w:val="24"/>
          <w:u w:val="single"/>
        </w:rPr>
        <w:t>（采购人名称）</w:t>
      </w:r>
      <w:r>
        <w:rPr>
          <w:rFonts w:hint="eastAsia" w:cs="宋体" w:asciiTheme="minorEastAsia" w:hAnsiTheme="minorEastAsia" w:eastAsiaTheme="minorEastAsia"/>
          <w:color w:val="auto"/>
          <w:sz w:val="24"/>
        </w:rPr>
        <w:t>：</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我方</w:t>
      </w:r>
      <w:r>
        <w:rPr>
          <w:rFonts w:hint="eastAsia" w:cs="宋体" w:asciiTheme="minorEastAsia" w:hAnsiTheme="minorEastAsia" w:eastAsiaTheme="minorEastAsia"/>
          <w:color w:val="auto"/>
          <w:sz w:val="24"/>
          <w:u w:val="single"/>
        </w:rPr>
        <w:t>（供应商名称）</w:t>
      </w:r>
      <w:r>
        <w:rPr>
          <w:rFonts w:hint="eastAsia" w:cs="宋体" w:asciiTheme="minorEastAsia" w:hAnsiTheme="minorEastAsia" w:eastAsiaTheme="minorEastAsia"/>
          <w:color w:val="auto"/>
          <w:sz w:val="24"/>
        </w:rPr>
        <w:t>系中华人民共和国合法供应商，经营地址</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我方愿意参加贵方组织的</w:t>
      </w:r>
      <w:r>
        <w:rPr>
          <w:rFonts w:hint="eastAsia" w:cs="宋体" w:asciiTheme="minorEastAsia" w:hAnsiTheme="minorEastAsia" w:eastAsiaTheme="minorEastAsia"/>
          <w:color w:val="auto"/>
          <w:sz w:val="24"/>
          <w:u w:val="single"/>
        </w:rPr>
        <w:t>（项目名称）</w:t>
      </w:r>
      <w:r>
        <w:rPr>
          <w:rFonts w:hint="eastAsia" w:cs="宋体" w:asciiTheme="minorEastAsia" w:hAnsiTheme="minorEastAsia" w:eastAsiaTheme="minorEastAsia"/>
          <w:color w:val="auto"/>
          <w:sz w:val="24"/>
        </w:rPr>
        <w:t>项目的竞标，为便于贵方公正、择优地确定成交供应商及其竞标产品和服务，我方就本次竞标有关事项郑重声明如下：</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1.我方向贵方提交的所有响应文件、资料都是准确的和真实的。</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r>
        <w:rPr>
          <w:rFonts w:hint="eastAsia" w:asciiTheme="minorEastAsia" w:hAnsiTheme="minorEastAsia" w:eastAsiaTheme="minorEastAsia"/>
          <w:color w:val="auto"/>
          <w:sz w:val="24"/>
        </w:rPr>
        <w:t>我方不是为本次采购项目提供整体设计、规范编制或者项目管理、监理、检测等服务的供应商</w:t>
      </w:r>
      <w:r>
        <w:rPr>
          <w:rFonts w:hint="eastAsia" w:cs="宋体" w:asciiTheme="minorEastAsia" w:hAnsiTheme="minorEastAsia" w:eastAsiaTheme="minorEastAsia"/>
          <w:color w:val="auto"/>
          <w:sz w:val="24"/>
        </w:rPr>
        <w:t>。</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3.在此，我方宣布同意如下：</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（1）将按谈判文件的约定履行合同责任和义务；</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（2）已详细审查全部谈判文件，包括补遗文件（如有）；</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（3）同意提供按照贵方可能要求的与谈判有关的一切数据或者资料；</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（4）响应谈判文件规定的竞标有效期。</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4.我方承诺符合《中华人民共和国政府采购法》第二十二条规定：</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（1）具有独立承担民事责任的能力；</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（2）具有良好的商业信誉和健全的财务会计制度；</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（3）具有履行合同所必需的设备和专业技术能力；</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（4）有依法缴纳税收和社会保障资金的良好记录；</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（5）参加政府采购活动前三年内，在经营活动中没有重大违法记录；</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（6）法律、行政法规规定的其他条件。</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□我方本次响应文件</w:t>
      </w:r>
      <w:r>
        <w:rPr>
          <w:rFonts w:hint="eastAsia" w:cs="宋体" w:asciiTheme="minorEastAsia" w:hAnsiTheme="minorEastAsia" w:eastAsiaTheme="minorEastAsia"/>
          <w:color w:val="auto"/>
          <w:kern w:val="0"/>
          <w:sz w:val="24"/>
        </w:rPr>
        <w:t>内容中</w:t>
      </w:r>
      <w:r>
        <w:rPr>
          <w:rFonts w:hint="eastAsia" w:cs="宋体" w:asciiTheme="minorEastAsia" w:hAnsiTheme="minorEastAsia" w:eastAsiaTheme="minorEastAsia"/>
          <w:color w:val="auto"/>
          <w:sz w:val="24"/>
        </w:rPr>
        <w:t>未</w:t>
      </w:r>
      <w:r>
        <w:rPr>
          <w:rFonts w:hint="eastAsia" w:cs="宋体" w:asciiTheme="minorEastAsia" w:hAnsiTheme="minorEastAsia" w:eastAsiaTheme="minorEastAsia"/>
          <w:color w:val="auto"/>
          <w:kern w:val="0"/>
          <w:sz w:val="24"/>
        </w:rPr>
        <w:t>涉及商业秘密；</w:t>
      </w:r>
    </w:p>
    <w:p>
      <w:pPr>
        <w:spacing w:line="360" w:lineRule="auto"/>
        <w:ind w:firstLine="480" w:firstLineChars="200"/>
        <w:contextualSpacing/>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□我方本次响应文件</w:t>
      </w:r>
      <w:r>
        <w:rPr>
          <w:rFonts w:hint="eastAsia" w:cs="宋体" w:asciiTheme="minorEastAsia" w:hAnsiTheme="minorEastAsia" w:eastAsiaTheme="minorEastAsia"/>
          <w:color w:val="auto"/>
          <w:kern w:val="0"/>
          <w:sz w:val="24"/>
        </w:rPr>
        <w:t>涉及商业秘密的内容有：</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w:t>
      </w:r>
    </w:p>
    <w:p>
      <w:pPr>
        <w:pStyle w:val="14"/>
        <w:spacing w:line="360" w:lineRule="auto"/>
        <w:ind w:firstLine="480" w:firstLineChars="200"/>
        <w:contextualSpacing/>
        <w:rPr>
          <w:rFonts w:cs="宋体" w:asciiTheme="minorEastAsia" w:hAnsiTheme="minorEastAsia" w:eastAsiaTheme="minorEastAsia"/>
          <w:color w:val="auto"/>
          <w:sz w:val="24"/>
          <w:szCs w:val="24"/>
          <w:u w:val="single"/>
        </w:rPr>
      </w:pPr>
      <w:r>
        <w:rPr>
          <w:rFonts w:hint="eastAsia" w:cs="宋体" w:asciiTheme="minorEastAsia" w:hAnsiTheme="minorEastAsia" w:eastAsiaTheme="minorEastAsia"/>
          <w:color w:val="auto"/>
          <w:sz w:val="24"/>
          <w:szCs w:val="24"/>
        </w:rPr>
        <w:t>7.与本谈判有关的一切正式往来信函请寄：</w:t>
      </w:r>
      <w:r>
        <w:rPr>
          <w:rFonts w:hint="eastAsia" w:cs="宋体" w:asciiTheme="minorEastAsia" w:hAnsiTheme="minorEastAsia" w:eastAsiaTheme="minorEastAsia"/>
          <w:color w:val="auto"/>
          <w:sz w:val="24"/>
          <w:szCs w:val="24"/>
          <w:u w:val="single"/>
        </w:rPr>
        <w:t xml:space="preserve">                  </w:t>
      </w:r>
      <w:r>
        <w:rPr>
          <w:rFonts w:hint="eastAsia" w:cs="宋体" w:asciiTheme="minorEastAsia" w:hAnsiTheme="minorEastAsia" w:eastAsiaTheme="minorEastAsia"/>
          <w:color w:val="auto"/>
          <w:sz w:val="24"/>
          <w:szCs w:val="24"/>
        </w:rPr>
        <w:t>邮政编码：</w:t>
      </w:r>
      <w:r>
        <w:rPr>
          <w:rFonts w:hint="eastAsia" w:cs="宋体" w:asciiTheme="minorEastAsia" w:hAnsiTheme="minorEastAsia" w:eastAsiaTheme="minorEastAsia"/>
          <w:color w:val="auto"/>
          <w:sz w:val="24"/>
          <w:szCs w:val="24"/>
          <w:u w:val="single"/>
        </w:rPr>
        <w:t xml:space="preserve">    </w:t>
      </w:r>
    </w:p>
    <w:p>
      <w:pPr>
        <w:pStyle w:val="14"/>
        <w:spacing w:line="360" w:lineRule="auto"/>
        <w:ind w:firstLine="480" w:firstLineChars="200"/>
        <w:contextualSpacing/>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电话/传真：</w:t>
      </w:r>
      <w:r>
        <w:rPr>
          <w:rFonts w:hint="eastAsia" w:cs="宋体" w:asciiTheme="minorEastAsia" w:hAnsiTheme="minorEastAsia" w:eastAsiaTheme="minorEastAsia"/>
          <w:color w:val="auto"/>
          <w:sz w:val="24"/>
          <w:szCs w:val="24"/>
          <w:u w:val="single"/>
        </w:rPr>
        <w:t xml:space="preserve">                        </w:t>
      </w:r>
      <w:r>
        <w:rPr>
          <w:rFonts w:hint="eastAsia" w:cs="宋体" w:asciiTheme="minorEastAsia" w:hAnsiTheme="minorEastAsia" w:eastAsiaTheme="minorEastAsia"/>
          <w:color w:val="auto"/>
          <w:sz w:val="24"/>
          <w:szCs w:val="24"/>
        </w:rPr>
        <w:t xml:space="preserve"> 电子邮箱：</w:t>
      </w:r>
      <w:r>
        <w:rPr>
          <w:rFonts w:hint="eastAsia" w:cs="宋体" w:asciiTheme="minorEastAsia" w:hAnsiTheme="minorEastAsia" w:eastAsiaTheme="minorEastAsia"/>
          <w:color w:val="auto"/>
          <w:sz w:val="24"/>
          <w:szCs w:val="24"/>
          <w:u w:val="single"/>
        </w:rPr>
        <w:t xml:space="preserve">             </w:t>
      </w:r>
      <w:r>
        <w:rPr>
          <w:rFonts w:hint="eastAsia" w:cs="宋体" w:asciiTheme="minorEastAsia" w:hAnsiTheme="minorEastAsia" w:eastAsiaTheme="minorEastAsia"/>
          <w:color w:val="auto"/>
          <w:sz w:val="24"/>
          <w:szCs w:val="24"/>
        </w:rPr>
        <w:t xml:space="preserve">    </w:t>
      </w:r>
    </w:p>
    <w:p>
      <w:pPr>
        <w:pStyle w:val="12"/>
        <w:tabs>
          <w:tab w:val="left" w:pos="939"/>
        </w:tabs>
        <w:spacing w:line="360" w:lineRule="auto"/>
        <w:ind w:left="141" w:leftChars="67" w:firstLine="360" w:firstLineChars="1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开户银行：</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 xml:space="preserve">  账号/行号：</w:t>
      </w:r>
      <w:r>
        <w:rPr>
          <w:rFonts w:hint="eastAsia" w:cs="宋体" w:asciiTheme="minorEastAsia" w:hAnsiTheme="minorEastAsia" w:eastAsiaTheme="minorEastAsia"/>
          <w:color w:val="auto"/>
          <w:sz w:val="24"/>
          <w:u w:val="single"/>
        </w:rPr>
        <w:t xml:space="preserve">           </w:t>
      </w:r>
    </w:p>
    <w:p>
      <w:pPr>
        <w:pStyle w:val="12"/>
        <w:tabs>
          <w:tab w:val="left" w:pos="939"/>
        </w:tabs>
        <w:spacing w:line="360" w:lineRule="auto"/>
        <w:ind w:left="141" w:leftChars="67" w:firstLine="360" w:firstLineChars="1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8.以上事项如有虚假或者隐瞒，我方愿意承担一切后果，并不再寻求任何旨在减轻或者免除法律责任的辩解。</w:t>
      </w:r>
    </w:p>
    <w:p>
      <w:pPr>
        <w:pStyle w:val="12"/>
        <w:tabs>
          <w:tab w:val="left" w:pos="939"/>
        </w:tabs>
        <w:spacing w:line="360" w:lineRule="auto"/>
        <w:ind w:left="141" w:leftChars="67" w:firstLine="360" w:firstLineChars="150"/>
        <w:rPr>
          <w:rFonts w:cs="宋体" w:asciiTheme="minorEastAsia" w:hAnsiTheme="minorEastAsia" w:eastAsiaTheme="minorEastAsia"/>
          <w:color w:val="auto"/>
          <w:szCs w:val="21"/>
        </w:rPr>
      </w:pPr>
      <w:r>
        <w:rPr>
          <w:rFonts w:hint="eastAsia" w:cs="宋体" w:asciiTheme="minorEastAsia" w:hAnsiTheme="minorEastAsia" w:eastAsiaTheme="minorEastAsia"/>
          <w:color w:val="auto"/>
          <w:sz w:val="24"/>
        </w:rPr>
        <w:t>特此承诺。</w:t>
      </w:r>
    </w:p>
    <w:p>
      <w:pPr>
        <w:spacing w:line="360" w:lineRule="auto"/>
        <w:contextualSpacing/>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 xml:space="preserve">    注：如为联合体竞标，盖章处须加盖联合体牵头人电子签章并由联合体牵头人法定代表人分别签字或者盖章或者电子签名，否则响应文件按无效处理。</w:t>
      </w:r>
    </w:p>
    <w:p>
      <w:pPr>
        <w:spacing w:line="360" w:lineRule="auto"/>
        <w:contextualSpacing/>
        <w:jc w:val="left"/>
        <w:rPr>
          <w:rFonts w:cs="宋体" w:asciiTheme="minorEastAsia" w:hAnsiTheme="minorEastAsia" w:eastAsiaTheme="minorEastAsia"/>
          <w:color w:val="auto"/>
          <w:szCs w:val="21"/>
        </w:rPr>
      </w:pPr>
    </w:p>
    <w:p>
      <w:pPr>
        <w:spacing w:line="360" w:lineRule="auto"/>
        <w:ind w:firstLine="1807" w:firstLineChars="750"/>
        <w:contextualSpacing/>
        <w:rPr>
          <w:rFonts w:asciiTheme="minorEastAsia" w:hAnsiTheme="minorEastAsia" w:eastAsiaTheme="minorEastAsia"/>
          <w:color w:val="auto"/>
        </w:rPr>
      </w:pPr>
      <w:r>
        <w:rPr>
          <w:rFonts w:hint="eastAsia" w:asciiTheme="minorEastAsia" w:hAnsiTheme="minorEastAsia" w:eastAsiaTheme="minorEastAsia"/>
          <w:b/>
          <w:bCs/>
          <w:color w:val="auto"/>
          <w:sz w:val="24"/>
        </w:rPr>
        <w:t>法定代表人</w:t>
      </w:r>
      <w:r>
        <w:rPr>
          <w:rFonts w:hint="eastAsia" w:asciiTheme="minorEastAsia" w:hAnsiTheme="minorEastAsia" w:eastAsiaTheme="minorEastAsia"/>
          <w:color w:val="auto"/>
          <w:sz w:val="24"/>
        </w:rPr>
        <w:t>（签字或者盖章或者电子签名</w:t>
      </w:r>
      <w:r>
        <w:rPr>
          <w:rFonts w:hint="eastAsia" w:asciiTheme="minorEastAsia" w:hAnsiTheme="minorEastAsia" w:eastAsiaTheme="minorEastAsia"/>
          <w:color w:val="auto"/>
        </w:rPr>
        <w:t>）：</w:t>
      </w:r>
      <w:r>
        <w:rPr>
          <w:rFonts w:hint="eastAsia" w:asciiTheme="minorEastAsia" w:hAnsiTheme="minorEastAsia" w:eastAsiaTheme="minorEastAsia"/>
          <w:color w:val="auto"/>
          <w:u w:val="single"/>
        </w:rPr>
        <w:t xml:space="preserve">           </w:t>
      </w:r>
    </w:p>
    <w:p>
      <w:pPr>
        <w:spacing w:line="360" w:lineRule="auto"/>
        <w:ind w:firstLine="4320" w:firstLineChars="1800"/>
        <w:contextualSpacing/>
        <w:rPr>
          <w:rFonts w:cs="宋体" w:asciiTheme="minorEastAsia" w:hAnsiTheme="minorEastAsia" w:eastAsiaTheme="minorEastAsia"/>
          <w:color w:val="auto"/>
          <w:szCs w:val="21"/>
          <w:u w:val="single"/>
        </w:rPr>
      </w:pPr>
      <w:r>
        <w:rPr>
          <w:rFonts w:hint="eastAsia" w:asciiTheme="minorEastAsia" w:hAnsiTheme="minorEastAsia" w:eastAsiaTheme="minorEastAsia"/>
          <w:color w:val="auto"/>
          <w:sz w:val="24"/>
        </w:rPr>
        <w:t>供应商名称（电子签章）</w:t>
      </w:r>
      <w:r>
        <w:rPr>
          <w:rFonts w:hint="eastAsia" w:asciiTheme="minorEastAsia" w:hAnsiTheme="minorEastAsia" w:eastAsiaTheme="minorEastAsia"/>
          <w:color w:val="auto"/>
        </w:rPr>
        <w:t>：</w:t>
      </w:r>
      <w:r>
        <w:rPr>
          <w:rFonts w:hint="eastAsia" w:asciiTheme="minorEastAsia" w:hAnsiTheme="minorEastAsia" w:eastAsiaTheme="minorEastAsia"/>
          <w:color w:val="auto"/>
          <w:u w:val="single"/>
        </w:rPr>
        <w:t xml:space="preserve">              </w:t>
      </w:r>
    </w:p>
    <w:p>
      <w:pPr>
        <w:spacing w:line="360" w:lineRule="auto"/>
        <w:ind w:right="482" w:firstLine="210" w:firstLineChars="100"/>
        <w:contextualSpacing/>
        <w:jc w:val="center"/>
        <w:rPr>
          <w:rFonts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                                                        </w:t>
      </w:r>
      <w:r>
        <w:rPr>
          <w:rFonts w:hint="eastAsia" w:asciiTheme="minorEastAsia" w:hAnsiTheme="minorEastAsia" w:eastAsiaTheme="minorEastAsia"/>
          <w:color w:val="auto"/>
        </w:rPr>
        <w:t xml:space="preserve"> 年    月    日 </w:t>
      </w:r>
    </w:p>
    <w:p>
      <w:pPr>
        <w:spacing w:line="360" w:lineRule="auto"/>
        <w:contextualSpacing/>
        <w:rPr>
          <w:rFonts w:cs="仿宋_GB2312" w:asciiTheme="minorEastAsia" w:hAnsiTheme="minorEastAsia" w:eastAsiaTheme="minorEastAsia"/>
          <w:color w:val="auto"/>
          <w:sz w:val="24"/>
        </w:rPr>
      </w:pPr>
    </w:p>
    <w:p>
      <w:pPr>
        <w:spacing w:line="360" w:lineRule="auto"/>
        <w:ind w:right="420"/>
        <w:contextualSpacing/>
        <w:jc w:val="left"/>
        <w:rPr>
          <w:rFonts w:asciiTheme="minorEastAsia" w:hAnsiTheme="minorEastAsia" w:eastAsiaTheme="minorEastAsia"/>
          <w:b/>
          <w:color w:val="auto"/>
          <w:sz w:val="32"/>
          <w:szCs w:val="32"/>
        </w:rPr>
      </w:pPr>
      <w:r>
        <w:rPr>
          <w:rFonts w:asciiTheme="minorEastAsia" w:hAnsiTheme="minorEastAsia" w:eastAsiaTheme="minorEastAsia"/>
          <w:color w:val="auto"/>
          <w:szCs w:val="21"/>
        </w:rPr>
        <w:br w:type="page"/>
      </w:r>
      <w:r>
        <w:rPr>
          <w:rFonts w:hint="eastAsia" w:asciiTheme="minorEastAsia" w:hAnsiTheme="minorEastAsia" w:eastAsiaTheme="minorEastAsia"/>
          <w:b/>
          <w:bCs/>
          <w:color w:val="auto"/>
          <w:sz w:val="32"/>
          <w:szCs w:val="32"/>
        </w:rPr>
        <w:t>二、</w:t>
      </w:r>
      <w:r>
        <w:rPr>
          <w:rFonts w:hint="eastAsia" w:asciiTheme="minorEastAsia" w:hAnsiTheme="minorEastAsia" w:eastAsiaTheme="minorEastAsia"/>
          <w:b/>
          <w:color w:val="auto"/>
          <w:sz w:val="32"/>
          <w:szCs w:val="32"/>
        </w:rPr>
        <w:t xml:space="preserve">报价文件格式 </w:t>
      </w:r>
    </w:p>
    <w:p>
      <w:pPr>
        <w:snapToGrid w:val="0"/>
        <w:spacing w:beforeLines="50" w:after="50" w:line="360" w:lineRule="auto"/>
        <w:jc w:val="left"/>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1.报价文件封面格式</w:t>
      </w:r>
    </w:p>
    <w:p>
      <w:pPr>
        <w:snapToGrid w:val="0"/>
        <w:spacing w:beforeLines="50" w:after="50" w:line="360" w:lineRule="auto"/>
        <w:rPr>
          <w:rFonts w:asciiTheme="minorEastAsia" w:hAnsiTheme="minorEastAsia" w:eastAsiaTheme="minorEastAsia"/>
          <w:bCs/>
          <w:color w:val="auto"/>
          <w:sz w:val="32"/>
          <w:szCs w:val="20"/>
        </w:rPr>
      </w:pPr>
      <w:r>
        <w:rPr>
          <w:rFonts w:hint="eastAsia" w:asciiTheme="minorEastAsia" w:hAnsiTheme="minorEastAsia" w:eastAsiaTheme="minorEastAsia"/>
          <w:color w:val="auto"/>
          <w:sz w:val="24"/>
        </w:rPr>
        <w:t xml:space="preserve">                                                    </w:t>
      </w:r>
    </w:p>
    <w:p>
      <w:pPr>
        <w:snapToGrid w:val="0"/>
        <w:spacing w:beforeLines="50" w:after="50" w:line="360" w:lineRule="auto"/>
        <w:jc w:val="center"/>
        <w:rPr>
          <w:rFonts w:asciiTheme="minorEastAsia" w:hAnsiTheme="minorEastAsia" w:eastAsiaTheme="minorEastAsia"/>
          <w:color w:val="auto"/>
          <w:sz w:val="24"/>
          <w:szCs w:val="20"/>
        </w:rPr>
      </w:pPr>
      <w:r>
        <w:rPr>
          <w:rFonts w:hint="eastAsia" w:asciiTheme="minorEastAsia" w:hAnsiTheme="minorEastAsia" w:eastAsiaTheme="minorEastAsia"/>
          <w:color w:val="auto"/>
          <w:sz w:val="44"/>
          <w:szCs w:val="44"/>
        </w:rPr>
        <w:t>电 子 响 应 文 件</w:t>
      </w:r>
    </w:p>
    <w:p>
      <w:pPr>
        <w:snapToGrid w:val="0"/>
        <w:spacing w:beforeLines="50" w:after="50" w:line="360" w:lineRule="auto"/>
        <w:rPr>
          <w:rFonts w:asciiTheme="minorEastAsia" w:hAnsiTheme="minorEastAsia" w:eastAsiaTheme="minorEastAsia"/>
          <w:color w:val="auto"/>
          <w:sz w:val="24"/>
          <w:szCs w:val="20"/>
        </w:rPr>
      </w:pPr>
    </w:p>
    <w:p>
      <w:pPr>
        <w:snapToGrid w:val="0"/>
        <w:spacing w:beforeLines="50" w:after="50" w:line="360" w:lineRule="auto"/>
        <w:rPr>
          <w:rFonts w:asciiTheme="minorEastAsia" w:hAnsiTheme="minorEastAsia" w:eastAsiaTheme="minorEastAsia"/>
          <w:color w:val="auto"/>
          <w:sz w:val="24"/>
          <w:szCs w:val="20"/>
        </w:rPr>
      </w:pPr>
    </w:p>
    <w:p>
      <w:pPr>
        <w:snapToGrid w:val="0"/>
        <w:spacing w:beforeLines="50" w:after="50" w:line="360" w:lineRule="auto"/>
        <w:jc w:val="center"/>
        <w:rPr>
          <w:rFonts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报  价  文  件</w:t>
      </w: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项目名称：</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项目编号：</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 xml:space="preserve"> </w:t>
      </w: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所竞标项（如有则填写，无分标时填写“无”或者留空）：</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p>
    <w:p>
      <w:pPr>
        <w:pStyle w:val="5"/>
        <w:snapToGrid w:val="0"/>
        <w:spacing w:before="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供应商名称：</w:t>
      </w:r>
    </w:p>
    <w:p>
      <w:pPr>
        <w:pStyle w:val="5"/>
        <w:snapToGrid w:val="0"/>
        <w:spacing w:before="50" w:after="50" w:line="360" w:lineRule="auto"/>
        <w:ind w:firstLine="0"/>
        <w:rPr>
          <w:rFonts w:cs="仿宋_GB2312" w:asciiTheme="minorEastAsia" w:hAnsiTheme="minorEastAsia" w:eastAsiaTheme="minorEastAsia"/>
          <w:bCs/>
          <w:color w:val="auto"/>
          <w:sz w:val="32"/>
          <w:szCs w:val="32"/>
        </w:rPr>
      </w:pPr>
    </w:p>
    <w:p>
      <w:pPr>
        <w:pStyle w:val="5"/>
        <w:snapToGrid w:val="0"/>
        <w:spacing w:before="50" w:after="50" w:line="360" w:lineRule="auto"/>
        <w:ind w:firstLine="1280" w:firstLineChars="400"/>
        <w:rPr>
          <w:rFonts w:cs="仿宋_GB2312" w:asciiTheme="minorEastAsia" w:hAnsiTheme="minorEastAsia" w:eastAsiaTheme="minorEastAsia"/>
          <w:bCs/>
          <w:color w:val="auto"/>
          <w:sz w:val="32"/>
          <w:szCs w:val="32"/>
        </w:rPr>
      </w:pPr>
    </w:p>
    <w:p>
      <w:pPr>
        <w:snapToGrid w:val="0"/>
        <w:spacing w:beforeLines="50" w:after="50" w:line="360" w:lineRule="auto"/>
        <w:jc w:val="center"/>
        <w:rPr>
          <w:rFonts w:cs="仿宋_GB2312" w:asciiTheme="minorEastAsia" w:hAnsiTheme="minorEastAsia" w:eastAsiaTheme="minorEastAsia"/>
          <w:color w:val="auto"/>
          <w:sz w:val="32"/>
          <w:szCs w:val="32"/>
        </w:rPr>
      </w:pPr>
      <w:r>
        <w:rPr>
          <w:rFonts w:hint="eastAsia" w:cs="仿宋_GB2312" w:asciiTheme="minorEastAsia" w:hAnsiTheme="minorEastAsia" w:eastAsiaTheme="minorEastAsia"/>
          <w:color w:val="auto"/>
          <w:sz w:val="32"/>
          <w:szCs w:val="32"/>
        </w:rPr>
        <w:t>年    月    日</w:t>
      </w:r>
    </w:p>
    <w:p>
      <w:pPr>
        <w:snapToGrid w:val="0"/>
        <w:spacing w:beforeLines="50" w:after="50" w:line="360" w:lineRule="auto"/>
        <w:ind w:left="142"/>
        <w:jc w:val="left"/>
        <w:rPr>
          <w:rFonts w:asciiTheme="minorEastAsia" w:hAnsiTheme="minorEastAsia" w:eastAsiaTheme="minorEastAsia"/>
          <w:b/>
          <w:bCs/>
          <w:color w:val="auto"/>
          <w:sz w:val="24"/>
        </w:rPr>
      </w:pPr>
      <w:r>
        <w:rPr>
          <w:rFonts w:asciiTheme="minorEastAsia" w:hAnsiTheme="minorEastAsia" w:eastAsiaTheme="minorEastAsia"/>
          <w:color w:val="auto"/>
          <w:szCs w:val="21"/>
        </w:rPr>
        <w:br w:type="page"/>
      </w:r>
      <w:r>
        <w:rPr>
          <w:rFonts w:hint="eastAsia" w:asciiTheme="minorEastAsia" w:hAnsiTheme="minorEastAsia" w:eastAsiaTheme="minorEastAsia"/>
          <w:b/>
          <w:bCs/>
          <w:color w:val="auto"/>
          <w:sz w:val="32"/>
          <w:szCs w:val="32"/>
        </w:rPr>
        <w:t>2.报价文件目录</w:t>
      </w:r>
    </w:p>
    <w:p>
      <w:pPr>
        <w:tabs>
          <w:tab w:val="left" w:pos="3479"/>
        </w:tabs>
        <w:spacing w:line="360" w:lineRule="auto"/>
        <w:jc w:val="left"/>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根据谈判文件规定及供应商提供的材料自行编写目录（部分格式后附）。</w:t>
      </w:r>
    </w:p>
    <w:p>
      <w:pPr>
        <w:tabs>
          <w:tab w:val="left" w:pos="3479"/>
        </w:tabs>
        <w:spacing w:line="360" w:lineRule="auto"/>
        <w:jc w:val="center"/>
        <w:rPr>
          <w:rFonts w:cs="方正小标宋简体" w:asciiTheme="minorEastAsia" w:hAnsiTheme="minorEastAsia" w:eastAsiaTheme="minorEastAsia"/>
          <w:bCs/>
          <w:color w:val="auto"/>
          <w:sz w:val="32"/>
          <w:szCs w:val="32"/>
        </w:rPr>
      </w:pPr>
      <w:r>
        <w:rPr>
          <w:rFonts w:asciiTheme="minorEastAsia" w:hAnsiTheme="minorEastAsia" w:eastAsiaTheme="minorEastAsia"/>
          <w:color w:val="auto"/>
          <w:szCs w:val="21"/>
        </w:rPr>
        <w:br w:type="page"/>
      </w:r>
      <w:r>
        <w:rPr>
          <w:rFonts w:hint="eastAsia" w:cs="方正小标宋简体" w:asciiTheme="minorEastAsia" w:hAnsiTheme="minorEastAsia" w:eastAsiaTheme="minorEastAsia"/>
          <w:bCs/>
          <w:color w:val="auto"/>
          <w:sz w:val="44"/>
          <w:szCs w:val="44"/>
        </w:rPr>
        <w:t>竞  标  报  价  表</w:t>
      </w:r>
    </w:p>
    <w:p>
      <w:pPr>
        <w:spacing w:line="360" w:lineRule="auto"/>
        <w:contextualSpacing/>
        <w:jc w:val="left"/>
        <w:rPr>
          <w:rFonts w:cs="仿宋_GB2312" w:asciiTheme="minorEastAsia" w:hAnsiTheme="minorEastAsia" w:eastAsiaTheme="minorEastAsia"/>
          <w:color w:val="auto"/>
          <w:sz w:val="24"/>
        </w:rPr>
      </w:pPr>
    </w:p>
    <w:p>
      <w:pPr>
        <w:snapToGrid w:val="0"/>
        <w:spacing w:before="50" w:after="50" w:line="360" w:lineRule="auto"/>
        <w:rPr>
          <w:rFonts w:ascii="宋体" w:hAnsi="宋体"/>
          <w:color w:val="auto"/>
          <w:sz w:val="24"/>
        </w:rPr>
      </w:pPr>
      <w:r>
        <w:rPr>
          <w:rFonts w:hint="eastAsia" w:cs="仿宋_GB2312" w:asciiTheme="minorEastAsia" w:hAnsiTheme="minorEastAsia" w:eastAsiaTheme="minorEastAsia"/>
          <w:color w:val="auto"/>
          <w:sz w:val="24"/>
        </w:rPr>
        <w:t>标项：</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 xml:space="preserve">          </w:t>
      </w:r>
      <w:r>
        <w:rPr>
          <w:rFonts w:hint="eastAsia" w:ascii="宋体" w:hAnsi="宋体"/>
          <w:color w:val="auto"/>
          <w:sz w:val="24"/>
        </w:rPr>
        <w:t>项目名称：</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项目编号：</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 xml:space="preserve">                             </w:t>
      </w:r>
    </w:p>
    <w:tbl>
      <w:tblPr>
        <w:tblStyle w:val="24"/>
        <w:tblW w:w="9436"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3702"/>
        <w:gridCol w:w="1567"/>
        <w:gridCol w:w="1367"/>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jc w:val="right"/>
        </w:trPr>
        <w:tc>
          <w:tcPr>
            <w:tcW w:w="8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序号</w:t>
            </w:r>
          </w:p>
        </w:tc>
        <w:tc>
          <w:tcPr>
            <w:tcW w:w="37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标项</w:t>
            </w:r>
            <w:r>
              <w:rPr>
                <w:rFonts w:cs="宋体" w:asciiTheme="minorEastAsia" w:hAnsiTheme="minorEastAsia" w:eastAsiaTheme="minorEastAsia"/>
                <w:color w:val="auto"/>
                <w:sz w:val="24"/>
              </w:rPr>
              <w:t>名称</w:t>
            </w:r>
          </w:p>
        </w:tc>
        <w:tc>
          <w:tcPr>
            <w:tcW w:w="1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数量</w:t>
            </w:r>
          </w:p>
        </w:tc>
        <w:tc>
          <w:tcPr>
            <w:tcW w:w="13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单位</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bookmarkStart w:id="108" w:name="OLE_LINK31"/>
            <w:r>
              <w:rPr>
                <w:rFonts w:hint="eastAsia" w:cs="宋体" w:asciiTheme="minorEastAsia" w:hAnsiTheme="minorEastAsia" w:eastAsiaTheme="minorEastAsia"/>
                <w:color w:val="auto"/>
                <w:sz w:val="24"/>
              </w:rPr>
              <w:t>竞标报价折扣系数</w:t>
            </w:r>
            <w:bookmarkEnd w:id="108"/>
            <w:r>
              <w:rPr>
                <w:rFonts w:hint="eastAsia" w:cs="宋体" w:asciiTheme="minorEastAsia" w:hAnsiTheme="minorEastAsia" w:eastAsiaTheme="minorEastAsia"/>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jc w:val="right"/>
        </w:trPr>
        <w:tc>
          <w:tcPr>
            <w:tcW w:w="8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r>
              <w:rPr>
                <w:rFonts w:cs="仿宋_GB2312" w:asciiTheme="minorEastAsia" w:hAnsiTheme="minorEastAsia" w:eastAsiaTheme="minorEastAsia"/>
                <w:color w:val="auto"/>
                <w:sz w:val="24"/>
              </w:rPr>
              <w:t>1</w:t>
            </w:r>
          </w:p>
        </w:tc>
        <w:tc>
          <w:tcPr>
            <w:tcW w:w="37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p>
        </w:tc>
        <w:tc>
          <w:tcPr>
            <w:tcW w:w="1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r>
              <w:rPr>
                <w:rFonts w:cs="宋体" w:asciiTheme="minorEastAsia" w:hAnsiTheme="minorEastAsia" w:eastAsiaTheme="minorEastAsia"/>
                <w:color w:val="auto"/>
                <w:sz w:val="24"/>
              </w:rPr>
              <w:t>1</w:t>
            </w:r>
          </w:p>
        </w:tc>
        <w:tc>
          <w:tcPr>
            <w:tcW w:w="13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w:t>
            </w:r>
          </w:p>
        </w:tc>
        <w:tc>
          <w:tcPr>
            <w:tcW w:w="2000" w:type="dxa"/>
            <w:tcBorders>
              <w:top w:val="single" w:color="auto" w:sz="4" w:space="0"/>
              <w:left w:val="single" w:color="auto" w:sz="4" w:space="0"/>
              <w:bottom w:val="single" w:color="auto" w:sz="4" w:space="0"/>
              <w:right w:val="single" w:color="auto" w:sz="4" w:space="0"/>
            </w:tcBorders>
          </w:tcPr>
          <w:p>
            <w:pPr>
              <w:spacing w:line="360" w:lineRule="auto"/>
              <w:rPr>
                <w:rFonts w:cs="宋体"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jc w:val="right"/>
        </w:trPr>
        <w:tc>
          <w:tcPr>
            <w:tcW w:w="9436" w:type="dxa"/>
            <w:gridSpan w:val="5"/>
            <w:tcBorders>
              <w:top w:val="single" w:color="auto" w:sz="4" w:space="0"/>
              <w:left w:val="single" w:color="auto" w:sz="4" w:space="0"/>
              <w:bottom w:val="single" w:color="auto" w:sz="4" w:space="0"/>
              <w:right w:val="single" w:color="auto" w:sz="4" w:space="0"/>
            </w:tcBorders>
            <w:vAlign w:val="center"/>
          </w:tcPr>
          <w:p>
            <w:pPr>
              <w:numPr>
                <w:ilvl w:val="0"/>
                <w:numId w:val="7"/>
              </w:numPr>
              <w:snapToGrid w:val="0"/>
              <w:spacing w:line="360" w:lineRule="exac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本项目竞标应以价格折扣报价（以%表示）。</w:t>
            </w:r>
          </w:p>
          <w:p>
            <w:pPr>
              <w:numPr>
                <w:ilvl w:val="0"/>
                <w:numId w:val="7"/>
              </w:numPr>
              <w:snapToGrid w:val="0"/>
              <w:spacing w:line="360" w:lineRule="exact"/>
              <w:rPr>
                <w:rFonts w:cs="宋体" w:asciiTheme="minorEastAsia" w:hAnsiTheme="minorEastAsia" w:eastAsiaTheme="minorEastAsia"/>
                <w:color w:val="auto"/>
                <w:szCs w:val="21"/>
              </w:rPr>
            </w:pPr>
            <w:r>
              <w:rPr>
                <w:rFonts w:hint="eastAsia" w:cs="宋体" w:asciiTheme="minorEastAsia" w:hAnsiTheme="minorEastAsia" w:eastAsiaTheme="minorEastAsia"/>
                <w:b/>
                <w:bCs/>
                <w:color w:val="auto"/>
                <w:szCs w:val="21"/>
              </w:rPr>
              <w:t>竞标报价范围：</w:t>
            </w:r>
            <w:r>
              <w:rPr>
                <w:rFonts w:hint="eastAsia" w:cs="宋体" w:asciiTheme="minorEastAsia" w:hAnsiTheme="minorEastAsia" w:eastAsiaTheme="minorEastAsia"/>
                <w:b/>
                <w:bCs/>
                <w:color w:val="auto"/>
                <w:szCs w:val="21"/>
                <w:lang w:eastAsia="zh-CN"/>
              </w:rPr>
              <w:t>竞标报价折扣系数≤100%</w:t>
            </w:r>
            <w:r>
              <w:rPr>
                <w:rFonts w:hint="eastAsia" w:cs="宋体" w:asciiTheme="minorEastAsia" w:hAnsiTheme="minorEastAsia" w:eastAsiaTheme="minorEastAsia"/>
                <w:b/>
                <w:bCs/>
                <w:color w:val="auto"/>
                <w:szCs w:val="21"/>
              </w:rPr>
              <w:t>。</w:t>
            </w:r>
            <w:r>
              <w:rPr>
                <w:rFonts w:hint="eastAsia" w:cs="宋体" w:asciiTheme="minorEastAsia" w:hAnsiTheme="minorEastAsia" w:eastAsiaTheme="minorEastAsia"/>
                <w:color w:val="auto"/>
                <w:szCs w:val="21"/>
              </w:rPr>
              <w:t>（如：供货产品打九折即竞标折扣为90%，以此类推），价格折扣必须是固定的（如90%），不得存在区间值（如：90%～100%）。</w:t>
            </w:r>
            <w:r>
              <w:rPr>
                <w:rFonts w:hint="eastAsia" w:asciiTheme="minorEastAsia" w:hAnsiTheme="minorEastAsia" w:eastAsiaTheme="minorEastAsia"/>
                <w:color w:val="auto"/>
              </w:rPr>
              <w:t>供应商</w:t>
            </w:r>
            <w:r>
              <w:rPr>
                <w:rFonts w:hint="eastAsia" w:cs="宋体" w:asciiTheme="minorEastAsia" w:hAnsiTheme="minorEastAsia" w:eastAsiaTheme="minorEastAsia"/>
                <w:color w:val="auto"/>
                <w:szCs w:val="21"/>
              </w:rPr>
              <w:t>必须就《采购需求》中的全部内容作完整唯一报价，不接受有选择的报价，且所报的</w:t>
            </w:r>
            <w:r>
              <w:rPr>
                <w:rFonts w:hint="eastAsia" w:asciiTheme="minorEastAsia" w:hAnsiTheme="minorEastAsia" w:eastAsiaTheme="minorEastAsia"/>
                <w:color w:val="auto"/>
              </w:rPr>
              <w:t>价格</w:t>
            </w:r>
            <w:r>
              <w:rPr>
                <w:rFonts w:hint="eastAsia" w:cs="宋体" w:asciiTheme="minorEastAsia" w:hAnsiTheme="minorEastAsia" w:eastAsiaTheme="minorEastAsia"/>
                <w:color w:val="auto"/>
                <w:szCs w:val="21"/>
              </w:rPr>
              <w:t>折扣应当适用于每种食材，否则，</w:t>
            </w:r>
            <w:r>
              <w:rPr>
                <w:rFonts w:hint="eastAsia" w:cs="宋体" w:asciiTheme="minorEastAsia" w:hAnsiTheme="minorEastAsia" w:eastAsiaTheme="minorEastAsia"/>
                <w:b/>
                <w:bCs/>
                <w:color w:val="auto"/>
                <w:szCs w:val="21"/>
              </w:rPr>
              <w:t xml:space="preserve">作无效报价处理。 </w:t>
            </w:r>
          </w:p>
          <w:p>
            <w:pPr>
              <w:spacing w:line="360" w:lineRule="exact"/>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3、肉类和蔬菜类可以调价，其他类产品不调价。竞标报价按竞标折扣系数报价，供货和定价方式：由于随着季节交替，存在市场价格变动，采用定额统筹供货和上限价弹性议价机制,采购单价=基准单价×竞标报价折扣系数。合同签订之日起3个月（90天）价格不予调整，往后对市场价格变动幅度超过±10%的商品价格，双方各可申请一次调整。由供应商或者采购人提出调价调整申请，由采购人在采购人所在地以询价方式，选择不少于3家具有代表性的调查对象开展市场价格调查，拟定调整价格经采购人招标工作小组复核，报采购人党委审定，方可调整价格，确定基准单价。实行基准单价调整后，采购单价为变动后的基准单价×竞标报价折扣系数（如上级部门出台新的政策文件按新的政策文件执行）。</w:t>
            </w:r>
          </w:p>
          <w:p>
            <w:pPr>
              <w:snapToGrid w:val="0"/>
              <w:spacing w:before="50" w:after="50" w:line="360" w:lineRule="exact"/>
              <w:rPr>
                <w:rFonts w:cs="宋体" w:asciiTheme="minorEastAsia" w:hAnsiTheme="minorEastAsia" w:eastAsiaTheme="minorEastAsia"/>
                <w:color w:val="auto"/>
                <w:sz w:val="24"/>
              </w:rPr>
            </w:pPr>
            <w:r>
              <w:rPr>
                <w:rFonts w:hint="eastAsia" w:cs="宋体" w:asciiTheme="minorEastAsia" w:hAnsiTheme="minorEastAsia" w:eastAsiaTheme="minorEastAsia"/>
                <w:color w:val="auto"/>
                <w:szCs w:val="21"/>
              </w:rPr>
              <w:t>4、供应商应充分考虑到供货期间物品供应基准价上涨的风险。</w:t>
            </w:r>
            <w:r>
              <w:rPr>
                <w:rFonts w:hint="eastAsia" w:asciiTheme="minorEastAsia" w:hAnsiTheme="minorEastAsia" w:eastAsiaTheme="minorEastAsia"/>
                <w:color w:val="auto"/>
              </w:rPr>
              <w:t>成交供应商不得以提供的常规物品价格高于市场调查价格而不供应或要求采购人自行采购。</w:t>
            </w:r>
          </w:p>
        </w:tc>
      </w:tr>
    </w:tbl>
    <w:p>
      <w:pPr>
        <w:spacing w:line="360" w:lineRule="auto"/>
        <w:contextualSpacing/>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注： </w:t>
      </w:r>
    </w:p>
    <w:p>
      <w:pPr>
        <w:spacing w:line="360" w:lineRule="auto"/>
        <w:ind w:firstLine="480" w:firstLineChars="200"/>
        <w:contextualSpacing/>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1.供应商的报价表必须加盖供应商电子签章并由法定代表人或者委托代理人签字或者电子签名，</w:t>
      </w:r>
      <w:r>
        <w:rPr>
          <w:rFonts w:hint="eastAsia" w:cs="仿宋_GB2312" w:asciiTheme="minorEastAsia" w:hAnsiTheme="minorEastAsia" w:eastAsiaTheme="minorEastAsia"/>
          <w:b/>
          <w:color w:val="auto"/>
          <w:sz w:val="24"/>
        </w:rPr>
        <w:t>否则其响应文件按无效处理</w:t>
      </w:r>
      <w:r>
        <w:rPr>
          <w:rFonts w:hint="eastAsia" w:cs="仿宋_GB2312" w:asciiTheme="minorEastAsia" w:hAnsiTheme="minorEastAsia" w:eastAsiaTheme="minorEastAsia"/>
          <w:color w:val="auto"/>
          <w:sz w:val="24"/>
        </w:rPr>
        <w:t>。</w:t>
      </w:r>
    </w:p>
    <w:p>
      <w:pPr>
        <w:spacing w:line="360" w:lineRule="auto"/>
        <w:ind w:firstLine="480" w:firstLineChars="200"/>
        <w:contextualSpacing/>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Cs/>
          <w:color w:val="auto"/>
          <w:sz w:val="24"/>
        </w:rPr>
        <w:t>2.</w:t>
      </w:r>
      <w:r>
        <w:rPr>
          <w:rFonts w:hint="eastAsia" w:cs="仿宋_GB2312" w:asciiTheme="minorEastAsia" w:hAnsiTheme="minorEastAsia" w:eastAsiaTheme="minorEastAsia"/>
          <w:color w:val="auto"/>
          <w:sz w:val="24"/>
        </w:rPr>
        <w:t>报价一经涂改，应在涂改处加盖供应商公章或者加盖电子签章或者由法定代表人或者授权委托人签字</w:t>
      </w:r>
      <w:r>
        <w:rPr>
          <w:rFonts w:hint="eastAsia" w:asciiTheme="minorEastAsia" w:hAnsiTheme="minorEastAsia" w:eastAsiaTheme="minorEastAsia"/>
          <w:color w:val="auto"/>
          <w:sz w:val="24"/>
        </w:rPr>
        <w:t>（或者电子签名）</w:t>
      </w:r>
      <w:r>
        <w:rPr>
          <w:rFonts w:hint="eastAsia" w:cs="仿宋_GB2312" w:asciiTheme="minorEastAsia" w:hAnsiTheme="minorEastAsia" w:eastAsiaTheme="minorEastAsia"/>
          <w:b/>
          <w:color w:val="auto"/>
          <w:sz w:val="24"/>
        </w:rPr>
        <w:t>，否则其响应文件按无效处理。</w:t>
      </w:r>
    </w:p>
    <w:p>
      <w:pPr>
        <w:spacing w:line="360" w:lineRule="auto"/>
        <w:ind w:right="-817" w:rightChars="-389" w:firstLine="2640" w:firstLineChars="1100"/>
        <w:contextualSpacing/>
        <w:rPr>
          <w:rFonts w:cs="仿宋_GB2312" w:asciiTheme="minorEastAsia" w:hAnsiTheme="minorEastAsia" w:eastAsiaTheme="minorEastAsia"/>
          <w:color w:val="auto"/>
          <w:sz w:val="24"/>
        </w:rPr>
      </w:pPr>
    </w:p>
    <w:p>
      <w:pPr>
        <w:spacing w:line="360" w:lineRule="auto"/>
        <w:ind w:right="-817" w:rightChars="-389" w:firstLine="2640" w:firstLineChars="11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法定代表人或者委托代理人（签字或者电子签名）：</w:t>
      </w:r>
      <w:r>
        <w:rPr>
          <w:rFonts w:hint="eastAsia" w:cs="仿宋_GB2312" w:asciiTheme="minorEastAsia" w:hAnsiTheme="minorEastAsia" w:eastAsiaTheme="minorEastAsia"/>
          <w:color w:val="auto"/>
          <w:sz w:val="24"/>
          <w:u w:val="single"/>
        </w:rPr>
        <w:t xml:space="preserve">     </w:t>
      </w:r>
    </w:p>
    <w:p>
      <w:pPr>
        <w:spacing w:line="360" w:lineRule="auto"/>
        <w:ind w:right="-817" w:rightChars="-389" w:firstLine="2640" w:firstLineChars="11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供应商名称（电子签章）：</w:t>
      </w:r>
      <w:r>
        <w:rPr>
          <w:rFonts w:hint="eastAsia" w:cs="仿宋_GB2312" w:asciiTheme="minorEastAsia" w:hAnsiTheme="minorEastAsia" w:eastAsiaTheme="minorEastAsia"/>
          <w:color w:val="auto"/>
          <w:sz w:val="24"/>
          <w:u w:val="single"/>
        </w:rPr>
        <w:t xml:space="preserve">                           </w:t>
      </w:r>
    </w:p>
    <w:p>
      <w:pPr>
        <w:spacing w:line="360" w:lineRule="auto"/>
        <w:ind w:right="-817" w:rightChars="-389"/>
        <w:contextualSpacing/>
        <w:rPr>
          <w:rFonts w:asciiTheme="minorEastAsia" w:hAnsiTheme="minorEastAsia" w:eastAsiaTheme="minorEastAsia"/>
          <w:color w:val="auto"/>
          <w:szCs w:val="21"/>
        </w:rPr>
      </w:pPr>
      <w:r>
        <w:rPr>
          <w:rFonts w:hint="eastAsia" w:cs="仿宋_GB2312" w:asciiTheme="minorEastAsia" w:hAnsiTheme="minorEastAsia" w:eastAsiaTheme="minorEastAsia"/>
          <w:color w:val="auto"/>
          <w:sz w:val="24"/>
        </w:rPr>
        <w:t xml:space="preserve">                      日期：</w:t>
      </w:r>
      <w:r>
        <w:rPr>
          <w:rFonts w:hint="eastAsia" w:cs="仿宋_GB2312" w:asciiTheme="minorEastAsia" w:hAnsiTheme="minorEastAsia" w:eastAsiaTheme="minorEastAsia"/>
          <w:color w:val="auto"/>
          <w:sz w:val="24"/>
          <w:u w:val="single"/>
        </w:rPr>
        <w:t xml:space="preserve">   年   月   日</w:t>
      </w:r>
      <w:r>
        <w:rPr>
          <w:rFonts w:asciiTheme="minorEastAsia" w:hAnsiTheme="minorEastAsia" w:eastAsiaTheme="minorEastAsia"/>
          <w:color w:val="auto"/>
          <w:szCs w:val="21"/>
        </w:rPr>
        <w:br w:type="page"/>
      </w:r>
    </w:p>
    <w:p>
      <w:pPr>
        <w:spacing w:line="360" w:lineRule="auto"/>
        <w:ind w:right="-817" w:rightChars="-389"/>
        <w:contextualSpacing/>
        <w:rPr>
          <w:rFonts w:asciiTheme="minorEastAsia" w:hAnsiTheme="minorEastAsia" w:eastAsiaTheme="minorEastAsia"/>
          <w:color w:val="auto"/>
          <w:szCs w:val="21"/>
        </w:rPr>
      </w:pPr>
    </w:p>
    <w:p>
      <w:pPr>
        <w:spacing w:line="360" w:lineRule="auto"/>
        <w:jc w:val="center"/>
        <w:rPr>
          <w:rFonts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货物配置及报价明细表</w:t>
      </w:r>
    </w:p>
    <w:p>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所竞标项：</w:t>
      </w:r>
      <w:r>
        <w:rPr>
          <w:rFonts w:hint="eastAsia" w:cs="仿宋_GB2312" w:asciiTheme="minorEastAsia" w:hAnsiTheme="minorEastAsia" w:eastAsiaTheme="minorEastAsia"/>
          <w:color w:val="auto"/>
          <w:sz w:val="24"/>
          <w:u w:val="single"/>
        </w:rPr>
        <w:t xml:space="preserve">                 </w:t>
      </w:r>
    </w:p>
    <w:tbl>
      <w:tblPr>
        <w:tblStyle w:val="24"/>
        <w:tblW w:w="1115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1"/>
        <w:gridCol w:w="1067"/>
        <w:gridCol w:w="1000"/>
        <w:gridCol w:w="969"/>
        <w:gridCol w:w="1388"/>
        <w:gridCol w:w="1027"/>
        <w:gridCol w:w="1618"/>
        <w:gridCol w:w="999"/>
        <w:gridCol w:w="1108"/>
        <w:gridCol w:w="11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55"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序号</w:t>
            </w:r>
          </w:p>
        </w:tc>
        <w:tc>
          <w:tcPr>
            <w:tcW w:w="106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标的</w:t>
            </w:r>
          </w:p>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名称</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品牌</w:t>
            </w:r>
          </w:p>
        </w:tc>
        <w:tc>
          <w:tcPr>
            <w:tcW w:w="9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规格</w:t>
            </w: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生产厂家</w:t>
            </w:r>
          </w:p>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（制造商）</w:t>
            </w:r>
          </w:p>
        </w:tc>
        <w:tc>
          <w:tcPr>
            <w:tcW w:w="10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原产地</w:t>
            </w:r>
          </w:p>
        </w:tc>
        <w:tc>
          <w:tcPr>
            <w:tcW w:w="16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技术要求</w:t>
            </w:r>
          </w:p>
        </w:tc>
        <w:tc>
          <w:tcPr>
            <w:tcW w:w="9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单位</w:t>
            </w: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基准价（元）</w:t>
            </w:r>
          </w:p>
        </w:tc>
        <w:tc>
          <w:tcPr>
            <w:tcW w:w="11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竞标单价（元）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4" w:hRule="atLeast"/>
          <w:jc w:val="center"/>
        </w:trPr>
        <w:tc>
          <w:tcPr>
            <w:tcW w:w="11156" w:type="dxa"/>
            <w:gridSpan w:val="10"/>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left"/>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4"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106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6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Theme="minorEastAsia" w:hAnsiTheme="minorEastAsia" w:eastAsiaTheme="minorEastAsia"/>
                <w:color w:val="auto"/>
                <w:sz w:val="24"/>
              </w:rPr>
            </w:pP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6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4"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106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6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Theme="minorEastAsia" w:hAnsiTheme="minorEastAsia" w:eastAsiaTheme="minorEastAsia"/>
                <w:color w:val="auto"/>
                <w:sz w:val="24"/>
              </w:rPr>
            </w:pP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6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4"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106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6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Theme="minorEastAsia" w:hAnsiTheme="minorEastAsia" w:eastAsiaTheme="minorEastAsia"/>
                <w:color w:val="auto"/>
                <w:sz w:val="24"/>
              </w:rPr>
            </w:pP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6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0"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bookmarkStart w:id="109" w:name="OLE_LINK32"/>
            <w:r>
              <w:rPr>
                <w:rFonts w:hint="eastAsia" w:cs="仿宋_GB2312" w:asciiTheme="minorEastAsia" w:hAnsiTheme="minorEastAsia" w:eastAsiaTheme="minorEastAsia"/>
                <w:color w:val="auto"/>
                <w:sz w:val="24"/>
              </w:rPr>
              <w:t>…</w:t>
            </w:r>
            <w:bookmarkEnd w:id="109"/>
          </w:p>
        </w:tc>
        <w:tc>
          <w:tcPr>
            <w:tcW w:w="106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6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Theme="minorEastAsia" w:hAnsiTheme="minorEastAsia" w:eastAsiaTheme="minorEastAsia"/>
                <w:color w:val="auto"/>
                <w:sz w:val="24"/>
              </w:rPr>
            </w:pP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0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6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0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c>
          <w:tcPr>
            <w:tcW w:w="119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olor w:val="auto"/>
                <w:sz w:val="24"/>
              </w:rPr>
            </w:pPr>
          </w:p>
        </w:tc>
      </w:tr>
    </w:tbl>
    <w:p>
      <w:pPr>
        <w:spacing w:line="360" w:lineRule="auto"/>
        <w:contextualSpacing/>
        <w:rPr>
          <w:rFonts w:asciiTheme="minorEastAsia" w:hAnsiTheme="minorEastAsia" w:eastAsiaTheme="minorEastAsia"/>
          <w:color w:val="auto"/>
          <w:sz w:val="24"/>
        </w:rPr>
      </w:pPr>
      <w:r>
        <w:rPr>
          <w:rFonts w:hint="eastAsia" w:asciiTheme="minorEastAsia" w:hAnsiTheme="minorEastAsia" w:eastAsiaTheme="minorEastAsia"/>
          <w:color w:val="auto"/>
          <w:sz w:val="24"/>
        </w:rPr>
        <w:t>备注：</w:t>
      </w:r>
    </w:p>
    <w:p>
      <w:pPr>
        <w:tabs>
          <w:tab w:val="left" w:pos="1065"/>
        </w:tabs>
        <w:adjustRightInd w:val="0"/>
        <w:spacing w:line="360" w:lineRule="auto"/>
        <w:contextualSpacing/>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1.竞标单价=基准价×竞标报价折扣系数。</w:t>
      </w:r>
    </w:p>
    <w:p>
      <w:pPr>
        <w:tabs>
          <w:tab w:val="left" w:pos="1065"/>
        </w:tabs>
        <w:adjustRightInd w:val="0"/>
        <w:spacing w:line="360" w:lineRule="auto"/>
        <w:contextualSpacing/>
        <w:rPr>
          <w:rFonts w:cs="仿宋_GB2312" w:asciiTheme="minorEastAsia" w:hAnsiTheme="minorEastAsia" w:eastAsiaTheme="minorEastAsia"/>
          <w:color w:val="auto"/>
          <w:sz w:val="24"/>
        </w:rPr>
      </w:pPr>
      <w:r>
        <w:rPr>
          <w:rFonts w:hint="eastAsia" w:asciiTheme="minorEastAsia" w:hAnsiTheme="minorEastAsia" w:eastAsiaTheme="minorEastAsia"/>
          <w:b/>
          <w:bCs/>
          <w:color w:val="auto"/>
          <w:sz w:val="24"/>
        </w:rPr>
        <w:t>2.以上货物配置清单对照所投分标的采购标的，必须如实填写完整“标的名称、品牌、规格、生产厂家（制造商）、原产地、技术要求、单位、基准价、竞标单价”，品牌没有则填无，规格按采购需求列明的填写，未按要求填写或有缺漏的，响应文件按无效处理</w:t>
      </w:r>
      <w:r>
        <w:rPr>
          <w:rFonts w:hint="eastAsia" w:asciiTheme="minorEastAsia" w:hAnsiTheme="minorEastAsia" w:eastAsiaTheme="minorEastAsia"/>
          <w:b/>
          <w:color w:val="auto"/>
          <w:sz w:val="24"/>
        </w:rPr>
        <w:t>。</w:t>
      </w:r>
      <w:r>
        <w:rPr>
          <w:rFonts w:hint="eastAsia" w:cs="仿宋_GB2312" w:asciiTheme="minorEastAsia" w:hAnsiTheme="minorEastAsia" w:eastAsiaTheme="minorEastAsia"/>
          <w:color w:val="auto"/>
          <w:sz w:val="24"/>
        </w:rPr>
        <w:tab/>
      </w:r>
    </w:p>
    <w:p>
      <w:pPr>
        <w:adjustRightInd w:val="0"/>
        <w:spacing w:line="360" w:lineRule="auto"/>
        <w:contextualSpacing/>
        <w:jc w:val="left"/>
        <w:rPr>
          <w:rFonts w:cs="仿宋_GB2312" w:asciiTheme="minorEastAsia" w:hAnsiTheme="minorEastAsia" w:eastAsiaTheme="minorEastAsia"/>
          <w:color w:val="auto"/>
          <w:sz w:val="24"/>
        </w:rPr>
      </w:pPr>
    </w:p>
    <w:p>
      <w:pPr>
        <w:adjustRightInd w:val="0"/>
        <w:spacing w:line="360" w:lineRule="auto"/>
        <w:contextualSpacing/>
        <w:jc w:val="left"/>
        <w:rPr>
          <w:rFonts w:cs="仿宋_GB2312" w:asciiTheme="minorEastAsia" w:hAnsiTheme="minorEastAsia" w:eastAsiaTheme="minorEastAsia"/>
          <w:color w:val="auto"/>
          <w:sz w:val="24"/>
        </w:rPr>
      </w:pPr>
    </w:p>
    <w:p>
      <w:pPr>
        <w:adjustRightInd w:val="0"/>
        <w:spacing w:line="360" w:lineRule="auto"/>
        <w:contextualSpacing/>
        <w:jc w:val="left"/>
        <w:rPr>
          <w:rFonts w:cs="仿宋_GB2312" w:asciiTheme="minorEastAsia" w:hAnsiTheme="minorEastAsia" w:eastAsiaTheme="minorEastAsia"/>
          <w:color w:val="auto"/>
          <w:sz w:val="24"/>
        </w:rPr>
      </w:pPr>
    </w:p>
    <w:p>
      <w:pPr>
        <w:spacing w:line="360" w:lineRule="auto"/>
        <w:ind w:right="-817" w:rightChars="-389"/>
        <w:contextualSpacing/>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法定代表人或者委托代理人（签字或者电子签名）：</w:t>
      </w:r>
      <w:r>
        <w:rPr>
          <w:rFonts w:hint="eastAsia" w:cs="仿宋_GB2312" w:asciiTheme="minorEastAsia" w:hAnsiTheme="minorEastAsia" w:eastAsiaTheme="minorEastAsia"/>
          <w:color w:val="auto"/>
          <w:sz w:val="24"/>
          <w:u w:val="single"/>
        </w:rPr>
        <w:t xml:space="preserve">          </w:t>
      </w:r>
    </w:p>
    <w:p>
      <w:pPr>
        <w:spacing w:line="360" w:lineRule="auto"/>
        <w:ind w:right="-817" w:rightChars="-389" w:firstLine="2880" w:firstLineChars="1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供应商名称（电子签章）：</w:t>
      </w:r>
      <w:r>
        <w:rPr>
          <w:rFonts w:hint="eastAsia" w:cs="仿宋_GB2312" w:asciiTheme="minorEastAsia" w:hAnsiTheme="minorEastAsia" w:eastAsiaTheme="minorEastAsia"/>
          <w:color w:val="auto"/>
          <w:sz w:val="24"/>
          <w:u w:val="single"/>
        </w:rPr>
        <w:t xml:space="preserve">                        </w:t>
      </w:r>
    </w:p>
    <w:p>
      <w:pPr>
        <w:spacing w:line="360" w:lineRule="auto"/>
        <w:ind w:right="-817" w:rightChars="-389" w:firstLine="2880" w:firstLineChars="1200"/>
        <w:contextualSpacing/>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sz w:val="24"/>
        </w:rPr>
        <w:t>日                  期：</w:t>
      </w:r>
      <w:r>
        <w:rPr>
          <w:rFonts w:hint="eastAsia" w:cs="仿宋_GB2312" w:asciiTheme="minorEastAsia" w:hAnsiTheme="minorEastAsia" w:eastAsiaTheme="minorEastAsia"/>
          <w:color w:val="auto"/>
          <w:sz w:val="24"/>
          <w:u w:val="single"/>
        </w:rPr>
        <w:t xml:space="preserve">   年   月   日</w:t>
      </w:r>
    </w:p>
    <w:p>
      <w:pPr>
        <w:adjustRightInd w:val="0"/>
        <w:snapToGrid w:val="0"/>
        <w:spacing w:line="360" w:lineRule="auto"/>
        <w:rPr>
          <w:rFonts w:asciiTheme="minorEastAsia" w:hAnsiTheme="minorEastAsia" w:eastAsiaTheme="minorEastAsia"/>
          <w:color w:val="auto"/>
          <w:szCs w:val="21"/>
          <w:u w:val="single"/>
        </w:rPr>
      </w:pPr>
    </w:p>
    <w:p>
      <w:pPr>
        <w:adjustRightInd w:val="0"/>
        <w:snapToGrid w:val="0"/>
        <w:spacing w:line="360" w:lineRule="auto"/>
        <w:rPr>
          <w:rFonts w:asciiTheme="minorEastAsia" w:hAnsiTheme="minorEastAsia" w:eastAsiaTheme="minorEastAsia"/>
          <w:color w:val="auto"/>
          <w:szCs w:val="21"/>
          <w:u w:val="single"/>
        </w:rPr>
      </w:pPr>
    </w:p>
    <w:p>
      <w:pPr>
        <w:adjustRightInd w:val="0"/>
        <w:snapToGrid w:val="0"/>
        <w:spacing w:line="360" w:lineRule="auto"/>
        <w:rPr>
          <w:rFonts w:asciiTheme="minorEastAsia" w:hAnsiTheme="minorEastAsia" w:eastAsiaTheme="minorEastAsia"/>
          <w:color w:val="auto"/>
          <w:szCs w:val="21"/>
          <w:u w:val="single"/>
        </w:rPr>
      </w:pPr>
    </w:p>
    <w:p>
      <w:pPr>
        <w:adjustRightInd w:val="0"/>
        <w:snapToGrid w:val="0"/>
        <w:spacing w:line="360" w:lineRule="auto"/>
        <w:rPr>
          <w:rFonts w:asciiTheme="minorEastAsia" w:hAnsiTheme="minorEastAsia" w:eastAsiaTheme="minorEastAsia"/>
          <w:color w:val="auto"/>
          <w:szCs w:val="21"/>
          <w:u w:val="single"/>
        </w:rPr>
      </w:pPr>
    </w:p>
    <w:p>
      <w:pPr>
        <w:spacing w:line="360" w:lineRule="auto"/>
        <w:ind w:right="-817" w:rightChars="-389"/>
        <w:contextualSpacing/>
        <w:rPr>
          <w:rFonts w:asciiTheme="minorEastAsia" w:hAnsiTheme="minorEastAsia" w:eastAsiaTheme="minorEastAsia"/>
          <w:color w:val="auto"/>
          <w:szCs w:val="21"/>
        </w:rPr>
      </w:pPr>
    </w:p>
    <w:p>
      <w:pPr>
        <w:spacing w:line="360" w:lineRule="auto"/>
        <w:ind w:right="-817" w:rightChars="-389"/>
        <w:contextualSpacing/>
        <w:rPr>
          <w:rFonts w:asciiTheme="minorEastAsia" w:hAnsiTheme="minorEastAsia" w:eastAsiaTheme="minorEastAsia"/>
          <w:b/>
          <w:color w:val="auto"/>
          <w:sz w:val="32"/>
          <w:szCs w:val="32"/>
        </w:rPr>
      </w:pPr>
      <w:r>
        <w:rPr>
          <w:rFonts w:hint="eastAsia" w:asciiTheme="minorEastAsia" w:hAnsiTheme="minorEastAsia" w:eastAsiaTheme="minorEastAsia"/>
          <w:b/>
          <w:bCs/>
          <w:color w:val="auto"/>
          <w:sz w:val="32"/>
          <w:szCs w:val="32"/>
        </w:rPr>
        <w:t>三、</w:t>
      </w:r>
      <w:r>
        <w:rPr>
          <w:rFonts w:hint="eastAsia" w:asciiTheme="minorEastAsia" w:hAnsiTheme="minorEastAsia" w:eastAsiaTheme="minorEastAsia"/>
          <w:b/>
          <w:color w:val="auto"/>
          <w:sz w:val="32"/>
          <w:szCs w:val="32"/>
        </w:rPr>
        <w:t xml:space="preserve">商务技术文件格式 </w:t>
      </w:r>
    </w:p>
    <w:p>
      <w:pPr>
        <w:snapToGrid w:val="0"/>
        <w:spacing w:beforeLines="50" w:after="50" w:line="360" w:lineRule="auto"/>
        <w:jc w:val="left"/>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1.商务技术文件封面格式</w:t>
      </w:r>
    </w:p>
    <w:p>
      <w:pPr>
        <w:snapToGrid w:val="0"/>
        <w:spacing w:beforeLines="50" w:after="50" w:line="360" w:lineRule="auto"/>
        <w:rPr>
          <w:rFonts w:asciiTheme="minorEastAsia" w:hAnsiTheme="minorEastAsia" w:eastAsiaTheme="minorEastAsia"/>
          <w:bCs/>
          <w:color w:val="auto"/>
          <w:sz w:val="32"/>
          <w:szCs w:val="20"/>
        </w:rPr>
      </w:pPr>
      <w:r>
        <w:rPr>
          <w:rFonts w:hint="eastAsia" w:asciiTheme="minorEastAsia" w:hAnsiTheme="minorEastAsia" w:eastAsiaTheme="minorEastAsia"/>
          <w:color w:val="auto"/>
          <w:sz w:val="24"/>
        </w:rPr>
        <w:t xml:space="preserve">                                                    </w:t>
      </w:r>
    </w:p>
    <w:p>
      <w:pPr>
        <w:snapToGrid w:val="0"/>
        <w:spacing w:beforeLines="50" w:after="50" w:line="360" w:lineRule="auto"/>
        <w:jc w:val="center"/>
        <w:rPr>
          <w:rFonts w:asciiTheme="minorEastAsia" w:hAnsiTheme="minorEastAsia" w:eastAsiaTheme="minorEastAsia"/>
          <w:color w:val="auto"/>
          <w:sz w:val="24"/>
          <w:szCs w:val="20"/>
        </w:rPr>
      </w:pPr>
      <w:r>
        <w:rPr>
          <w:rFonts w:hint="eastAsia" w:asciiTheme="minorEastAsia" w:hAnsiTheme="minorEastAsia" w:eastAsiaTheme="minorEastAsia"/>
          <w:color w:val="auto"/>
          <w:sz w:val="44"/>
          <w:szCs w:val="44"/>
        </w:rPr>
        <w:t>电 子 响 应 文 件</w:t>
      </w:r>
    </w:p>
    <w:p>
      <w:pPr>
        <w:snapToGrid w:val="0"/>
        <w:spacing w:beforeLines="50" w:after="50" w:line="360" w:lineRule="auto"/>
        <w:rPr>
          <w:rFonts w:asciiTheme="minorEastAsia" w:hAnsiTheme="minorEastAsia" w:eastAsiaTheme="minorEastAsia"/>
          <w:color w:val="auto"/>
          <w:sz w:val="24"/>
          <w:szCs w:val="20"/>
        </w:rPr>
      </w:pPr>
    </w:p>
    <w:p>
      <w:pPr>
        <w:snapToGrid w:val="0"/>
        <w:spacing w:beforeLines="50" w:after="50" w:line="360" w:lineRule="auto"/>
        <w:rPr>
          <w:rFonts w:asciiTheme="minorEastAsia" w:hAnsiTheme="minorEastAsia" w:eastAsiaTheme="minorEastAsia"/>
          <w:color w:val="auto"/>
          <w:sz w:val="24"/>
          <w:szCs w:val="20"/>
        </w:rPr>
      </w:pPr>
    </w:p>
    <w:p>
      <w:pPr>
        <w:snapToGrid w:val="0"/>
        <w:spacing w:beforeLines="50" w:after="50" w:line="360" w:lineRule="auto"/>
        <w:jc w:val="center"/>
        <w:rPr>
          <w:rFonts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商  务  技  术  文  件</w:t>
      </w: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rPr>
          <w:rFonts w:asciiTheme="minorEastAsia" w:hAnsiTheme="minorEastAsia" w:eastAsiaTheme="minorEastAsia"/>
          <w:bCs/>
          <w:color w:val="auto"/>
          <w:sz w:val="24"/>
          <w:szCs w:val="20"/>
        </w:rPr>
      </w:pP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项目名称：</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项目编号：</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 xml:space="preserve"> </w:t>
      </w:r>
    </w:p>
    <w:p>
      <w:pPr>
        <w:snapToGrid w:val="0"/>
        <w:spacing w:beforeLines="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所竞标项（如有则填写，无分标时填写“无”或者留空）：</w:t>
      </w:r>
    </w:p>
    <w:p>
      <w:pPr>
        <w:snapToGrid w:val="0"/>
        <w:spacing w:beforeLines="50" w:after="50" w:line="360" w:lineRule="auto"/>
        <w:ind w:firstLine="720" w:firstLineChars="225"/>
        <w:rPr>
          <w:rFonts w:cs="仿宋_GB2312" w:asciiTheme="minorEastAsia" w:hAnsiTheme="minorEastAsia" w:eastAsiaTheme="minorEastAsia"/>
          <w:bCs/>
          <w:color w:val="auto"/>
          <w:sz w:val="32"/>
          <w:szCs w:val="32"/>
        </w:rPr>
      </w:pPr>
    </w:p>
    <w:p>
      <w:pPr>
        <w:pStyle w:val="5"/>
        <w:snapToGrid w:val="0"/>
        <w:spacing w:before="50" w:after="50" w:line="360" w:lineRule="auto"/>
        <w:ind w:firstLine="640" w:firstLineChars="200"/>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供应商名称：</w:t>
      </w:r>
    </w:p>
    <w:p>
      <w:pPr>
        <w:pStyle w:val="5"/>
        <w:snapToGrid w:val="0"/>
        <w:spacing w:before="50" w:after="50" w:line="360" w:lineRule="auto"/>
        <w:ind w:firstLine="640" w:firstLineChars="200"/>
        <w:rPr>
          <w:rFonts w:cs="仿宋_GB2312" w:asciiTheme="minorEastAsia" w:hAnsiTheme="minorEastAsia" w:eastAsiaTheme="minorEastAsia"/>
          <w:bCs/>
          <w:color w:val="auto"/>
          <w:sz w:val="32"/>
          <w:szCs w:val="32"/>
        </w:rPr>
      </w:pPr>
    </w:p>
    <w:p>
      <w:pPr>
        <w:pStyle w:val="5"/>
        <w:snapToGrid w:val="0"/>
        <w:spacing w:before="50" w:after="50" w:line="360" w:lineRule="auto"/>
        <w:ind w:firstLine="1280" w:firstLineChars="400"/>
        <w:rPr>
          <w:rFonts w:cs="仿宋_GB2312" w:asciiTheme="minorEastAsia" w:hAnsiTheme="minorEastAsia" w:eastAsiaTheme="minorEastAsia"/>
          <w:bCs/>
          <w:color w:val="auto"/>
          <w:sz w:val="32"/>
          <w:szCs w:val="32"/>
        </w:rPr>
      </w:pPr>
    </w:p>
    <w:p>
      <w:pPr>
        <w:snapToGrid w:val="0"/>
        <w:spacing w:beforeLines="50" w:after="50" w:line="360" w:lineRule="auto"/>
        <w:jc w:val="center"/>
        <w:rPr>
          <w:rFonts w:cs="仿宋_GB2312" w:asciiTheme="minorEastAsia" w:hAnsiTheme="minorEastAsia" w:eastAsiaTheme="minorEastAsia"/>
          <w:color w:val="auto"/>
          <w:sz w:val="32"/>
          <w:szCs w:val="32"/>
        </w:rPr>
      </w:pPr>
      <w:r>
        <w:rPr>
          <w:rFonts w:hint="eastAsia" w:cs="仿宋_GB2312" w:asciiTheme="minorEastAsia" w:hAnsiTheme="minorEastAsia" w:eastAsiaTheme="minorEastAsia"/>
          <w:color w:val="auto"/>
          <w:sz w:val="32"/>
          <w:szCs w:val="32"/>
        </w:rPr>
        <w:t>年    月    日</w:t>
      </w:r>
    </w:p>
    <w:p>
      <w:pPr>
        <w:snapToGrid w:val="0"/>
        <w:spacing w:beforeLines="50" w:after="50" w:line="360" w:lineRule="auto"/>
        <w:ind w:left="142"/>
        <w:jc w:val="left"/>
        <w:rPr>
          <w:rFonts w:asciiTheme="minorEastAsia" w:hAnsiTheme="minorEastAsia" w:eastAsiaTheme="minorEastAsia"/>
          <w:b/>
          <w:bCs/>
          <w:color w:val="auto"/>
          <w:sz w:val="24"/>
        </w:rPr>
      </w:pPr>
      <w:r>
        <w:rPr>
          <w:rFonts w:asciiTheme="minorEastAsia" w:hAnsiTheme="minorEastAsia" w:eastAsiaTheme="minorEastAsia"/>
          <w:color w:val="auto"/>
          <w:sz w:val="24"/>
        </w:rPr>
        <w:br w:type="page"/>
      </w:r>
      <w:r>
        <w:rPr>
          <w:rFonts w:hint="eastAsia" w:asciiTheme="minorEastAsia" w:hAnsiTheme="minorEastAsia" w:eastAsiaTheme="minorEastAsia"/>
          <w:b/>
          <w:bCs/>
          <w:color w:val="auto"/>
          <w:sz w:val="32"/>
          <w:szCs w:val="32"/>
        </w:rPr>
        <w:t>2.商务技术文件目录</w:t>
      </w:r>
    </w:p>
    <w:p>
      <w:pPr>
        <w:snapToGrid w:val="0"/>
        <w:spacing w:beforeLines="50" w:after="50" w:line="360" w:lineRule="auto"/>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根据谈判文件规定及供应商提供的材料自行编写目录（部分格式后附）。</w:t>
      </w:r>
    </w:p>
    <w:p>
      <w:pPr>
        <w:spacing w:line="360" w:lineRule="auto"/>
        <w:rPr>
          <w:rFonts w:cs="仿宋_GB2312" w:asciiTheme="minorEastAsia" w:hAnsiTheme="minorEastAsia" w:eastAsiaTheme="minorEastAsia"/>
          <w:color w:val="auto"/>
          <w:sz w:val="32"/>
          <w:szCs w:val="32"/>
        </w:rPr>
      </w:pPr>
    </w:p>
    <w:p>
      <w:pPr>
        <w:spacing w:line="360" w:lineRule="auto"/>
        <w:jc w:val="center"/>
        <w:rPr>
          <w:rFonts w:cs="仿宋_GB2312" w:asciiTheme="minorEastAsia" w:hAnsiTheme="minorEastAsia" w:eastAsiaTheme="minorEastAsia"/>
          <w:color w:val="auto"/>
          <w:sz w:val="32"/>
          <w:szCs w:val="32"/>
        </w:rPr>
      </w:pPr>
      <w:r>
        <w:rPr>
          <w:rFonts w:hint="eastAsia" w:cs="方正小标宋简体" w:asciiTheme="minorEastAsia" w:hAnsiTheme="minorEastAsia" w:eastAsiaTheme="minorEastAsia"/>
          <w:color w:val="auto"/>
          <w:sz w:val="44"/>
          <w:szCs w:val="44"/>
        </w:rPr>
        <w:br w:type="page"/>
      </w:r>
      <w:r>
        <w:rPr>
          <w:rFonts w:hint="eastAsia" w:cs="方正小标宋简体" w:asciiTheme="minorEastAsia" w:hAnsiTheme="minorEastAsia" w:eastAsiaTheme="minorEastAsia"/>
          <w:color w:val="auto"/>
          <w:sz w:val="44"/>
          <w:szCs w:val="44"/>
        </w:rPr>
        <w:t>无串通竞标行为的承诺函</w:t>
      </w:r>
    </w:p>
    <w:p>
      <w:pPr>
        <w:spacing w:line="360" w:lineRule="auto"/>
        <w:ind w:firstLine="640" w:firstLineChars="200"/>
        <w:contextualSpacing/>
        <w:rPr>
          <w:rFonts w:cs="仿宋_GB2312" w:asciiTheme="minorEastAsia" w:hAnsiTheme="minorEastAsia" w:eastAsiaTheme="minorEastAsia"/>
          <w:color w:val="auto"/>
          <w:sz w:val="32"/>
          <w:szCs w:val="32"/>
        </w:rPr>
      </w:pPr>
    </w:p>
    <w:p>
      <w:pPr>
        <w:spacing w:line="360" w:lineRule="auto"/>
        <w:ind w:firstLine="482" w:firstLineChars="200"/>
        <w:contextualSpacing/>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一、我方承诺无下列相互串通竞标的情形：</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1.不同供应商的响应文件由同一单位或者个人编制；</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2.不同供应商委托同一单位或者个人办理竞标事宜；</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3.不同的供应商的响应文件载明的项目管理员为同一个人；</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4.不</w:t>
      </w:r>
      <w:r>
        <w:rPr>
          <w:rFonts w:hint="eastAsia" w:cs="仿宋_GB2312" w:asciiTheme="minorEastAsia" w:hAnsiTheme="minorEastAsia" w:eastAsiaTheme="minorEastAsia"/>
          <w:color w:val="auto"/>
          <w:spacing w:val="-6"/>
          <w:sz w:val="24"/>
        </w:rPr>
        <w:t>同供应商的响应文件异常一致或者竞标报价呈规律性差异；</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5.不同供应商的响应文件相互混装；</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6.不同供应商的谈判保证金从同一单位或者个人账户转出。</w:t>
      </w:r>
    </w:p>
    <w:p>
      <w:pPr>
        <w:spacing w:line="360" w:lineRule="auto"/>
        <w:ind w:firstLine="482" w:firstLineChars="200"/>
        <w:contextualSpacing/>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二、我方承诺无下列恶意串通的情形：</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1.供应商直接或者间接从采购人或者采购代理机构处获得其他供应商的相关信息并修改其响应文件；</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2.供应商按照采购人或者采购代理机构的授意撤换、修改响应文件；</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3.供</w:t>
      </w:r>
      <w:r>
        <w:rPr>
          <w:rFonts w:hint="eastAsia" w:cs="仿宋_GB2312" w:asciiTheme="minorEastAsia" w:hAnsiTheme="minorEastAsia" w:eastAsiaTheme="minorEastAsia"/>
          <w:color w:val="auto"/>
          <w:spacing w:val="-6"/>
          <w:sz w:val="24"/>
        </w:rPr>
        <w:t>应商之间协商报价、技术方案等响应文件的实质性内容；</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4.属于同一集团、协会、商会等组织成员的供应商按照该组织要求协同参加政府采购活动；</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5.供应商之间事先约定一致抬高或者压低竞标报价，或者在竞争性谈判项目中事先约定轮流以高价位或者低价位成交，或者事先约定由某一特定供应商成交，然后再参加竞标；</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6.供应商之间商定部分供应商放弃参加政府采购活动或者放弃成交；</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7.供应商与采购人或者采购代理机构之间、供应商相互之间，为</w:t>
      </w:r>
      <w:r>
        <w:rPr>
          <w:rFonts w:hint="eastAsia" w:cs="仿宋_GB2312" w:asciiTheme="minorEastAsia" w:hAnsiTheme="minorEastAsia" w:eastAsiaTheme="minorEastAsia"/>
          <w:color w:val="auto"/>
          <w:spacing w:val="-6"/>
          <w:sz w:val="24"/>
        </w:rPr>
        <w:t>谋求特定供应商成交或者排斥其他供应商的其他串通行为。</w:t>
      </w:r>
    </w:p>
    <w:p>
      <w:pPr>
        <w:spacing w:line="360" w:lineRule="auto"/>
        <w:ind w:firstLine="480" w:firstLineChars="200"/>
        <w:contextualSpacing/>
        <w:rPr>
          <w:rFonts w:cs="仿宋_GB2312" w:asciiTheme="minorEastAsia" w:hAnsiTheme="minorEastAsia" w:eastAsiaTheme="minorEastAsia"/>
          <w:color w:val="auto"/>
          <w:sz w:val="24"/>
        </w:rPr>
      </w:pPr>
    </w:p>
    <w:p>
      <w:pPr>
        <w:spacing w:line="360" w:lineRule="auto"/>
        <w:ind w:firstLine="482" w:firstLineChars="200"/>
        <w:contextualSpacing/>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以上情形一经核查属实，我方愿意承担一切后果，并不再寻求任何旨在减轻或者免除法律责任的辩解。</w:t>
      </w:r>
    </w:p>
    <w:p>
      <w:pPr>
        <w:spacing w:line="360" w:lineRule="auto"/>
        <w:ind w:firstLine="480" w:firstLineChars="200"/>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p>
    <w:p>
      <w:pPr>
        <w:spacing w:line="360" w:lineRule="auto"/>
        <w:ind w:firstLine="3600" w:firstLineChars="15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供应商名称（电子签章）：</w:t>
      </w:r>
      <w:r>
        <w:rPr>
          <w:rFonts w:hint="eastAsia" w:cs="仿宋_GB2312" w:asciiTheme="minorEastAsia" w:hAnsiTheme="minorEastAsia" w:eastAsiaTheme="minorEastAsia"/>
          <w:color w:val="auto"/>
          <w:sz w:val="24"/>
          <w:u w:val="single"/>
        </w:rPr>
        <w:t xml:space="preserve">          </w:t>
      </w:r>
    </w:p>
    <w:p>
      <w:pPr>
        <w:spacing w:line="360" w:lineRule="auto"/>
        <w:ind w:firstLine="480" w:firstLineChars="200"/>
        <w:contextualSpacing/>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年   月   日</w:t>
      </w:r>
    </w:p>
    <w:p>
      <w:pPr>
        <w:spacing w:line="360" w:lineRule="auto"/>
        <w:ind w:firstLine="640" w:firstLineChars="200"/>
        <w:contextualSpacing/>
        <w:jc w:val="center"/>
        <w:rPr>
          <w:rFonts w:cs="仿宋_GB2312" w:asciiTheme="minorEastAsia" w:hAnsiTheme="minorEastAsia" w:eastAsiaTheme="minorEastAsia"/>
          <w:color w:val="auto"/>
          <w:sz w:val="32"/>
          <w:szCs w:val="32"/>
        </w:rPr>
      </w:pPr>
    </w:p>
    <w:p>
      <w:pPr>
        <w:spacing w:beforeLines="100" w:afterLines="50" w:line="360" w:lineRule="auto"/>
        <w:ind w:left="540"/>
        <w:jc w:val="center"/>
        <w:rPr>
          <w:rFonts w:cs="仿宋_GB2312" w:asciiTheme="minorEastAsia" w:hAnsiTheme="minorEastAsia" w:eastAsiaTheme="minorEastAsia"/>
          <w:color w:val="auto"/>
          <w:sz w:val="32"/>
          <w:szCs w:val="32"/>
        </w:rPr>
      </w:pPr>
      <w:r>
        <w:rPr>
          <w:rFonts w:hint="eastAsia" w:cs="方正小标宋简体" w:asciiTheme="minorEastAsia" w:hAnsiTheme="minorEastAsia" w:eastAsiaTheme="minorEastAsia"/>
          <w:bCs/>
          <w:color w:val="auto"/>
          <w:sz w:val="44"/>
          <w:szCs w:val="44"/>
        </w:rPr>
        <w:t>法定代表人证明书</w:t>
      </w:r>
    </w:p>
    <w:p>
      <w:pPr>
        <w:spacing w:line="360" w:lineRule="auto"/>
        <w:ind w:left="540"/>
        <w:contextualSpacing/>
        <w:rPr>
          <w:rFonts w:cs="仿宋_GB2312" w:asciiTheme="minorEastAsia" w:hAnsiTheme="minorEastAsia" w:eastAsiaTheme="minorEastAsia"/>
          <w:color w:val="auto"/>
          <w:sz w:val="32"/>
          <w:szCs w:val="32"/>
        </w:rPr>
      </w:pPr>
    </w:p>
    <w:p>
      <w:pPr>
        <w:spacing w:line="360" w:lineRule="auto"/>
        <w:ind w:left="54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供应商名称：</w:t>
      </w:r>
      <w:r>
        <w:rPr>
          <w:rFonts w:hint="eastAsia" w:cs="仿宋_GB2312" w:asciiTheme="minorEastAsia" w:hAnsiTheme="minorEastAsia" w:eastAsiaTheme="minorEastAsia"/>
          <w:color w:val="auto"/>
          <w:sz w:val="24"/>
          <w:u w:val="single"/>
        </w:rPr>
        <w:t xml:space="preserve">                                        </w:t>
      </w:r>
    </w:p>
    <w:p>
      <w:pPr>
        <w:spacing w:line="360" w:lineRule="auto"/>
        <w:ind w:left="54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single"/>
        </w:rPr>
        <w:t xml:space="preserve">                                          </w:t>
      </w:r>
    </w:p>
    <w:p>
      <w:pPr>
        <w:spacing w:line="360" w:lineRule="auto"/>
        <w:ind w:left="54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    名：</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性      别：</w:t>
      </w:r>
      <w:r>
        <w:rPr>
          <w:rFonts w:hint="eastAsia" w:cs="仿宋_GB2312" w:asciiTheme="minorEastAsia" w:hAnsiTheme="minorEastAsia" w:eastAsiaTheme="minorEastAsia"/>
          <w:color w:val="auto"/>
          <w:sz w:val="24"/>
          <w:u w:val="single"/>
        </w:rPr>
        <w:t xml:space="preserve">               </w:t>
      </w:r>
    </w:p>
    <w:p>
      <w:pPr>
        <w:spacing w:line="360" w:lineRule="auto"/>
        <w:ind w:left="540"/>
        <w:contextualSpacing/>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年    龄：</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职      务：</w:t>
      </w:r>
      <w:r>
        <w:rPr>
          <w:rFonts w:hint="eastAsia" w:cs="仿宋_GB2312" w:asciiTheme="minorEastAsia" w:hAnsiTheme="minorEastAsia" w:eastAsiaTheme="minorEastAsia"/>
          <w:color w:val="auto"/>
          <w:sz w:val="24"/>
          <w:u w:val="single"/>
        </w:rPr>
        <w:t xml:space="preserve">               </w:t>
      </w:r>
    </w:p>
    <w:p>
      <w:pPr>
        <w:spacing w:line="360" w:lineRule="auto"/>
        <w:ind w:left="54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身份证号码：</w:t>
      </w:r>
      <w:r>
        <w:rPr>
          <w:rFonts w:hint="eastAsia" w:cs="仿宋_GB2312" w:asciiTheme="minorEastAsia" w:hAnsiTheme="minorEastAsia" w:eastAsiaTheme="minorEastAsia"/>
          <w:color w:val="auto"/>
          <w:sz w:val="24"/>
          <w:u w:val="single"/>
        </w:rPr>
        <w:t xml:space="preserve">                                        </w:t>
      </w:r>
    </w:p>
    <w:p>
      <w:pPr>
        <w:spacing w:line="360" w:lineRule="auto"/>
        <w:ind w:left="54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系</w:t>
      </w:r>
      <w:r>
        <w:rPr>
          <w:rFonts w:hint="eastAsia" w:cs="仿宋_GB2312" w:asciiTheme="minorEastAsia" w:hAnsiTheme="minorEastAsia" w:eastAsiaTheme="minorEastAsia"/>
          <w:color w:val="auto"/>
          <w:sz w:val="24"/>
          <w:u w:val="single"/>
        </w:rPr>
        <w:t xml:space="preserve"> </w:t>
      </w:r>
      <w:r>
        <w:rPr>
          <w:rFonts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u w:val="single"/>
        </w:rPr>
        <w:t xml:space="preserve">（供应商名称） </w:t>
      </w:r>
      <w:r>
        <w:rPr>
          <w:rFonts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的法定代表人。</w:t>
      </w:r>
    </w:p>
    <w:p>
      <w:pPr>
        <w:spacing w:line="360" w:lineRule="auto"/>
        <w:ind w:left="54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特此证明。</w:t>
      </w:r>
    </w:p>
    <w:p>
      <w:pPr>
        <w:spacing w:line="360" w:lineRule="auto"/>
        <w:ind w:left="540"/>
        <w:contextualSpacing/>
        <w:rPr>
          <w:rFonts w:cs="仿宋_GB2312" w:asciiTheme="minorEastAsia" w:hAnsiTheme="minorEastAsia" w:eastAsiaTheme="minorEastAsia"/>
          <w:color w:val="auto"/>
          <w:sz w:val="24"/>
        </w:rPr>
      </w:pPr>
    </w:p>
    <w:p>
      <w:pPr>
        <w:spacing w:line="360" w:lineRule="auto"/>
        <w:ind w:left="540"/>
        <w:contextualSpacing/>
        <w:rPr>
          <w:rFonts w:cs="仿宋_GB2312" w:asciiTheme="minorEastAsia" w:hAnsiTheme="minorEastAsia" w:eastAsiaTheme="minorEastAsia"/>
          <w:color w:val="auto"/>
          <w:sz w:val="24"/>
        </w:rPr>
      </w:pPr>
    </w:p>
    <w:p>
      <w:pPr>
        <w:spacing w:line="360" w:lineRule="auto"/>
        <w:ind w:left="540"/>
        <w:contextualSpacing/>
        <w:rPr>
          <w:rFonts w:cs="仿宋_GB2312" w:asciiTheme="minorEastAsia" w:hAnsiTheme="minorEastAsia" w:eastAsiaTheme="minorEastAsia"/>
          <w:color w:val="auto"/>
          <w:sz w:val="24"/>
        </w:rPr>
      </w:pPr>
    </w:p>
    <w:p>
      <w:pPr>
        <w:spacing w:line="360" w:lineRule="auto"/>
        <w:ind w:left="54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附件：法定代表人有效身份证正反面复印件</w:t>
      </w:r>
    </w:p>
    <w:p>
      <w:pPr>
        <w:spacing w:line="360" w:lineRule="auto"/>
        <w:ind w:left="540"/>
        <w:contextualSpacing/>
        <w:rPr>
          <w:rFonts w:cs="仿宋_GB2312" w:asciiTheme="minorEastAsia" w:hAnsiTheme="minorEastAsia" w:eastAsiaTheme="minorEastAsia"/>
          <w:color w:val="auto"/>
          <w:sz w:val="24"/>
        </w:rPr>
      </w:pPr>
    </w:p>
    <w:p>
      <w:pPr>
        <w:spacing w:line="360" w:lineRule="auto"/>
        <w:ind w:left="540" w:right="480" w:firstLine="3360" w:firstLineChars="14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供应商名称（电子签章）：</w:t>
      </w:r>
      <w:r>
        <w:rPr>
          <w:rFonts w:hint="eastAsia" w:cs="仿宋_GB2312" w:asciiTheme="minorEastAsia" w:hAnsiTheme="minorEastAsia" w:eastAsiaTheme="minorEastAsia"/>
          <w:color w:val="auto"/>
          <w:sz w:val="24"/>
          <w:u w:val="single"/>
        </w:rPr>
        <w:t xml:space="preserve">               </w:t>
      </w:r>
    </w:p>
    <w:p>
      <w:pPr>
        <w:spacing w:line="360" w:lineRule="auto"/>
        <w:ind w:firstLine="5160" w:firstLineChars="215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日</w:t>
      </w:r>
    </w:p>
    <w:p>
      <w:pPr>
        <w:spacing w:line="360" w:lineRule="auto"/>
        <w:contextualSpacing/>
        <w:jc w:val="center"/>
        <w:rPr>
          <w:rFonts w:cs="仿宋_GB2312" w:asciiTheme="minorEastAsia" w:hAnsiTheme="minorEastAsia" w:eastAsiaTheme="minorEastAsia"/>
          <w:b/>
          <w:color w:val="auto"/>
          <w:sz w:val="24"/>
        </w:rPr>
      </w:pPr>
    </w:p>
    <w:p>
      <w:pPr>
        <w:spacing w:line="360" w:lineRule="auto"/>
        <w:contextualSpacing/>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注：自然人竞标的无需提供，联合体竞标的只需牵头人出具。</w:t>
      </w:r>
    </w:p>
    <w:p>
      <w:pPr>
        <w:adjustRightInd w:val="0"/>
        <w:snapToGrid w:val="0"/>
        <w:spacing w:line="360" w:lineRule="auto"/>
        <w:jc w:val="left"/>
        <w:rPr>
          <w:rFonts w:asciiTheme="minorEastAsia" w:hAnsiTheme="minorEastAsia" w:eastAsiaTheme="minorEastAsia"/>
          <w:b/>
          <w:color w:val="auto"/>
          <w:szCs w:val="21"/>
        </w:rPr>
      </w:pPr>
    </w:p>
    <w:p>
      <w:pPr>
        <w:spacing w:line="360" w:lineRule="auto"/>
        <w:jc w:val="center"/>
        <w:rPr>
          <w:rFonts w:cs="方正小标宋简体" w:asciiTheme="minorEastAsia" w:hAnsiTheme="minorEastAsia" w:eastAsiaTheme="minorEastAsia"/>
          <w:color w:val="auto"/>
          <w:sz w:val="44"/>
          <w:szCs w:val="44"/>
        </w:rPr>
      </w:pPr>
      <w:r>
        <w:rPr>
          <w:rFonts w:hint="eastAsia" w:cs="方正小标宋简体" w:asciiTheme="minorEastAsia" w:hAnsiTheme="minorEastAsia" w:eastAsiaTheme="minorEastAsia"/>
          <w:color w:val="auto"/>
          <w:sz w:val="44"/>
          <w:szCs w:val="44"/>
        </w:rPr>
        <w:br w:type="page"/>
      </w:r>
      <w:r>
        <w:rPr>
          <w:rFonts w:hint="eastAsia" w:cs="方正小标宋简体" w:asciiTheme="minorEastAsia" w:hAnsiTheme="minorEastAsia" w:eastAsiaTheme="minorEastAsia"/>
          <w:color w:val="auto"/>
          <w:sz w:val="44"/>
          <w:szCs w:val="44"/>
        </w:rPr>
        <w:t>授权委托书</w:t>
      </w:r>
    </w:p>
    <w:p>
      <w:pPr>
        <w:spacing w:line="360" w:lineRule="auto"/>
        <w:jc w:val="center"/>
        <w:rPr>
          <w:rFonts w:cs="方正小标宋简体" w:asciiTheme="minorEastAsia" w:hAnsiTheme="minorEastAsia" w:eastAsiaTheme="minorEastAsia"/>
          <w:color w:val="auto"/>
          <w:sz w:val="44"/>
          <w:szCs w:val="44"/>
        </w:rPr>
      </w:pPr>
      <w:r>
        <w:rPr>
          <w:rFonts w:hint="eastAsia" w:cs="方正小标宋简体" w:asciiTheme="minorEastAsia" w:hAnsiTheme="minorEastAsia" w:eastAsiaTheme="minorEastAsia"/>
          <w:color w:val="auto"/>
          <w:sz w:val="44"/>
          <w:szCs w:val="44"/>
        </w:rPr>
        <w:t>（非联合体竞标格式）</w:t>
      </w:r>
    </w:p>
    <w:p>
      <w:pPr>
        <w:spacing w:line="360" w:lineRule="auto"/>
        <w:jc w:val="center"/>
        <w:rPr>
          <w:rFonts w:cs="方正小标宋简体" w:asciiTheme="minorEastAsia" w:hAnsiTheme="minorEastAsia" w:eastAsiaTheme="minorEastAsia"/>
          <w:color w:val="auto"/>
          <w:sz w:val="44"/>
          <w:szCs w:val="44"/>
        </w:rPr>
      </w:pPr>
      <w:r>
        <w:rPr>
          <w:rFonts w:hint="eastAsia" w:cs="方正小标宋简体" w:asciiTheme="minorEastAsia" w:hAnsiTheme="minorEastAsia" w:eastAsiaTheme="minorEastAsia"/>
          <w:color w:val="auto"/>
          <w:sz w:val="44"/>
          <w:szCs w:val="44"/>
        </w:rPr>
        <w:t>（如有委托时）</w:t>
      </w:r>
    </w:p>
    <w:p>
      <w:pPr>
        <w:spacing w:line="360" w:lineRule="auto"/>
        <w:contextualSpacing/>
        <w:rPr>
          <w:rFonts w:cs="仿宋_GB2312" w:asciiTheme="minorEastAsia" w:hAnsiTheme="minorEastAsia" w:eastAsiaTheme="minorEastAsia"/>
          <w:color w:val="auto"/>
          <w:sz w:val="32"/>
          <w:szCs w:val="32"/>
        </w:rPr>
      </w:pP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致：</w:t>
      </w:r>
      <w:r>
        <w:rPr>
          <w:rFonts w:hint="eastAsia" w:cs="仿宋_GB2312" w:asciiTheme="minorEastAsia" w:hAnsiTheme="minorEastAsia" w:eastAsiaTheme="minorEastAsia"/>
          <w:color w:val="auto"/>
          <w:sz w:val="24"/>
          <w:u w:val="single"/>
        </w:rPr>
        <w:t>（采购人名称）</w:t>
      </w:r>
      <w:r>
        <w:rPr>
          <w:rFonts w:hint="eastAsia" w:cs="仿宋_GB2312" w:asciiTheme="minorEastAsia" w:hAnsiTheme="minorEastAsia" w:eastAsiaTheme="minorEastAsia"/>
          <w:color w:val="auto"/>
          <w:sz w:val="24"/>
        </w:rPr>
        <w:t>：</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w:t>
      </w:r>
      <w:r>
        <w:rPr>
          <w:rFonts w:hint="eastAsia" w:cs="仿宋_GB2312" w:asciiTheme="minorEastAsia" w:hAnsiTheme="minorEastAsia" w:eastAsiaTheme="minorEastAsia"/>
          <w:color w:val="auto"/>
          <w:sz w:val="24"/>
          <w:u w:val="single"/>
        </w:rPr>
        <w:t xml:space="preserve">  （姓名）  </w:t>
      </w:r>
      <w:r>
        <w:rPr>
          <w:rFonts w:hint="eastAsia" w:cs="仿宋_GB2312" w:asciiTheme="minorEastAsia" w:hAnsiTheme="minorEastAsia" w:eastAsiaTheme="minorEastAsia"/>
          <w:color w:val="auto"/>
          <w:sz w:val="24"/>
        </w:rPr>
        <w:t>系</w:t>
      </w:r>
      <w:r>
        <w:rPr>
          <w:rFonts w:hint="eastAsia" w:cs="仿宋_GB2312" w:asciiTheme="minorEastAsia" w:hAnsiTheme="minorEastAsia" w:eastAsiaTheme="minorEastAsia"/>
          <w:color w:val="auto"/>
          <w:sz w:val="24"/>
          <w:u w:val="single"/>
        </w:rPr>
        <w:t xml:space="preserve">  （供应商名称）  </w:t>
      </w:r>
      <w:r>
        <w:rPr>
          <w:rFonts w:hint="eastAsia" w:cs="仿宋_GB2312" w:asciiTheme="minorEastAsia" w:hAnsiTheme="minorEastAsia" w:eastAsiaTheme="minorEastAsia"/>
          <w:color w:val="auto"/>
          <w:sz w:val="24"/>
        </w:rPr>
        <w:t>的（</w:t>
      </w:r>
      <w:r>
        <w:rPr>
          <w:rFonts w:hint="eastAsia" w:cs="仿宋_GB2312" w:asciiTheme="minorEastAsia" w:hAnsiTheme="minorEastAsia" w:eastAsiaTheme="minorEastAsia"/>
          <w:color w:val="auto"/>
          <w:sz w:val="24"/>
          <w:u w:val="single"/>
        </w:rPr>
        <w:sym w:font="Wingdings 2" w:char="00A3"/>
      </w:r>
      <w:r>
        <w:rPr>
          <w:rFonts w:hint="eastAsia" w:cs="仿宋_GB2312" w:asciiTheme="minorEastAsia" w:hAnsiTheme="minorEastAsia" w:eastAsiaTheme="minorEastAsia"/>
          <w:color w:val="auto"/>
          <w:sz w:val="24"/>
          <w:u w:val="single"/>
        </w:rPr>
        <w:t>法定代表人/□负责人/□自然人本人</w:t>
      </w:r>
      <w:r>
        <w:rPr>
          <w:rFonts w:hint="eastAsia" w:cs="仿宋_GB2312" w:asciiTheme="minorEastAsia" w:hAnsiTheme="minorEastAsia" w:eastAsiaTheme="minorEastAsia"/>
          <w:color w:val="auto"/>
          <w:sz w:val="24"/>
        </w:rPr>
        <w:t>），现授权</w:t>
      </w:r>
      <w:r>
        <w:rPr>
          <w:rFonts w:hint="eastAsia" w:cs="仿宋_GB2312" w:asciiTheme="minorEastAsia" w:hAnsiTheme="minorEastAsia" w:eastAsiaTheme="minorEastAsia"/>
          <w:color w:val="auto"/>
          <w:sz w:val="24"/>
          <w:u w:val="single"/>
        </w:rPr>
        <w:t xml:space="preserve"> （姓名） </w:t>
      </w:r>
      <w:r>
        <w:rPr>
          <w:rFonts w:hint="eastAsia" w:cs="仿宋_GB2312" w:asciiTheme="minorEastAsia" w:hAnsiTheme="minorEastAsia" w:eastAsiaTheme="minorEastAsia"/>
          <w:color w:val="auto"/>
          <w:sz w:val="24"/>
        </w:rPr>
        <w:t>以我方的名义参加</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项目的竞标活动，并代表我方全权办理针对上述项目的所有采购程序和环节的具体事务和签署相关文件。</w:t>
      </w: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我方对委托代理人的</w:t>
      </w:r>
      <w:r>
        <w:rPr>
          <w:rFonts w:hint="eastAsia" w:asciiTheme="minorEastAsia" w:hAnsiTheme="minorEastAsia" w:eastAsiaTheme="minorEastAsia"/>
          <w:color w:val="auto"/>
          <w:sz w:val="24"/>
        </w:rPr>
        <w:t>签字或者电子签名</w:t>
      </w:r>
      <w:r>
        <w:rPr>
          <w:rFonts w:hint="eastAsia" w:cs="仿宋_GB2312" w:asciiTheme="minorEastAsia" w:hAnsiTheme="minorEastAsia" w:eastAsiaTheme="minorEastAsia"/>
          <w:color w:val="auto"/>
          <w:sz w:val="24"/>
        </w:rPr>
        <w:t>事项负全部责任。</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委托代理人无转委托权，特此委托。</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附：法定代表人身份证明书及委托代理人有效身份证正反面复印件</w:t>
      </w:r>
    </w:p>
    <w:p>
      <w:pPr>
        <w:spacing w:line="360" w:lineRule="auto"/>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委托代理人（</w:t>
      </w:r>
      <w:r>
        <w:rPr>
          <w:rFonts w:hint="eastAsia" w:asciiTheme="minorEastAsia" w:hAnsiTheme="minorEastAsia" w:eastAsiaTheme="minorEastAsia"/>
          <w:color w:val="auto"/>
          <w:sz w:val="24"/>
        </w:rPr>
        <w:t>签字或者电子签名</w:t>
      </w:r>
      <w:r>
        <w:rPr>
          <w:rFonts w:hint="eastAsia" w:cs="仿宋_GB2312" w:asciiTheme="minorEastAsia" w:hAnsiTheme="minorEastAsia" w:eastAsiaTheme="minorEastAsia"/>
          <w:color w:val="auto"/>
          <w:sz w:val="24"/>
        </w:rPr>
        <w:t xml:space="preserve">）：     法定代表人（签字或者盖章或者电子签名）：                    </w:t>
      </w: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委托代理人身份证号码：                              </w:t>
      </w: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w:t>
      </w: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供应商名称（电子签章）：</w:t>
      </w:r>
      <w:r>
        <w:rPr>
          <w:rFonts w:hint="eastAsia" w:cs="仿宋_GB2312" w:asciiTheme="minorEastAsia" w:hAnsiTheme="minorEastAsia" w:eastAsiaTheme="minorEastAsia"/>
          <w:color w:val="auto"/>
          <w:sz w:val="24"/>
          <w:u w:val="single"/>
        </w:rPr>
        <w:t xml:space="preserve">          </w:t>
      </w: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年    月    日</w:t>
      </w:r>
    </w:p>
    <w:p>
      <w:pPr>
        <w:spacing w:line="360" w:lineRule="auto"/>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注：1. 法定代表人必须在授权委托书上签字或者盖章</w:t>
      </w:r>
      <w:r>
        <w:rPr>
          <w:rFonts w:hint="eastAsia" w:asciiTheme="minorEastAsia" w:hAnsiTheme="minorEastAsia" w:eastAsiaTheme="minorEastAsia"/>
          <w:color w:val="auto"/>
          <w:sz w:val="24"/>
        </w:rPr>
        <w:t>或者电子签名</w:t>
      </w:r>
      <w:r>
        <w:rPr>
          <w:rFonts w:hint="eastAsia" w:cs="仿宋_GB2312" w:asciiTheme="minorEastAsia" w:hAnsiTheme="minorEastAsia" w:eastAsiaTheme="minorEastAsia"/>
          <w:color w:val="auto"/>
          <w:sz w:val="24"/>
        </w:rPr>
        <w:t>，委托代理人必须在授权委托书上签字或者电子签名，</w:t>
      </w:r>
      <w:r>
        <w:rPr>
          <w:rFonts w:hint="eastAsia" w:cs="仿宋_GB2312" w:asciiTheme="minorEastAsia" w:hAnsiTheme="minorEastAsia" w:eastAsiaTheme="minorEastAsia"/>
          <w:b/>
          <w:color w:val="auto"/>
          <w:sz w:val="24"/>
        </w:rPr>
        <w:t>否则其响应文件按无效响应处理。</w:t>
      </w:r>
    </w:p>
    <w:p>
      <w:pPr>
        <w:spacing w:line="360" w:lineRule="auto"/>
        <w:ind w:firstLine="480" w:firstLineChars="200"/>
        <w:contextualSpacing/>
        <w:jc w:val="left"/>
        <w:rPr>
          <w:rFonts w:cs="仿宋_GB2312" w:asciiTheme="minorEastAsia" w:hAnsiTheme="minorEastAsia" w:eastAsiaTheme="minorEastAsia"/>
          <w:color w:val="auto"/>
          <w:sz w:val="24"/>
        </w:rPr>
      </w:pPr>
      <w:r>
        <w:rPr>
          <w:rFonts w:cs="仿宋_GB2312" w:asciiTheme="minorEastAsia" w:hAnsiTheme="minorEastAsia" w:eastAsiaTheme="minorEastAsia"/>
          <w:color w:val="auto"/>
          <w:sz w:val="24"/>
        </w:rPr>
        <w:t>2.</w:t>
      </w:r>
      <w:r>
        <w:rPr>
          <w:rFonts w:hint="eastAsia" w:cs="仿宋_GB2312" w:asciiTheme="minorEastAsia" w:hAnsiTheme="minorEastAsia" w:eastAsiaTheme="minorEastAsia"/>
          <w:color w:val="auto"/>
          <w:sz w:val="24"/>
        </w:rPr>
        <w:t>法人、其他组织竞标时“我方”是指“我单位”，自然人竞标时“我方”是指“本人”。</w:t>
      </w:r>
    </w:p>
    <w:p>
      <w:pPr>
        <w:spacing w:line="360" w:lineRule="auto"/>
        <w:ind w:firstLine="420" w:firstLineChars="200"/>
        <w:contextualSpacing/>
        <w:jc w:val="left"/>
        <w:rPr>
          <w:rFonts w:cs="仿宋_GB2312" w:asciiTheme="minorEastAsia" w:hAnsiTheme="minorEastAsia" w:eastAsiaTheme="minorEastAsia"/>
          <w:color w:val="auto"/>
          <w:szCs w:val="21"/>
        </w:rPr>
      </w:pPr>
    </w:p>
    <w:p>
      <w:pPr>
        <w:spacing w:line="360" w:lineRule="auto"/>
        <w:jc w:val="center"/>
        <w:rPr>
          <w:rFonts w:cs="方正小标宋简体" w:asciiTheme="minorEastAsia" w:hAnsiTheme="minorEastAsia" w:eastAsiaTheme="minorEastAsia"/>
          <w:bCs/>
          <w:color w:val="auto"/>
          <w:sz w:val="44"/>
          <w:szCs w:val="44"/>
        </w:rPr>
      </w:pPr>
      <w:r>
        <w:rPr>
          <w:rFonts w:cs="仿宋_GB2312" w:asciiTheme="minorEastAsia" w:hAnsiTheme="minorEastAsia" w:eastAsiaTheme="minorEastAsia"/>
          <w:color w:val="auto"/>
          <w:szCs w:val="21"/>
        </w:rPr>
        <w:br w:type="page"/>
      </w:r>
      <w:r>
        <w:rPr>
          <w:rFonts w:hint="eastAsia" w:cs="方正小标宋简体" w:asciiTheme="minorEastAsia" w:hAnsiTheme="minorEastAsia" w:eastAsiaTheme="minorEastAsia"/>
          <w:bCs/>
          <w:color w:val="auto"/>
          <w:sz w:val="44"/>
          <w:szCs w:val="44"/>
        </w:rPr>
        <w:t>商务要求偏离表格式</w:t>
      </w:r>
    </w:p>
    <w:p>
      <w:pPr>
        <w:spacing w:line="360" w:lineRule="auto"/>
        <w:jc w:val="center"/>
        <w:rPr>
          <w:rFonts w:asciiTheme="minorEastAsia" w:hAnsiTheme="minorEastAsia" w:eastAsiaTheme="minorEastAsia"/>
          <w:b/>
          <w:i/>
          <w:color w:val="auto"/>
          <w:sz w:val="32"/>
          <w:szCs w:val="32"/>
        </w:rPr>
      </w:pPr>
    </w:p>
    <w:p>
      <w:pPr>
        <w:pStyle w:val="14"/>
        <w:spacing w:line="360" w:lineRule="auto"/>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所竞</w:t>
      </w:r>
      <w:r>
        <w:rPr>
          <w:rFonts w:hint="eastAsia" w:cs="仿宋_GB2312" w:asciiTheme="minorEastAsia" w:hAnsiTheme="minorEastAsia" w:eastAsiaTheme="minorEastAsia"/>
          <w:color w:val="auto"/>
          <w:sz w:val="24"/>
        </w:rPr>
        <w:t>标项</w:t>
      </w:r>
      <w:r>
        <w:rPr>
          <w:rFonts w:hint="eastAsia"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u w:val="single"/>
        </w:rPr>
        <w:t xml:space="preserve">              </w:t>
      </w:r>
    </w:p>
    <w:tbl>
      <w:tblPr>
        <w:tblStyle w:val="24"/>
        <w:tblpPr w:leftFromText="180" w:rightFromText="180" w:vertAnchor="text" w:horzAnchor="margin" w:tblpY="311"/>
        <w:tblOverlap w:val="never"/>
        <w:tblW w:w="85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0"/>
        <w:gridCol w:w="1763"/>
        <w:gridCol w:w="2400"/>
        <w:gridCol w:w="2287"/>
        <w:gridCol w:w="13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90" w:hRule="atLeast"/>
        </w:trPr>
        <w:tc>
          <w:tcPr>
            <w:tcW w:w="760"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序号</w:t>
            </w:r>
          </w:p>
        </w:tc>
        <w:tc>
          <w:tcPr>
            <w:tcW w:w="1763"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条款名称</w:t>
            </w:r>
          </w:p>
        </w:tc>
        <w:tc>
          <w:tcPr>
            <w:tcW w:w="2400"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谈判文件商务要求</w:t>
            </w:r>
          </w:p>
        </w:tc>
        <w:tc>
          <w:tcPr>
            <w:tcW w:w="2287"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供应商的响应</w:t>
            </w: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trPr>
        <w:tc>
          <w:tcPr>
            <w:tcW w:w="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17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p>
        </w:tc>
        <w:tc>
          <w:tcPr>
            <w:tcW w:w="24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p>
        </w:tc>
        <w:tc>
          <w:tcPr>
            <w:tcW w:w="2287"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jc w:val="center"/>
              <w:rPr>
                <w:rFonts w:cs="仿宋_GB2312" w:asciiTheme="minorEastAsia" w:hAnsiTheme="minorEastAsia" w:eastAsiaTheme="minorEastAsia"/>
                <w:color w:val="auto"/>
                <w:sz w:val="24"/>
              </w:rPr>
            </w:pP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jc w:val="center"/>
              <w:rPr>
                <w:rFonts w:cs="仿宋_GB2312"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58" w:hRule="atLeast"/>
        </w:trPr>
        <w:tc>
          <w:tcPr>
            <w:tcW w:w="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17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p>
        </w:tc>
        <w:tc>
          <w:tcPr>
            <w:tcW w:w="24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p>
        </w:tc>
        <w:tc>
          <w:tcPr>
            <w:tcW w:w="2287"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ind w:left="43"/>
              <w:jc w:val="center"/>
              <w:rPr>
                <w:rFonts w:cs="仿宋_GB2312" w:asciiTheme="minorEastAsia" w:hAnsiTheme="minorEastAsia" w:eastAsiaTheme="minorEastAsia"/>
                <w:color w:val="auto"/>
                <w:sz w:val="24"/>
              </w:rPr>
            </w:pP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ind w:left="43"/>
              <w:jc w:val="center"/>
              <w:rPr>
                <w:rFonts w:cs="仿宋_GB2312"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58" w:hRule="atLeast"/>
        </w:trPr>
        <w:tc>
          <w:tcPr>
            <w:tcW w:w="7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tc>
        <w:tc>
          <w:tcPr>
            <w:tcW w:w="17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p>
        </w:tc>
        <w:tc>
          <w:tcPr>
            <w:tcW w:w="24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olor w:val="auto"/>
                <w:sz w:val="24"/>
              </w:rPr>
            </w:pPr>
          </w:p>
        </w:tc>
        <w:tc>
          <w:tcPr>
            <w:tcW w:w="2287"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ind w:left="43"/>
              <w:jc w:val="center"/>
              <w:rPr>
                <w:rFonts w:cs="仿宋_GB2312" w:asciiTheme="minorEastAsia" w:hAnsiTheme="minorEastAsia" w:eastAsiaTheme="minorEastAsia"/>
                <w:color w:val="auto"/>
                <w:sz w:val="24"/>
              </w:rPr>
            </w:pPr>
          </w:p>
        </w:tc>
        <w:tc>
          <w:tcPr>
            <w:tcW w:w="1388" w:type="dxa"/>
            <w:tcBorders>
              <w:top w:val="single" w:color="auto" w:sz="4" w:space="0"/>
              <w:left w:val="single" w:color="auto" w:sz="4" w:space="0"/>
              <w:bottom w:val="single" w:color="auto" w:sz="4" w:space="0"/>
              <w:right w:val="single" w:color="auto" w:sz="4" w:space="0"/>
            </w:tcBorders>
            <w:vAlign w:val="center"/>
          </w:tcPr>
          <w:p>
            <w:pPr>
              <w:snapToGrid w:val="0"/>
              <w:spacing w:beforeLines="50" w:line="360" w:lineRule="auto"/>
              <w:ind w:left="43"/>
              <w:jc w:val="center"/>
              <w:rPr>
                <w:rFonts w:cs="仿宋_GB2312" w:asciiTheme="minorEastAsia" w:hAnsiTheme="minorEastAsia" w:eastAsiaTheme="minorEastAsia"/>
                <w:color w:val="auto"/>
                <w:sz w:val="24"/>
              </w:rPr>
            </w:pPr>
          </w:p>
        </w:tc>
      </w:tr>
    </w:tbl>
    <w:p>
      <w:pPr>
        <w:pStyle w:val="8"/>
        <w:spacing w:after="0" w:line="360" w:lineRule="auto"/>
        <w:contextualSpacing/>
        <w:rPr>
          <w:rFonts w:asciiTheme="minorEastAsia" w:hAnsiTheme="minorEastAsia" w:eastAsiaTheme="minorEastAsia"/>
          <w:color w:val="auto"/>
          <w:kern w:val="0"/>
          <w:sz w:val="24"/>
          <w:szCs w:val="24"/>
        </w:rPr>
      </w:pPr>
      <w:r>
        <w:rPr>
          <w:rFonts w:hint="eastAsia" w:asciiTheme="minorEastAsia" w:hAnsiTheme="minorEastAsia" w:eastAsiaTheme="minorEastAsia"/>
          <w:color w:val="auto"/>
          <w:kern w:val="0"/>
          <w:sz w:val="24"/>
          <w:szCs w:val="24"/>
        </w:rPr>
        <w:t>注：</w:t>
      </w:r>
    </w:p>
    <w:p>
      <w:pPr>
        <w:pStyle w:val="8"/>
        <w:spacing w:after="0" w:line="360" w:lineRule="auto"/>
        <w:contextualSpacing/>
        <w:rPr>
          <w:rFonts w:asciiTheme="minorEastAsia" w:hAnsiTheme="minorEastAsia" w:eastAsiaTheme="minorEastAsia"/>
          <w:color w:val="auto"/>
          <w:kern w:val="0"/>
          <w:sz w:val="24"/>
          <w:szCs w:val="24"/>
        </w:rPr>
      </w:pPr>
      <w:r>
        <w:rPr>
          <w:rFonts w:hint="eastAsia" w:asciiTheme="minorEastAsia" w:hAnsiTheme="minorEastAsia" w:eastAsiaTheme="minorEastAsia"/>
          <w:color w:val="auto"/>
          <w:kern w:val="0"/>
          <w:sz w:val="24"/>
          <w:szCs w:val="24"/>
        </w:rPr>
        <w:t>1. 说明：应对照谈判文件“第三章 采购需求”中“二、商务要求”逐条明确响应，并作出偏离说明。</w:t>
      </w:r>
    </w:p>
    <w:p>
      <w:pPr>
        <w:pStyle w:val="8"/>
        <w:spacing w:after="0" w:line="360" w:lineRule="auto"/>
        <w:contextualSpacing/>
        <w:rPr>
          <w:rFonts w:asciiTheme="minorEastAsia" w:hAnsiTheme="minorEastAsia" w:eastAsiaTheme="minorEastAsia"/>
          <w:color w:val="auto"/>
          <w:kern w:val="0"/>
          <w:sz w:val="24"/>
          <w:szCs w:val="24"/>
        </w:rPr>
      </w:pPr>
      <w:r>
        <w:rPr>
          <w:rFonts w:hint="eastAsia" w:asciiTheme="minorEastAsia" w:hAnsiTheme="minorEastAsia" w:eastAsiaTheme="minorEastAsia"/>
          <w:color w:val="auto"/>
          <w:kern w:val="0"/>
          <w:sz w:val="24"/>
          <w:szCs w:val="24"/>
        </w:rPr>
        <w:t>2.供应商应根据自身的承诺，对照谈判文件要求在“偏离说明”中注明“正偏离”“负偏离”或者“无偏离”。既不属于“正偏离”也不属于“负偏离”即为“无偏离”。</w:t>
      </w:r>
    </w:p>
    <w:p>
      <w:pPr>
        <w:spacing w:line="360" w:lineRule="auto"/>
        <w:contextualSpacing/>
        <w:jc w:val="left"/>
        <w:rPr>
          <w:rFonts w:cs="仿宋_GB2312" w:asciiTheme="minorEastAsia" w:hAnsiTheme="minorEastAsia" w:eastAsiaTheme="minorEastAsia"/>
          <w:color w:val="auto"/>
          <w:sz w:val="24"/>
          <w:u w:val="single"/>
        </w:rPr>
      </w:pPr>
    </w:p>
    <w:p>
      <w:pPr>
        <w:spacing w:line="360" w:lineRule="auto"/>
        <w:contextualSpacing/>
        <w:jc w:val="left"/>
        <w:rPr>
          <w:rFonts w:cs="仿宋_GB2312" w:asciiTheme="minorEastAsia" w:hAnsiTheme="minorEastAsia" w:eastAsiaTheme="minorEastAsia"/>
          <w:color w:val="auto"/>
          <w:sz w:val="24"/>
          <w:u w:val="single"/>
        </w:rPr>
      </w:pPr>
    </w:p>
    <w:p>
      <w:pPr>
        <w:spacing w:line="360" w:lineRule="auto"/>
        <w:ind w:right="-817" w:rightChars="-389"/>
        <w:contextualSpacing/>
        <w:rPr>
          <w:rFonts w:cs="仿宋_GB2312" w:asciiTheme="minorEastAsia" w:hAnsiTheme="minorEastAsia" w:eastAsiaTheme="minorEastAsia"/>
          <w:color w:val="auto"/>
          <w:sz w:val="24"/>
        </w:rPr>
      </w:pPr>
    </w:p>
    <w:p>
      <w:pPr>
        <w:spacing w:line="360" w:lineRule="auto"/>
        <w:ind w:right="-817" w:rightChars="-389"/>
        <w:contextualSpacing/>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法定代表人或者委托代理人（签字或者电子签名）：</w:t>
      </w:r>
      <w:r>
        <w:rPr>
          <w:rFonts w:hint="eastAsia" w:cs="仿宋_GB2312" w:asciiTheme="minorEastAsia" w:hAnsiTheme="minorEastAsia" w:eastAsiaTheme="minorEastAsia"/>
          <w:color w:val="auto"/>
          <w:sz w:val="24"/>
          <w:u w:val="single"/>
        </w:rPr>
        <w:t xml:space="preserve">          </w:t>
      </w:r>
    </w:p>
    <w:p>
      <w:pPr>
        <w:spacing w:line="360" w:lineRule="auto"/>
        <w:ind w:right="-817" w:rightChars="-389" w:firstLine="2880" w:firstLineChars="1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供应商名称（电子签章）：</w:t>
      </w:r>
      <w:r>
        <w:rPr>
          <w:rFonts w:hint="eastAsia" w:cs="仿宋_GB2312" w:asciiTheme="minorEastAsia" w:hAnsiTheme="minorEastAsia" w:eastAsiaTheme="minorEastAsia"/>
          <w:color w:val="auto"/>
          <w:sz w:val="24"/>
          <w:u w:val="single"/>
        </w:rPr>
        <w:t xml:space="preserve">                         </w:t>
      </w:r>
    </w:p>
    <w:p>
      <w:pPr>
        <w:spacing w:line="360" w:lineRule="auto"/>
        <w:ind w:right="-817" w:rightChars="-389" w:firstLine="2880" w:firstLineChars="1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日                  期：</w:t>
      </w:r>
      <w:r>
        <w:rPr>
          <w:rFonts w:hint="eastAsia" w:cs="仿宋_GB2312" w:asciiTheme="minorEastAsia" w:hAnsiTheme="minorEastAsia" w:eastAsiaTheme="minorEastAsia"/>
          <w:color w:val="auto"/>
          <w:sz w:val="24"/>
          <w:u w:val="single"/>
        </w:rPr>
        <w:t xml:space="preserve">   年   月   日</w:t>
      </w:r>
    </w:p>
    <w:p>
      <w:pPr>
        <w:adjustRightInd w:val="0"/>
        <w:snapToGrid w:val="0"/>
        <w:spacing w:line="360" w:lineRule="auto"/>
        <w:ind w:firstLine="7040" w:firstLineChars="1600"/>
        <w:jc w:val="center"/>
        <w:rPr>
          <w:rFonts w:cs="方正小标宋简体" w:asciiTheme="minorEastAsia" w:hAnsiTheme="minorEastAsia" w:eastAsiaTheme="minorEastAsia"/>
          <w:bCs/>
          <w:color w:val="auto"/>
          <w:sz w:val="44"/>
          <w:szCs w:val="44"/>
        </w:rPr>
      </w:pPr>
    </w:p>
    <w:p>
      <w:pPr>
        <w:spacing w:line="360" w:lineRule="auto"/>
        <w:ind w:right="-817" w:rightChars="-389" w:firstLine="5280" w:firstLineChars="1200"/>
        <w:contextualSpacing/>
        <w:rPr>
          <w:rFonts w:cs="仿宋_GB2312" w:asciiTheme="minorEastAsia" w:hAnsiTheme="minorEastAsia" w:eastAsiaTheme="minorEastAsia"/>
          <w:b/>
          <w:color w:val="auto"/>
          <w:sz w:val="32"/>
          <w:szCs w:val="32"/>
        </w:rPr>
      </w:pPr>
      <w:r>
        <w:rPr>
          <w:rFonts w:cs="方正小标宋简体" w:asciiTheme="minorEastAsia" w:hAnsiTheme="minorEastAsia" w:eastAsiaTheme="minorEastAsia"/>
          <w:bCs/>
          <w:color w:val="auto"/>
          <w:sz w:val="44"/>
          <w:szCs w:val="44"/>
        </w:rPr>
        <w:br w:type="page"/>
      </w:r>
    </w:p>
    <w:p>
      <w:pPr>
        <w:adjustRightInd w:val="0"/>
        <w:snapToGrid w:val="0"/>
        <w:spacing w:line="360" w:lineRule="auto"/>
        <w:jc w:val="center"/>
        <w:rPr>
          <w:rFonts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技术要求偏离表</w:t>
      </w:r>
    </w:p>
    <w:p>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所竞标项：</w:t>
      </w:r>
      <w:r>
        <w:rPr>
          <w:rFonts w:hint="eastAsia" w:cs="仿宋_GB2312" w:asciiTheme="minorEastAsia" w:hAnsiTheme="minorEastAsia" w:eastAsiaTheme="minorEastAsia"/>
          <w:color w:val="auto"/>
          <w:sz w:val="24"/>
          <w:u w:val="single"/>
        </w:rPr>
        <w:t xml:space="preserve">                       </w:t>
      </w:r>
    </w:p>
    <w:tbl>
      <w:tblPr>
        <w:tblStyle w:val="24"/>
        <w:tblW w:w="8978"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3"/>
        <w:gridCol w:w="1378"/>
        <w:gridCol w:w="2525"/>
        <w:gridCol w:w="2700"/>
        <w:gridCol w:w="147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750" w:hRule="atLeast"/>
          <w:jc w:val="center"/>
        </w:trPr>
        <w:tc>
          <w:tcPr>
            <w:tcW w:w="903"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序号</w:t>
            </w:r>
          </w:p>
        </w:tc>
        <w:tc>
          <w:tcPr>
            <w:tcW w:w="1378" w:type="dxa"/>
            <w:tcBorders>
              <w:righ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标的名称</w:t>
            </w:r>
          </w:p>
        </w:tc>
        <w:tc>
          <w:tcPr>
            <w:tcW w:w="2525" w:type="dxa"/>
            <w:tcBorders>
              <w:lef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谈判文件要求</w:t>
            </w:r>
          </w:p>
        </w:tc>
        <w:tc>
          <w:tcPr>
            <w:tcW w:w="2700"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竞标响应</w:t>
            </w:r>
          </w:p>
        </w:tc>
        <w:tc>
          <w:tcPr>
            <w:tcW w:w="1472"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偏离说明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758" w:hRule="atLeast"/>
          <w:jc w:val="center"/>
        </w:trPr>
        <w:tc>
          <w:tcPr>
            <w:tcW w:w="903"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1</w:t>
            </w:r>
          </w:p>
        </w:tc>
        <w:tc>
          <w:tcPr>
            <w:tcW w:w="1378" w:type="dxa"/>
            <w:tcBorders>
              <w:righ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2525" w:type="dxa"/>
            <w:tcBorders>
              <w:lef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2700"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1472"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758" w:hRule="atLeast"/>
          <w:jc w:val="center"/>
        </w:trPr>
        <w:tc>
          <w:tcPr>
            <w:tcW w:w="903"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2</w:t>
            </w:r>
          </w:p>
        </w:tc>
        <w:tc>
          <w:tcPr>
            <w:tcW w:w="1378" w:type="dxa"/>
            <w:tcBorders>
              <w:righ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2525" w:type="dxa"/>
            <w:tcBorders>
              <w:lef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2700"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1472"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773" w:hRule="atLeast"/>
          <w:jc w:val="center"/>
        </w:trPr>
        <w:tc>
          <w:tcPr>
            <w:tcW w:w="903"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r>
              <w:rPr>
                <w:rFonts w:hint="eastAsia" w:cs="仿宋_GB2312" w:asciiTheme="minorEastAsia" w:hAnsiTheme="minorEastAsia" w:eastAsiaTheme="minorEastAsia"/>
                <w:color w:val="auto"/>
                <w:kern w:val="2"/>
                <w:sz w:val="24"/>
                <w:szCs w:val="24"/>
              </w:rPr>
              <w:t>3</w:t>
            </w:r>
          </w:p>
        </w:tc>
        <w:tc>
          <w:tcPr>
            <w:tcW w:w="1378" w:type="dxa"/>
            <w:tcBorders>
              <w:righ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2525" w:type="dxa"/>
            <w:tcBorders>
              <w:left w:val="single" w:color="auto" w:sz="4" w:space="0"/>
            </w:tcBorders>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2700"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c>
          <w:tcPr>
            <w:tcW w:w="1472" w:type="dxa"/>
            <w:vAlign w:val="center"/>
          </w:tcPr>
          <w:p>
            <w:pPr>
              <w:pStyle w:val="11"/>
              <w:spacing w:line="360" w:lineRule="auto"/>
              <w:ind w:firstLine="0" w:firstLineChars="0"/>
              <w:jc w:val="center"/>
              <w:rPr>
                <w:rFonts w:cs="仿宋_GB2312" w:asciiTheme="minorEastAsia" w:hAnsiTheme="minorEastAsia" w:eastAsiaTheme="minorEastAsia"/>
                <w:color w:val="auto"/>
                <w:kern w:val="2"/>
                <w:sz w:val="24"/>
                <w:szCs w:val="24"/>
              </w:rPr>
            </w:pPr>
          </w:p>
        </w:tc>
      </w:tr>
    </w:tbl>
    <w:p>
      <w:pPr>
        <w:pStyle w:val="11"/>
        <w:spacing w:line="360" w:lineRule="auto"/>
        <w:ind w:firstLine="0" w:firstLineChars="0"/>
        <w:contextualSpacing/>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注：</w:t>
      </w:r>
    </w:p>
    <w:p>
      <w:pPr>
        <w:pStyle w:val="11"/>
        <w:spacing w:line="360" w:lineRule="auto"/>
        <w:ind w:firstLine="0" w:firstLineChars="0"/>
        <w:contextualSpacing/>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 说明：应对照谈判文件“第三章 采购需求”中“一、采购需求表”的参数要求逐条实质性响应，并作出偏离说明。</w:t>
      </w:r>
    </w:p>
    <w:p>
      <w:pPr>
        <w:pStyle w:val="11"/>
        <w:spacing w:line="360" w:lineRule="auto"/>
        <w:ind w:firstLine="0" w:firstLineChars="0"/>
        <w:contextualSpacing/>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2.供应商应根据竞标设备的性能指标，对照谈判文件要求，在“偏离说明”中注明“正偏离”“负偏离”或者“无偏离”。既不属于“正偏离”也不属于“负偏离”即为“无偏离”。</w:t>
      </w:r>
    </w:p>
    <w:p>
      <w:pPr>
        <w:pStyle w:val="11"/>
        <w:spacing w:line="360" w:lineRule="auto"/>
        <w:ind w:firstLine="0" w:firstLineChars="0"/>
        <w:contextualSpacing/>
        <w:rPr>
          <w:rFonts w:cs="仿宋_GB2312" w:asciiTheme="minorEastAsia" w:hAnsiTheme="minorEastAsia" w:eastAsiaTheme="minorEastAsia"/>
          <w:color w:val="auto"/>
          <w:sz w:val="24"/>
          <w:szCs w:val="24"/>
        </w:rPr>
      </w:pPr>
    </w:p>
    <w:p>
      <w:pPr>
        <w:spacing w:line="360" w:lineRule="auto"/>
        <w:ind w:right="-817" w:rightChars="-389"/>
        <w:contextualSpacing/>
        <w:rPr>
          <w:rFonts w:cs="仿宋_GB2312" w:asciiTheme="minorEastAsia" w:hAnsiTheme="minorEastAsia" w:eastAsiaTheme="minorEastAsia"/>
          <w:color w:val="auto"/>
          <w:sz w:val="24"/>
        </w:rPr>
      </w:pPr>
    </w:p>
    <w:p>
      <w:pPr>
        <w:spacing w:line="360" w:lineRule="auto"/>
        <w:ind w:right="-817" w:rightChars="-389"/>
        <w:contextualSpacing/>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法定代表人或者委托代理人（签字或者电子签名）：</w:t>
      </w:r>
      <w:r>
        <w:rPr>
          <w:rFonts w:hint="eastAsia" w:cs="仿宋_GB2312" w:asciiTheme="minorEastAsia" w:hAnsiTheme="minorEastAsia" w:eastAsiaTheme="minorEastAsia"/>
          <w:color w:val="auto"/>
          <w:sz w:val="24"/>
          <w:u w:val="single"/>
        </w:rPr>
        <w:t xml:space="preserve">          </w:t>
      </w:r>
    </w:p>
    <w:p>
      <w:pPr>
        <w:spacing w:line="360" w:lineRule="auto"/>
        <w:ind w:right="-817" w:rightChars="-389" w:firstLine="2880" w:firstLineChars="1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供应商名称（电子签章）：</w:t>
      </w:r>
      <w:r>
        <w:rPr>
          <w:rFonts w:hint="eastAsia" w:cs="仿宋_GB2312" w:asciiTheme="minorEastAsia" w:hAnsiTheme="minorEastAsia" w:eastAsiaTheme="minorEastAsia"/>
          <w:color w:val="auto"/>
          <w:sz w:val="24"/>
          <w:u w:val="single"/>
        </w:rPr>
        <w:t xml:space="preserve">                         </w:t>
      </w:r>
    </w:p>
    <w:p>
      <w:pPr>
        <w:spacing w:line="360" w:lineRule="auto"/>
        <w:ind w:right="-817" w:rightChars="-389" w:firstLine="2880" w:firstLineChars="1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日                  期：</w:t>
      </w:r>
      <w:r>
        <w:rPr>
          <w:rFonts w:hint="eastAsia" w:cs="仿宋_GB2312" w:asciiTheme="minorEastAsia" w:hAnsiTheme="minorEastAsia" w:eastAsiaTheme="minorEastAsia"/>
          <w:color w:val="auto"/>
          <w:sz w:val="24"/>
          <w:u w:val="single"/>
        </w:rPr>
        <w:t xml:space="preserve">   年   月   日</w:t>
      </w:r>
    </w:p>
    <w:p>
      <w:pPr>
        <w:snapToGrid w:val="0"/>
        <w:spacing w:beforeLines="50" w:after="50" w:line="360" w:lineRule="auto"/>
        <w:jc w:val="left"/>
        <w:rPr>
          <w:rFonts w:cs="仿宋_GB2312" w:asciiTheme="minorEastAsia" w:hAnsiTheme="minorEastAsia" w:eastAsiaTheme="minorEastAsia"/>
          <w:color w:val="auto"/>
          <w:sz w:val="24"/>
        </w:rPr>
      </w:pPr>
    </w:p>
    <w:p>
      <w:pPr>
        <w:snapToGrid w:val="0"/>
        <w:spacing w:beforeLines="50" w:after="50" w:line="360" w:lineRule="auto"/>
        <w:jc w:val="left"/>
        <w:rPr>
          <w:rFonts w:cs="仿宋_GB2312" w:asciiTheme="minorEastAsia" w:hAnsiTheme="minorEastAsia" w:eastAsiaTheme="minorEastAsia"/>
          <w:color w:val="auto"/>
          <w:sz w:val="24"/>
        </w:rPr>
      </w:pPr>
    </w:p>
    <w:p>
      <w:pPr>
        <w:widowControl/>
        <w:jc w:val="left"/>
        <w:rPr>
          <w:rFonts w:asciiTheme="minorEastAsia" w:hAnsiTheme="minorEastAsia" w:eastAsiaTheme="minorEastAsia"/>
          <w:b/>
          <w:bCs/>
          <w:color w:val="auto"/>
          <w:sz w:val="24"/>
        </w:rPr>
      </w:pPr>
      <w:r>
        <w:rPr>
          <w:rFonts w:cs="方正小标宋简体" w:asciiTheme="minorEastAsia" w:hAnsiTheme="minorEastAsia" w:eastAsiaTheme="minorEastAsia"/>
          <w:bCs/>
          <w:color w:val="auto"/>
          <w:sz w:val="44"/>
          <w:szCs w:val="44"/>
        </w:rPr>
        <w:br w:type="page"/>
      </w:r>
    </w:p>
    <w:p>
      <w:pPr>
        <w:snapToGrid w:val="0"/>
        <w:spacing w:beforeLines="50" w:after="50" w:line="360" w:lineRule="auto"/>
        <w:jc w:val="left"/>
        <w:rPr>
          <w:rFonts w:asciiTheme="minorEastAsia" w:hAnsiTheme="minorEastAsia" w:eastAsiaTheme="minorEastAsia"/>
          <w:color w:val="auto"/>
          <w:szCs w:val="21"/>
        </w:rPr>
      </w:pPr>
      <w:r>
        <w:rPr>
          <w:rFonts w:hint="eastAsia" w:asciiTheme="minorEastAsia" w:hAnsiTheme="minorEastAsia" w:eastAsiaTheme="minorEastAsia"/>
          <w:b/>
          <w:bCs/>
          <w:color w:val="auto"/>
          <w:sz w:val="24"/>
        </w:rPr>
        <w:t>其他文书、文件格式</w:t>
      </w:r>
    </w:p>
    <w:p>
      <w:pPr>
        <w:adjustRightInd w:val="0"/>
        <w:snapToGrid w:val="0"/>
        <w:spacing w:line="360" w:lineRule="auto"/>
        <w:jc w:val="center"/>
        <w:rPr>
          <w:rFonts w:cs="方正小标宋简体" w:asciiTheme="minorEastAsia" w:hAnsiTheme="minorEastAsia" w:eastAsiaTheme="minorEastAsia"/>
          <w:bCs/>
          <w:color w:val="auto"/>
          <w:sz w:val="44"/>
          <w:szCs w:val="44"/>
        </w:rPr>
      </w:pPr>
      <w:bookmarkStart w:id="110" w:name="_Toc71365383"/>
      <w:bookmarkStart w:id="111" w:name="_Toc71366061"/>
      <w:r>
        <w:rPr>
          <w:rFonts w:hint="eastAsia" w:cs="方正小标宋简体" w:asciiTheme="minorEastAsia" w:hAnsiTheme="minorEastAsia" w:eastAsiaTheme="minorEastAsia"/>
          <w:bCs/>
          <w:color w:val="auto"/>
          <w:sz w:val="44"/>
          <w:szCs w:val="44"/>
        </w:rPr>
        <w:t>中小企业声明函（货物）</w:t>
      </w:r>
      <w:bookmarkEnd w:id="110"/>
      <w:bookmarkEnd w:id="111"/>
    </w:p>
    <w:p>
      <w:pPr>
        <w:spacing w:line="360" w:lineRule="auto"/>
        <w:rPr>
          <w:rFonts w:asciiTheme="minorEastAsia" w:hAnsiTheme="minorEastAsia" w:eastAsiaTheme="minorEastAsia"/>
          <w:color w:val="auto"/>
        </w:rPr>
      </w:pPr>
    </w:p>
    <w:p>
      <w:pPr>
        <w:pStyle w:val="9"/>
        <w:spacing w:after="0" w:line="360" w:lineRule="auto"/>
        <w:ind w:left="-426" w:right="142" w:firstLine="640"/>
        <w:contextualSpacing/>
        <w:rPr>
          <w:rFonts w:asciiTheme="minorEastAsia" w:hAnsiTheme="minorEastAsia" w:eastAsiaTheme="minorEastAsia"/>
          <w:color w:val="auto"/>
          <w:sz w:val="24"/>
        </w:rPr>
      </w:pPr>
      <w:r>
        <w:rPr>
          <w:rFonts w:asciiTheme="minorEastAsia" w:hAnsiTheme="minorEastAsia" w:eastAsiaTheme="minorEastAsia"/>
          <w:color w:val="auto"/>
          <w:sz w:val="24"/>
        </w:rPr>
        <w:t>本公司（联合体）郑重声明，根据《政府采购促进中小企业发展管理办法》（财库﹝2020﹞46号）的规定，本公司（联合体）参加</w:t>
      </w:r>
      <w:r>
        <w:rPr>
          <w:rFonts w:asciiTheme="minorEastAsia" w:hAnsiTheme="minorEastAsia" w:eastAsiaTheme="minorEastAsia"/>
          <w:color w:val="auto"/>
          <w:sz w:val="24"/>
          <w:u w:val="single"/>
        </w:rPr>
        <w:t>（单位名称）</w:t>
      </w:r>
      <w:r>
        <w:rPr>
          <w:rFonts w:asciiTheme="minorEastAsia" w:hAnsiTheme="minorEastAsia" w:eastAsiaTheme="minorEastAsia"/>
          <w:color w:val="auto"/>
          <w:sz w:val="24"/>
        </w:rPr>
        <w:t>的</w:t>
      </w:r>
      <w:r>
        <w:rPr>
          <w:rFonts w:asciiTheme="minorEastAsia" w:hAnsiTheme="minorEastAsia" w:eastAsiaTheme="minorEastAsia"/>
          <w:color w:val="auto"/>
          <w:sz w:val="24"/>
          <w:u w:val="single"/>
        </w:rPr>
        <w:t>（项目名称）</w:t>
      </w:r>
      <w:r>
        <w:rPr>
          <w:rFonts w:asciiTheme="minorEastAsia" w:hAnsiTheme="minorEastAsia" w:eastAsiaTheme="minorEastAsia"/>
          <w:color w:val="auto"/>
          <w:sz w:val="24"/>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Theme="minorEastAsia" w:hAnsiTheme="minorEastAsia" w:eastAsiaTheme="minorEastAsia"/>
          <w:color w:val="auto"/>
          <w:sz w:val="24"/>
        </w:rPr>
      </w:pPr>
      <w:r>
        <w:rPr>
          <w:rFonts w:asciiTheme="minorEastAsia" w:hAnsiTheme="minorEastAsia" w:eastAsiaTheme="minorEastAsia"/>
          <w:color w:val="auto"/>
          <w:sz w:val="24"/>
        </w:rPr>
        <w:t>1.</w:t>
      </w:r>
      <w:r>
        <w:rPr>
          <w:rFonts w:asciiTheme="minorEastAsia" w:hAnsiTheme="minorEastAsia" w:eastAsiaTheme="minorEastAsia"/>
          <w:color w:val="auto"/>
          <w:sz w:val="24"/>
          <w:u w:val="single"/>
        </w:rPr>
        <w:t>（标的名称）</w:t>
      </w:r>
      <w:r>
        <w:rPr>
          <w:rFonts w:asciiTheme="minorEastAsia" w:hAnsiTheme="minorEastAsia" w:eastAsiaTheme="minorEastAsia"/>
          <w:color w:val="auto"/>
          <w:sz w:val="24"/>
        </w:rPr>
        <w:t>，属于</w:t>
      </w:r>
      <w:r>
        <w:rPr>
          <w:rFonts w:asciiTheme="minorEastAsia" w:hAnsiTheme="minorEastAsia" w:eastAsiaTheme="minorEastAsia"/>
          <w:color w:val="auto"/>
          <w:sz w:val="24"/>
          <w:u w:val="single"/>
        </w:rPr>
        <w:t>（采购文件中明确的所属行业）</w:t>
      </w:r>
      <w:r>
        <w:rPr>
          <w:rFonts w:asciiTheme="minorEastAsia" w:hAnsiTheme="minorEastAsia" w:eastAsiaTheme="minorEastAsia"/>
          <w:color w:val="auto"/>
          <w:sz w:val="24"/>
        </w:rPr>
        <w:t>行业；制造商为</w:t>
      </w:r>
      <w:r>
        <w:rPr>
          <w:rFonts w:asciiTheme="minorEastAsia" w:hAnsiTheme="minorEastAsia" w:eastAsiaTheme="minorEastAsia"/>
          <w:color w:val="auto"/>
          <w:sz w:val="24"/>
          <w:u w:val="single"/>
        </w:rPr>
        <w:t>（企业名称）</w:t>
      </w:r>
      <w:r>
        <w:rPr>
          <w:rFonts w:asciiTheme="minorEastAsia" w:hAnsiTheme="minorEastAsia" w:eastAsiaTheme="minorEastAsia"/>
          <w:color w:val="auto"/>
          <w:sz w:val="24"/>
        </w:rPr>
        <w:t>，从业人员</w:t>
      </w:r>
      <w:r>
        <w:rPr>
          <w:rFonts w:hint="eastAsia" w:asciiTheme="minorEastAsia" w:hAnsiTheme="minorEastAsia" w:eastAsiaTheme="minorEastAsia"/>
          <w:color w:val="auto"/>
          <w:sz w:val="24"/>
          <w:u w:val="single"/>
        </w:rPr>
        <w:t xml:space="preserve"> </w:t>
      </w:r>
      <w:r>
        <w:rPr>
          <w:rFonts w:asciiTheme="minorEastAsia" w:hAnsiTheme="minorEastAsia" w:eastAsiaTheme="minorEastAsia"/>
          <w:color w:val="auto"/>
          <w:sz w:val="24"/>
          <w:u w:val="single"/>
        </w:rPr>
        <w:t xml:space="preserve">     </w:t>
      </w:r>
      <w:r>
        <w:rPr>
          <w:rFonts w:asciiTheme="minorEastAsia" w:hAnsiTheme="minorEastAsia" w:eastAsiaTheme="minorEastAsia"/>
          <w:color w:val="auto"/>
          <w:sz w:val="24"/>
        </w:rPr>
        <w:t>人，营业收入为</w:t>
      </w:r>
      <w:r>
        <w:rPr>
          <w:rFonts w:hint="eastAsia" w:asciiTheme="minorEastAsia" w:hAnsiTheme="minorEastAsia" w:eastAsiaTheme="minorEastAsia"/>
          <w:color w:val="auto"/>
          <w:sz w:val="24"/>
          <w:u w:val="single"/>
        </w:rPr>
        <w:t xml:space="preserve"> </w:t>
      </w:r>
      <w:r>
        <w:rPr>
          <w:rFonts w:asciiTheme="minorEastAsia" w:hAnsiTheme="minorEastAsia" w:eastAsiaTheme="minorEastAsia"/>
          <w:color w:val="auto"/>
          <w:sz w:val="24"/>
          <w:u w:val="single"/>
        </w:rPr>
        <w:t xml:space="preserve">     </w:t>
      </w:r>
      <w:r>
        <w:rPr>
          <w:rFonts w:asciiTheme="minorEastAsia" w:hAnsiTheme="minorEastAsia" w:eastAsiaTheme="minorEastAsia"/>
          <w:color w:val="auto"/>
          <w:sz w:val="24"/>
        </w:rPr>
        <w:t>万元，资产总额为</w:t>
      </w:r>
      <w:r>
        <w:rPr>
          <w:rFonts w:hint="eastAsia" w:asciiTheme="minorEastAsia" w:hAnsiTheme="minorEastAsia" w:eastAsiaTheme="minorEastAsia"/>
          <w:color w:val="auto"/>
          <w:sz w:val="24"/>
          <w:u w:val="single"/>
        </w:rPr>
        <w:t xml:space="preserve"> </w:t>
      </w:r>
      <w:r>
        <w:rPr>
          <w:rFonts w:asciiTheme="minorEastAsia" w:hAnsiTheme="minorEastAsia" w:eastAsiaTheme="minorEastAsia"/>
          <w:color w:val="auto"/>
          <w:sz w:val="24"/>
          <w:u w:val="single"/>
        </w:rPr>
        <w:t xml:space="preserve">     </w:t>
      </w:r>
      <w:r>
        <w:rPr>
          <w:rFonts w:asciiTheme="minorEastAsia" w:hAnsiTheme="minorEastAsia" w:eastAsiaTheme="minorEastAsia"/>
          <w:color w:val="auto"/>
          <w:sz w:val="24"/>
        </w:rPr>
        <w:t>万元，属于</w:t>
      </w:r>
      <w:r>
        <w:rPr>
          <w:rFonts w:asciiTheme="minorEastAsia" w:hAnsiTheme="minorEastAsia" w:eastAsiaTheme="minorEastAsia"/>
          <w:color w:val="auto"/>
          <w:sz w:val="24"/>
          <w:u w:val="single"/>
        </w:rPr>
        <w:t>（中型企业、小型企业、微型企业）</w:t>
      </w:r>
      <w:r>
        <w:rPr>
          <w:rFonts w:asciiTheme="minorEastAsia" w:hAnsiTheme="minorEastAsia" w:eastAsiaTheme="minorEastAsia"/>
          <w:color w:val="auto"/>
          <w:sz w:val="24"/>
        </w:rPr>
        <w:t>；</w:t>
      </w:r>
    </w:p>
    <w:p>
      <w:pPr>
        <w:tabs>
          <w:tab w:val="left" w:pos="1065"/>
          <w:tab w:val="left" w:pos="6477"/>
        </w:tabs>
        <w:spacing w:line="360" w:lineRule="auto"/>
        <w:ind w:left="-426" w:right="-58" w:firstLine="655"/>
        <w:contextualSpacing/>
        <w:rPr>
          <w:rFonts w:asciiTheme="minorEastAsia" w:hAnsiTheme="minorEastAsia" w:eastAsiaTheme="minorEastAsia"/>
          <w:color w:val="auto"/>
          <w:sz w:val="24"/>
        </w:rPr>
      </w:pPr>
      <w:r>
        <w:rPr>
          <w:rFonts w:asciiTheme="minorEastAsia" w:hAnsiTheme="minorEastAsia" w:eastAsiaTheme="minorEastAsia"/>
          <w:color w:val="auto"/>
          <w:sz w:val="24"/>
        </w:rPr>
        <w:t>2.</w:t>
      </w:r>
      <w:r>
        <w:rPr>
          <w:rFonts w:asciiTheme="minorEastAsia" w:hAnsiTheme="minorEastAsia" w:eastAsiaTheme="minorEastAsia"/>
          <w:color w:val="auto"/>
          <w:sz w:val="24"/>
          <w:u w:val="single"/>
        </w:rPr>
        <w:t>（标的名称）</w:t>
      </w:r>
      <w:r>
        <w:rPr>
          <w:rFonts w:asciiTheme="minorEastAsia" w:hAnsiTheme="minorEastAsia" w:eastAsiaTheme="minorEastAsia"/>
          <w:color w:val="auto"/>
          <w:sz w:val="24"/>
        </w:rPr>
        <w:t>，属于</w:t>
      </w:r>
      <w:r>
        <w:rPr>
          <w:rFonts w:asciiTheme="minorEastAsia" w:hAnsiTheme="minorEastAsia" w:eastAsiaTheme="minorEastAsia"/>
          <w:color w:val="auto"/>
          <w:sz w:val="24"/>
          <w:u w:val="single"/>
        </w:rPr>
        <w:t>（采购文件中明确的所属行业）</w:t>
      </w:r>
      <w:r>
        <w:rPr>
          <w:rFonts w:asciiTheme="minorEastAsia" w:hAnsiTheme="minorEastAsia" w:eastAsiaTheme="minorEastAsia"/>
          <w:color w:val="auto"/>
          <w:sz w:val="24"/>
        </w:rPr>
        <w:t>行业；制造商为</w:t>
      </w:r>
      <w:r>
        <w:rPr>
          <w:rFonts w:asciiTheme="minorEastAsia" w:hAnsiTheme="minorEastAsia" w:eastAsiaTheme="minorEastAsia"/>
          <w:color w:val="auto"/>
          <w:sz w:val="24"/>
          <w:u w:val="single"/>
        </w:rPr>
        <w:t>（企业名称）</w:t>
      </w:r>
      <w:r>
        <w:rPr>
          <w:rFonts w:asciiTheme="minorEastAsia" w:hAnsiTheme="minorEastAsia" w:eastAsiaTheme="minorEastAsia"/>
          <w:color w:val="auto"/>
          <w:sz w:val="24"/>
        </w:rPr>
        <w:t>，从业人员</w:t>
      </w:r>
      <w:r>
        <w:rPr>
          <w:rFonts w:hint="eastAsia" w:asciiTheme="minorEastAsia" w:hAnsiTheme="minorEastAsia" w:eastAsiaTheme="minorEastAsia"/>
          <w:color w:val="auto"/>
          <w:sz w:val="24"/>
          <w:u w:val="single"/>
        </w:rPr>
        <w:t xml:space="preserve"> </w:t>
      </w:r>
      <w:r>
        <w:rPr>
          <w:rFonts w:asciiTheme="minorEastAsia" w:hAnsiTheme="minorEastAsia" w:eastAsiaTheme="minorEastAsia"/>
          <w:color w:val="auto"/>
          <w:sz w:val="24"/>
          <w:u w:val="single"/>
        </w:rPr>
        <w:t xml:space="preserve">     </w:t>
      </w:r>
      <w:r>
        <w:rPr>
          <w:rFonts w:asciiTheme="minorEastAsia" w:hAnsiTheme="minorEastAsia" w:eastAsiaTheme="minorEastAsia"/>
          <w:color w:val="auto"/>
          <w:sz w:val="24"/>
        </w:rPr>
        <w:t>人，营业收入为</w:t>
      </w:r>
      <w:r>
        <w:rPr>
          <w:rFonts w:hint="eastAsia" w:asciiTheme="minorEastAsia" w:hAnsiTheme="minorEastAsia" w:eastAsiaTheme="minorEastAsia"/>
          <w:color w:val="auto"/>
          <w:sz w:val="24"/>
          <w:u w:val="single"/>
        </w:rPr>
        <w:t xml:space="preserve"> </w:t>
      </w:r>
      <w:r>
        <w:rPr>
          <w:rFonts w:asciiTheme="minorEastAsia" w:hAnsiTheme="minorEastAsia" w:eastAsiaTheme="minorEastAsia"/>
          <w:color w:val="auto"/>
          <w:sz w:val="24"/>
          <w:u w:val="single"/>
        </w:rPr>
        <w:t xml:space="preserve">     </w:t>
      </w:r>
      <w:r>
        <w:rPr>
          <w:rFonts w:asciiTheme="minorEastAsia" w:hAnsiTheme="minorEastAsia" w:eastAsiaTheme="minorEastAsia"/>
          <w:color w:val="auto"/>
          <w:sz w:val="24"/>
        </w:rPr>
        <w:t>万元，资产总额为</w:t>
      </w:r>
      <w:r>
        <w:rPr>
          <w:rFonts w:hint="eastAsia" w:asciiTheme="minorEastAsia" w:hAnsiTheme="minorEastAsia" w:eastAsiaTheme="minorEastAsia"/>
          <w:color w:val="auto"/>
          <w:sz w:val="24"/>
          <w:u w:val="single"/>
        </w:rPr>
        <w:t xml:space="preserve"> </w:t>
      </w:r>
      <w:r>
        <w:rPr>
          <w:rFonts w:asciiTheme="minorEastAsia" w:hAnsiTheme="minorEastAsia" w:eastAsiaTheme="minorEastAsia"/>
          <w:color w:val="auto"/>
          <w:sz w:val="24"/>
          <w:u w:val="single"/>
        </w:rPr>
        <w:t xml:space="preserve">     </w:t>
      </w:r>
      <w:r>
        <w:rPr>
          <w:rFonts w:asciiTheme="minorEastAsia" w:hAnsiTheme="minorEastAsia" w:eastAsiaTheme="minorEastAsia"/>
          <w:color w:val="auto"/>
          <w:sz w:val="24"/>
        </w:rPr>
        <w:t>万元，属于</w:t>
      </w:r>
      <w:r>
        <w:rPr>
          <w:rFonts w:asciiTheme="minorEastAsia" w:hAnsiTheme="minorEastAsia" w:eastAsiaTheme="minorEastAsia"/>
          <w:color w:val="auto"/>
          <w:sz w:val="24"/>
          <w:u w:val="single"/>
        </w:rPr>
        <w:t>（中型企业、小型企业、微型企业）</w:t>
      </w:r>
      <w:r>
        <w:rPr>
          <w:rFonts w:asciiTheme="minorEastAsia" w:hAnsiTheme="minorEastAsia" w:eastAsiaTheme="minorEastAsia"/>
          <w:color w:val="auto"/>
          <w:sz w:val="24"/>
        </w:rPr>
        <w:t>；</w:t>
      </w:r>
    </w:p>
    <w:p>
      <w:pPr>
        <w:pStyle w:val="9"/>
        <w:spacing w:after="0" w:line="360" w:lineRule="auto"/>
        <w:ind w:left="142" w:right="142"/>
        <w:contextualSpacing/>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p>
    <w:p>
      <w:pPr>
        <w:pStyle w:val="9"/>
        <w:spacing w:after="0" w:line="360" w:lineRule="auto"/>
        <w:ind w:left="-405" w:leftChars="-193" w:right="142" w:firstLine="453" w:firstLineChars="189"/>
        <w:contextualSpacing/>
        <w:rPr>
          <w:rFonts w:asciiTheme="minorEastAsia" w:hAnsiTheme="minorEastAsia" w:eastAsiaTheme="minorEastAsia"/>
          <w:color w:val="auto"/>
          <w:sz w:val="24"/>
        </w:rPr>
      </w:pPr>
      <w:r>
        <w:rPr>
          <w:rFonts w:asciiTheme="minorEastAsia" w:hAnsiTheme="minorEastAsia" w:eastAsiaTheme="minorEastAsia"/>
          <w:color w:val="auto"/>
          <w:sz w:val="24"/>
        </w:rPr>
        <w:t>以上企业，不属于大企业的分支机构，不存在控股股东为大企业的情形，也不存在与大企业的负责人为同一人的情形。</w:t>
      </w:r>
    </w:p>
    <w:p>
      <w:pPr>
        <w:pStyle w:val="9"/>
        <w:spacing w:after="0" w:line="360" w:lineRule="auto"/>
        <w:ind w:left="-426" w:right="142" w:firstLine="567"/>
        <w:contextualSpacing/>
        <w:rPr>
          <w:rFonts w:asciiTheme="minorEastAsia" w:hAnsiTheme="minorEastAsia" w:eastAsiaTheme="minorEastAsia"/>
          <w:color w:val="auto"/>
          <w:sz w:val="24"/>
        </w:rPr>
      </w:pPr>
      <w:r>
        <w:rPr>
          <w:rFonts w:asciiTheme="minorEastAsia" w:hAnsiTheme="minorEastAsia" w:eastAsiaTheme="minorEastAsia"/>
          <w:color w:val="auto"/>
          <w:sz w:val="24"/>
        </w:rPr>
        <w:t>本企业对上述声明内容的真实性负责。如有虚假，将依法承担相应责任。</w:t>
      </w:r>
    </w:p>
    <w:p>
      <w:pPr>
        <w:pStyle w:val="9"/>
        <w:spacing w:after="0" w:line="360" w:lineRule="auto"/>
        <w:ind w:left="3960" w:right="1808"/>
        <w:contextualSpacing/>
        <w:rPr>
          <w:rFonts w:asciiTheme="minorEastAsia" w:hAnsiTheme="minorEastAsia" w:eastAsiaTheme="minorEastAsia"/>
          <w:color w:val="auto"/>
          <w:sz w:val="24"/>
        </w:rPr>
      </w:pPr>
    </w:p>
    <w:p>
      <w:pPr>
        <w:pStyle w:val="9"/>
        <w:spacing w:after="0" w:line="360" w:lineRule="auto"/>
        <w:ind w:left="3960" w:right="1808"/>
        <w:contextualSpacing/>
        <w:rPr>
          <w:rFonts w:asciiTheme="minorEastAsia" w:hAnsiTheme="minorEastAsia" w:eastAsiaTheme="minorEastAsia"/>
          <w:color w:val="auto"/>
          <w:sz w:val="24"/>
        </w:rPr>
      </w:pPr>
      <w:r>
        <w:rPr>
          <w:rFonts w:asciiTheme="minorEastAsia" w:hAnsiTheme="minorEastAsia" w:eastAsiaTheme="minorEastAsia"/>
          <w:color w:val="auto"/>
          <w:sz w:val="24"/>
        </w:rPr>
        <w:t>企业名称（章）：</w:t>
      </w:r>
      <w:r>
        <w:rPr>
          <w:rFonts w:hint="eastAsia" w:cs="仿宋_GB2312" w:asciiTheme="minorEastAsia" w:hAnsiTheme="minorEastAsia" w:eastAsiaTheme="minorEastAsia"/>
          <w:color w:val="auto"/>
          <w:sz w:val="24"/>
          <w:u w:val="single"/>
        </w:rPr>
        <w:t xml:space="preserve">          </w:t>
      </w:r>
      <w:r>
        <w:rPr>
          <w:rFonts w:asciiTheme="minorEastAsia" w:hAnsiTheme="minorEastAsia" w:eastAsiaTheme="minorEastAsia"/>
          <w:color w:val="auto"/>
          <w:sz w:val="24"/>
        </w:rPr>
        <w:t xml:space="preserve"> </w:t>
      </w:r>
    </w:p>
    <w:p>
      <w:pPr>
        <w:pStyle w:val="9"/>
        <w:spacing w:after="0" w:line="360" w:lineRule="auto"/>
        <w:ind w:left="3960" w:right="1808"/>
        <w:contextualSpacing/>
        <w:rPr>
          <w:rFonts w:asciiTheme="minorEastAsia" w:hAnsiTheme="minorEastAsia" w:eastAsiaTheme="minorEastAsia"/>
          <w:color w:val="auto"/>
          <w:sz w:val="24"/>
        </w:rPr>
      </w:pPr>
      <w:r>
        <w:rPr>
          <w:rFonts w:asciiTheme="minorEastAsia" w:hAnsiTheme="minorEastAsia" w:eastAsiaTheme="minorEastAsia"/>
          <w:color w:val="auto"/>
          <w:sz w:val="24"/>
        </w:rPr>
        <w:t>日</w:t>
      </w:r>
      <w:r>
        <w:rPr>
          <w:rFonts w:hint="eastAsia" w:asciiTheme="minorEastAsia" w:hAnsiTheme="minorEastAsia" w:eastAsiaTheme="minorEastAsia"/>
          <w:color w:val="auto"/>
          <w:sz w:val="24"/>
        </w:rPr>
        <w:t xml:space="preserve">          </w:t>
      </w:r>
      <w:r>
        <w:rPr>
          <w:rFonts w:asciiTheme="minorEastAsia" w:hAnsiTheme="minorEastAsia" w:eastAsiaTheme="minorEastAsia"/>
          <w:color w:val="auto"/>
          <w:sz w:val="24"/>
        </w:rPr>
        <w:t>期：</w:t>
      </w:r>
      <w:r>
        <w:rPr>
          <w:rFonts w:hint="eastAsia" w:cs="仿宋_GB2312" w:asciiTheme="minorEastAsia" w:hAnsiTheme="minorEastAsia" w:eastAsiaTheme="minorEastAsia"/>
          <w:color w:val="auto"/>
          <w:sz w:val="24"/>
          <w:u w:val="single"/>
        </w:rPr>
        <w:t xml:space="preserve">          </w:t>
      </w:r>
    </w:p>
    <w:p>
      <w:pPr>
        <w:pStyle w:val="9"/>
        <w:spacing w:after="0" w:line="360" w:lineRule="auto"/>
        <w:ind w:left="3960" w:right="1808"/>
        <w:contextualSpacing/>
        <w:rPr>
          <w:rFonts w:asciiTheme="minorEastAsia" w:hAnsiTheme="minorEastAsia" w:eastAsiaTheme="minorEastAsia"/>
          <w:color w:val="auto"/>
        </w:rPr>
      </w:pPr>
    </w:p>
    <w:p>
      <w:pPr>
        <w:spacing w:line="360" w:lineRule="auto"/>
        <w:contextualSpacing/>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360" w:lineRule="auto"/>
        <w:contextualSpacing/>
        <w:jc w:val="center"/>
        <w:rPr>
          <w:rFonts w:cs="仿宋_GB2312" w:asciiTheme="minorEastAsia" w:hAnsiTheme="minorEastAsia" w:eastAsiaTheme="minorEastAsia"/>
          <w:color w:val="auto"/>
          <w:sz w:val="32"/>
          <w:szCs w:val="32"/>
        </w:rPr>
      </w:pPr>
      <w:r>
        <w:rPr>
          <w:rFonts w:asciiTheme="minorEastAsia" w:hAnsiTheme="minorEastAsia" w:eastAsiaTheme="minorEastAsia"/>
          <w:color w:val="auto"/>
          <w:sz w:val="24"/>
        </w:rPr>
        <w:br w:type="page"/>
      </w:r>
      <w:r>
        <w:rPr>
          <w:rFonts w:hint="eastAsia" w:cs="方正小标宋简体" w:asciiTheme="minorEastAsia" w:hAnsiTheme="minorEastAsia" w:eastAsiaTheme="minorEastAsia"/>
          <w:color w:val="auto"/>
          <w:sz w:val="44"/>
          <w:szCs w:val="44"/>
        </w:rPr>
        <w:t>残疾人福利性单位声明函</w:t>
      </w:r>
    </w:p>
    <w:p>
      <w:pPr>
        <w:spacing w:line="360" w:lineRule="auto"/>
        <w:rPr>
          <w:rFonts w:cs="仿宋_GB2312" w:asciiTheme="minorEastAsia" w:hAnsiTheme="minorEastAsia" w:eastAsiaTheme="minorEastAsia"/>
          <w:color w:val="auto"/>
          <w:sz w:val="32"/>
          <w:szCs w:val="32"/>
        </w:rPr>
      </w:pP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单位的</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本单位对上述声明的真实性负责。如有虚假，将依法承担相应责任。</w:t>
      </w:r>
    </w:p>
    <w:p>
      <w:pPr>
        <w:spacing w:line="360" w:lineRule="auto"/>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p>
    <w:p>
      <w:pPr>
        <w:spacing w:line="360" w:lineRule="auto"/>
        <w:ind w:firstLine="2400" w:firstLineChars="10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单位名称（盖章）：</w:t>
      </w:r>
      <w:r>
        <w:rPr>
          <w:rFonts w:hint="eastAsia" w:cs="仿宋_GB2312" w:asciiTheme="minorEastAsia" w:hAnsiTheme="minorEastAsia" w:eastAsiaTheme="minorEastAsia"/>
          <w:color w:val="auto"/>
          <w:sz w:val="24"/>
          <w:u w:val="single"/>
        </w:rPr>
        <w:t xml:space="preserve">          </w:t>
      </w:r>
    </w:p>
    <w:p>
      <w:pPr>
        <w:spacing w:line="360" w:lineRule="auto"/>
        <w:ind w:firstLine="3600" w:firstLineChars="1500"/>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日  期：</w:t>
      </w:r>
      <w:r>
        <w:rPr>
          <w:rFonts w:hint="eastAsia" w:cs="仿宋_GB2312" w:asciiTheme="minorEastAsia" w:hAnsiTheme="minorEastAsia" w:eastAsiaTheme="minorEastAsia"/>
          <w:color w:val="auto"/>
          <w:sz w:val="24"/>
          <w:u w:val="single"/>
        </w:rPr>
        <w:t xml:space="preserve">          </w:t>
      </w:r>
    </w:p>
    <w:p>
      <w:pPr>
        <w:spacing w:line="360" w:lineRule="auto"/>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p>
    <w:p>
      <w:pPr>
        <w:spacing w:line="360" w:lineRule="auto"/>
        <w:contextualSpacing/>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pPr>
        <w:spacing w:line="360" w:lineRule="auto"/>
        <w:jc w:val="center"/>
        <w:rPr>
          <w:rFonts w:cs="仿宋_GB2312" w:asciiTheme="minorEastAsia" w:hAnsiTheme="minorEastAsia" w:eastAsiaTheme="minorEastAsia"/>
          <w:color w:val="auto"/>
          <w:sz w:val="24"/>
        </w:rPr>
      </w:pPr>
      <w:r>
        <w:rPr>
          <w:rFonts w:cs="仿宋_GB2312" w:asciiTheme="minorEastAsia" w:hAnsiTheme="minorEastAsia" w:eastAsiaTheme="minorEastAsia"/>
          <w:color w:val="auto"/>
          <w:sz w:val="24"/>
        </w:rPr>
        <w:br w:type="page"/>
      </w:r>
    </w:p>
    <w:p>
      <w:pPr>
        <w:spacing w:line="360" w:lineRule="auto"/>
        <w:jc w:val="center"/>
        <w:rPr>
          <w:rFonts w:cs="仿宋_GB2312" w:asciiTheme="minorEastAsia" w:hAnsiTheme="minorEastAsia" w:eastAsiaTheme="minorEastAsia"/>
          <w:color w:val="auto"/>
          <w:sz w:val="24"/>
        </w:rPr>
      </w:pPr>
    </w:p>
    <w:p>
      <w:pPr>
        <w:snapToGrid w:val="0"/>
        <w:spacing w:beforeLines="50" w:after="50" w:line="360" w:lineRule="auto"/>
        <w:jc w:val="center"/>
        <w:rPr>
          <w:rFonts w:cs="方正小标宋简体" w:asciiTheme="minorEastAsia" w:hAnsiTheme="minorEastAsia" w:eastAsiaTheme="minorEastAsia"/>
          <w:bCs/>
          <w:color w:val="auto"/>
          <w:sz w:val="44"/>
          <w:szCs w:val="44"/>
        </w:rPr>
      </w:pPr>
      <w:r>
        <w:rPr>
          <w:rFonts w:hint="eastAsia" w:cs="方正小标宋简体" w:asciiTheme="minorEastAsia" w:hAnsiTheme="minorEastAsia" w:eastAsiaTheme="minorEastAsia"/>
          <w:bCs/>
          <w:color w:val="auto"/>
          <w:sz w:val="44"/>
          <w:szCs w:val="44"/>
        </w:rPr>
        <w:t>代理服务费承诺书</w:t>
      </w:r>
    </w:p>
    <w:p>
      <w:pPr>
        <w:snapToGrid w:val="0"/>
        <w:spacing w:beforeLines="50" w:after="50" w:line="360" w:lineRule="auto"/>
        <w:jc w:val="center"/>
        <w:rPr>
          <w:rFonts w:asciiTheme="minorEastAsia" w:hAnsiTheme="minorEastAsia" w:eastAsiaTheme="minorEastAsia"/>
          <w:b/>
          <w:color w:val="auto"/>
          <w:sz w:val="24"/>
        </w:rPr>
      </w:pPr>
    </w:p>
    <w:p>
      <w:pPr>
        <w:spacing w:line="360" w:lineRule="auto"/>
        <w:rPr>
          <w:rFonts w:asciiTheme="minorEastAsia" w:hAnsiTheme="minorEastAsia" w:eastAsiaTheme="minorEastAsia"/>
          <w:b/>
          <w:bCs/>
          <w:color w:val="auto"/>
          <w:sz w:val="24"/>
        </w:rPr>
      </w:pPr>
      <w:r>
        <w:rPr>
          <w:rFonts w:hint="eastAsia" w:asciiTheme="minorEastAsia" w:hAnsiTheme="minorEastAsia" w:eastAsiaTheme="minorEastAsia"/>
          <w:bCs/>
          <w:color w:val="auto"/>
          <w:sz w:val="24"/>
        </w:rPr>
        <w:t>致：</w:t>
      </w:r>
      <w:r>
        <w:rPr>
          <w:rFonts w:hint="eastAsia" w:asciiTheme="minorEastAsia" w:hAnsiTheme="minorEastAsia" w:eastAsiaTheme="minorEastAsia"/>
          <w:color w:val="auto"/>
          <w:sz w:val="24"/>
          <w:u w:val="single"/>
        </w:rPr>
        <w:t>采购代理机构名称</w:t>
      </w:r>
      <w:r>
        <w:rPr>
          <w:rFonts w:hint="eastAsia" w:asciiTheme="minorEastAsia" w:hAnsiTheme="minorEastAsia" w:eastAsiaTheme="minorEastAsia"/>
          <w:color w:val="auto"/>
          <w:sz w:val="24"/>
        </w:rPr>
        <w:t>：</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本单位参加了贵方组织的</w:t>
      </w:r>
      <w:r>
        <w:rPr>
          <w:rFonts w:hint="eastAsia" w:asciiTheme="minorEastAsia" w:hAnsiTheme="minorEastAsia" w:eastAsiaTheme="minorEastAsia"/>
          <w:color w:val="auto"/>
          <w:sz w:val="24"/>
          <w:u w:val="single"/>
        </w:rPr>
        <w:t xml:space="preserve">  项目名称（项目编号）  </w:t>
      </w:r>
      <w:r>
        <w:rPr>
          <w:rFonts w:hint="eastAsia" w:asciiTheme="minorEastAsia" w:hAnsiTheme="minorEastAsia" w:eastAsiaTheme="minorEastAsia"/>
          <w:color w:val="auto"/>
          <w:sz w:val="24"/>
        </w:rPr>
        <w:t>项目， 在此说明如下：</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在领取成交通知书后，由于被质疑、投诉或者其他原因而导致成交结果改变，我方将放弃对已缴纳的代理服务费追还的一切权利。</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2.本单位选择第</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种方式作为代理服务费开票类型：</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第一种方式：开具增值税普通发票。开票信息如下：</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（1）公司名称_</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（2）纳税人识别号_</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第二种方式：开具增值税专用发票，开票信息如下：</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（1）公司名称：</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（2）纳税人识别号：</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（3）在税局登记的地址：</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（4）在税局登记的电话：</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（5）开户银行：</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ind w:firstLine="360" w:firstLineChars="150"/>
        <w:rPr>
          <w:rFonts w:asciiTheme="minorEastAsia" w:hAnsiTheme="minorEastAsia" w:eastAsiaTheme="minorEastAsia"/>
          <w:color w:val="auto"/>
          <w:sz w:val="24"/>
        </w:rPr>
      </w:pPr>
      <w:r>
        <w:rPr>
          <w:rFonts w:hint="eastAsia" w:asciiTheme="minorEastAsia" w:hAnsiTheme="minorEastAsia" w:eastAsiaTheme="minorEastAsia"/>
          <w:color w:val="auto"/>
          <w:sz w:val="24"/>
        </w:rPr>
        <w:t>（6）银行账户:</w:t>
      </w:r>
      <w:r>
        <w:rPr>
          <w:rFonts w:hint="eastAsia" w:asciiTheme="minorEastAsia" w:hAnsiTheme="minorEastAsia" w:eastAsiaTheme="minorEastAsia"/>
          <w:color w:val="auto"/>
          <w:sz w:val="24"/>
          <w:u w:val="single"/>
        </w:rPr>
        <w:t xml:space="preserve">                           </w:t>
      </w:r>
      <w:r>
        <w:rPr>
          <w:rFonts w:hint="eastAsia" w:asciiTheme="minorEastAsia" w:hAnsiTheme="minorEastAsia" w:eastAsiaTheme="minorEastAsia"/>
          <w:color w:val="auto"/>
          <w:sz w:val="24"/>
        </w:rPr>
        <w:t>。</w:t>
      </w:r>
    </w:p>
    <w:p>
      <w:pPr>
        <w:spacing w:line="360" w:lineRule="auto"/>
        <w:rPr>
          <w:rFonts w:asciiTheme="minorEastAsia" w:hAnsiTheme="minorEastAsia" w:eastAsiaTheme="minorEastAsia"/>
          <w:color w:val="auto"/>
          <w:sz w:val="24"/>
        </w:rPr>
      </w:pPr>
    </w:p>
    <w:p>
      <w:pPr>
        <w:spacing w:line="360" w:lineRule="auto"/>
        <w:rPr>
          <w:rFonts w:asciiTheme="minorEastAsia" w:hAnsiTheme="minorEastAsia" w:eastAsiaTheme="minorEastAsia"/>
          <w:color w:val="auto"/>
          <w:sz w:val="24"/>
        </w:rPr>
      </w:pPr>
    </w:p>
    <w:p>
      <w:pPr>
        <w:spacing w:line="360" w:lineRule="auto"/>
        <w:rPr>
          <w:rFonts w:asciiTheme="minorEastAsia" w:hAnsiTheme="minorEastAsia" w:eastAsiaTheme="minorEastAsia"/>
          <w:color w:val="auto"/>
          <w:sz w:val="24"/>
        </w:rPr>
      </w:pPr>
    </w:p>
    <w:p>
      <w:pPr>
        <w:snapToGrid w:val="0"/>
        <w:spacing w:line="360" w:lineRule="auto"/>
        <w:ind w:right="-817" w:rightChars="-389" w:firstLine="2040" w:firstLineChars="850"/>
        <w:rPr>
          <w:rFonts w:asciiTheme="minorEastAsia" w:hAnsiTheme="minorEastAsia" w:eastAsiaTheme="minorEastAsia"/>
          <w:color w:val="auto"/>
          <w:sz w:val="24"/>
        </w:rPr>
      </w:pPr>
      <w:r>
        <w:rPr>
          <w:rFonts w:hint="eastAsia" w:asciiTheme="minorEastAsia" w:hAnsiTheme="minorEastAsia" w:eastAsiaTheme="minorEastAsia"/>
          <w:color w:val="auto"/>
          <w:sz w:val="24"/>
        </w:rPr>
        <w:t>法定代表人或者委托代理人（签字或者电子签名）：</w:t>
      </w:r>
      <w:r>
        <w:rPr>
          <w:rFonts w:hint="eastAsia" w:cs="仿宋_GB2312" w:asciiTheme="minorEastAsia" w:hAnsiTheme="minorEastAsia" w:eastAsiaTheme="minorEastAsia"/>
          <w:color w:val="auto"/>
          <w:sz w:val="24"/>
          <w:u w:val="single"/>
        </w:rPr>
        <w:t xml:space="preserve">          </w:t>
      </w:r>
    </w:p>
    <w:p>
      <w:pPr>
        <w:snapToGrid w:val="0"/>
        <w:spacing w:line="360" w:lineRule="auto"/>
        <w:ind w:left="-3" w:leftChars="-15" w:right="-817" w:rightChars="-389" w:hanging="28" w:hangingChars="12"/>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供应商公章（电子签章）：</w:t>
      </w:r>
      <w:r>
        <w:rPr>
          <w:rFonts w:hint="eastAsia" w:cs="仿宋_GB2312" w:asciiTheme="minorEastAsia" w:hAnsiTheme="minorEastAsia" w:eastAsiaTheme="minorEastAsia"/>
          <w:color w:val="auto"/>
          <w:sz w:val="24"/>
          <w:u w:val="single"/>
        </w:rPr>
        <w:t xml:space="preserve">            </w:t>
      </w:r>
    </w:p>
    <w:p>
      <w:pPr>
        <w:snapToGrid w:val="0"/>
        <w:spacing w:before="50" w:after="50" w:line="360" w:lineRule="auto"/>
        <w:ind w:right="-817" w:rightChars="-389" w:firstLine="4080" w:firstLineChars="1700"/>
        <w:rPr>
          <w:rFonts w:cs="仿宋_GB2312" w:asciiTheme="minorEastAsia" w:hAnsiTheme="minorEastAsia" w:eastAsiaTheme="minorEastAsia"/>
          <w:b/>
          <w:color w:val="auto"/>
          <w:sz w:val="32"/>
          <w:szCs w:val="32"/>
        </w:rPr>
      </w:pPr>
      <w:r>
        <w:rPr>
          <w:rFonts w:hint="eastAsia" w:asciiTheme="minorEastAsia" w:hAnsiTheme="minorEastAsia" w:eastAsiaTheme="minorEastAsia"/>
          <w:color w:val="auto"/>
          <w:sz w:val="24"/>
        </w:rPr>
        <w:t xml:space="preserve">   日             期：</w:t>
      </w:r>
      <w:r>
        <w:rPr>
          <w:rFonts w:hint="eastAsia" w:asciiTheme="minorEastAsia" w:hAnsiTheme="minorEastAsia" w:eastAsiaTheme="minorEastAsia"/>
          <w:color w:val="auto"/>
          <w:sz w:val="24"/>
          <w:u w:val="single"/>
        </w:rPr>
        <w:t xml:space="preserve">    年   月   日 </w:t>
      </w:r>
    </w:p>
    <w:p>
      <w:pPr>
        <w:spacing w:line="360" w:lineRule="auto"/>
        <w:jc w:val="center"/>
        <w:rPr>
          <w:rFonts w:cs="仿宋_GB2312" w:asciiTheme="minorEastAsia" w:hAnsiTheme="minorEastAsia" w:eastAsiaTheme="minorEastAsia"/>
          <w:color w:val="auto"/>
          <w:sz w:val="24"/>
        </w:rPr>
      </w:pPr>
    </w:p>
    <w:p>
      <w:pPr>
        <w:spacing w:line="360" w:lineRule="auto"/>
        <w:jc w:val="center"/>
        <w:rPr>
          <w:rFonts w:cs="仿宋_GB2312" w:asciiTheme="minorEastAsia" w:hAnsiTheme="minorEastAsia" w:eastAsiaTheme="minorEastAsia"/>
          <w:color w:val="auto"/>
          <w:sz w:val="24"/>
        </w:rPr>
      </w:pPr>
    </w:p>
    <w:p>
      <w:pPr>
        <w:spacing w:line="360" w:lineRule="auto"/>
        <w:rPr>
          <w:rFonts w:cs="仿宋_GB2312" w:asciiTheme="minorEastAsia" w:hAnsiTheme="minorEastAsia" w:eastAsiaTheme="minorEastAsia"/>
          <w:color w:val="auto"/>
          <w:sz w:val="24"/>
        </w:rPr>
      </w:pPr>
    </w:p>
    <w:p>
      <w:pPr>
        <w:spacing w:line="360" w:lineRule="auto"/>
        <w:jc w:val="center"/>
        <w:rPr>
          <w:rFonts w:asciiTheme="minorEastAsia" w:hAnsiTheme="minorEastAsia" w:eastAsiaTheme="minorEastAsia"/>
          <w:b/>
          <w:bCs/>
          <w:color w:val="auto"/>
          <w:sz w:val="32"/>
          <w:szCs w:val="32"/>
        </w:rPr>
      </w:pPr>
      <w:r>
        <w:rPr>
          <w:rFonts w:hint="eastAsia" w:cs="方正小标宋简体" w:asciiTheme="minorEastAsia" w:hAnsiTheme="minorEastAsia" w:eastAsiaTheme="minorEastAsia"/>
          <w:color w:val="auto"/>
          <w:sz w:val="44"/>
          <w:szCs w:val="44"/>
        </w:rPr>
        <w:t>质疑函（格式）</w:t>
      </w:r>
    </w:p>
    <w:p>
      <w:pPr>
        <w:spacing w:line="360" w:lineRule="auto"/>
        <w:jc w:val="center"/>
        <w:rPr>
          <w:rFonts w:asciiTheme="minorEastAsia" w:hAnsiTheme="minorEastAsia" w:eastAsiaTheme="minorEastAsia"/>
          <w:b/>
          <w:bCs/>
          <w:color w:val="auto"/>
          <w:sz w:val="32"/>
          <w:szCs w:val="32"/>
        </w:rPr>
      </w:pPr>
    </w:p>
    <w:p>
      <w:pPr>
        <w:pStyle w:val="14"/>
        <w:spacing w:line="360" w:lineRule="auto"/>
        <w:ind w:firstLine="482" w:firstLineChars="200"/>
        <w:contextualSpacing/>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一、质疑供应商基本信息：</w:t>
      </w:r>
    </w:p>
    <w:p>
      <w:pPr>
        <w:pStyle w:val="14"/>
        <w:spacing w:line="360" w:lineRule="auto"/>
        <w:ind w:firstLine="480" w:firstLineChars="200"/>
        <w:contextualSpacing/>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质疑供应商：</w:t>
      </w:r>
      <w:r>
        <w:rPr>
          <w:rFonts w:hint="eastAsia" w:asciiTheme="minorEastAsia" w:hAnsiTheme="minorEastAsia" w:eastAsiaTheme="minorEastAsia"/>
          <w:bCs/>
          <w:color w:val="auto"/>
          <w:sz w:val="24"/>
          <w:szCs w:val="24"/>
          <w:u w:val="single"/>
        </w:rPr>
        <w:t xml:space="preserve">                                       </w:t>
      </w:r>
      <w:r>
        <w:rPr>
          <w:rFonts w:hint="eastAsia" w:asciiTheme="minorEastAsia" w:hAnsiTheme="minorEastAsia" w:eastAsiaTheme="minorEastAsia"/>
          <w:bCs/>
          <w:color w:val="auto"/>
          <w:sz w:val="24"/>
          <w:szCs w:val="24"/>
        </w:rPr>
        <w:t xml:space="preserve"> </w:t>
      </w:r>
    </w:p>
    <w:p>
      <w:pPr>
        <w:pStyle w:val="14"/>
        <w:spacing w:line="360" w:lineRule="auto"/>
        <w:ind w:firstLine="480" w:firstLineChars="200"/>
        <w:contextualSpacing/>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地址</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邮编</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p>
    <w:p>
      <w:pPr>
        <w:pStyle w:val="14"/>
        <w:spacing w:line="360" w:lineRule="auto"/>
        <w:ind w:firstLine="480" w:firstLineChars="200"/>
        <w:contextualSpacing/>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联系人</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联系电话</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p>
    <w:p>
      <w:pPr>
        <w:pStyle w:val="14"/>
        <w:spacing w:line="360" w:lineRule="auto"/>
        <w:ind w:firstLine="480" w:firstLineChars="200"/>
        <w:contextualSpacing/>
        <w:rPr>
          <w:rFonts w:asciiTheme="minorEastAsia" w:hAnsiTheme="minorEastAsia" w:eastAsiaTheme="minorEastAsia"/>
          <w:bCs/>
          <w:color w:val="auto"/>
          <w:sz w:val="24"/>
          <w:szCs w:val="24"/>
        </w:rPr>
      </w:pPr>
      <w:r>
        <w:rPr>
          <w:rFonts w:hint="eastAsia" w:asciiTheme="minorEastAsia" w:hAnsiTheme="minorEastAsia" w:eastAsiaTheme="minorEastAsia"/>
          <w:bCs/>
          <w:color w:val="auto"/>
          <w:sz w:val="24"/>
          <w:szCs w:val="24"/>
        </w:rPr>
        <w:t>授权代表：</w:t>
      </w:r>
      <w:r>
        <w:rPr>
          <w:rFonts w:hint="eastAsia" w:asciiTheme="minorEastAsia" w:hAnsiTheme="minorEastAsia" w:eastAsiaTheme="minorEastAsia"/>
          <w:bCs/>
          <w:color w:val="auto"/>
          <w:sz w:val="24"/>
          <w:szCs w:val="24"/>
          <w:u w:val="single"/>
        </w:rPr>
        <w:t xml:space="preserve">                      </w:t>
      </w:r>
    </w:p>
    <w:p>
      <w:pPr>
        <w:pStyle w:val="14"/>
        <w:spacing w:line="360" w:lineRule="auto"/>
        <w:ind w:firstLine="480" w:firstLineChars="200"/>
        <w:contextualSpacing/>
        <w:rPr>
          <w:rFonts w:asciiTheme="minorEastAsia" w:hAnsiTheme="minorEastAsia" w:eastAsiaTheme="minorEastAsia"/>
          <w:bCs/>
          <w:color w:val="auto"/>
          <w:sz w:val="24"/>
          <w:szCs w:val="24"/>
          <w:u w:val="single"/>
        </w:rPr>
      </w:pPr>
      <w:r>
        <w:rPr>
          <w:rFonts w:asciiTheme="minorEastAsia" w:hAnsiTheme="minorEastAsia" w:eastAsiaTheme="minorEastAsia"/>
          <w:bCs/>
          <w:color w:val="auto"/>
          <w:sz w:val="24"/>
          <w:szCs w:val="24"/>
        </w:rPr>
        <w:t>联系</w:t>
      </w:r>
      <w:r>
        <w:rPr>
          <w:rFonts w:hint="eastAsia" w:asciiTheme="minorEastAsia" w:hAnsiTheme="minorEastAsia" w:eastAsiaTheme="minorEastAsia"/>
          <w:bCs/>
          <w:color w:val="auto"/>
          <w:sz w:val="24"/>
          <w:szCs w:val="24"/>
        </w:rPr>
        <w:t>电话：</w:t>
      </w:r>
      <w:r>
        <w:rPr>
          <w:rFonts w:hint="eastAsia" w:asciiTheme="minorEastAsia" w:hAnsiTheme="minorEastAsia" w:eastAsiaTheme="minorEastAsia"/>
          <w:bCs/>
          <w:color w:val="auto"/>
          <w:sz w:val="24"/>
          <w:szCs w:val="24"/>
          <w:u w:val="single"/>
        </w:rPr>
        <w:t xml:space="preserve">                      </w:t>
      </w:r>
    </w:p>
    <w:p>
      <w:pPr>
        <w:pStyle w:val="14"/>
        <w:spacing w:line="360" w:lineRule="auto"/>
        <w:ind w:firstLine="480" w:firstLineChars="200"/>
        <w:contextualSpacing/>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地址</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邮编</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p>
    <w:p>
      <w:pPr>
        <w:pStyle w:val="14"/>
        <w:spacing w:line="360" w:lineRule="auto"/>
        <w:ind w:firstLine="482" w:firstLineChars="200"/>
        <w:contextualSpacing/>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二、质疑项目基本情况：</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bCs/>
          <w:color w:val="auto"/>
          <w:sz w:val="24"/>
          <w:szCs w:val="24"/>
        </w:rPr>
        <w:t>质疑</w:t>
      </w:r>
      <w:r>
        <w:rPr>
          <w:rFonts w:hint="eastAsia" w:asciiTheme="minorEastAsia" w:hAnsiTheme="minorEastAsia" w:eastAsiaTheme="minorEastAsia"/>
          <w:color w:val="auto"/>
          <w:sz w:val="24"/>
          <w:szCs w:val="24"/>
        </w:rPr>
        <w:t>项目的名称：</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bCs/>
          <w:color w:val="auto"/>
          <w:sz w:val="24"/>
          <w:szCs w:val="24"/>
        </w:rPr>
        <w:t>质疑</w:t>
      </w:r>
      <w:r>
        <w:rPr>
          <w:rFonts w:hint="eastAsia" w:asciiTheme="minorEastAsia" w:hAnsiTheme="minorEastAsia" w:eastAsiaTheme="minorEastAsia"/>
          <w:color w:val="auto"/>
          <w:sz w:val="24"/>
          <w:szCs w:val="24"/>
        </w:rPr>
        <w:t>项目的编号：</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采购人名称：</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质疑事项：</w:t>
      </w:r>
    </w:p>
    <w:p>
      <w:pPr>
        <w:pStyle w:val="14"/>
        <w:spacing w:line="360" w:lineRule="auto"/>
        <w:ind w:left="25" w:leftChars="12" w:firstLine="352" w:firstLineChars="14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□采购文件   采购文件获取日期：</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352" w:firstLineChars="14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□采购过程   </w:t>
      </w:r>
    </w:p>
    <w:p>
      <w:pPr>
        <w:pStyle w:val="14"/>
        <w:spacing w:line="360" w:lineRule="auto"/>
        <w:ind w:left="25" w:leftChars="12" w:firstLine="352" w:firstLineChars="147"/>
        <w:contextualSpacing/>
        <w:rPr>
          <w:rFonts w:asciiTheme="minorEastAsia" w:hAnsiTheme="minorEastAsia" w:eastAsiaTheme="minorEastAsia"/>
          <w:bCs/>
          <w:color w:val="auto"/>
          <w:sz w:val="24"/>
          <w:szCs w:val="24"/>
          <w:u w:val="single"/>
        </w:rPr>
      </w:pPr>
      <w:r>
        <w:rPr>
          <w:rFonts w:hint="eastAsia" w:asciiTheme="minorEastAsia" w:hAnsiTheme="minorEastAsia" w:eastAsiaTheme="minorEastAsia"/>
          <w:color w:val="auto"/>
          <w:sz w:val="24"/>
          <w:szCs w:val="24"/>
        </w:rPr>
        <w:t xml:space="preserve">□成交结果   </w:t>
      </w:r>
    </w:p>
    <w:p>
      <w:pPr>
        <w:pStyle w:val="14"/>
        <w:spacing w:line="360" w:lineRule="auto"/>
        <w:ind w:left="25" w:leftChars="12" w:firstLine="472" w:firstLineChars="196"/>
        <w:contextualSpacing/>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三、质疑事项具体内容</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质疑事项1：</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事实依据：</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法律依据：</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质疑事项2</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四、与质疑事项相关的质疑请求：</w:t>
      </w: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请求：</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352" w:firstLineChars="147"/>
        <w:contextualSpacing/>
        <w:rPr>
          <w:rFonts w:asciiTheme="minorEastAsia" w:hAnsiTheme="minorEastAsia" w:eastAsiaTheme="minorEastAsia"/>
          <w:color w:val="auto"/>
          <w:sz w:val="24"/>
          <w:szCs w:val="24"/>
        </w:rPr>
      </w:pP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签字（签章）：                                       公章：</w:t>
      </w:r>
    </w:p>
    <w:p>
      <w:pPr>
        <w:pStyle w:val="14"/>
        <w:spacing w:line="360" w:lineRule="auto"/>
        <w:ind w:left="25" w:leftChars="12" w:firstLine="352" w:firstLineChars="147"/>
        <w:contextualSpacing/>
        <w:rPr>
          <w:rFonts w:asciiTheme="minorEastAsia" w:hAnsiTheme="minorEastAsia" w:eastAsiaTheme="minorEastAsia"/>
          <w:color w:val="auto"/>
          <w:sz w:val="24"/>
          <w:szCs w:val="24"/>
        </w:rPr>
      </w:pPr>
    </w:p>
    <w:p>
      <w:pPr>
        <w:pStyle w:val="14"/>
        <w:spacing w:line="360" w:lineRule="auto"/>
        <w:ind w:left="25" w:leftChars="12" w:firstLine="472" w:firstLineChars="197"/>
        <w:contextualSpacing/>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日期：</w:t>
      </w:r>
    </w:p>
    <w:p>
      <w:pPr>
        <w:pStyle w:val="14"/>
        <w:spacing w:line="360" w:lineRule="auto"/>
        <w:contextualSpacing/>
        <w:rPr>
          <w:rFonts w:asciiTheme="minorEastAsia" w:hAnsiTheme="minorEastAsia" w:eastAsiaTheme="minorEastAsia"/>
          <w:b/>
          <w:color w:val="auto"/>
          <w:sz w:val="24"/>
          <w:szCs w:val="24"/>
        </w:rPr>
      </w:pPr>
    </w:p>
    <w:p>
      <w:pPr>
        <w:pStyle w:val="14"/>
        <w:spacing w:line="360" w:lineRule="auto"/>
        <w:contextualSpacing/>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说明：</w:t>
      </w:r>
    </w:p>
    <w:p>
      <w:pPr>
        <w:pStyle w:val="14"/>
        <w:spacing w:line="360" w:lineRule="auto"/>
        <w:ind w:left="25" w:leftChars="12" w:firstLine="354" w:firstLineChars="147"/>
        <w:contextualSpacing/>
        <w:rPr>
          <w:rFonts w:asciiTheme="minorEastAsia" w:hAnsiTheme="minorEastAsia" w:eastAsiaTheme="minorEastAsia"/>
          <w:b/>
          <w:bCs/>
          <w:color w:val="auto"/>
          <w:sz w:val="24"/>
          <w:szCs w:val="24"/>
        </w:rPr>
      </w:pPr>
      <w:r>
        <w:rPr>
          <w:rFonts w:hint="eastAsia" w:asciiTheme="minorEastAsia" w:hAnsiTheme="minorEastAsia" w:eastAsiaTheme="minorEastAsia"/>
          <w:b/>
          <w:color w:val="auto"/>
          <w:sz w:val="24"/>
          <w:szCs w:val="24"/>
        </w:rPr>
        <w:t>1.供应商提出质疑时，应提交质疑函和必要的证明材料</w:t>
      </w:r>
      <w:r>
        <w:rPr>
          <w:rFonts w:hint="eastAsia" w:asciiTheme="minorEastAsia" w:hAnsiTheme="minorEastAsia" w:eastAsiaTheme="minorEastAsia"/>
          <w:b/>
          <w:bCs/>
          <w:color w:val="auto"/>
          <w:sz w:val="24"/>
          <w:szCs w:val="24"/>
        </w:rPr>
        <w:t>。</w:t>
      </w:r>
    </w:p>
    <w:p>
      <w:pPr>
        <w:pStyle w:val="14"/>
        <w:spacing w:line="360" w:lineRule="auto"/>
        <w:ind w:left="25" w:leftChars="12" w:firstLine="354" w:firstLineChars="147"/>
        <w:contextualSpacing/>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4"/>
        <w:spacing w:line="360" w:lineRule="auto"/>
        <w:ind w:left="25" w:leftChars="12" w:firstLine="354" w:firstLineChars="147"/>
        <w:contextualSpacing/>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3.质疑函的质疑事项应具体、明确，并有必要的事实依据和法律依据。</w:t>
      </w:r>
    </w:p>
    <w:p>
      <w:pPr>
        <w:pStyle w:val="14"/>
        <w:spacing w:line="360" w:lineRule="auto"/>
        <w:ind w:left="25" w:leftChars="12" w:firstLine="354" w:firstLineChars="147"/>
        <w:contextualSpacing/>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4.质疑函的质疑请求应与质疑事项相关。</w:t>
      </w:r>
    </w:p>
    <w:p>
      <w:pPr>
        <w:pStyle w:val="14"/>
        <w:spacing w:line="360" w:lineRule="auto"/>
        <w:ind w:left="25" w:leftChars="12" w:firstLine="354" w:firstLineChars="147"/>
        <w:contextualSpacing/>
        <w:rPr>
          <w:rFonts w:asciiTheme="minorEastAsia" w:hAnsiTheme="minorEastAsia" w:eastAsiaTheme="minorEastAsia"/>
          <w:b/>
          <w:color w:val="auto"/>
        </w:rPr>
      </w:pPr>
      <w:r>
        <w:rPr>
          <w:rFonts w:hint="eastAsia" w:asciiTheme="minorEastAsia" w:hAnsiTheme="minorEastAsia" w:eastAsiaTheme="minorEastAsia"/>
          <w:b/>
          <w:color w:val="auto"/>
          <w:sz w:val="24"/>
          <w:szCs w:val="24"/>
        </w:rPr>
        <w:t>5.质疑供应商为法人或者其他组织的，质疑函应由法定代表人、主要负责人，或者其授权代表签字或者盖章，并加盖公章。</w:t>
      </w:r>
    </w:p>
    <w:p>
      <w:pPr>
        <w:pStyle w:val="14"/>
        <w:snapToGrid w:val="0"/>
        <w:spacing w:line="360" w:lineRule="auto"/>
        <w:rPr>
          <w:rFonts w:asciiTheme="minorEastAsia" w:hAnsiTheme="minorEastAsia" w:eastAsiaTheme="minorEastAsia"/>
          <w:b/>
          <w:color w:val="auto"/>
          <w:sz w:val="24"/>
          <w:szCs w:val="24"/>
        </w:rPr>
      </w:pPr>
    </w:p>
    <w:p>
      <w:pPr>
        <w:spacing w:line="360" w:lineRule="auto"/>
        <w:rPr>
          <w:rFonts w:asciiTheme="minorEastAsia" w:hAnsiTheme="minorEastAsia" w:eastAsiaTheme="minorEastAsia"/>
          <w:color w:val="auto"/>
        </w:rPr>
      </w:pPr>
      <w:r>
        <w:rPr>
          <w:rFonts w:asciiTheme="minorEastAsia" w:hAnsiTheme="minorEastAsia" w:eastAsiaTheme="minorEastAsia"/>
          <w:color w:val="auto"/>
        </w:rPr>
        <w:br w:type="page"/>
      </w:r>
    </w:p>
    <w:p>
      <w:pPr>
        <w:spacing w:line="360" w:lineRule="auto"/>
        <w:jc w:val="center"/>
        <w:rPr>
          <w:rFonts w:cs="方正小标宋简体" w:asciiTheme="minorEastAsia" w:hAnsiTheme="minorEastAsia" w:eastAsiaTheme="minorEastAsia"/>
          <w:color w:val="auto"/>
          <w:sz w:val="44"/>
          <w:szCs w:val="44"/>
        </w:rPr>
      </w:pPr>
      <w:r>
        <w:rPr>
          <w:rFonts w:hint="eastAsia" w:cs="方正小标宋简体" w:asciiTheme="minorEastAsia" w:hAnsiTheme="minorEastAsia" w:eastAsiaTheme="minorEastAsia"/>
          <w:color w:val="auto"/>
          <w:sz w:val="44"/>
          <w:szCs w:val="44"/>
        </w:rPr>
        <w:t>投诉书（格式）</w:t>
      </w:r>
    </w:p>
    <w:p>
      <w:pPr>
        <w:pStyle w:val="14"/>
        <w:snapToGrid w:val="0"/>
        <w:spacing w:line="360" w:lineRule="auto"/>
        <w:ind w:firstLine="482" w:firstLineChars="200"/>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一、投诉相关主体基本情况：</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供应商：</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地址</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邮编</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法定代表人/主要负责人：</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联系电话</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授权代表：</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联系</w:t>
      </w:r>
      <w:r>
        <w:rPr>
          <w:rFonts w:hint="eastAsia" w:asciiTheme="minorEastAsia" w:hAnsiTheme="minorEastAsia" w:eastAsiaTheme="minorEastAsia"/>
          <w:bCs/>
          <w:color w:val="auto"/>
          <w:sz w:val="24"/>
          <w:szCs w:val="24"/>
        </w:rPr>
        <w:t>电话：</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asciiTheme="minorEastAsia" w:hAnsiTheme="minorEastAsia" w:eastAsiaTheme="minorEastAsia"/>
          <w:bCs/>
          <w:color w:val="auto"/>
          <w:sz w:val="24"/>
          <w:szCs w:val="24"/>
        </w:rPr>
        <w:t>地址</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邮编</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r>
        <w:rPr>
          <w:rFonts w:hint="eastAsia" w:asciiTheme="minorEastAsia" w:hAnsiTheme="minorEastAsia" w:eastAsiaTheme="minorEastAsia"/>
          <w:bCs/>
          <w:color w:val="auto"/>
          <w:sz w:val="24"/>
          <w:szCs w:val="24"/>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hint="eastAsia" w:asciiTheme="minorEastAsia" w:hAnsiTheme="minorEastAsia" w:eastAsiaTheme="minorEastAsia"/>
          <w:bCs/>
          <w:color w:val="auto"/>
          <w:sz w:val="24"/>
          <w:szCs w:val="24"/>
        </w:rPr>
        <w:t>被投诉人1：</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地址：</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邮编</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r>
        <w:rPr>
          <w:rFonts w:hint="eastAsia" w:asciiTheme="minorEastAsia" w:hAnsiTheme="minorEastAsia" w:eastAsiaTheme="minorEastAsia"/>
          <w:bCs/>
          <w:color w:val="auto"/>
          <w:sz w:val="24"/>
          <w:szCs w:val="24"/>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联系人：</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联系</w:t>
      </w:r>
      <w:r>
        <w:rPr>
          <w:rFonts w:hint="eastAsia" w:asciiTheme="minorEastAsia" w:hAnsiTheme="minorEastAsia" w:eastAsiaTheme="minorEastAsia"/>
          <w:bCs/>
          <w:color w:val="auto"/>
          <w:sz w:val="24"/>
          <w:szCs w:val="24"/>
        </w:rPr>
        <w:t>电话：</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hint="eastAsia" w:asciiTheme="minorEastAsia" w:hAnsiTheme="minorEastAsia" w:eastAsiaTheme="minorEastAsia"/>
          <w:bCs/>
          <w:color w:val="auto"/>
          <w:sz w:val="24"/>
          <w:szCs w:val="24"/>
        </w:rPr>
        <w:t>被投诉人2：</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相关供应商：</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u w:val="single"/>
        </w:rPr>
      </w:pPr>
      <w:r>
        <w:rPr>
          <w:rFonts w:asciiTheme="minorEastAsia" w:hAnsiTheme="minorEastAsia" w:eastAsiaTheme="minorEastAsia"/>
          <w:bCs/>
          <w:color w:val="auto"/>
          <w:sz w:val="24"/>
          <w:szCs w:val="24"/>
        </w:rPr>
        <w:t>地址</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邮编</w:t>
      </w:r>
      <w:r>
        <w:rPr>
          <w:rFonts w:hint="eastAsia" w:asciiTheme="minorEastAsia" w:hAnsiTheme="minorEastAsia" w:eastAsiaTheme="minorEastAsia"/>
          <w:bCs/>
          <w:color w:val="auto"/>
          <w:sz w:val="24"/>
          <w:szCs w:val="24"/>
        </w:rPr>
        <w:t>：</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0" w:firstLineChars="200"/>
        <w:rPr>
          <w:rFonts w:asciiTheme="minorEastAsia" w:hAnsiTheme="minorEastAsia" w:eastAsiaTheme="minorEastAsia"/>
          <w:bCs/>
          <w:color w:val="auto"/>
          <w:sz w:val="24"/>
          <w:szCs w:val="24"/>
        </w:rPr>
      </w:pPr>
      <w:r>
        <w:rPr>
          <w:rFonts w:hint="eastAsia" w:asciiTheme="minorEastAsia" w:hAnsiTheme="minorEastAsia" w:eastAsiaTheme="minorEastAsia"/>
          <w:bCs/>
          <w:color w:val="auto"/>
          <w:sz w:val="24"/>
          <w:szCs w:val="24"/>
        </w:rPr>
        <w:t>联系人：</w:t>
      </w:r>
      <w:r>
        <w:rPr>
          <w:rFonts w:hint="eastAsia" w:asciiTheme="minorEastAsia" w:hAnsiTheme="minorEastAsia" w:eastAsiaTheme="minorEastAsia"/>
          <w:bCs/>
          <w:color w:val="auto"/>
          <w:sz w:val="24"/>
          <w:szCs w:val="24"/>
          <w:u w:val="single"/>
        </w:rPr>
        <w:t xml:space="preserve">                                            </w:t>
      </w:r>
      <w:r>
        <w:rPr>
          <w:rFonts w:asciiTheme="minorEastAsia" w:hAnsiTheme="minorEastAsia" w:eastAsiaTheme="minorEastAsia"/>
          <w:bCs/>
          <w:color w:val="auto"/>
          <w:sz w:val="24"/>
          <w:szCs w:val="24"/>
        </w:rPr>
        <w:t>联系</w:t>
      </w:r>
      <w:r>
        <w:rPr>
          <w:rFonts w:hint="eastAsia" w:asciiTheme="minorEastAsia" w:hAnsiTheme="minorEastAsia" w:eastAsiaTheme="minorEastAsia"/>
          <w:bCs/>
          <w:color w:val="auto"/>
          <w:sz w:val="24"/>
          <w:szCs w:val="24"/>
        </w:rPr>
        <w:t>电话：</w:t>
      </w:r>
      <w:r>
        <w:rPr>
          <w:rFonts w:hint="eastAsia" w:asciiTheme="minorEastAsia" w:hAnsiTheme="minorEastAsia" w:eastAsiaTheme="minorEastAsia"/>
          <w:bCs/>
          <w:color w:val="auto"/>
          <w:sz w:val="24"/>
          <w:szCs w:val="24"/>
          <w:u w:val="single"/>
        </w:rPr>
        <w:t xml:space="preserve">       </w:t>
      </w:r>
    </w:p>
    <w:p>
      <w:pPr>
        <w:pStyle w:val="14"/>
        <w:snapToGrid w:val="0"/>
        <w:spacing w:line="360" w:lineRule="auto"/>
        <w:ind w:firstLine="482" w:firstLineChars="200"/>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二、投诉项目基本情况：</w:t>
      </w:r>
    </w:p>
    <w:p>
      <w:pPr>
        <w:pStyle w:val="14"/>
        <w:spacing w:line="360" w:lineRule="auto"/>
        <w:ind w:left="25" w:leftChars="12" w:firstLine="472" w:firstLineChars="197"/>
        <w:rPr>
          <w:rFonts w:asciiTheme="minorEastAsia" w:hAnsiTheme="minorEastAsia" w:eastAsiaTheme="minorEastAsia"/>
          <w:color w:val="auto"/>
          <w:sz w:val="24"/>
          <w:szCs w:val="24"/>
        </w:rPr>
      </w:pPr>
      <w:r>
        <w:rPr>
          <w:rFonts w:hint="eastAsia" w:asciiTheme="minorEastAsia" w:hAnsiTheme="minorEastAsia" w:eastAsiaTheme="minorEastAsia"/>
          <w:bCs/>
          <w:color w:val="auto"/>
          <w:sz w:val="24"/>
          <w:szCs w:val="24"/>
        </w:rPr>
        <w:t>采购</w:t>
      </w:r>
      <w:r>
        <w:rPr>
          <w:rFonts w:hint="eastAsia" w:asciiTheme="minorEastAsia" w:hAnsiTheme="minorEastAsia" w:eastAsiaTheme="minorEastAsia"/>
          <w:color w:val="auto"/>
          <w:sz w:val="24"/>
          <w:szCs w:val="24"/>
        </w:rPr>
        <w:t>项目的名称：</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rPr>
          <w:rFonts w:asciiTheme="minorEastAsia" w:hAnsiTheme="minorEastAsia" w:eastAsiaTheme="minorEastAsia"/>
          <w:color w:val="auto"/>
          <w:sz w:val="24"/>
          <w:szCs w:val="24"/>
        </w:rPr>
      </w:pPr>
      <w:r>
        <w:rPr>
          <w:rFonts w:hint="eastAsia" w:asciiTheme="minorEastAsia" w:hAnsiTheme="minorEastAsia" w:eastAsiaTheme="minorEastAsia"/>
          <w:bCs/>
          <w:color w:val="auto"/>
          <w:sz w:val="24"/>
          <w:szCs w:val="24"/>
        </w:rPr>
        <w:t>采购</w:t>
      </w:r>
      <w:r>
        <w:rPr>
          <w:rFonts w:hint="eastAsia" w:asciiTheme="minorEastAsia" w:hAnsiTheme="minorEastAsia" w:eastAsiaTheme="minorEastAsia"/>
          <w:color w:val="auto"/>
          <w:sz w:val="24"/>
          <w:szCs w:val="24"/>
        </w:rPr>
        <w:t>项目的编号：</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rPr>
          <w:rFonts w:asciiTheme="minorEastAsia" w:hAnsiTheme="minorEastAsia" w:eastAsiaTheme="minorEastAsia"/>
          <w:bCs/>
          <w:color w:val="auto"/>
          <w:sz w:val="24"/>
          <w:szCs w:val="24"/>
          <w:u w:val="single"/>
        </w:rPr>
      </w:pPr>
      <w:r>
        <w:rPr>
          <w:rFonts w:hint="eastAsia" w:asciiTheme="minorEastAsia" w:hAnsiTheme="minorEastAsia" w:eastAsiaTheme="minorEastAsia"/>
          <w:color w:val="auto"/>
          <w:sz w:val="24"/>
          <w:szCs w:val="24"/>
        </w:rPr>
        <w:t>采购人名称：</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rPr>
          <w:rFonts w:asciiTheme="minorEastAsia" w:hAnsiTheme="minorEastAsia" w:eastAsiaTheme="minorEastAsia"/>
          <w:bCs/>
          <w:color w:val="auto"/>
          <w:sz w:val="24"/>
          <w:szCs w:val="24"/>
          <w:u w:val="single"/>
        </w:rPr>
      </w:pPr>
      <w:r>
        <w:rPr>
          <w:rFonts w:hint="eastAsia" w:asciiTheme="minorEastAsia" w:hAnsiTheme="minorEastAsia" w:eastAsiaTheme="minorEastAsia"/>
          <w:color w:val="auto"/>
          <w:sz w:val="24"/>
          <w:szCs w:val="24"/>
        </w:rPr>
        <w:t>代理机构名称：</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采购文件公告：</w:t>
      </w:r>
      <w:r>
        <w:rPr>
          <w:rFonts w:hint="eastAsia" w:asciiTheme="minorEastAsia" w:hAnsiTheme="minorEastAsia" w:eastAsiaTheme="minorEastAsia"/>
          <w:bCs/>
          <w:color w:val="auto"/>
          <w:sz w:val="24"/>
          <w:szCs w:val="24"/>
          <w:u w:val="single"/>
        </w:rPr>
        <w:t>是/否</w:t>
      </w:r>
      <w:r>
        <w:rPr>
          <w:rFonts w:hint="eastAsia" w:asciiTheme="minorEastAsia" w:hAnsiTheme="minorEastAsia" w:eastAsiaTheme="minorEastAsia"/>
          <w:bCs/>
          <w:color w:val="auto"/>
          <w:sz w:val="24"/>
          <w:szCs w:val="24"/>
        </w:rPr>
        <w:t>公告期限：</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rPr>
          <w:rFonts w:asciiTheme="minorEastAsia" w:hAnsiTheme="minorEastAsia" w:eastAsiaTheme="minorEastAsia"/>
          <w:b/>
          <w:color w:val="auto"/>
          <w:sz w:val="24"/>
          <w:szCs w:val="24"/>
        </w:rPr>
      </w:pPr>
      <w:r>
        <w:rPr>
          <w:rFonts w:hint="eastAsia" w:asciiTheme="minorEastAsia" w:hAnsiTheme="minorEastAsia" w:eastAsiaTheme="minorEastAsia"/>
          <w:bCs/>
          <w:color w:val="auto"/>
          <w:sz w:val="24"/>
          <w:szCs w:val="24"/>
        </w:rPr>
        <w:t>采购结果公告：</w:t>
      </w:r>
      <w:r>
        <w:rPr>
          <w:rFonts w:hint="eastAsia" w:asciiTheme="minorEastAsia" w:hAnsiTheme="minorEastAsia" w:eastAsiaTheme="minorEastAsia"/>
          <w:bCs/>
          <w:color w:val="auto"/>
          <w:sz w:val="24"/>
          <w:szCs w:val="24"/>
          <w:u w:val="single"/>
        </w:rPr>
        <w:t>是/否</w:t>
      </w:r>
      <w:r>
        <w:rPr>
          <w:rFonts w:hint="eastAsia" w:asciiTheme="minorEastAsia" w:hAnsiTheme="minorEastAsia" w:eastAsiaTheme="minorEastAsia"/>
          <w:bCs/>
          <w:color w:val="auto"/>
          <w:sz w:val="24"/>
          <w:szCs w:val="24"/>
        </w:rPr>
        <w:t>公告期限：</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三、质疑基本情况</w:t>
      </w:r>
    </w:p>
    <w:p>
      <w:pPr>
        <w:pStyle w:val="14"/>
        <w:spacing w:line="360" w:lineRule="auto"/>
        <w:ind w:left="23" w:leftChars="11" w:firstLine="540" w:firstLineChars="225"/>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投诉人于</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年</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月</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日，向</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提出质疑，质疑事项为：</w:t>
      </w:r>
    </w:p>
    <w:p>
      <w:pPr>
        <w:pStyle w:val="14"/>
        <w:spacing w:line="360" w:lineRule="auto"/>
        <w:ind w:left="23" w:leftChars="11" w:firstLine="540" w:firstLineChars="225"/>
        <w:rPr>
          <w:rFonts w:asciiTheme="minorEastAsia" w:hAnsiTheme="minorEastAsia" w:eastAsiaTheme="minorEastAsia"/>
          <w:bCs/>
          <w:color w:val="auto"/>
          <w:sz w:val="24"/>
          <w:szCs w:val="24"/>
          <w:u w:val="single"/>
        </w:rPr>
      </w:pPr>
      <w:r>
        <w:rPr>
          <w:rFonts w:hint="eastAsia" w:asciiTheme="minorEastAsia" w:hAnsiTheme="minorEastAsia" w:eastAsiaTheme="minorEastAsia"/>
          <w:color w:val="auto"/>
          <w:sz w:val="24"/>
          <w:szCs w:val="24"/>
        </w:rPr>
        <w:t xml:space="preserve">    </w:t>
      </w:r>
      <w:r>
        <w:rPr>
          <w:rFonts w:hint="eastAsia" w:asciiTheme="minorEastAsia" w:hAnsiTheme="minorEastAsia" w:eastAsiaTheme="minorEastAsia"/>
          <w:bCs/>
          <w:color w:val="auto"/>
          <w:sz w:val="24"/>
          <w:szCs w:val="24"/>
          <w:u w:val="single"/>
        </w:rPr>
        <w:t xml:space="preserve">                                                                </w:t>
      </w:r>
    </w:p>
    <w:p>
      <w:pPr>
        <w:pStyle w:val="14"/>
        <w:spacing w:line="360" w:lineRule="auto"/>
        <w:ind w:left="23" w:leftChars="11" w:firstLine="540" w:firstLineChars="225"/>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 xml:space="preserve">    </w:t>
      </w:r>
      <w:r>
        <w:rPr>
          <w:rFonts w:hint="eastAsia" w:asciiTheme="minorEastAsia" w:hAnsiTheme="minorEastAsia" w:eastAsiaTheme="minorEastAsia"/>
          <w:bCs/>
          <w:color w:val="auto"/>
          <w:sz w:val="24"/>
          <w:szCs w:val="24"/>
          <w:u w:val="single"/>
        </w:rPr>
        <w:t xml:space="preserve">                                                                </w:t>
      </w:r>
    </w:p>
    <w:p>
      <w:pPr>
        <w:pStyle w:val="14"/>
        <w:spacing w:line="360" w:lineRule="auto"/>
        <w:ind w:left="23" w:leftChars="11" w:firstLine="540" w:firstLineChars="225"/>
        <w:rPr>
          <w:rFonts w:asciiTheme="minorEastAsia" w:hAnsiTheme="minorEastAsia" w:eastAsiaTheme="minorEastAsia"/>
          <w:color w:val="auto"/>
          <w:sz w:val="24"/>
          <w:szCs w:val="24"/>
        </w:rPr>
      </w:pPr>
      <w:r>
        <w:rPr>
          <w:rFonts w:hint="eastAsia" w:asciiTheme="minorEastAsia" w:hAnsiTheme="minorEastAsia" w:eastAsiaTheme="minorEastAsia"/>
          <w:bCs/>
          <w:color w:val="auto"/>
          <w:sz w:val="24"/>
          <w:szCs w:val="24"/>
          <w:u w:val="single"/>
        </w:rPr>
        <w:t>采购人/代理机构</w:t>
      </w:r>
      <w:r>
        <w:rPr>
          <w:rFonts w:hint="eastAsia" w:asciiTheme="minorEastAsia" w:hAnsiTheme="minorEastAsia" w:eastAsiaTheme="minorEastAsia"/>
          <w:bCs/>
          <w:color w:val="auto"/>
          <w:sz w:val="24"/>
          <w:szCs w:val="24"/>
        </w:rPr>
        <w:t>于</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年</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月</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日，</w:t>
      </w:r>
      <w:r>
        <w:rPr>
          <w:rFonts w:hint="eastAsia" w:asciiTheme="minorEastAsia" w:hAnsiTheme="minorEastAsia" w:eastAsiaTheme="minorEastAsia"/>
          <w:bCs/>
          <w:color w:val="auto"/>
          <w:sz w:val="24"/>
          <w:szCs w:val="24"/>
        </w:rPr>
        <w:t xml:space="preserve">就质疑事项作出了答复/没有在法定期限内作出答复。                                                                                             </w:t>
      </w:r>
    </w:p>
    <w:p>
      <w:pPr>
        <w:pStyle w:val="14"/>
        <w:spacing w:line="360" w:lineRule="auto"/>
        <w:ind w:left="25" w:leftChars="12"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四、投诉事项具体内容</w:t>
      </w:r>
    </w:p>
    <w:p>
      <w:pPr>
        <w:pStyle w:val="14"/>
        <w:spacing w:line="360" w:lineRule="auto"/>
        <w:ind w:left="25" w:leftChars="12" w:firstLine="472" w:firstLineChars="197"/>
        <w:rPr>
          <w:rFonts w:asciiTheme="minorEastAsia" w:hAnsiTheme="minorEastAsia" w:eastAsiaTheme="minorEastAsia"/>
          <w:bCs/>
          <w:color w:val="auto"/>
          <w:sz w:val="24"/>
          <w:szCs w:val="24"/>
          <w:u w:val="single"/>
        </w:rPr>
      </w:pPr>
      <w:r>
        <w:rPr>
          <w:rFonts w:hint="eastAsia" w:asciiTheme="minorEastAsia" w:hAnsiTheme="minorEastAsia" w:eastAsiaTheme="minorEastAsia"/>
          <w:color w:val="auto"/>
          <w:sz w:val="24"/>
          <w:szCs w:val="24"/>
        </w:rPr>
        <w:t>投诉事项1：</w:t>
      </w:r>
      <w:r>
        <w:rPr>
          <w:rFonts w:hint="eastAsia" w:asciiTheme="minorEastAsia" w:hAnsiTheme="minorEastAsia" w:eastAsiaTheme="minorEastAsia"/>
          <w:bCs/>
          <w:color w:val="auto"/>
          <w:sz w:val="24"/>
          <w:szCs w:val="24"/>
          <w:u w:val="single"/>
        </w:rPr>
        <w:t xml:space="preserve">                                                         </w:t>
      </w:r>
    </w:p>
    <w:p>
      <w:pPr>
        <w:pStyle w:val="14"/>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事实依据：</w:t>
      </w:r>
      <w:r>
        <w:rPr>
          <w:rFonts w:hint="eastAsia" w:asciiTheme="minorEastAsia" w:hAnsiTheme="minorEastAsia" w:eastAsiaTheme="minorEastAsia"/>
          <w:color w:val="auto"/>
          <w:sz w:val="24"/>
          <w:szCs w:val="24"/>
        </w:rPr>
        <w:t xml:space="preserve"> </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rPr>
          <w:rFonts w:asciiTheme="minorEastAsia" w:hAnsiTheme="minorEastAsia" w:eastAsiaTheme="minorEastAsia"/>
          <w:color w:val="auto"/>
          <w:sz w:val="24"/>
          <w:szCs w:val="24"/>
        </w:rPr>
      </w:pPr>
      <w:r>
        <w:rPr>
          <w:rFonts w:hint="eastAsia" w:asciiTheme="minorEastAsia" w:hAnsiTheme="minorEastAsia" w:eastAsiaTheme="minorEastAsia"/>
          <w:bCs/>
          <w:color w:val="auto"/>
          <w:sz w:val="24"/>
          <w:szCs w:val="24"/>
          <w:u w:val="single"/>
        </w:rPr>
        <w:t xml:space="preserve">                                                                     </w:t>
      </w:r>
    </w:p>
    <w:p>
      <w:pPr>
        <w:pStyle w:val="14"/>
        <w:spacing w:line="360" w:lineRule="auto"/>
        <w:ind w:firstLine="480" w:firstLineChars="200"/>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法律依据：</w:t>
      </w:r>
      <w:r>
        <w:rPr>
          <w:rFonts w:hint="eastAsia" w:asciiTheme="minorEastAsia" w:hAnsiTheme="minorEastAsia" w:eastAsiaTheme="minorEastAsia"/>
          <w:color w:val="auto"/>
          <w:sz w:val="24"/>
          <w:szCs w:val="24"/>
        </w:rPr>
        <w:t xml:space="preserve"> </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352" w:firstLineChars="147"/>
        <w:rPr>
          <w:rFonts w:asciiTheme="minorEastAsia" w:hAnsiTheme="minorEastAsia" w:eastAsiaTheme="minorEastAsia"/>
          <w:bCs/>
          <w:color w:val="auto"/>
          <w:sz w:val="24"/>
          <w:szCs w:val="24"/>
          <w:u w:val="single"/>
        </w:rPr>
      </w:pPr>
      <w:r>
        <w:rPr>
          <w:rFonts w:hint="eastAsia" w:asciiTheme="minorEastAsia" w:hAnsiTheme="minorEastAsia" w:eastAsiaTheme="minorEastAsia"/>
          <w:bCs/>
          <w:color w:val="auto"/>
          <w:sz w:val="24"/>
          <w:szCs w:val="24"/>
        </w:rPr>
        <w:t xml:space="preserve"> </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472" w:firstLineChars="197"/>
        <w:rPr>
          <w:rFonts w:asciiTheme="minorEastAsia" w:hAnsiTheme="minorEastAsia" w:eastAsiaTheme="minorEastAsia"/>
          <w:bCs/>
          <w:color w:val="auto"/>
          <w:sz w:val="24"/>
          <w:szCs w:val="24"/>
        </w:rPr>
      </w:pPr>
      <w:r>
        <w:rPr>
          <w:rFonts w:hint="eastAsia" w:asciiTheme="minorEastAsia" w:hAnsiTheme="minorEastAsia" w:eastAsiaTheme="minorEastAsia"/>
          <w:color w:val="auto"/>
          <w:sz w:val="24"/>
          <w:szCs w:val="24"/>
        </w:rPr>
        <w:t xml:space="preserve">投诉事项2  </w:t>
      </w:r>
      <w:r>
        <w:rPr>
          <w:rFonts w:hint="eastAsia" w:asciiTheme="minorEastAsia" w:hAnsiTheme="minorEastAsia" w:eastAsiaTheme="minorEastAsia"/>
          <w:bCs/>
          <w:color w:val="auto"/>
          <w:sz w:val="24"/>
          <w:szCs w:val="24"/>
        </w:rPr>
        <w:t xml:space="preserve">   </w:t>
      </w:r>
    </w:p>
    <w:p>
      <w:pPr>
        <w:pStyle w:val="14"/>
        <w:spacing w:line="360" w:lineRule="auto"/>
        <w:ind w:left="25" w:leftChars="12" w:firstLine="472" w:firstLineChars="197"/>
        <w:rPr>
          <w:rFonts w:asciiTheme="minorEastAsia" w:hAnsiTheme="minorEastAsia" w:eastAsiaTheme="minorEastAsia"/>
          <w:bCs/>
          <w:color w:val="auto"/>
          <w:sz w:val="24"/>
          <w:szCs w:val="24"/>
        </w:rPr>
      </w:pPr>
      <w:r>
        <w:rPr>
          <w:rFonts w:asciiTheme="minorEastAsia" w:hAnsiTheme="minorEastAsia" w:eastAsiaTheme="minorEastAsia"/>
          <w:bCs/>
          <w:color w:val="auto"/>
          <w:sz w:val="24"/>
          <w:szCs w:val="24"/>
        </w:rPr>
        <w:t>……</w:t>
      </w:r>
    </w:p>
    <w:p>
      <w:pPr>
        <w:pStyle w:val="14"/>
        <w:spacing w:line="360" w:lineRule="auto"/>
        <w:ind w:left="25" w:leftChars="12"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五、与投诉事项相关的投诉请求：</w:t>
      </w:r>
    </w:p>
    <w:p>
      <w:pPr>
        <w:pStyle w:val="14"/>
        <w:spacing w:line="360" w:lineRule="auto"/>
        <w:ind w:left="25" w:leftChars="12" w:firstLine="472" w:firstLineChars="197"/>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请求：</w:t>
      </w:r>
      <w:r>
        <w:rPr>
          <w:rFonts w:hint="eastAsia" w:asciiTheme="minorEastAsia" w:hAnsiTheme="minorEastAsia" w:eastAsiaTheme="minorEastAsia"/>
          <w:bCs/>
          <w:color w:val="auto"/>
          <w:sz w:val="24"/>
          <w:szCs w:val="24"/>
          <w:u w:val="single"/>
        </w:rPr>
        <w:t xml:space="preserve">                                                               </w:t>
      </w:r>
    </w:p>
    <w:p>
      <w:pPr>
        <w:pStyle w:val="14"/>
        <w:spacing w:line="360" w:lineRule="auto"/>
        <w:ind w:left="25" w:leftChars="12" w:firstLine="352" w:firstLineChars="147"/>
        <w:rPr>
          <w:rFonts w:asciiTheme="minorEastAsia" w:hAnsiTheme="minorEastAsia" w:eastAsiaTheme="minorEastAsia"/>
          <w:color w:val="auto"/>
          <w:sz w:val="24"/>
          <w:szCs w:val="24"/>
        </w:rPr>
      </w:pPr>
    </w:p>
    <w:p>
      <w:pPr>
        <w:pStyle w:val="14"/>
        <w:spacing w:line="360" w:lineRule="auto"/>
        <w:ind w:left="25" w:leftChars="12" w:firstLine="472" w:firstLineChars="197"/>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签字（签章）：                                       公章：</w:t>
      </w:r>
    </w:p>
    <w:p>
      <w:pPr>
        <w:pStyle w:val="14"/>
        <w:spacing w:line="360" w:lineRule="auto"/>
        <w:ind w:left="25" w:leftChars="12" w:firstLine="352" w:firstLineChars="147"/>
        <w:rPr>
          <w:rFonts w:asciiTheme="minorEastAsia" w:hAnsiTheme="minorEastAsia" w:eastAsiaTheme="minorEastAsia"/>
          <w:color w:val="auto"/>
          <w:sz w:val="24"/>
          <w:szCs w:val="24"/>
        </w:rPr>
      </w:pPr>
    </w:p>
    <w:p>
      <w:pPr>
        <w:pStyle w:val="14"/>
        <w:spacing w:line="360" w:lineRule="auto"/>
        <w:ind w:left="25" w:leftChars="12" w:firstLine="472" w:firstLineChars="197"/>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日期：</w:t>
      </w:r>
    </w:p>
    <w:p>
      <w:pPr>
        <w:pStyle w:val="14"/>
        <w:spacing w:line="360" w:lineRule="auto"/>
        <w:ind w:left="25" w:leftChars="12" w:firstLine="472" w:firstLineChars="197"/>
        <w:rPr>
          <w:rFonts w:asciiTheme="minorEastAsia" w:hAnsiTheme="minorEastAsia" w:eastAsiaTheme="minorEastAsia"/>
          <w:color w:val="auto"/>
          <w:sz w:val="24"/>
          <w:szCs w:val="24"/>
        </w:rPr>
      </w:pPr>
      <w:r>
        <w:rPr>
          <w:rFonts w:hint="eastAsia" w:asciiTheme="minorEastAsia" w:hAnsiTheme="minorEastAsia" w:eastAsiaTheme="minorEastAsia"/>
          <w:bCs/>
          <w:color w:val="auto"/>
          <w:sz w:val="24"/>
          <w:szCs w:val="24"/>
        </w:rPr>
        <w:t xml:space="preserve">                                                                     </w:t>
      </w:r>
    </w:p>
    <w:p>
      <w:pPr>
        <w:pStyle w:val="14"/>
        <w:snapToGrid w:val="0"/>
        <w:spacing w:line="360" w:lineRule="auto"/>
        <w:rPr>
          <w:rFonts w:asciiTheme="minorEastAsia" w:hAnsiTheme="minorEastAsia" w:eastAsiaTheme="minorEastAsia"/>
          <w:b/>
          <w:color w:val="auto"/>
          <w:sz w:val="24"/>
          <w:szCs w:val="24"/>
        </w:rPr>
      </w:pPr>
    </w:p>
    <w:p>
      <w:pPr>
        <w:pStyle w:val="14"/>
        <w:snapToGrid w:val="0"/>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说明：</w:t>
      </w:r>
    </w:p>
    <w:p>
      <w:pPr>
        <w:pStyle w:val="14"/>
        <w:spacing w:line="360" w:lineRule="auto"/>
        <w:ind w:left="25" w:leftChars="12" w:firstLine="354" w:firstLineChars="147"/>
        <w:rPr>
          <w:rFonts w:asciiTheme="minorEastAsia" w:hAnsiTheme="minorEastAsia" w:eastAsiaTheme="minorEastAsia"/>
          <w:b/>
          <w:bCs/>
          <w:color w:val="auto"/>
          <w:sz w:val="24"/>
          <w:szCs w:val="24"/>
        </w:rPr>
      </w:pPr>
      <w:r>
        <w:rPr>
          <w:rFonts w:hint="eastAsia" w:asciiTheme="minorEastAsia" w:hAnsiTheme="minorEastAsia" w:eastAsiaTheme="minorEastAsia"/>
          <w:b/>
          <w:color w:val="auto"/>
          <w:sz w:val="24"/>
          <w:szCs w:val="24"/>
        </w:rPr>
        <w:t>1.投诉人提起投诉时，应当提交投诉书和必要的证明材料，并按照被投诉人和与投诉事项有关的供应商数量提供投诉书副本</w:t>
      </w:r>
      <w:r>
        <w:rPr>
          <w:rFonts w:hint="eastAsia" w:asciiTheme="minorEastAsia" w:hAnsiTheme="minorEastAsia" w:eastAsiaTheme="minorEastAsia"/>
          <w:b/>
          <w:bCs/>
          <w:color w:val="auto"/>
          <w:sz w:val="24"/>
          <w:szCs w:val="24"/>
        </w:rPr>
        <w:t>。</w:t>
      </w:r>
    </w:p>
    <w:p>
      <w:pPr>
        <w:pStyle w:val="14"/>
        <w:spacing w:line="360" w:lineRule="auto"/>
        <w:ind w:left="25" w:leftChars="12" w:firstLine="354" w:firstLineChars="147"/>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4"/>
        <w:spacing w:line="360" w:lineRule="auto"/>
        <w:ind w:left="25" w:leftChars="12" w:firstLine="354" w:firstLineChars="147"/>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3.投诉书应简要列明质疑事项，质疑函、质疑答复等作为附件材料提供。</w:t>
      </w:r>
    </w:p>
    <w:p>
      <w:pPr>
        <w:pStyle w:val="14"/>
        <w:spacing w:line="360" w:lineRule="auto"/>
        <w:ind w:left="25" w:leftChars="12" w:firstLine="354" w:firstLineChars="147"/>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4.投诉书的投诉事项应具体、明确，并有必要的事实依据和法律依据。</w:t>
      </w:r>
    </w:p>
    <w:p>
      <w:pPr>
        <w:pStyle w:val="14"/>
        <w:spacing w:line="360" w:lineRule="auto"/>
        <w:ind w:left="25" w:leftChars="12" w:firstLine="354" w:firstLineChars="147"/>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5.投诉书的投诉请求应与投诉事项相关。</w:t>
      </w:r>
    </w:p>
    <w:p>
      <w:pPr>
        <w:pStyle w:val="14"/>
        <w:spacing w:line="360" w:lineRule="auto"/>
        <w:ind w:left="25" w:leftChars="12" w:firstLine="354" w:firstLineChars="147"/>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6.投诉人为法人或者其他组织的，投诉书应由法定代表人、主要负责人，或者其授权代表签字或者盖章，并加盖公章。</w:t>
      </w:r>
      <w:r>
        <w:rPr>
          <w:rFonts w:asciiTheme="minorEastAsia" w:hAnsiTheme="minorEastAsia" w:eastAsiaTheme="minorEastAsia"/>
          <w:color w:val="auto"/>
        </w:rPr>
        <w:br w:type="page"/>
      </w:r>
      <w:bookmarkStart w:id="112" w:name="_Toc74322013"/>
    </w:p>
    <w:p>
      <w:pPr>
        <w:snapToGrid w:val="0"/>
        <w:spacing w:line="360" w:lineRule="auto"/>
        <w:jc w:val="center"/>
        <w:rPr>
          <w:rFonts w:asciiTheme="minorEastAsia" w:hAnsiTheme="minorEastAsia" w:eastAsiaTheme="minorEastAsia"/>
          <w:color w:val="auto"/>
        </w:rPr>
      </w:pPr>
    </w:p>
    <w:p>
      <w:pPr>
        <w:snapToGrid w:val="0"/>
        <w:spacing w:line="360" w:lineRule="auto"/>
        <w:jc w:val="center"/>
        <w:rPr>
          <w:rFonts w:asciiTheme="minorEastAsia" w:hAnsiTheme="minorEastAsia" w:eastAsiaTheme="minorEastAsia"/>
          <w:color w:val="auto"/>
        </w:rPr>
      </w:pPr>
    </w:p>
    <w:p>
      <w:pPr>
        <w:snapToGrid w:val="0"/>
        <w:spacing w:line="360" w:lineRule="auto"/>
        <w:jc w:val="center"/>
        <w:rPr>
          <w:rFonts w:asciiTheme="minorEastAsia" w:hAnsiTheme="minorEastAsia" w:eastAsiaTheme="minorEastAsia"/>
          <w:color w:val="auto"/>
        </w:rPr>
      </w:pPr>
    </w:p>
    <w:p>
      <w:pPr>
        <w:snapToGrid w:val="0"/>
        <w:spacing w:line="360" w:lineRule="auto"/>
        <w:jc w:val="center"/>
        <w:rPr>
          <w:rFonts w:asciiTheme="minorEastAsia" w:hAnsiTheme="minorEastAsia" w:eastAsiaTheme="minorEastAsia"/>
          <w:color w:val="auto"/>
        </w:rPr>
      </w:pPr>
    </w:p>
    <w:p>
      <w:pPr>
        <w:snapToGrid w:val="0"/>
        <w:spacing w:line="360" w:lineRule="auto"/>
        <w:jc w:val="center"/>
        <w:rPr>
          <w:rFonts w:asciiTheme="minorEastAsia" w:hAnsiTheme="minorEastAsia" w:eastAsiaTheme="minorEastAsia"/>
          <w:color w:val="auto"/>
        </w:rPr>
      </w:pPr>
    </w:p>
    <w:p>
      <w:pPr>
        <w:snapToGrid w:val="0"/>
        <w:spacing w:line="360" w:lineRule="auto"/>
        <w:jc w:val="center"/>
        <w:rPr>
          <w:rFonts w:asciiTheme="minorEastAsia" w:hAnsiTheme="minorEastAsia" w:eastAsiaTheme="minorEastAsia"/>
          <w:color w:val="auto"/>
        </w:rPr>
      </w:pPr>
    </w:p>
    <w:p>
      <w:pPr>
        <w:snapToGrid w:val="0"/>
        <w:spacing w:line="360" w:lineRule="auto"/>
        <w:jc w:val="center"/>
        <w:rPr>
          <w:rFonts w:asciiTheme="minorEastAsia" w:hAnsiTheme="minorEastAsia" w:eastAsiaTheme="minorEastAsia"/>
          <w:color w:val="auto"/>
        </w:rPr>
      </w:pPr>
    </w:p>
    <w:p>
      <w:pPr>
        <w:pStyle w:val="2"/>
        <w:spacing w:line="360" w:lineRule="auto"/>
        <w:jc w:val="center"/>
        <w:rPr>
          <w:rFonts w:asciiTheme="minorEastAsia" w:hAnsiTheme="minorEastAsia" w:eastAsiaTheme="minorEastAsia"/>
          <w:color w:val="auto"/>
        </w:rPr>
      </w:pPr>
      <w:r>
        <w:rPr>
          <w:rFonts w:hint="eastAsia" w:asciiTheme="minorEastAsia" w:hAnsiTheme="minorEastAsia" w:eastAsiaTheme="minorEastAsia"/>
          <w:color w:val="auto"/>
        </w:rPr>
        <w:t>第六章 合同文本</w:t>
      </w:r>
      <w:bookmarkEnd w:id="112"/>
    </w:p>
    <w:p>
      <w:pPr>
        <w:snapToGrid w:val="0"/>
        <w:spacing w:line="360" w:lineRule="auto"/>
        <w:jc w:val="center"/>
        <w:rPr>
          <w:rFonts w:asciiTheme="minorEastAsia" w:hAnsiTheme="minorEastAsia" w:eastAsiaTheme="minorEastAsia"/>
          <w:color w:val="auto"/>
        </w:rPr>
      </w:pPr>
    </w:p>
    <w:p>
      <w:pPr>
        <w:snapToGrid w:val="0"/>
        <w:spacing w:line="360" w:lineRule="auto"/>
        <w:ind w:firstLine="648"/>
        <w:jc w:val="center"/>
        <w:rPr>
          <w:rFonts w:asciiTheme="minorEastAsia" w:hAnsiTheme="minorEastAsia" w:eastAsiaTheme="minorEastAsia"/>
          <w:b/>
          <w:color w:val="auto"/>
          <w:sz w:val="52"/>
          <w:szCs w:val="52"/>
        </w:rPr>
      </w:pPr>
      <w:r>
        <w:rPr>
          <w:rFonts w:hint="eastAsia" w:asciiTheme="minorEastAsia" w:hAnsiTheme="minorEastAsia" w:eastAsiaTheme="minorEastAsia"/>
          <w:b/>
          <w:bCs/>
          <w:color w:val="auto"/>
          <w:sz w:val="32"/>
          <w:szCs w:val="32"/>
        </w:rPr>
        <w:br w:type="page"/>
      </w:r>
      <w:r>
        <w:rPr>
          <w:rFonts w:hint="eastAsia" w:asciiTheme="minorEastAsia" w:hAnsiTheme="minorEastAsia" w:eastAsiaTheme="minorEastAsia"/>
          <w:b/>
          <w:color w:val="auto"/>
          <w:sz w:val="52"/>
          <w:szCs w:val="52"/>
        </w:rPr>
        <w:t>政 府 采 购 合 同</w:t>
      </w:r>
    </w:p>
    <w:p>
      <w:pPr>
        <w:snapToGrid w:val="0"/>
        <w:spacing w:before="240" w:line="360" w:lineRule="auto"/>
        <w:ind w:firstLine="648"/>
        <w:jc w:val="center"/>
        <w:rPr>
          <w:rFonts w:asciiTheme="minorEastAsia" w:hAnsiTheme="minorEastAsia" w:eastAsiaTheme="minorEastAsia"/>
          <w:bCs/>
          <w:color w:val="auto"/>
          <w:sz w:val="32"/>
          <w:szCs w:val="32"/>
        </w:rPr>
      </w:pPr>
    </w:p>
    <w:p>
      <w:pPr>
        <w:spacing w:line="360" w:lineRule="auto"/>
        <w:jc w:val="center"/>
        <w:rPr>
          <w:rFonts w:asciiTheme="minorEastAsia" w:hAnsiTheme="minorEastAsia" w:eastAsiaTheme="minorEastAsia"/>
          <w:b/>
          <w:bCs/>
          <w:color w:val="auto"/>
          <w:sz w:val="44"/>
        </w:rPr>
      </w:pPr>
      <w:r>
        <w:rPr>
          <w:rFonts w:hint="eastAsia" w:asciiTheme="minorEastAsia" w:hAnsiTheme="minorEastAsia" w:eastAsiaTheme="minorEastAsia"/>
          <w:b/>
          <w:bCs/>
          <w:color w:val="auto"/>
          <w:sz w:val="44"/>
          <w:u w:val="single"/>
        </w:rPr>
        <w:t xml:space="preserve">         （项目名称）         </w:t>
      </w:r>
      <w:r>
        <w:rPr>
          <w:rFonts w:hint="eastAsia" w:asciiTheme="minorEastAsia" w:hAnsiTheme="minorEastAsia" w:eastAsiaTheme="minorEastAsia"/>
          <w:b/>
          <w:bCs/>
          <w:color w:val="auto"/>
          <w:sz w:val="44"/>
        </w:rPr>
        <w:t>合同</w:t>
      </w:r>
    </w:p>
    <w:p>
      <w:pPr>
        <w:rPr>
          <w:color w:val="auto"/>
        </w:rPr>
      </w:pPr>
    </w:p>
    <w:p>
      <w:pPr>
        <w:snapToGrid w:val="0"/>
        <w:spacing w:line="360" w:lineRule="auto"/>
        <w:ind w:firstLine="648"/>
        <w:rPr>
          <w:rFonts w:asciiTheme="minorEastAsia" w:hAnsiTheme="minorEastAsia" w:eastAsiaTheme="minorEastAsia"/>
          <w:bCs/>
          <w:color w:val="auto"/>
          <w:sz w:val="32"/>
          <w:szCs w:val="32"/>
        </w:rPr>
      </w:pPr>
    </w:p>
    <w:p>
      <w:pPr>
        <w:snapToGrid w:val="0"/>
        <w:spacing w:line="360" w:lineRule="auto"/>
        <w:ind w:firstLine="648"/>
        <w:rPr>
          <w:rFonts w:asciiTheme="minorEastAsia" w:hAnsiTheme="minorEastAsia" w:eastAsiaTheme="minorEastAsia"/>
          <w:bCs/>
          <w:color w:val="auto"/>
          <w:sz w:val="32"/>
          <w:szCs w:val="32"/>
        </w:rPr>
      </w:pPr>
    </w:p>
    <w:p>
      <w:pPr>
        <w:snapToGrid w:val="0"/>
        <w:spacing w:line="360" w:lineRule="auto"/>
        <w:rPr>
          <w:rFonts w:asciiTheme="minorEastAsia" w:hAnsiTheme="minorEastAsia" w:eastAsiaTheme="minorEastAsia"/>
          <w:bCs/>
          <w:color w:val="auto"/>
          <w:sz w:val="32"/>
          <w:szCs w:val="32"/>
        </w:rPr>
      </w:pPr>
      <w:r>
        <w:rPr>
          <w:rFonts w:hint="eastAsia" w:asciiTheme="minorEastAsia" w:hAnsiTheme="minorEastAsia" w:eastAsiaTheme="minorEastAsia"/>
          <w:bCs/>
          <w:color w:val="auto"/>
          <w:sz w:val="32"/>
          <w:szCs w:val="32"/>
        </w:rPr>
        <w:t xml:space="preserve">    标       项：</w:t>
      </w:r>
      <w:r>
        <w:rPr>
          <w:rFonts w:hint="eastAsia" w:asciiTheme="minorEastAsia" w:hAnsiTheme="minorEastAsia" w:eastAsiaTheme="minorEastAsia"/>
          <w:bCs/>
          <w:color w:val="auto"/>
          <w:sz w:val="32"/>
          <w:szCs w:val="32"/>
          <w:u w:val="single"/>
        </w:rPr>
        <w:t xml:space="preserve">                  </w:t>
      </w:r>
    </w:p>
    <w:p>
      <w:pPr>
        <w:snapToGrid w:val="0"/>
        <w:spacing w:line="360" w:lineRule="auto"/>
        <w:ind w:firstLine="648"/>
        <w:rPr>
          <w:rFonts w:asciiTheme="minorEastAsia" w:hAnsiTheme="minorEastAsia" w:eastAsiaTheme="minorEastAsia"/>
          <w:bCs/>
          <w:color w:val="auto"/>
          <w:sz w:val="32"/>
          <w:szCs w:val="32"/>
          <w:u w:val="single"/>
        </w:rPr>
      </w:pPr>
      <w:r>
        <w:rPr>
          <w:rFonts w:hint="eastAsia" w:asciiTheme="minorEastAsia" w:hAnsiTheme="minorEastAsia" w:eastAsiaTheme="minorEastAsia"/>
          <w:bCs/>
          <w:color w:val="auto"/>
          <w:sz w:val="32"/>
          <w:szCs w:val="32"/>
        </w:rPr>
        <w:t>项 目 编 号：</w:t>
      </w:r>
      <w:r>
        <w:rPr>
          <w:rFonts w:hint="eastAsia" w:asciiTheme="minorEastAsia" w:hAnsiTheme="minorEastAsia" w:eastAsiaTheme="minorEastAsia"/>
          <w:bCs/>
          <w:color w:val="auto"/>
          <w:sz w:val="32"/>
          <w:szCs w:val="32"/>
          <w:u w:val="single"/>
        </w:rPr>
        <w:t xml:space="preserve">                  </w:t>
      </w:r>
    </w:p>
    <w:p>
      <w:pPr>
        <w:snapToGrid w:val="0"/>
        <w:spacing w:line="360" w:lineRule="auto"/>
        <w:ind w:firstLine="648"/>
        <w:rPr>
          <w:rFonts w:asciiTheme="minorEastAsia" w:hAnsiTheme="minorEastAsia" w:eastAsiaTheme="minorEastAsia"/>
          <w:bCs/>
          <w:color w:val="auto"/>
          <w:sz w:val="32"/>
          <w:szCs w:val="32"/>
          <w:u w:val="single"/>
        </w:rPr>
      </w:pPr>
      <w:r>
        <w:rPr>
          <w:rFonts w:hint="eastAsia" w:asciiTheme="minorEastAsia" w:hAnsiTheme="minorEastAsia" w:eastAsiaTheme="minorEastAsia"/>
          <w:bCs/>
          <w:color w:val="auto"/>
          <w:sz w:val="32"/>
          <w:szCs w:val="32"/>
        </w:rPr>
        <w:t>采购计划编号：</w:t>
      </w:r>
      <w:r>
        <w:rPr>
          <w:rFonts w:hint="eastAsia" w:asciiTheme="minorEastAsia" w:hAnsiTheme="minorEastAsia" w:eastAsiaTheme="minorEastAsia"/>
          <w:bCs/>
          <w:color w:val="auto"/>
          <w:sz w:val="32"/>
          <w:szCs w:val="32"/>
          <w:u w:val="single"/>
        </w:rPr>
        <w:t xml:space="preserve">                 </w:t>
      </w:r>
    </w:p>
    <w:p>
      <w:pPr>
        <w:snapToGrid w:val="0"/>
        <w:spacing w:line="360" w:lineRule="auto"/>
        <w:rPr>
          <w:rFonts w:asciiTheme="minorEastAsia" w:hAnsiTheme="minorEastAsia" w:eastAsiaTheme="minorEastAsia"/>
          <w:bCs/>
          <w:color w:val="auto"/>
          <w:sz w:val="32"/>
          <w:szCs w:val="32"/>
        </w:rPr>
      </w:pPr>
    </w:p>
    <w:p>
      <w:pPr>
        <w:snapToGrid w:val="0"/>
        <w:spacing w:line="360" w:lineRule="auto"/>
        <w:rPr>
          <w:rFonts w:asciiTheme="minorEastAsia" w:hAnsiTheme="minorEastAsia" w:eastAsiaTheme="minorEastAsia"/>
          <w:bCs/>
          <w:color w:val="auto"/>
          <w:sz w:val="32"/>
          <w:szCs w:val="32"/>
        </w:rPr>
      </w:pPr>
    </w:p>
    <w:p>
      <w:pPr>
        <w:snapToGrid w:val="0"/>
        <w:spacing w:line="360" w:lineRule="auto"/>
        <w:rPr>
          <w:rFonts w:asciiTheme="minorEastAsia" w:hAnsiTheme="minorEastAsia" w:eastAsiaTheme="minorEastAsia"/>
          <w:bCs/>
          <w:color w:val="auto"/>
          <w:sz w:val="32"/>
          <w:szCs w:val="32"/>
        </w:rPr>
      </w:pPr>
    </w:p>
    <w:p>
      <w:pPr>
        <w:snapToGrid w:val="0"/>
        <w:spacing w:line="360" w:lineRule="auto"/>
        <w:rPr>
          <w:rFonts w:asciiTheme="minorEastAsia" w:hAnsiTheme="minorEastAsia" w:eastAsiaTheme="minorEastAsia"/>
          <w:bCs/>
          <w:color w:val="auto"/>
          <w:sz w:val="32"/>
          <w:szCs w:val="32"/>
        </w:rPr>
      </w:pPr>
    </w:p>
    <w:p>
      <w:pPr>
        <w:snapToGrid w:val="0"/>
        <w:spacing w:line="360" w:lineRule="auto"/>
        <w:ind w:firstLine="480" w:firstLineChars="150"/>
        <w:rPr>
          <w:rFonts w:asciiTheme="minorEastAsia" w:hAnsiTheme="minorEastAsia" w:eastAsiaTheme="minorEastAsia"/>
          <w:bCs/>
          <w:color w:val="auto"/>
          <w:sz w:val="32"/>
          <w:szCs w:val="32"/>
          <w:u w:val="single"/>
        </w:rPr>
      </w:pPr>
      <w:r>
        <w:rPr>
          <w:rFonts w:hint="eastAsia" w:asciiTheme="minorEastAsia" w:hAnsiTheme="minorEastAsia" w:eastAsiaTheme="minorEastAsia"/>
          <w:bCs/>
          <w:color w:val="auto"/>
          <w:sz w:val="32"/>
          <w:szCs w:val="32"/>
        </w:rPr>
        <w:t>采购人:</w:t>
      </w:r>
      <w:r>
        <w:rPr>
          <w:rFonts w:asciiTheme="minorEastAsia" w:hAnsiTheme="minorEastAsia" w:eastAsiaTheme="minorEastAsia"/>
          <w:bCs/>
          <w:color w:val="auto"/>
          <w:sz w:val="32"/>
          <w:szCs w:val="32"/>
          <w:u w:val="single"/>
        </w:rPr>
        <w:t xml:space="preserve">                             </w:t>
      </w:r>
    </w:p>
    <w:p>
      <w:pPr>
        <w:snapToGrid w:val="0"/>
        <w:spacing w:line="360" w:lineRule="auto"/>
        <w:ind w:firstLine="480" w:firstLineChars="150"/>
        <w:rPr>
          <w:rFonts w:asciiTheme="minorEastAsia" w:hAnsiTheme="minorEastAsia" w:eastAsiaTheme="minorEastAsia"/>
          <w:bCs/>
          <w:color w:val="auto"/>
          <w:sz w:val="32"/>
          <w:szCs w:val="32"/>
          <w:u w:val="single"/>
        </w:rPr>
      </w:pPr>
      <w:r>
        <w:rPr>
          <w:rFonts w:hint="eastAsia" w:asciiTheme="minorEastAsia" w:hAnsiTheme="minorEastAsia" w:eastAsiaTheme="minorEastAsia"/>
          <w:bCs/>
          <w:color w:val="auto"/>
          <w:sz w:val="32"/>
          <w:szCs w:val="32"/>
        </w:rPr>
        <w:t>成交供应商:</w:t>
      </w:r>
      <w:r>
        <w:rPr>
          <w:rFonts w:asciiTheme="minorEastAsia" w:hAnsiTheme="minorEastAsia" w:eastAsiaTheme="minorEastAsia"/>
          <w:bCs/>
          <w:color w:val="auto"/>
          <w:sz w:val="32"/>
          <w:szCs w:val="32"/>
          <w:u w:val="single"/>
        </w:rPr>
        <w:t xml:space="preserve">                         </w:t>
      </w:r>
    </w:p>
    <w:p>
      <w:pPr>
        <w:snapToGrid w:val="0"/>
        <w:spacing w:line="360" w:lineRule="auto"/>
        <w:ind w:firstLine="640" w:firstLineChars="200"/>
        <w:rPr>
          <w:rFonts w:asciiTheme="minorEastAsia" w:hAnsiTheme="minorEastAsia" w:eastAsiaTheme="minorEastAsia"/>
          <w:color w:val="auto"/>
          <w:sz w:val="32"/>
          <w:szCs w:val="32"/>
          <w:u w:val="single"/>
        </w:rPr>
      </w:pPr>
      <w:r>
        <w:rPr>
          <w:rFonts w:hint="eastAsia" w:asciiTheme="minorEastAsia" w:hAnsiTheme="minorEastAsia" w:eastAsiaTheme="minorEastAsia"/>
          <w:color w:val="auto"/>
          <w:sz w:val="32"/>
          <w:szCs w:val="32"/>
        </w:rPr>
        <w:t xml:space="preserve">签订日期： </w:t>
      </w:r>
      <w:r>
        <w:rPr>
          <w:rFonts w:hint="eastAsia" w:asciiTheme="minorEastAsia" w:hAnsiTheme="minorEastAsia" w:eastAsiaTheme="minorEastAsia"/>
          <w:color w:val="auto"/>
          <w:sz w:val="32"/>
          <w:szCs w:val="32"/>
          <w:u w:val="single"/>
        </w:rPr>
        <w:t xml:space="preserve">    年     月    日</w:t>
      </w:r>
    </w:p>
    <w:p>
      <w:pPr>
        <w:widowControl/>
        <w:spacing w:line="360" w:lineRule="auto"/>
        <w:jc w:val="center"/>
        <w:rPr>
          <w:rFonts w:asciiTheme="minorEastAsia" w:hAnsiTheme="minorEastAsia" w:eastAsiaTheme="minorEastAsia"/>
          <w:color w:val="auto"/>
          <w:sz w:val="44"/>
          <w:szCs w:val="44"/>
        </w:rPr>
      </w:pPr>
      <w:r>
        <w:rPr>
          <w:rFonts w:hint="eastAsia" w:asciiTheme="minorEastAsia" w:hAnsiTheme="minorEastAsia" w:eastAsiaTheme="minorEastAsia"/>
          <w:color w:val="auto"/>
          <w:sz w:val="24"/>
        </w:rPr>
        <w:br w:type="page"/>
      </w:r>
      <w:r>
        <w:rPr>
          <w:rFonts w:hint="eastAsia" w:cs="宋体" w:asciiTheme="minorEastAsia" w:hAnsiTheme="minorEastAsia" w:eastAsiaTheme="minorEastAsia"/>
          <w:b/>
          <w:bCs/>
          <w:color w:val="auto"/>
          <w:kern w:val="0"/>
          <w:sz w:val="44"/>
          <w:szCs w:val="44"/>
        </w:rPr>
        <w:t>广西壮族自治区政府采购合同</w:t>
      </w:r>
    </w:p>
    <w:p>
      <w:pPr>
        <w:snapToGrid w:val="0"/>
        <w:spacing w:line="420" w:lineRule="exact"/>
        <w:rPr>
          <w:color w:val="auto"/>
          <w:szCs w:val="21"/>
        </w:rPr>
      </w:pPr>
      <w:r>
        <w:rPr>
          <w:rFonts w:hint="eastAsia"/>
          <w:color w:val="auto"/>
          <w:szCs w:val="21"/>
        </w:rPr>
        <w:t>采购人（甲方）</w:t>
      </w:r>
      <w:r>
        <w:rPr>
          <w:color w:val="auto"/>
          <w:szCs w:val="21"/>
          <w:u w:val="single"/>
        </w:rPr>
        <w:t xml:space="preserve">                          </w:t>
      </w:r>
      <w:r>
        <w:rPr>
          <w:rFonts w:hint="eastAsia"/>
          <w:color w:val="auto"/>
          <w:szCs w:val="21"/>
        </w:rPr>
        <w:t xml:space="preserve">       采</w:t>
      </w:r>
      <w:r>
        <w:rPr>
          <w:color w:val="auto"/>
          <w:szCs w:val="21"/>
        </w:rPr>
        <w:t xml:space="preserve"> </w:t>
      </w:r>
      <w:r>
        <w:rPr>
          <w:rFonts w:hint="eastAsia"/>
          <w:color w:val="auto"/>
          <w:szCs w:val="21"/>
        </w:rPr>
        <w:t>购</w:t>
      </w:r>
      <w:r>
        <w:rPr>
          <w:color w:val="auto"/>
          <w:szCs w:val="21"/>
        </w:rPr>
        <w:t xml:space="preserve"> </w:t>
      </w:r>
      <w:r>
        <w:rPr>
          <w:rFonts w:hint="eastAsia"/>
          <w:color w:val="auto"/>
          <w:szCs w:val="21"/>
        </w:rPr>
        <w:t>计</w:t>
      </w:r>
      <w:r>
        <w:rPr>
          <w:color w:val="auto"/>
          <w:szCs w:val="21"/>
        </w:rPr>
        <w:t xml:space="preserve"> </w:t>
      </w:r>
      <w:r>
        <w:rPr>
          <w:rFonts w:hint="eastAsia"/>
          <w:color w:val="auto"/>
          <w:szCs w:val="21"/>
        </w:rPr>
        <w:t>划</w:t>
      </w:r>
      <w:r>
        <w:rPr>
          <w:color w:val="auto"/>
          <w:szCs w:val="21"/>
        </w:rPr>
        <w:t xml:space="preserve"> </w:t>
      </w:r>
      <w:r>
        <w:rPr>
          <w:rFonts w:hint="eastAsia"/>
          <w:color w:val="auto"/>
          <w:szCs w:val="21"/>
        </w:rPr>
        <w:t>号</w:t>
      </w:r>
      <w:r>
        <w:rPr>
          <w:color w:val="auto"/>
          <w:szCs w:val="21"/>
        </w:rPr>
        <w:t xml:space="preserve"> </w:t>
      </w:r>
      <w:r>
        <w:rPr>
          <w:color w:val="auto"/>
          <w:szCs w:val="21"/>
          <w:u w:val="single"/>
        </w:rPr>
        <w:t xml:space="preserve">                     </w:t>
      </w:r>
    </w:p>
    <w:p>
      <w:pPr>
        <w:snapToGrid w:val="0"/>
        <w:spacing w:line="420" w:lineRule="exact"/>
        <w:rPr>
          <w:color w:val="auto"/>
          <w:szCs w:val="21"/>
          <w:u w:val="single"/>
        </w:rPr>
      </w:pPr>
      <w:r>
        <w:rPr>
          <w:rFonts w:hint="eastAsia" w:hAnsi="宋体"/>
          <w:color w:val="auto"/>
          <w:szCs w:val="21"/>
        </w:rPr>
        <w:t>供</w:t>
      </w:r>
      <w:r>
        <w:rPr>
          <w:color w:val="auto"/>
          <w:szCs w:val="21"/>
        </w:rPr>
        <w:t xml:space="preserve"> </w:t>
      </w:r>
      <w:r>
        <w:rPr>
          <w:rFonts w:hint="eastAsia" w:hAnsi="宋体"/>
          <w:color w:val="auto"/>
          <w:szCs w:val="21"/>
        </w:rPr>
        <w:t>应</w:t>
      </w:r>
      <w:r>
        <w:rPr>
          <w:color w:val="auto"/>
          <w:szCs w:val="21"/>
        </w:rPr>
        <w:t xml:space="preserve"> </w:t>
      </w:r>
      <w:r>
        <w:rPr>
          <w:rFonts w:hint="eastAsia" w:hAnsi="宋体"/>
          <w:color w:val="auto"/>
          <w:szCs w:val="21"/>
        </w:rPr>
        <w:t>商（乙方）</w:t>
      </w:r>
      <w:r>
        <w:rPr>
          <w:color w:val="auto"/>
          <w:szCs w:val="21"/>
          <w:u w:val="single"/>
        </w:rPr>
        <w:t xml:space="preserve">                        </w:t>
      </w:r>
      <w:r>
        <w:rPr>
          <w:rFonts w:hint="eastAsia"/>
          <w:color w:val="auto"/>
          <w:szCs w:val="21"/>
        </w:rPr>
        <w:t xml:space="preserve">       </w:t>
      </w:r>
      <w:r>
        <w:rPr>
          <w:rFonts w:hint="eastAsia" w:hAnsi="宋体"/>
          <w:color w:val="auto"/>
          <w:spacing w:val="-20"/>
          <w:szCs w:val="21"/>
        </w:rPr>
        <w:t>招</w:t>
      </w:r>
      <w:r>
        <w:rPr>
          <w:color w:val="auto"/>
          <w:spacing w:val="-20"/>
          <w:szCs w:val="21"/>
        </w:rPr>
        <w:t xml:space="preserve">  </w:t>
      </w:r>
      <w:r>
        <w:rPr>
          <w:rFonts w:hint="eastAsia" w:hAnsi="宋体"/>
          <w:color w:val="auto"/>
          <w:spacing w:val="-20"/>
          <w:szCs w:val="21"/>
        </w:rPr>
        <w:t>标</w:t>
      </w:r>
      <w:r>
        <w:rPr>
          <w:color w:val="auto"/>
          <w:spacing w:val="-20"/>
          <w:szCs w:val="21"/>
        </w:rPr>
        <w:t xml:space="preserve">  </w:t>
      </w:r>
      <w:r>
        <w:rPr>
          <w:rFonts w:hint="eastAsia" w:hAnsi="宋体"/>
          <w:color w:val="auto"/>
          <w:spacing w:val="-20"/>
          <w:szCs w:val="21"/>
        </w:rPr>
        <w:t>编</w:t>
      </w:r>
      <w:r>
        <w:rPr>
          <w:color w:val="auto"/>
          <w:spacing w:val="-20"/>
          <w:szCs w:val="21"/>
        </w:rPr>
        <w:t xml:space="preserve">  </w:t>
      </w:r>
      <w:r>
        <w:rPr>
          <w:rFonts w:hint="eastAsia" w:hAnsi="宋体"/>
          <w:color w:val="auto"/>
          <w:spacing w:val="-20"/>
          <w:szCs w:val="21"/>
        </w:rPr>
        <w:t>号：</w:t>
      </w:r>
      <w:r>
        <w:rPr>
          <w:color w:val="auto"/>
          <w:szCs w:val="21"/>
          <w:u w:val="single"/>
        </w:rPr>
        <w:t xml:space="preserve">                        </w:t>
      </w:r>
    </w:p>
    <w:p>
      <w:pPr>
        <w:snapToGrid w:val="0"/>
        <w:spacing w:line="420" w:lineRule="exact"/>
        <w:rPr>
          <w:color w:val="auto"/>
          <w:szCs w:val="21"/>
          <w:u w:val="single"/>
        </w:rPr>
      </w:pPr>
      <w:r>
        <w:rPr>
          <w:rFonts w:hint="eastAsia" w:hAnsi="宋体"/>
          <w:color w:val="auto"/>
          <w:szCs w:val="21"/>
        </w:rPr>
        <w:t>签</w:t>
      </w:r>
      <w:r>
        <w:rPr>
          <w:color w:val="auto"/>
          <w:szCs w:val="21"/>
        </w:rPr>
        <w:t xml:space="preserve">  </w:t>
      </w:r>
      <w:r>
        <w:rPr>
          <w:rFonts w:hint="eastAsia" w:hAnsi="宋体"/>
          <w:color w:val="auto"/>
          <w:szCs w:val="21"/>
        </w:rPr>
        <w:t>订</w:t>
      </w:r>
      <w:r>
        <w:rPr>
          <w:color w:val="auto"/>
          <w:szCs w:val="21"/>
        </w:rPr>
        <w:t xml:space="preserve">  </w:t>
      </w:r>
      <w:r>
        <w:rPr>
          <w:rFonts w:hint="eastAsia" w:hAnsi="宋体"/>
          <w:color w:val="auto"/>
          <w:szCs w:val="21"/>
        </w:rPr>
        <w:t>地</w:t>
      </w:r>
      <w:r>
        <w:rPr>
          <w:color w:val="auto"/>
          <w:szCs w:val="21"/>
        </w:rPr>
        <w:t xml:space="preserve">  </w:t>
      </w:r>
      <w:r>
        <w:rPr>
          <w:rFonts w:hint="eastAsia" w:hAnsi="宋体"/>
          <w:color w:val="auto"/>
          <w:szCs w:val="21"/>
        </w:rPr>
        <w:t>点</w:t>
      </w:r>
      <w:r>
        <w:rPr>
          <w:color w:val="auto"/>
          <w:szCs w:val="21"/>
        </w:rPr>
        <w:t xml:space="preserve">  </w:t>
      </w:r>
      <w:r>
        <w:rPr>
          <w:color w:val="auto"/>
          <w:szCs w:val="21"/>
          <w:u w:val="single"/>
        </w:rPr>
        <w:t xml:space="preserve">                        </w:t>
      </w:r>
      <w:r>
        <w:rPr>
          <w:rFonts w:hint="eastAsia"/>
          <w:color w:val="auto"/>
          <w:szCs w:val="21"/>
        </w:rPr>
        <w:t xml:space="preserve">       </w:t>
      </w:r>
      <w:r>
        <w:rPr>
          <w:rFonts w:hint="eastAsia" w:hAnsi="宋体"/>
          <w:color w:val="auto"/>
          <w:szCs w:val="21"/>
        </w:rPr>
        <w:t>签</w:t>
      </w:r>
      <w:r>
        <w:rPr>
          <w:color w:val="auto"/>
          <w:szCs w:val="21"/>
        </w:rPr>
        <w:t xml:space="preserve"> </w:t>
      </w:r>
      <w:r>
        <w:rPr>
          <w:rFonts w:hint="eastAsia" w:hAnsi="宋体"/>
          <w:color w:val="auto"/>
          <w:szCs w:val="21"/>
        </w:rPr>
        <w:t>订</w:t>
      </w:r>
      <w:r>
        <w:rPr>
          <w:color w:val="auto"/>
          <w:szCs w:val="21"/>
        </w:rPr>
        <w:t xml:space="preserve"> </w:t>
      </w:r>
      <w:r>
        <w:rPr>
          <w:rFonts w:hint="eastAsia" w:hAnsi="宋体"/>
          <w:color w:val="auto"/>
          <w:szCs w:val="21"/>
        </w:rPr>
        <w:t>时</w:t>
      </w:r>
      <w:r>
        <w:rPr>
          <w:color w:val="auto"/>
          <w:szCs w:val="21"/>
        </w:rPr>
        <w:t xml:space="preserve"> </w:t>
      </w:r>
      <w:r>
        <w:rPr>
          <w:rFonts w:hint="eastAsia" w:hAnsi="宋体"/>
          <w:color w:val="auto"/>
          <w:szCs w:val="21"/>
        </w:rPr>
        <w:t>间</w:t>
      </w:r>
      <w:r>
        <w:rPr>
          <w:color w:val="auto"/>
          <w:szCs w:val="21"/>
          <w:u w:val="single"/>
        </w:rPr>
        <w:t xml:space="preserve">                         </w:t>
      </w:r>
    </w:p>
    <w:p>
      <w:pPr>
        <w:spacing w:line="420" w:lineRule="exact"/>
        <w:rPr>
          <w:color w:val="auto"/>
          <w:szCs w:val="21"/>
        </w:rPr>
      </w:pPr>
      <w:r>
        <w:rPr>
          <w:rFonts w:hint="eastAsia" w:hAnsi="宋体"/>
          <w:color w:val="auto"/>
          <w:szCs w:val="21"/>
        </w:rPr>
        <w:t>本合同为中小企业预留合同：</w:t>
      </w:r>
      <w:r>
        <w:rPr>
          <w:color w:val="auto"/>
          <w:szCs w:val="21"/>
          <w:u w:val="single"/>
        </w:rPr>
        <w:t xml:space="preserve">          </w:t>
      </w:r>
      <w:r>
        <w:rPr>
          <w:rFonts w:hint="eastAsia" w:hAnsi="宋体"/>
          <w:color w:val="auto"/>
          <w:szCs w:val="21"/>
        </w:rPr>
        <w:t>。</w:t>
      </w:r>
    </w:p>
    <w:p>
      <w:pPr>
        <w:snapToGrid w:val="0"/>
        <w:spacing w:line="420" w:lineRule="exact"/>
        <w:ind w:firstLine="420" w:firstLineChars="200"/>
        <w:rPr>
          <w:color w:val="auto"/>
          <w:szCs w:val="21"/>
        </w:rPr>
      </w:pPr>
      <w:r>
        <w:rPr>
          <w:rFonts w:hint="eastAsia" w:hAnsi="宋体"/>
          <w:color w:val="auto"/>
          <w:szCs w:val="21"/>
        </w:rPr>
        <w:t>根据《中华人民共和国政府采购法》、《中华人民共和国民法典》等法律、法规规定，按照采购文件规定条款和供应商承诺，甲乙双方签订本合同。</w:t>
      </w:r>
    </w:p>
    <w:p>
      <w:pPr>
        <w:snapToGrid w:val="0"/>
        <w:spacing w:line="420" w:lineRule="exact"/>
        <w:ind w:firstLine="422" w:firstLineChars="200"/>
        <w:rPr>
          <w:b/>
          <w:color w:val="auto"/>
          <w:szCs w:val="21"/>
        </w:rPr>
      </w:pPr>
      <w:r>
        <w:rPr>
          <w:rFonts w:hint="eastAsia" w:hAnsi="宋体"/>
          <w:b/>
          <w:color w:val="auto"/>
          <w:szCs w:val="21"/>
        </w:rPr>
        <w:t>第一条　合同标的</w:t>
      </w:r>
    </w:p>
    <w:p>
      <w:pPr>
        <w:snapToGrid w:val="0"/>
        <w:spacing w:line="420" w:lineRule="exact"/>
        <w:ind w:firstLine="420" w:firstLineChars="200"/>
        <w:rPr>
          <w:rFonts w:hAnsi="宋体"/>
          <w:color w:val="auto"/>
          <w:szCs w:val="21"/>
        </w:rPr>
      </w:pPr>
      <w:r>
        <w:rPr>
          <w:color w:val="auto"/>
          <w:szCs w:val="21"/>
        </w:rPr>
        <w:t>1.</w:t>
      </w:r>
      <w:r>
        <w:rPr>
          <w:rFonts w:hint="eastAsia" w:hAnsi="宋体"/>
          <w:color w:val="auto"/>
          <w:szCs w:val="21"/>
        </w:rPr>
        <w:t>供货一览表</w:t>
      </w:r>
    </w:p>
    <w:tbl>
      <w:tblPr>
        <w:tblStyle w:val="24"/>
        <w:tblW w:w="9417"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195"/>
        <w:gridCol w:w="1058"/>
        <w:gridCol w:w="1232"/>
        <w:gridCol w:w="1209"/>
        <w:gridCol w:w="1798"/>
        <w:gridCol w:w="1083"/>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0" w:hRule="atLeast"/>
        </w:trPr>
        <w:tc>
          <w:tcPr>
            <w:tcW w:w="747"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rFonts w:hint="eastAsia"/>
                <w:color w:val="auto"/>
                <w:szCs w:val="21"/>
              </w:rPr>
              <w:t>序号</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rFonts w:hint="eastAsia" w:hAnsi="宋体"/>
                <w:color w:val="auto"/>
                <w:szCs w:val="21"/>
              </w:rPr>
              <w:t>标的名称</w:t>
            </w:r>
          </w:p>
        </w:tc>
        <w:tc>
          <w:tcPr>
            <w:tcW w:w="1058"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rFonts w:hint="eastAsia" w:hAnsi="宋体"/>
                <w:color w:val="auto"/>
                <w:szCs w:val="21"/>
              </w:rPr>
              <w:t>品牌</w:t>
            </w:r>
          </w:p>
        </w:tc>
        <w:tc>
          <w:tcPr>
            <w:tcW w:w="1232"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rFonts w:hint="eastAsia" w:hAnsi="宋体"/>
                <w:color w:val="auto"/>
                <w:szCs w:val="21"/>
              </w:rPr>
              <w:t>规格</w:t>
            </w:r>
          </w:p>
        </w:tc>
        <w:tc>
          <w:tcPr>
            <w:tcW w:w="1209"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rFonts w:hint="eastAsia" w:hAnsi="宋体"/>
                <w:color w:val="auto"/>
                <w:szCs w:val="21"/>
              </w:rPr>
              <w:t>生产厂家</w:t>
            </w:r>
          </w:p>
        </w:tc>
        <w:tc>
          <w:tcPr>
            <w:tcW w:w="1798"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rPr>
                <w:rFonts w:hAnsi="宋体"/>
                <w:bCs/>
                <w:color w:val="auto"/>
                <w:szCs w:val="21"/>
              </w:rPr>
            </w:pPr>
            <w:r>
              <w:rPr>
                <w:rFonts w:hint="eastAsia" w:hAnsi="宋体"/>
                <w:bCs/>
                <w:color w:val="auto"/>
                <w:szCs w:val="21"/>
              </w:rPr>
              <w:t>基准单价（元）</w:t>
            </w: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bCs/>
                <w:color w:val="auto"/>
                <w:szCs w:val="21"/>
              </w:rPr>
            </w:pPr>
            <w:r>
              <w:rPr>
                <w:rFonts w:hint="eastAsia" w:hAnsi="宋体"/>
                <w:bCs/>
                <w:color w:val="auto"/>
                <w:szCs w:val="21"/>
              </w:rPr>
              <w:t>采购单价（元）</w:t>
            </w:r>
          </w:p>
        </w:tc>
        <w:tc>
          <w:tcPr>
            <w:tcW w:w="1095"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rFonts w:hint="eastAsia" w:ascii="宋体" w:hAnsi="宋体" w:cs="宋体"/>
                <w:color w:val="auto"/>
                <w:szCs w:val="21"/>
              </w:rPr>
              <w:t>成交报价折扣系数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747"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color w:val="auto"/>
                <w:szCs w:val="21"/>
              </w:rPr>
              <w:t>1</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232"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209" w:type="dxa"/>
            <w:tcBorders>
              <w:top w:val="single" w:color="auto" w:sz="4" w:space="0"/>
              <w:left w:val="single" w:color="auto" w:sz="4" w:space="0"/>
              <w:bottom w:val="single" w:color="auto" w:sz="4" w:space="0"/>
              <w:right w:val="single" w:color="auto" w:sz="4" w:space="0"/>
            </w:tcBorders>
          </w:tcPr>
          <w:p>
            <w:pPr>
              <w:snapToGrid w:val="0"/>
              <w:spacing w:line="420" w:lineRule="exact"/>
              <w:jc w:val="center"/>
              <w:rPr>
                <w:color w:val="auto"/>
                <w:szCs w:val="21"/>
              </w:rPr>
            </w:pPr>
          </w:p>
        </w:tc>
        <w:tc>
          <w:tcPr>
            <w:tcW w:w="1798" w:type="dxa"/>
            <w:tcBorders>
              <w:top w:val="single" w:color="auto" w:sz="4" w:space="0"/>
              <w:left w:val="single" w:color="auto" w:sz="4" w:space="0"/>
              <w:bottom w:val="single" w:color="auto" w:sz="4" w:space="0"/>
              <w:right w:val="single" w:color="auto" w:sz="4" w:space="0"/>
            </w:tcBorders>
          </w:tcPr>
          <w:p>
            <w:pPr>
              <w:snapToGrid w:val="0"/>
              <w:spacing w:line="420" w:lineRule="exact"/>
              <w:jc w:val="center"/>
              <w:rPr>
                <w:color w:val="auto"/>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095" w:type="dxa"/>
            <w:vMerge w:val="restart"/>
            <w:tcBorders>
              <w:top w:val="single" w:color="auto" w:sz="4" w:space="0"/>
              <w:left w:val="single" w:color="auto" w:sz="4" w:space="0"/>
              <w:right w:val="single" w:color="auto" w:sz="4" w:space="0"/>
            </w:tcBorders>
            <w:vAlign w:val="center"/>
          </w:tcPr>
          <w:p>
            <w:pPr>
              <w:snapToGrid w:val="0"/>
              <w:spacing w:line="420" w:lineRule="exact"/>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747"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color w:val="auto"/>
                <w:szCs w:val="21"/>
              </w:rPr>
              <w:t>2</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232"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209" w:type="dxa"/>
            <w:tcBorders>
              <w:top w:val="single" w:color="auto" w:sz="4" w:space="0"/>
              <w:left w:val="single" w:color="auto" w:sz="4" w:space="0"/>
              <w:bottom w:val="single" w:color="auto" w:sz="4" w:space="0"/>
              <w:right w:val="single" w:color="auto" w:sz="4" w:space="0"/>
            </w:tcBorders>
          </w:tcPr>
          <w:p>
            <w:pPr>
              <w:snapToGrid w:val="0"/>
              <w:spacing w:line="420" w:lineRule="exact"/>
              <w:jc w:val="center"/>
              <w:rPr>
                <w:color w:val="auto"/>
                <w:szCs w:val="21"/>
              </w:rPr>
            </w:pPr>
          </w:p>
        </w:tc>
        <w:tc>
          <w:tcPr>
            <w:tcW w:w="1798" w:type="dxa"/>
            <w:tcBorders>
              <w:top w:val="single" w:color="auto" w:sz="4" w:space="0"/>
              <w:left w:val="single" w:color="auto" w:sz="4" w:space="0"/>
              <w:bottom w:val="single" w:color="auto" w:sz="4" w:space="0"/>
              <w:right w:val="single" w:color="auto" w:sz="4" w:space="0"/>
            </w:tcBorders>
          </w:tcPr>
          <w:p>
            <w:pPr>
              <w:snapToGrid w:val="0"/>
              <w:spacing w:line="420" w:lineRule="exact"/>
              <w:jc w:val="center"/>
              <w:rPr>
                <w:color w:val="auto"/>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095" w:type="dxa"/>
            <w:vMerge w:val="continue"/>
            <w:tcBorders>
              <w:left w:val="single" w:color="auto" w:sz="4" w:space="0"/>
              <w:right w:val="single" w:color="auto" w:sz="4" w:space="0"/>
            </w:tcBorders>
            <w:vAlign w:val="center"/>
          </w:tcPr>
          <w:p>
            <w:pPr>
              <w:snapToGrid w:val="0"/>
              <w:spacing w:line="420" w:lineRule="exact"/>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747"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r>
              <w:rPr>
                <w:color w:val="auto"/>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058"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232"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209" w:type="dxa"/>
            <w:tcBorders>
              <w:top w:val="single" w:color="auto" w:sz="4" w:space="0"/>
              <w:left w:val="single" w:color="auto" w:sz="4" w:space="0"/>
              <w:bottom w:val="single" w:color="auto" w:sz="4" w:space="0"/>
              <w:right w:val="single" w:color="auto" w:sz="4" w:space="0"/>
            </w:tcBorders>
          </w:tcPr>
          <w:p>
            <w:pPr>
              <w:snapToGrid w:val="0"/>
              <w:spacing w:line="420" w:lineRule="exact"/>
              <w:jc w:val="center"/>
              <w:rPr>
                <w:color w:val="auto"/>
                <w:szCs w:val="21"/>
              </w:rPr>
            </w:pPr>
          </w:p>
        </w:tc>
        <w:tc>
          <w:tcPr>
            <w:tcW w:w="1798" w:type="dxa"/>
            <w:tcBorders>
              <w:top w:val="single" w:color="auto" w:sz="4" w:space="0"/>
              <w:left w:val="single" w:color="auto" w:sz="4" w:space="0"/>
              <w:bottom w:val="single" w:color="auto" w:sz="4" w:space="0"/>
              <w:right w:val="single" w:color="auto" w:sz="4" w:space="0"/>
            </w:tcBorders>
          </w:tcPr>
          <w:p>
            <w:pPr>
              <w:snapToGrid w:val="0"/>
              <w:spacing w:line="420" w:lineRule="exact"/>
              <w:jc w:val="center"/>
              <w:rPr>
                <w:color w:val="auto"/>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c>
          <w:tcPr>
            <w:tcW w:w="1095" w:type="dxa"/>
            <w:vMerge w:val="continue"/>
            <w:tcBorders>
              <w:left w:val="single" w:color="auto" w:sz="4" w:space="0"/>
              <w:bottom w:val="single" w:color="auto" w:sz="4" w:space="0"/>
              <w:right w:val="single" w:color="auto" w:sz="4" w:space="0"/>
            </w:tcBorders>
            <w:vAlign w:val="center"/>
          </w:tcPr>
          <w:p>
            <w:pPr>
              <w:snapToGrid w:val="0"/>
              <w:spacing w:line="420" w:lineRule="exact"/>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9417" w:type="dxa"/>
            <w:gridSpan w:val="8"/>
            <w:tcBorders>
              <w:top w:val="single" w:color="auto" w:sz="4" w:space="0"/>
              <w:left w:val="single" w:color="auto" w:sz="4" w:space="0"/>
              <w:bottom w:val="single" w:color="auto" w:sz="4" w:space="0"/>
              <w:right w:val="single" w:color="auto" w:sz="4" w:space="0"/>
            </w:tcBorders>
            <w:vAlign w:val="center"/>
          </w:tcPr>
          <w:p>
            <w:pPr>
              <w:snapToGrid w:val="0"/>
              <w:spacing w:line="420" w:lineRule="exact"/>
              <w:rPr>
                <w:rFonts w:ascii="宋体" w:hAnsi="宋体" w:cs="宋体"/>
                <w:color w:val="auto"/>
                <w:szCs w:val="21"/>
              </w:rPr>
            </w:pPr>
            <w:r>
              <w:rPr>
                <w:rFonts w:hint="eastAsia" w:ascii="宋体" w:hAnsi="宋体" w:cs="宋体"/>
                <w:color w:val="auto"/>
                <w:szCs w:val="21"/>
              </w:rPr>
              <w:t>备注：</w:t>
            </w:r>
            <w:r>
              <w:rPr>
                <w:rFonts w:hint="eastAsia" w:ascii="宋体" w:hAnsi="宋体" w:cs="宋体"/>
                <w:b/>
                <w:color w:val="auto"/>
                <w:szCs w:val="21"/>
              </w:rPr>
              <w:t>采购单价:基准价格×成交报价折扣系数</w:t>
            </w:r>
            <w:r>
              <w:rPr>
                <w:rFonts w:hint="eastAsia" w:ascii="宋体" w:hAnsi="宋体" w:cs="Arial"/>
                <w:b/>
                <w:bCs/>
                <w:color w:val="auto"/>
                <w:szCs w:val="21"/>
              </w:rPr>
              <w:t>。</w:t>
            </w:r>
          </w:p>
        </w:tc>
      </w:tr>
    </w:tbl>
    <w:p>
      <w:pPr>
        <w:snapToGrid w:val="0"/>
        <w:spacing w:line="420" w:lineRule="exact"/>
        <w:ind w:firstLine="420" w:firstLineChars="200"/>
        <w:rPr>
          <w:color w:val="auto"/>
          <w:szCs w:val="21"/>
        </w:rPr>
      </w:pPr>
      <w:r>
        <w:rPr>
          <w:color w:val="auto"/>
          <w:szCs w:val="21"/>
        </w:rPr>
        <w:t>2.</w:t>
      </w:r>
      <w:r>
        <w:rPr>
          <w:rFonts w:hint="eastAsia"/>
          <w:color w:val="auto"/>
          <w:szCs w:val="21"/>
        </w:rPr>
        <w:t>合同合计金额包括</w:t>
      </w:r>
      <w:r>
        <w:rPr>
          <w:rFonts w:hint="eastAsia" w:asciiTheme="minorEastAsia" w:hAnsiTheme="minorEastAsia" w:eastAsiaTheme="minorEastAsia"/>
          <w:color w:val="auto"/>
          <w:szCs w:val="21"/>
        </w:rPr>
        <w:t>货物及服务采购、检验检测、包装、运输、仓储、人工费等各种费用和售后服务、税金及其它所有成本费用的总和</w:t>
      </w:r>
      <w:r>
        <w:rPr>
          <w:rFonts w:hint="eastAsia"/>
          <w:color w:val="auto"/>
          <w:szCs w:val="21"/>
        </w:rPr>
        <w:t>。如招响应文件对其另有规定的，从其规定。</w:t>
      </w:r>
    </w:p>
    <w:p>
      <w:pPr>
        <w:snapToGrid w:val="0"/>
        <w:spacing w:line="420" w:lineRule="exact"/>
        <w:ind w:firstLine="422" w:firstLineChars="200"/>
        <w:rPr>
          <w:color w:val="auto"/>
          <w:szCs w:val="21"/>
        </w:rPr>
      </w:pPr>
      <w:r>
        <w:rPr>
          <w:rFonts w:hint="eastAsia" w:hAnsi="宋体"/>
          <w:b/>
          <w:color w:val="auto"/>
          <w:szCs w:val="21"/>
        </w:rPr>
        <w:t>第二条　质量要求</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olor w:val="auto"/>
          <w:szCs w:val="21"/>
        </w:rPr>
        <w:t>乙方应按采购文件标项要求及响应文件承诺的货物品质及服务标准向甲方提供物资供应。合同期限内，</w:t>
      </w:r>
      <w:r>
        <w:rPr>
          <w:rFonts w:hint="eastAsia" w:hAnsi="宋体"/>
          <w:color w:val="auto"/>
          <w:szCs w:val="21"/>
        </w:rPr>
        <w:t>甲方</w:t>
      </w:r>
      <w:r>
        <w:rPr>
          <w:rFonts w:hint="eastAsia" w:ascii="宋体" w:hAnsi="宋体"/>
          <w:color w:val="auto"/>
          <w:szCs w:val="21"/>
        </w:rPr>
        <w:t>根据合同约定对乙方进行考核。</w:t>
      </w:r>
    </w:p>
    <w:p>
      <w:pPr>
        <w:spacing w:line="420" w:lineRule="exact"/>
        <w:ind w:firstLine="420" w:firstLineChars="200"/>
        <w:rPr>
          <w:rFonts w:hAnsi="宋体"/>
          <w:b/>
          <w:color w:val="auto"/>
          <w:szCs w:val="21"/>
        </w:rPr>
      </w:pPr>
      <w:r>
        <w:rPr>
          <w:color w:val="auto"/>
          <w:szCs w:val="21"/>
        </w:rPr>
        <w:t>2.</w:t>
      </w:r>
      <w:r>
        <w:rPr>
          <w:rFonts w:hint="eastAsia" w:hAnsi="宋体"/>
          <w:color w:val="auto"/>
          <w:szCs w:val="21"/>
        </w:rPr>
        <w:t>乙方</w:t>
      </w:r>
      <w:r>
        <w:rPr>
          <w:rFonts w:hint="eastAsia" w:ascii="宋体" w:hAnsi="宋体" w:cs="宋体"/>
          <w:color w:val="auto"/>
          <w:kern w:val="0"/>
          <w:szCs w:val="21"/>
        </w:rPr>
        <w:t>提供的货物必须是具有合法销售途径的、完整、新鲜合格产品。货物的技术质量必须符合中华人民共和国农产品质量安全法等有关规定</w:t>
      </w:r>
    </w:p>
    <w:p>
      <w:pPr>
        <w:spacing w:line="420" w:lineRule="exact"/>
        <w:ind w:firstLine="422" w:firstLineChars="200"/>
        <w:rPr>
          <w:rFonts w:hAnsi="宋体"/>
          <w:b/>
          <w:color w:val="auto"/>
          <w:szCs w:val="21"/>
        </w:rPr>
      </w:pPr>
      <w:r>
        <w:rPr>
          <w:rFonts w:hint="eastAsia" w:hAnsi="宋体"/>
          <w:b/>
          <w:color w:val="auto"/>
          <w:szCs w:val="21"/>
        </w:rPr>
        <w:t>第三条  价格确定</w:t>
      </w:r>
    </w:p>
    <w:p>
      <w:pPr>
        <w:snapToGrid w:val="0"/>
        <w:spacing w:line="420" w:lineRule="exact"/>
        <w:ind w:firstLine="420" w:firstLineChars="200"/>
        <w:rPr>
          <w:rFonts w:ascii="宋体" w:hAnsi="宋体" w:cs="Arial"/>
          <w:b/>
          <w:bCs/>
          <w:color w:val="auto"/>
          <w:szCs w:val="21"/>
        </w:rPr>
      </w:pPr>
      <w:r>
        <w:rPr>
          <w:rFonts w:hint="eastAsia" w:ascii="宋体" w:hAnsi="宋体" w:cs="宋体"/>
          <w:color w:val="auto"/>
          <w:szCs w:val="21"/>
        </w:rPr>
        <w:t>采购单价:</w:t>
      </w:r>
      <w:r>
        <w:rPr>
          <w:rFonts w:hint="eastAsia" w:ascii="宋体" w:hAnsi="宋体" w:cs="宋体"/>
          <w:b/>
          <w:color w:val="auto"/>
          <w:szCs w:val="21"/>
          <w:u w:val="single"/>
        </w:rPr>
        <w:t>基准单价×成交报价折扣系数</w:t>
      </w:r>
      <w:r>
        <w:rPr>
          <w:rFonts w:hint="eastAsia" w:ascii="宋体" w:hAnsi="宋体" w:cs="Arial"/>
          <w:b/>
          <w:bCs/>
          <w:color w:val="auto"/>
          <w:szCs w:val="21"/>
        </w:rPr>
        <w:t>。</w:t>
      </w:r>
    </w:p>
    <w:p>
      <w:pPr>
        <w:snapToGrid w:val="0"/>
        <w:spacing w:line="420" w:lineRule="exact"/>
        <w:ind w:firstLine="420" w:firstLineChars="200"/>
        <w:rPr>
          <w:rFonts w:hAnsi="宋体"/>
          <w:b/>
          <w:color w:val="auto"/>
          <w:szCs w:val="21"/>
          <w:u w:val="single"/>
        </w:rPr>
      </w:pPr>
      <w:r>
        <w:rPr>
          <w:rFonts w:hint="eastAsia" w:ascii="宋体" w:hAnsi="宋体" w:cs="宋体"/>
          <w:color w:val="auto"/>
          <w:szCs w:val="21"/>
        </w:rPr>
        <w:t>供货和定价方式：</w:t>
      </w:r>
      <w:r>
        <w:rPr>
          <w:rFonts w:hint="eastAsia" w:ascii="宋体" w:hAnsi="宋体" w:cs="宋体"/>
          <w:color w:val="auto"/>
          <w:szCs w:val="21"/>
          <w:u w:val="single"/>
        </w:rPr>
        <w:t xml:space="preserve">  （</w:t>
      </w:r>
      <w:r>
        <w:rPr>
          <w:rFonts w:hint="eastAsia" w:ascii="宋体" w:hAnsi="宋体" w:cs="宋体"/>
          <w:b/>
          <w:bCs/>
          <w:color w:val="auto"/>
          <w:szCs w:val="21"/>
          <w:u w:val="single"/>
        </w:rPr>
        <w:t>按采购需求中标项要求填写</w:t>
      </w:r>
      <w:r>
        <w:rPr>
          <w:rFonts w:hint="eastAsia" w:ascii="宋体" w:hAnsi="宋体" w:cs="宋体"/>
          <w:color w:val="auto"/>
          <w:szCs w:val="21"/>
          <w:u w:val="single"/>
        </w:rPr>
        <w:t>）</w:t>
      </w:r>
      <w:r>
        <w:rPr>
          <w:rFonts w:hint="eastAsia" w:ascii="宋体" w:hAnsi="宋体" w:cs="宋体"/>
          <w:b/>
          <w:bCs/>
          <w:color w:val="auto"/>
          <w:szCs w:val="21"/>
          <w:u w:val="single"/>
        </w:rPr>
        <w:t xml:space="preserve"> </w:t>
      </w:r>
      <w:r>
        <w:rPr>
          <w:rFonts w:hint="eastAsia" w:ascii="宋体" w:hAnsi="宋体" w:cs="宋体"/>
          <w:color w:val="auto"/>
          <w:szCs w:val="21"/>
          <w:u w:val="single"/>
        </w:rPr>
        <w:t xml:space="preserve">  </w:t>
      </w:r>
      <w:r>
        <w:rPr>
          <w:rFonts w:hint="eastAsia" w:ascii="宋体" w:hAnsi="宋体" w:cs="宋体"/>
          <w:color w:val="auto"/>
          <w:szCs w:val="21"/>
        </w:rPr>
        <w:t>。</w:t>
      </w:r>
    </w:p>
    <w:p>
      <w:pPr>
        <w:snapToGrid w:val="0"/>
        <w:spacing w:line="420" w:lineRule="exact"/>
        <w:ind w:firstLine="422" w:firstLineChars="200"/>
        <w:rPr>
          <w:color w:val="auto"/>
          <w:szCs w:val="21"/>
        </w:rPr>
      </w:pPr>
      <w:r>
        <w:rPr>
          <w:rFonts w:hint="eastAsia" w:hAnsi="宋体"/>
          <w:b/>
          <w:color w:val="auto"/>
          <w:szCs w:val="21"/>
        </w:rPr>
        <w:t>第四条　权利保证</w:t>
      </w:r>
    </w:p>
    <w:p>
      <w:pPr>
        <w:snapToGrid w:val="0"/>
        <w:spacing w:line="420" w:lineRule="exact"/>
        <w:ind w:firstLine="420" w:firstLineChars="200"/>
        <w:rPr>
          <w:color w:val="auto"/>
          <w:szCs w:val="21"/>
        </w:rPr>
      </w:pPr>
      <w:r>
        <w:rPr>
          <w:color w:val="auto"/>
          <w:szCs w:val="21"/>
        </w:rPr>
        <w:t>1.</w:t>
      </w:r>
      <w:r>
        <w:rPr>
          <w:rFonts w:hint="eastAsia" w:hAnsi="宋体"/>
          <w:color w:val="auto"/>
          <w:szCs w:val="21"/>
        </w:rPr>
        <w:t>乙方应保证所提供货物在使用时不会侵犯任何第三方的专利权、商标权、工业设计权或者其他权利。</w:t>
      </w:r>
    </w:p>
    <w:p>
      <w:pPr>
        <w:snapToGrid w:val="0"/>
        <w:spacing w:line="420" w:lineRule="exact"/>
        <w:ind w:firstLine="420" w:firstLineChars="200"/>
        <w:rPr>
          <w:color w:val="auto"/>
          <w:szCs w:val="21"/>
        </w:rPr>
      </w:pPr>
      <w:r>
        <w:rPr>
          <w:color w:val="auto"/>
          <w:szCs w:val="21"/>
        </w:rPr>
        <w:t>2.</w:t>
      </w:r>
      <w:r>
        <w:rPr>
          <w:rFonts w:hint="eastAsia" w:hAnsi="宋体"/>
          <w:color w:val="auto"/>
          <w:szCs w:val="21"/>
        </w:rPr>
        <w:t>乙方应按采购文件规定或者响应文件承诺的时间向甲方提供使用货物的有关技术资料。</w:t>
      </w:r>
    </w:p>
    <w:p>
      <w:pPr>
        <w:snapToGrid w:val="0"/>
        <w:spacing w:line="420" w:lineRule="exact"/>
        <w:ind w:firstLine="420" w:firstLineChars="200"/>
        <w:rPr>
          <w:color w:val="auto"/>
          <w:szCs w:val="21"/>
        </w:rPr>
      </w:pPr>
      <w:r>
        <w:rPr>
          <w:color w:val="auto"/>
          <w:szCs w:val="21"/>
        </w:rPr>
        <w:t>3.</w:t>
      </w:r>
      <w:r>
        <w:rPr>
          <w:rFonts w:hint="eastAsia" w:hAnsi="宋体"/>
          <w:color w:val="auto"/>
          <w:szCs w:val="21"/>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pPr>
        <w:snapToGrid w:val="0"/>
        <w:spacing w:line="420" w:lineRule="exact"/>
        <w:ind w:firstLine="420" w:firstLineChars="200"/>
        <w:rPr>
          <w:color w:val="auto"/>
          <w:szCs w:val="21"/>
        </w:rPr>
      </w:pPr>
      <w:r>
        <w:rPr>
          <w:color w:val="auto"/>
          <w:szCs w:val="21"/>
        </w:rPr>
        <w:t>4.</w:t>
      </w:r>
      <w:r>
        <w:rPr>
          <w:rFonts w:hint="eastAsia" w:hAnsi="宋体"/>
          <w:color w:val="auto"/>
          <w:szCs w:val="21"/>
        </w:rPr>
        <w:t>乙方保证将要交付的货物的所有权完全属于乙方且无任何抵押、质押、查封等产权瑕疵。</w:t>
      </w:r>
    </w:p>
    <w:p>
      <w:pPr>
        <w:snapToGrid w:val="0"/>
        <w:spacing w:line="420" w:lineRule="exact"/>
        <w:ind w:firstLine="422" w:firstLineChars="200"/>
        <w:rPr>
          <w:b/>
          <w:color w:val="auto"/>
          <w:szCs w:val="21"/>
        </w:rPr>
      </w:pPr>
      <w:r>
        <w:rPr>
          <w:rFonts w:hint="eastAsia" w:hAnsi="宋体"/>
          <w:b/>
          <w:color w:val="auto"/>
          <w:szCs w:val="21"/>
        </w:rPr>
        <w:t>第五条　包装和运输</w:t>
      </w:r>
    </w:p>
    <w:p>
      <w:pPr>
        <w:snapToGrid w:val="0"/>
        <w:spacing w:line="420" w:lineRule="exact"/>
        <w:ind w:firstLine="420" w:firstLineChars="200"/>
        <w:rPr>
          <w:rFonts w:ascii="宋体" w:hAnsi="宋体"/>
          <w:color w:val="auto"/>
          <w:szCs w:val="21"/>
        </w:rPr>
      </w:pPr>
      <w:r>
        <w:rPr>
          <w:rFonts w:hint="eastAsia" w:ascii="宋体" w:hAnsi="宋体"/>
          <w:color w:val="auto"/>
          <w:szCs w:val="21"/>
        </w:rPr>
        <w:t>1、乙方提供的货物均应按采购文件要求的包装材料、包装标准、包装方式进行包装，每一包装单元内应附详细的装箱单和质量合格证。</w:t>
      </w:r>
    </w:p>
    <w:p>
      <w:pPr>
        <w:snapToGrid w:val="0"/>
        <w:spacing w:line="420" w:lineRule="exact"/>
        <w:ind w:firstLine="420" w:firstLineChars="200"/>
        <w:rPr>
          <w:rFonts w:ascii="宋体" w:hAnsi="宋体"/>
          <w:color w:val="auto"/>
          <w:szCs w:val="21"/>
        </w:rPr>
      </w:pPr>
      <w:r>
        <w:rPr>
          <w:rFonts w:hint="eastAsia" w:ascii="宋体" w:hAnsi="宋体"/>
          <w:color w:val="auto"/>
          <w:szCs w:val="21"/>
        </w:rPr>
        <w:t>2、货物的运输方式：</w:t>
      </w:r>
      <w:r>
        <w:rPr>
          <w:color w:val="auto"/>
          <w:szCs w:val="21"/>
          <w:u w:val="single"/>
        </w:rPr>
        <w:t xml:space="preserve"> </w:t>
      </w:r>
      <w:r>
        <w:rPr>
          <w:rFonts w:hint="eastAsia" w:ascii="宋体" w:hAnsi="宋体" w:cs="宋体"/>
          <w:color w:val="auto"/>
          <w:szCs w:val="21"/>
          <w:u w:val="single"/>
        </w:rPr>
        <w:t>冷链货车或普通货车</w:t>
      </w:r>
      <w:r>
        <w:rPr>
          <w:rFonts w:hint="eastAsia" w:ascii="宋体" w:hAnsi="宋体"/>
          <w:color w:val="auto"/>
          <w:szCs w:val="21"/>
        </w:rPr>
        <w:t>，但必须满足货物运输距离、防潮、防震、防锈和防破损装卸要求，以保证货物安全运输到达甲方指定地点。</w:t>
      </w:r>
    </w:p>
    <w:p>
      <w:pPr>
        <w:snapToGrid w:val="0"/>
        <w:spacing w:line="420" w:lineRule="exact"/>
        <w:ind w:firstLine="420" w:firstLineChars="200"/>
        <w:rPr>
          <w:rFonts w:ascii="宋体" w:hAnsi="宋体" w:cs="Courier New"/>
          <w:color w:val="auto"/>
          <w:szCs w:val="21"/>
        </w:rPr>
      </w:pPr>
      <w:r>
        <w:rPr>
          <w:rFonts w:hint="eastAsia" w:ascii="宋体" w:hAnsi="宋体"/>
          <w:color w:val="auto"/>
          <w:szCs w:val="21"/>
        </w:rPr>
        <w:t>3、乙方负责货物运输，货物运输合理损耗及计算方法：</w:t>
      </w:r>
      <w:r>
        <w:rPr>
          <w:rFonts w:hint="eastAsia" w:ascii="宋体" w:hAnsi="宋体" w:cs="Courier New"/>
          <w:color w:val="auto"/>
          <w:szCs w:val="21"/>
        </w:rPr>
        <w:t>所有损耗由乙方负责。</w:t>
      </w:r>
    </w:p>
    <w:p>
      <w:pPr>
        <w:snapToGrid w:val="0"/>
        <w:spacing w:line="420" w:lineRule="exact"/>
        <w:ind w:firstLine="420" w:firstLineChars="200"/>
        <w:rPr>
          <w:rFonts w:ascii="宋体" w:hAnsi="宋体"/>
          <w:color w:val="auto"/>
          <w:szCs w:val="21"/>
        </w:rPr>
      </w:pPr>
      <w:r>
        <w:rPr>
          <w:rFonts w:hint="eastAsia" w:ascii="宋体" w:hAnsi="宋体"/>
          <w:color w:val="auto"/>
          <w:szCs w:val="21"/>
        </w:rPr>
        <w:t>4、货物在规定的交付期限内由乙方送达甲方指定的地点视为交付，乙方同时需通知甲方货物已送达。</w:t>
      </w:r>
    </w:p>
    <w:p>
      <w:pPr>
        <w:snapToGrid w:val="0"/>
        <w:spacing w:line="420" w:lineRule="exact"/>
        <w:ind w:firstLine="422" w:firstLineChars="200"/>
        <w:rPr>
          <w:color w:val="auto"/>
          <w:szCs w:val="21"/>
        </w:rPr>
      </w:pPr>
      <w:r>
        <w:rPr>
          <w:rFonts w:hint="eastAsia" w:hAnsi="宋体"/>
          <w:b/>
          <w:color w:val="auto"/>
          <w:szCs w:val="21"/>
        </w:rPr>
        <w:t>第六条　交付和验收</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1.合同时间：</w:t>
      </w:r>
      <w:r>
        <w:rPr>
          <w:rFonts w:hint="eastAsia" w:ascii="宋体" w:hAnsi="宋体" w:cs="宋体"/>
          <w:b/>
          <w:bCs/>
          <w:color w:val="auto"/>
          <w:kern w:val="0"/>
          <w:szCs w:val="21"/>
        </w:rPr>
        <w:t>自合同签订之日起1年，</w:t>
      </w:r>
      <w:r>
        <w:rPr>
          <w:rFonts w:hint="eastAsia" w:ascii="宋体" w:hAnsi="宋体" w:cs="宋体"/>
          <w:color w:val="auto"/>
          <w:szCs w:val="21"/>
          <w:u w:val="single"/>
        </w:rPr>
        <w:t xml:space="preserve">       年     月     日至       年     月     日</w:t>
      </w:r>
      <w:r>
        <w:rPr>
          <w:rFonts w:hint="eastAsia" w:ascii="宋体" w:hAnsi="宋体" w:cs="宋体"/>
          <w:color w:val="auto"/>
          <w:szCs w:val="21"/>
        </w:rPr>
        <w:t>；</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2.交货时间：</w:t>
      </w:r>
      <w:r>
        <w:rPr>
          <w:rFonts w:hint="eastAsia" w:ascii="宋体" w:hAnsi="宋体" w:cs="宋体"/>
          <w:color w:val="auto"/>
          <w:szCs w:val="21"/>
        </w:rPr>
        <w:t>分批次供货，按甲方采购计划规定的时间供货</w:t>
      </w:r>
      <w:r>
        <w:rPr>
          <w:rFonts w:hint="eastAsia" w:ascii="宋体" w:hAnsi="宋体" w:cs="宋体"/>
          <w:color w:val="auto"/>
          <w:kern w:val="0"/>
          <w:szCs w:val="21"/>
        </w:rPr>
        <w:t>，确保一日一供，节假日正常供应，特殊情况双方协商确定。产品运输由</w:t>
      </w:r>
      <w:r>
        <w:rPr>
          <w:rFonts w:hint="eastAsia" w:ascii="宋体" w:hAnsi="宋体" w:cs="宋体"/>
          <w:color w:val="auto"/>
          <w:szCs w:val="21"/>
        </w:rPr>
        <w:t>乙方</w:t>
      </w:r>
      <w:r>
        <w:rPr>
          <w:rFonts w:hint="eastAsia" w:ascii="宋体" w:hAnsi="宋体" w:cs="宋体"/>
          <w:color w:val="auto"/>
          <w:kern w:val="0"/>
          <w:szCs w:val="21"/>
        </w:rPr>
        <w:t>负责，运输及卸车费用由</w:t>
      </w:r>
      <w:r>
        <w:rPr>
          <w:rFonts w:hint="eastAsia" w:ascii="宋体" w:hAnsi="宋体" w:cs="宋体"/>
          <w:color w:val="auto"/>
          <w:szCs w:val="21"/>
        </w:rPr>
        <w:t>乙方</w:t>
      </w:r>
      <w:r>
        <w:rPr>
          <w:rFonts w:hint="eastAsia" w:ascii="宋体" w:hAnsi="宋体" w:cs="宋体"/>
          <w:color w:val="auto"/>
          <w:kern w:val="0"/>
          <w:szCs w:val="21"/>
        </w:rPr>
        <w:t>承担。</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3.交付地点：广西桂林市甲方指定地点。</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4.</w:t>
      </w:r>
      <w:r>
        <w:rPr>
          <w:rFonts w:hint="eastAsia" w:ascii="宋体" w:hAnsi="宋体" w:cs="宋体"/>
          <w:color w:val="auto"/>
          <w:kern w:val="0"/>
          <w:szCs w:val="21"/>
        </w:rPr>
        <w:t>在收到甲方发出订货通知后，乙方最迟在次日上午8时前必须到达甲方指定地点</w:t>
      </w:r>
      <w:r>
        <w:rPr>
          <w:rFonts w:hint="eastAsia" w:ascii="宋体" w:hAnsi="宋体" w:cs="宋体"/>
          <w:color w:val="auto"/>
          <w:szCs w:val="21"/>
        </w:rPr>
        <w:t>。</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5.紧急供货要求：在收到甲方发出紧急供货通知后，乙方最迟2小时内完成当次现场供货。</w:t>
      </w:r>
      <w:r>
        <w:rPr>
          <w:rFonts w:hint="eastAsia" w:ascii="宋体" w:hAnsi="宋体" w:cs="宋体"/>
          <w:color w:val="auto"/>
          <w:kern w:val="0"/>
          <w:szCs w:val="21"/>
        </w:rPr>
        <w:br w:type="textWrapping"/>
      </w:r>
      <w:r>
        <w:rPr>
          <w:rFonts w:hint="eastAsia" w:ascii="宋体" w:hAnsi="宋体" w:cs="宋体"/>
          <w:color w:val="auto"/>
          <w:kern w:val="0"/>
          <w:szCs w:val="21"/>
        </w:rPr>
        <w:t xml:space="preserve">    6.乙方必须在双方约定的时间内将货物送到甲方指定的地点，运输费用由乙方承担，如出现不合格、损坏的情况，由乙方负责及时调换，并于2小时内送达指定地点。</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7.技术要求有写明的，每批货物必须提供相关的质量安全检验合格证明。</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8.乙方每次随货物送上一式两份的送货清单，经双方验收合格后签字确认，双方各执一份，作为送收货凭证。乙方的送货清单必须详细注明商品的单价、数量，送货清单不得涂改。标记不清的，甲方将拒绝签收。结算期末乙方还应提供送货清单供甲方结算。</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9.乙方提供不符合采购文件规定或者响应文件承诺的和本合同规定的货物，甲方有权拒绝接受。</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10.交货验收必须由甲方和乙方共同进行，甲方如认为有需要的，可委托相关检验部门对产品进行抽检，自检或检验部门抽检不合格的不给予验收，影响甲方实施进度的将追究相关责任，抽检所产生的费用全部由乙方负责。</w:t>
      </w:r>
      <w:r>
        <w:rPr>
          <w:rFonts w:hint="eastAsia" w:ascii="宋体" w:hAnsi="宋体" w:cs="宋体"/>
          <w:color w:val="auto"/>
          <w:kern w:val="0"/>
          <w:szCs w:val="21"/>
        </w:rPr>
        <w:br w:type="textWrapping"/>
      </w:r>
      <w:r>
        <w:rPr>
          <w:rFonts w:hint="eastAsia" w:ascii="宋体" w:hAnsi="宋体" w:cs="宋体"/>
          <w:color w:val="auto"/>
          <w:kern w:val="0"/>
          <w:szCs w:val="21"/>
        </w:rPr>
        <w:t xml:space="preserve">   11.验收工作的一般程序为：根据货物采购清单的具体要求，对所购名称进行清点、外观检查进行实测，并逐项记录。检测结束后，验收人员在验收单上签字。对未能通过验收的，一律退货、更换直至验收合格。</w:t>
      </w:r>
    </w:p>
    <w:p>
      <w:pPr>
        <w:snapToGrid w:val="0"/>
        <w:spacing w:line="420" w:lineRule="exact"/>
        <w:ind w:firstLine="420" w:firstLineChars="200"/>
        <w:rPr>
          <w:rFonts w:ascii="宋体" w:hAnsi="宋体" w:cs="宋体"/>
          <w:color w:val="auto"/>
          <w:szCs w:val="21"/>
        </w:rPr>
      </w:pPr>
      <w:r>
        <w:rPr>
          <w:rFonts w:hint="eastAsia" w:ascii="宋体" w:hAnsi="宋体" w:cs="宋体"/>
          <w:color w:val="auto"/>
          <w:szCs w:val="21"/>
        </w:rPr>
        <w:t>12. 甲方对验收有异议的，在验收后</w:t>
      </w:r>
      <w:r>
        <w:rPr>
          <w:rFonts w:hint="eastAsia" w:ascii="宋体" w:hAnsi="宋体" w:cs="宋体"/>
          <w:color w:val="auto"/>
          <w:szCs w:val="21"/>
          <w:u w:val="single"/>
        </w:rPr>
        <w:t>3</w:t>
      </w:r>
      <w:r>
        <w:rPr>
          <w:rFonts w:hint="eastAsia" w:ascii="宋体" w:hAnsi="宋体" w:cs="宋体"/>
          <w:color w:val="auto"/>
          <w:szCs w:val="21"/>
        </w:rPr>
        <w:t>个工作日内以书面形式向乙方提出，乙方应自收到甲方书面异议后</w:t>
      </w:r>
      <w:r>
        <w:rPr>
          <w:rFonts w:hint="eastAsia" w:ascii="宋体" w:hAnsi="宋体" w:cs="宋体"/>
          <w:color w:val="auto"/>
          <w:szCs w:val="21"/>
          <w:u w:val="single"/>
        </w:rPr>
        <w:t xml:space="preserve"> 5 </w:t>
      </w:r>
      <w:r>
        <w:rPr>
          <w:rFonts w:hint="eastAsia" w:ascii="宋体" w:hAnsi="宋体" w:cs="宋体"/>
          <w:color w:val="auto"/>
          <w:szCs w:val="21"/>
        </w:rPr>
        <w:t>日内及时予以解决。</w:t>
      </w:r>
    </w:p>
    <w:p>
      <w:pPr>
        <w:snapToGrid w:val="0"/>
        <w:spacing w:line="420" w:lineRule="exact"/>
        <w:ind w:firstLine="420" w:firstLineChars="200"/>
        <w:rPr>
          <w:color w:val="auto"/>
          <w:szCs w:val="21"/>
        </w:rPr>
      </w:pPr>
      <w:r>
        <w:rPr>
          <w:rFonts w:hint="eastAsia" w:ascii="宋体" w:hAnsi="宋体" w:cs="宋体"/>
          <w:color w:val="auto"/>
          <w:szCs w:val="21"/>
        </w:rPr>
        <w:t>13. 甲方委托采购代理机构组织的验收项目，其验收时间以该项目验收方案确定的验收时间为准，验收</w:t>
      </w:r>
      <w:r>
        <w:rPr>
          <w:rFonts w:hint="eastAsia" w:hAnsi="宋体"/>
          <w:color w:val="auto"/>
          <w:szCs w:val="21"/>
        </w:rPr>
        <w:t>结果以该项目验收报告结论为准。在验收过程中发现乙方有违约问题，可暂缓资金结算，待违约问题解决后，方可办理资金结算事宜。</w:t>
      </w:r>
    </w:p>
    <w:p>
      <w:pPr>
        <w:snapToGrid w:val="0"/>
        <w:spacing w:line="420" w:lineRule="exact"/>
        <w:ind w:firstLine="422" w:firstLineChars="200"/>
        <w:rPr>
          <w:b/>
          <w:color w:val="auto"/>
          <w:szCs w:val="21"/>
        </w:rPr>
      </w:pPr>
      <w:r>
        <w:rPr>
          <w:rFonts w:hint="eastAsia" w:hAnsi="宋体"/>
          <w:b/>
          <w:color w:val="auto"/>
          <w:szCs w:val="21"/>
        </w:rPr>
        <w:t>第七条　售后服务、质保期</w:t>
      </w:r>
    </w:p>
    <w:p>
      <w:pPr>
        <w:snapToGrid w:val="0"/>
        <w:spacing w:line="420" w:lineRule="exact"/>
        <w:ind w:firstLine="420" w:firstLineChars="200"/>
        <w:rPr>
          <w:color w:val="auto"/>
          <w:szCs w:val="21"/>
        </w:rPr>
      </w:pPr>
      <w:r>
        <w:rPr>
          <w:color w:val="auto"/>
          <w:szCs w:val="21"/>
        </w:rPr>
        <w:t>1.</w:t>
      </w:r>
      <w:r>
        <w:rPr>
          <w:rFonts w:hint="eastAsia" w:hAnsi="宋体"/>
          <w:color w:val="auto"/>
          <w:szCs w:val="21"/>
        </w:rPr>
        <w:t>乙方应按照国家有关法律法规和</w:t>
      </w:r>
      <w:r>
        <w:rPr>
          <w:color w:val="auto"/>
          <w:szCs w:val="21"/>
        </w:rPr>
        <w:t>“</w:t>
      </w:r>
      <w:r>
        <w:rPr>
          <w:rFonts w:hint="eastAsia" w:hAnsi="宋体"/>
          <w:color w:val="auto"/>
          <w:szCs w:val="21"/>
        </w:rPr>
        <w:t>三包</w:t>
      </w:r>
      <w:r>
        <w:rPr>
          <w:color w:val="auto"/>
          <w:szCs w:val="21"/>
        </w:rPr>
        <w:t>”</w:t>
      </w:r>
      <w:r>
        <w:rPr>
          <w:rFonts w:hint="eastAsia" w:hAnsi="宋体"/>
          <w:color w:val="auto"/>
          <w:szCs w:val="21"/>
        </w:rPr>
        <w:t>规定以及本合同所附的《售后服务承诺》，为甲方提供售后服务。</w:t>
      </w:r>
    </w:p>
    <w:p>
      <w:pPr>
        <w:snapToGrid w:val="0"/>
        <w:spacing w:line="420" w:lineRule="exact"/>
        <w:ind w:firstLine="420" w:firstLineChars="200"/>
        <w:rPr>
          <w:color w:val="auto"/>
          <w:szCs w:val="21"/>
          <w:u w:val="single"/>
        </w:rPr>
      </w:pPr>
      <w:r>
        <w:rPr>
          <w:color w:val="auto"/>
          <w:szCs w:val="21"/>
        </w:rPr>
        <w:t>2.</w:t>
      </w:r>
      <w:r>
        <w:rPr>
          <w:rFonts w:hint="eastAsia" w:hAnsi="宋体"/>
          <w:color w:val="auto"/>
          <w:szCs w:val="21"/>
        </w:rPr>
        <w:t>货物质保期：</w:t>
      </w:r>
      <w:r>
        <w:rPr>
          <w:color w:val="auto"/>
          <w:szCs w:val="21"/>
          <w:u w:val="single"/>
        </w:rPr>
        <w:t xml:space="preserve"> </w:t>
      </w:r>
      <w:r>
        <w:rPr>
          <w:rFonts w:hint="eastAsia"/>
          <w:color w:val="auto"/>
          <w:szCs w:val="21"/>
          <w:u w:val="single"/>
        </w:rPr>
        <w:t>（</w:t>
      </w:r>
      <w:r>
        <w:rPr>
          <w:rFonts w:hint="eastAsia" w:ascii="宋体" w:hAnsi="宋体" w:cs="宋体"/>
          <w:color w:val="auto"/>
          <w:szCs w:val="21"/>
          <w:u w:val="single"/>
        </w:rPr>
        <w:t>按采购需求中标项要求及乙方响应文件中的承诺执行</w:t>
      </w:r>
      <w:r>
        <w:rPr>
          <w:rFonts w:hint="eastAsia"/>
          <w:color w:val="auto"/>
          <w:szCs w:val="21"/>
          <w:u w:val="single"/>
        </w:rPr>
        <w:t>）</w:t>
      </w:r>
      <w:r>
        <w:rPr>
          <w:color w:val="auto"/>
          <w:szCs w:val="21"/>
          <w:u w:val="single"/>
        </w:rPr>
        <w:t xml:space="preserve"> </w:t>
      </w:r>
      <w:r>
        <w:rPr>
          <w:rFonts w:hint="eastAsia" w:hAnsi="宋体"/>
          <w:color w:val="auto"/>
          <w:szCs w:val="21"/>
          <w:u w:val="single"/>
        </w:rPr>
        <w:t>。</w:t>
      </w:r>
    </w:p>
    <w:p>
      <w:pPr>
        <w:snapToGrid w:val="0"/>
        <w:spacing w:line="420" w:lineRule="exact"/>
        <w:ind w:firstLine="420" w:firstLineChars="200"/>
        <w:rPr>
          <w:color w:val="auto"/>
          <w:szCs w:val="21"/>
          <w:u w:val="single"/>
        </w:rPr>
      </w:pPr>
      <w:r>
        <w:rPr>
          <w:color w:val="auto"/>
          <w:szCs w:val="21"/>
        </w:rPr>
        <w:t>3.</w:t>
      </w:r>
      <w:r>
        <w:rPr>
          <w:rFonts w:hint="eastAsia" w:hAnsi="宋体"/>
          <w:color w:val="auto"/>
          <w:szCs w:val="21"/>
        </w:rPr>
        <w:t>乙方提供的服务承诺和售后服务等其它具体约定事项。（见合同附件）</w:t>
      </w:r>
    </w:p>
    <w:p>
      <w:pPr>
        <w:snapToGrid w:val="0"/>
        <w:spacing w:line="420" w:lineRule="exact"/>
        <w:ind w:firstLine="422" w:firstLineChars="200"/>
        <w:rPr>
          <w:color w:val="auto"/>
          <w:szCs w:val="21"/>
        </w:rPr>
      </w:pPr>
      <w:r>
        <w:rPr>
          <w:rFonts w:hint="eastAsia" w:hAnsi="宋体"/>
          <w:b/>
          <w:color w:val="auto"/>
          <w:szCs w:val="21"/>
        </w:rPr>
        <w:t>第八条 付款方式</w:t>
      </w:r>
    </w:p>
    <w:p>
      <w:pPr>
        <w:snapToGrid w:val="0"/>
        <w:spacing w:line="420" w:lineRule="exact"/>
        <w:ind w:firstLine="420" w:firstLineChars="200"/>
        <w:rPr>
          <w:rFonts w:ascii="宋体" w:hAnsi="宋体" w:cs="宋体"/>
          <w:bCs/>
          <w:color w:val="auto"/>
          <w:kern w:val="0"/>
          <w:szCs w:val="21"/>
        </w:rPr>
      </w:pPr>
      <w:r>
        <w:rPr>
          <w:rFonts w:hint="eastAsia" w:ascii="宋体" w:hAnsi="宋体" w:cs="宋体"/>
          <w:bCs/>
          <w:color w:val="auto"/>
          <w:kern w:val="0"/>
          <w:szCs w:val="21"/>
        </w:rPr>
        <w:t xml:space="preserve">1. </w:t>
      </w:r>
      <w:r>
        <w:rPr>
          <w:rFonts w:hint="eastAsia" w:ascii="宋体" w:hAnsi="宋体" w:cs="宋体"/>
          <w:color w:val="auto"/>
          <w:kern w:val="0"/>
          <w:szCs w:val="21"/>
        </w:rPr>
        <w:t>资金性质：</w:t>
      </w:r>
      <w:r>
        <w:rPr>
          <w:rFonts w:hint="eastAsia" w:ascii="宋体" w:hAnsi="宋体" w:cs="宋体"/>
          <w:color w:val="auto"/>
          <w:kern w:val="0"/>
          <w:szCs w:val="21"/>
          <w:u w:val="single"/>
        </w:rPr>
        <w:t xml:space="preserve"> 财政资金。</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szCs w:val="21"/>
        </w:rPr>
        <w:t>2.分批供货，每批次货款根据双方确认的单价及该批次的供货数量进行结算；</w:t>
      </w:r>
    </w:p>
    <w:p>
      <w:pPr>
        <w:snapToGrid w:val="0"/>
        <w:spacing w:line="420" w:lineRule="exact"/>
        <w:ind w:firstLine="420" w:firstLineChars="200"/>
        <w:rPr>
          <w:rFonts w:ascii="宋体" w:hAnsi="宋体" w:cs="宋体"/>
          <w:color w:val="auto"/>
          <w:szCs w:val="21"/>
        </w:rPr>
      </w:pPr>
      <w:r>
        <w:rPr>
          <w:rFonts w:hint="eastAsia" w:ascii="宋体" w:hAnsi="宋体" w:cs="宋体"/>
          <w:bCs/>
          <w:color w:val="auto"/>
          <w:szCs w:val="21"/>
        </w:rPr>
        <w:t>3.</w:t>
      </w:r>
      <w:r>
        <w:rPr>
          <w:rFonts w:hint="eastAsia" w:hAnsi="宋体"/>
          <w:color w:val="auto"/>
          <w:szCs w:val="21"/>
        </w:rPr>
        <w:t>付款方式：</w:t>
      </w:r>
      <w:r>
        <w:rPr>
          <w:rFonts w:hint="eastAsia" w:ascii="宋体" w:hAnsi="宋体" w:cs="宋体"/>
          <w:color w:val="auto"/>
          <w:kern w:val="0"/>
          <w:szCs w:val="21"/>
        </w:rPr>
        <w:t>按月结算，乙方每月26日与甲方核对本月的采购数量（结算周期：上月26日至本月25日为一个结算周期）,每月27日提供当月供应食材的等额发票及供货单据结算货款，每月结算一次。甲方收到发票及相关票据后10个工作日内，以银行转账方式向乙方支付货款。乙方须按时足额提供发票及相关票据，否则甲方有权拒绝付款而不构成违约。乙方开具的发票必须真实、合法、有效，如乙方提供虚假发票，由此引发的一切责任由乙方负责</w:t>
      </w:r>
      <w:r>
        <w:rPr>
          <w:rFonts w:hint="eastAsia" w:ascii="宋体" w:hAnsi="宋体" w:cs="宋体"/>
          <w:color w:val="auto"/>
          <w:szCs w:val="21"/>
        </w:rPr>
        <w:t>。</w:t>
      </w:r>
    </w:p>
    <w:p>
      <w:pPr>
        <w:snapToGrid w:val="0"/>
        <w:spacing w:line="420" w:lineRule="exact"/>
        <w:ind w:left="-61" w:leftChars="-29" w:firstLine="517" w:firstLineChars="245"/>
        <w:rPr>
          <w:b/>
          <w:color w:val="auto"/>
          <w:szCs w:val="21"/>
        </w:rPr>
      </w:pPr>
      <w:r>
        <w:rPr>
          <w:rFonts w:hint="eastAsia" w:hAnsi="宋体"/>
          <w:b/>
          <w:color w:val="auto"/>
          <w:szCs w:val="21"/>
        </w:rPr>
        <w:t>第九条 履约保证金</w:t>
      </w:r>
    </w:p>
    <w:p>
      <w:pPr>
        <w:spacing w:line="420" w:lineRule="exact"/>
        <w:rPr>
          <w:rFonts w:ascii="宋体" w:hAnsi="宋体"/>
          <w:color w:val="auto"/>
        </w:rPr>
      </w:pPr>
      <w:r>
        <w:rPr>
          <w:color w:val="auto"/>
          <w:szCs w:val="21"/>
        </w:rPr>
        <w:t xml:space="preserve">    1.</w:t>
      </w:r>
      <w:r>
        <w:rPr>
          <w:rFonts w:hint="eastAsia" w:hAnsi="宋体"/>
          <w:color w:val="auto"/>
          <w:szCs w:val="21"/>
        </w:rPr>
        <w:t>履约保证金金额：</w:t>
      </w:r>
      <w:r>
        <w:rPr>
          <w:rFonts w:hint="eastAsia" w:hAnsi="宋体"/>
          <w:color w:val="auto"/>
          <w:szCs w:val="21"/>
          <w:u w:val="single"/>
        </w:rPr>
        <w:t>标项</w:t>
      </w:r>
      <w:r>
        <w:rPr>
          <w:rFonts w:hint="eastAsia" w:ascii="宋体" w:hAnsi="宋体"/>
          <w:color w:val="auto"/>
          <w:u w:val="single"/>
        </w:rPr>
        <w:t>采购预算×成交折扣系数×2%，即人民币：</w:t>
      </w:r>
      <w:r>
        <w:rPr>
          <w:rFonts w:ascii="Arial" w:hAnsi="Arial" w:cs="Arial"/>
          <w:color w:val="auto"/>
          <w:u w:val="single"/>
        </w:rPr>
        <w:t>¥</w:t>
      </w:r>
      <w:r>
        <w:rPr>
          <w:rFonts w:hint="eastAsia" w:ascii="宋体" w:hAnsi="宋体"/>
          <w:color w:val="auto"/>
          <w:u w:val="single"/>
        </w:rPr>
        <w:t xml:space="preserve">             ；</w:t>
      </w:r>
    </w:p>
    <w:p>
      <w:pPr>
        <w:autoSpaceDE w:val="0"/>
        <w:autoSpaceDN w:val="0"/>
        <w:snapToGrid w:val="0"/>
        <w:spacing w:line="420" w:lineRule="exact"/>
        <w:ind w:firstLine="210" w:firstLineChars="100"/>
        <w:textAlignment w:val="bottom"/>
        <w:rPr>
          <w:color w:val="auto"/>
          <w:szCs w:val="21"/>
        </w:rPr>
      </w:pPr>
      <w:r>
        <w:rPr>
          <w:rFonts w:hint="eastAsia"/>
          <w:color w:val="auto"/>
          <w:szCs w:val="21"/>
        </w:rPr>
        <w:t xml:space="preserve">   注：根据《广西壮族自治区财政厅关于持续优化政府采购营商环境推动高质量发展的通知》（桂财采〔2024〕55号）规定，鼓励甲方在与中小微企业签订政府采购合同时，可根据乙方的资信等情况减免履约保证金，有必要收取履约保证金的，收取的履约保证金不得超过政府采购合同金额的2%。</w:t>
      </w:r>
    </w:p>
    <w:p>
      <w:pPr>
        <w:spacing w:line="420" w:lineRule="exact"/>
        <w:ind w:firstLine="420" w:firstLineChars="200"/>
        <w:rPr>
          <w:rFonts w:ascii="宋体" w:hAnsi="宋体"/>
          <w:color w:val="auto"/>
        </w:rPr>
      </w:pPr>
      <w:r>
        <w:rPr>
          <w:rFonts w:hint="eastAsia" w:ascii="宋体" w:hAnsi="宋体"/>
          <w:color w:val="auto"/>
        </w:rPr>
        <w:t>履约保证金提交方式：银行转账、支票、汇票、本票或者银行、保险机构出具的保函等非现金方式。</w:t>
      </w:r>
    </w:p>
    <w:p>
      <w:pPr>
        <w:spacing w:line="420" w:lineRule="exact"/>
        <w:ind w:firstLine="420" w:firstLineChars="200"/>
        <w:rPr>
          <w:rFonts w:ascii="宋体" w:hAnsi="宋体"/>
          <w:color w:val="auto"/>
        </w:rPr>
      </w:pPr>
      <w:r>
        <w:rPr>
          <w:rFonts w:hint="eastAsia" w:ascii="宋体" w:hAnsi="宋体"/>
          <w:color w:val="auto"/>
        </w:rPr>
        <w:t>履约保证金账户：</w:t>
      </w:r>
    </w:p>
    <w:p>
      <w:pPr>
        <w:spacing w:line="420" w:lineRule="exact"/>
        <w:ind w:firstLine="420" w:firstLineChars="200"/>
        <w:rPr>
          <w:rFonts w:ascii="宋体" w:hAnsi="宋体"/>
          <w:color w:val="auto"/>
        </w:rPr>
      </w:pPr>
      <w:r>
        <w:rPr>
          <w:rFonts w:hint="eastAsia" w:ascii="宋体" w:hAnsi="宋体"/>
          <w:color w:val="auto"/>
        </w:rPr>
        <w:t>开户名称：广西壮族自治区英山监狱</w:t>
      </w:r>
    </w:p>
    <w:p>
      <w:pPr>
        <w:spacing w:line="420" w:lineRule="exact"/>
        <w:ind w:firstLine="420" w:firstLineChars="200"/>
        <w:rPr>
          <w:rFonts w:ascii="宋体" w:hAnsi="宋体"/>
          <w:color w:val="auto"/>
        </w:rPr>
      </w:pPr>
      <w:r>
        <w:rPr>
          <w:rFonts w:hint="eastAsia" w:ascii="宋体" w:hAnsi="宋体"/>
          <w:color w:val="auto"/>
        </w:rPr>
        <w:t>开户银行：农行桂林横塘支行</w:t>
      </w:r>
    </w:p>
    <w:p>
      <w:pPr>
        <w:spacing w:line="420" w:lineRule="exact"/>
        <w:ind w:firstLine="420" w:firstLineChars="200"/>
        <w:rPr>
          <w:rFonts w:ascii="宋体" w:hAnsi="宋体"/>
          <w:color w:val="auto"/>
        </w:rPr>
      </w:pPr>
      <w:r>
        <w:rPr>
          <w:rFonts w:hint="eastAsia" w:ascii="宋体" w:hAnsi="宋体"/>
          <w:color w:val="auto"/>
        </w:rPr>
        <w:t>银行账号：20215301040000682</w:t>
      </w:r>
    </w:p>
    <w:p>
      <w:pPr>
        <w:autoSpaceDE w:val="0"/>
        <w:autoSpaceDN w:val="0"/>
        <w:snapToGrid w:val="0"/>
        <w:spacing w:line="420" w:lineRule="exact"/>
        <w:ind w:firstLine="420" w:firstLineChars="200"/>
        <w:textAlignment w:val="bottom"/>
        <w:rPr>
          <w:color w:val="auto"/>
          <w:szCs w:val="21"/>
        </w:rPr>
      </w:pPr>
      <w:r>
        <w:rPr>
          <w:rFonts w:hint="eastAsia" w:ascii="宋体" w:hAnsi="宋体"/>
          <w:color w:val="auto"/>
          <w:szCs w:val="21"/>
        </w:rPr>
        <w:t>备注说明：</w:t>
      </w:r>
      <w:r>
        <w:rPr>
          <w:rFonts w:hint="eastAsia"/>
          <w:color w:val="auto"/>
          <w:szCs w:val="21"/>
        </w:rPr>
        <w:t>乙方</w:t>
      </w:r>
      <w:r>
        <w:rPr>
          <w:rFonts w:hint="eastAsia" w:ascii="宋体" w:hAnsi="宋体"/>
          <w:color w:val="auto"/>
          <w:szCs w:val="21"/>
        </w:rPr>
        <w:t>在签订合同之前，把履约保证金足额交到甲方指定账户，否则不予签订合同。</w:t>
      </w:r>
      <w:r>
        <w:rPr>
          <w:rFonts w:hint="eastAsia"/>
          <w:color w:val="auto"/>
          <w:szCs w:val="21"/>
        </w:rPr>
        <w:t>乙方</w:t>
      </w:r>
      <w:r>
        <w:rPr>
          <w:rFonts w:hint="eastAsia" w:ascii="宋体" w:hAnsi="宋体" w:cs="宋体"/>
          <w:color w:val="auto"/>
          <w:szCs w:val="21"/>
        </w:rPr>
        <w:t>在签订合同后存在违约情形的，甲方有权从履约保证金中进行相应扣罚，保函形式的甲方按相关规定由出具保函的银行、保险机构承担乙方违约赔付责任。情节严重的</w:t>
      </w:r>
      <w:r>
        <w:rPr>
          <w:rFonts w:hint="eastAsia"/>
          <w:color w:val="auto"/>
          <w:szCs w:val="21"/>
        </w:rPr>
        <w:t>乙方</w:t>
      </w:r>
      <w:r>
        <w:rPr>
          <w:rFonts w:hint="eastAsia" w:ascii="宋体" w:hAnsi="宋体" w:cs="宋体"/>
          <w:color w:val="auto"/>
          <w:szCs w:val="21"/>
        </w:rPr>
        <w:t>被取消供应资格，终止合同履行的，</w:t>
      </w:r>
      <w:r>
        <w:rPr>
          <w:rFonts w:hint="eastAsia"/>
          <w:color w:val="auto"/>
          <w:szCs w:val="21"/>
        </w:rPr>
        <w:t>乙方</w:t>
      </w:r>
      <w:r>
        <w:rPr>
          <w:rFonts w:hint="eastAsia" w:ascii="宋体" w:hAnsi="宋体" w:cs="宋体"/>
          <w:color w:val="auto"/>
          <w:szCs w:val="21"/>
        </w:rPr>
        <w:t>履约保证金不予退还，履约保证金不足以赔偿损失的，按实际损失赔偿。</w:t>
      </w:r>
    </w:p>
    <w:p>
      <w:pPr>
        <w:snapToGrid w:val="0"/>
        <w:spacing w:line="420" w:lineRule="exact"/>
        <w:ind w:left="-61" w:firstLine="514"/>
        <w:rPr>
          <w:b/>
          <w:color w:val="auto"/>
          <w:szCs w:val="21"/>
        </w:rPr>
      </w:pPr>
      <w:r>
        <w:rPr>
          <w:rFonts w:hint="eastAsia" w:hAnsi="宋体"/>
          <w:b/>
          <w:color w:val="auto"/>
          <w:szCs w:val="21"/>
        </w:rPr>
        <w:t>第十条　税费</w:t>
      </w:r>
    </w:p>
    <w:p>
      <w:pPr>
        <w:snapToGrid w:val="0"/>
        <w:spacing w:line="420" w:lineRule="exact"/>
        <w:ind w:left="-61" w:firstLine="514"/>
        <w:rPr>
          <w:color w:val="auto"/>
          <w:szCs w:val="21"/>
        </w:rPr>
      </w:pPr>
      <w:r>
        <w:rPr>
          <w:rFonts w:hint="eastAsia" w:hAnsi="宋体"/>
          <w:color w:val="auto"/>
          <w:szCs w:val="21"/>
        </w:rPr>
        <w:t>本合同执行中相关的一切税费均由乙方负担。</w:t>
      </w:r>
    </w:p>
    <w:p>
      <w:pPr>
        <w:snapToGrid w:val="0"/>
        <w:spacing w:line="420" w:lineRule="exact"/>
        <w:ind w:firstLine="422" w:firstLineChars="200"/>
        <w:rPr>
          <w:rFonts w:ascii="宋体" w:hAnsi="宋体" w:cs="宋体"/>
          <w:color w:val="auto"/>
          <w:kern w:val="0"/>
          <w:szCs w:val="21"/>
        </w:rPr>
      </w:pPr>
      <w:r>
        <w:rPr>
          <w:rFonts w:hint="eastAsia" w:ascii="宋体" w:hAnsi="宋体"/>
          <w:b/>
          <w:color w:val="auto"/>
          <w:kern w:val="0"/>
          <w:szCs w:val="21"/>
        </w:rPr>
        <w:t>第十一条 违约责任</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1.除客观不可抗力外，乙方不得推迟送货。如确需延迟送货，乙方应在得知情况的同时告知甲方并征得甲方的同意。除此之外，乙方如送货迟到超过30分钟，可扣罚当天总货款的 10%，若超过 60 分钟，可扣罚当天总货款的 20%，三次以上，甲方有权单方解除合同。</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2.乙方未按本合同和响应文件中规定的服务承诺提供售后服务的，乙方应向甲方支付违约金（违约金=标项采购预算×成交折扣系数×5%），违约金从乙方缴纳的履约保证金中扣除，</w:t>
      </w:r>
      <w:r>
        <w:rPr>
          <w:rFonts w:hint="eastAsia" w:ascii="宋体" w:hAnsi="宋体"/>
          <w:color w:val="auto"/>
          <w:szCs w:val="21"/>
        </w:rPr>
        <w:t>不足另补</w:t>
      </w:r>
      <w:r>
        <w:rPr>
          <w:rFonts w:hint="eastAsia" w:ascii="宋体" w:hAnsi="宋体" w:cs="宋体"/>
          <w:color w:val="auto"/>
          <w:kern w:val="0"/>
          <w:szCs w:val="21"/>
        </w:rPr>
        <w:t>。</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3.关于发生不按要求配送（不准时、质量不符）等情况，退货，达到三次以上甲方有权解除合同，并要求乙方赔偿甲方因此而产生的损失。</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4.因天灾或不可抗力力无法履行合同的，甲方乙方均无责任。</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5.其它违约行为由违约方按货款总额5%支付守约方违约金并赔偿经济损失。</w:t>
      </w:r>
    </w:p>
    <w:p>
      <w:pPr>
        <w:snapToGrid w:val="0"/>
        <w:spacing w:line="420" w:lineRule="exact"/>
        <w:ind w:firstLine="420" w:firstLineChars="200"/>
        <w:rPr>
          <w:rFonts w:ascii="宋体" w:hAnsi="宋体" w:cs="宋体"/>
          <w:color w:val="auto"/>
          <w:kern w:val="0"/>
          <w:szCs w:val="21"/>
        </w:rPr>
      </w:pPr>
      <w:r>
        <w:rPr>
          <w:rFonts w:ascii="宋体" w:hAnsi="宋体" w:cs="宋体"/>
          <w:color w:val="auto"/>
          <w:kern w:val="0"/>
          <w:szCs w:val="21"/>
        </w:rPr>
        <w:t>6</w:t>
      </w:r>
      <w:r>
        <w:rPr>
          <w:rFonts w:hint="eastAsia" w:ascii="宋体" w:hAnsi="宋体" w:cs="宋体"/>
          <w:color w:val="auto"/>
          <w:kern w:val="0"/>
          <w:szCs w:val="21"/>
        </w:rPr>
        <w:t>.乙方在签订合同后5个工作日内，未向甲方提供购买《食品安全责任保险》的证明材料，甲方有权终止合同，乙方向甲方支付违约金（违约金=采购预算×成交折扣系数×10%）。</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7.乙方在履行合同时出现不能按时、按质、按量配送物资，导致甲方不能正常开餐，乙方将承担该批次货物金额的三倍违约金，违约金以转账形式转到甲方指定账户，乙方拒不支付违约金，甲方可其履约保证金中扣除，过后乙方仍补足履约保证金。</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8.乙方应保证所提供的的食品必须是合格安全的食品，因其所送的食品造成食物中毒等事故，立即终止合同，乙方应承担全部责任，同时通过法律途径解决。</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9.乙方应严格遵守《中华人民共和国食品安全法》、《中华人民共和国食品安全法实施条例》等相关规定，一经发现以下食品，除全部退货外，将取消供货资格，乙方并承担由此造成的经济责任和法律责任：</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①食材/食品没有合法供货来源的；</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②腐败变质、霉变、生虫、污秽不洁、混有异物或者其他感官性状异常，对人体健康有害的；</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③含有毒、有害物质或者被有害物质污染，对人体健康有害的；</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④含有致病性寄生虫、微生物或者微生物含量超过国家限定标准的；</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⑤未经检疫部门检疫、检验或者检疫、检验不合格的食材；</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⑥掺假、掺杂、伪造，影响营养、卫生的；</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⑦病死、毒死或者死因不明的禽畜类；</w:t>
      </w:r>
      <w:r>
        <w:rPr>
          <w:rFonts w:hint="eastAsia" w:ascii="宋体" w:hAnsi="宋体" w:cs="宋体"/>
          <w:b/>
          <w:bCs/>
          <w:color w:val="auto"/>
          <w:kern w:val="0"/>
          <w:szCs w:val="21"/>
        </w:rPr>
        <w:t>（适用于标项一）</w:t>
      </w:r>
    </w:p>
    <w:p>
      <w:pPr>
        <w:snapToGrid w:val="0"/>
        <w:spacing w:line="420" w:lineRule="exact"/>
        <w:ind w:firstLine="420" w:firstLineChars="200"/>
        <w:rPr>
          <w:rFonts w:ascii="宋体" w:hAnsi="宋体" w:cs="宋体"/>
          <w:color w:val="auto"/>
          <w:kern w:val="0"/>
          <w:szCs w:val="21"/>
        </w:rPr>
      </w:pPr>
      <w:r>
        <w:rPr>
          <w:rFonts w:hint="eastAsia" w:ascii="宋体" w:hAnsi="宋体" w:cs="宋体"/>
          <w:color w:val="auto"/>
          <w:kern w:val="0"/>
          <w:szCs w:val="21"/>
        </w:rPr>
        <w:t>10.在价格调整期间，乙方不得以现行价格低为由，而停止某一品种的供应，一旦出现</w:t>
      </w:r>
      <w:r>
        <w:rPr>
          <w:rFonts w:hint="eastAsia" w:ascii="宋体" w:hAnsi="宋体"/>
          <w:color w:val="auto"/>
          <w:szCs w:val="21"/>
        </w:rPr>
        <w:t>停止</w:t>
      </w:r>
      <w:r>
        <w:rPr>
          <w:rFonts w:hint="eastAsia" w:ascii="宋体" w:hAnsi="宋体" w:cs="宋体"/>
          <w:color w:val="auto"/>
          <w:kern w:val="0"/>
          <w:szCs w:val="21"/>
        </w:rPr>
        <w:t>某一品种物资的供应，视为乙方违约，将按第十一条第7点进行处罚。</w:t>
      </w:r>
    </w:p>
    <w:p>
      <w:pPr>
        <w:snapToGrid w:val="0"/>
        <w:spacing w:line="420" w:lineRule="exact"/>
        <w:ind w:firstLine="413" w:firstLineChars="196"/>
        <w:rPr>
          <w:b/>
          <w:color w:val="auto"/>
          <w:kern w:val="0"/>
          <w:szCs w:val="21"/>
        </w:rPr>
      </w:pPr>
      <w:r>
        <w:rPr>
          <w:rFonts w:hint="eastAsia" w:hAnsi="宋体"/>
          <w:b/>
          <w:color w:val="auto"/>
          <w:kern w:val="0"/>
          <w:szCs w:val="21"/>
        </w:rPr>
        <w:t>第十二条 不可抗力事件处理</w:t>
      </w:r>
    </w:p>
    <w:p>
      <w:pPr>
        <w:snapToGrid w:val="0"/>
        <w:spacing w:line="420" w:lineRule="exact"/>
        <w:ind w:firstLine="420" w:firstLineChars="200"/>
        <w:rPr>
          <w:color w:val="auto"/>
          <w:kern w:val="0"/>
          <w:szCs w:val="21"/>
        </w:rPr>
      </w:pPr>
      <w:r>
        <w:rPr>
          <w:color w:val="auto"/>
          <w:kern w:val="0"/>
          <w:szCs w:val="21"/>
        </w:rPr>
        <w:t>1.</w:t>
      </w:r>
      <w:r>
        <w:rPr>
          <w:rFonts w:hint="eastAsia" w:hAnsi="宋体"/>
          <w:color w:val="auto"/>
          <w:kern w:val="0"/>
          <w:szCs w:val="21"/>
        </w:rPr>
        <w:t>在合同有效期内，任何一方因不可抗力事件导致不能履行合同，则合同履行期可延长，其延长期与不可抗力影响期相同。</w:t>
      </w:r>
    </w:p>
    <w:p>
      <w:pPr>
        <w:snapToGrid w:val="0"/>
        <w:spacing w:line="420" w:lineRule="exact"/>
        <w:ind w:firstLine="420" w:firstLineChars="200"/>
        <w:rPr>
          <w:color w:val="auto"/>
          <w:kern w:val="0"/>
          <w:szCs w:val="21"/>
        </w:rPr>
      </w:pPr>
      <w:r>
        <w:rPr>
          <w:color w:val="auto"/>
          <w:kern w:val="0"/>
          <w:szCs w:val="21"/>
        </w:rPr>
        <w:t>2.</w:t>
      </w:r>
      <w:r>
        <w:rPr>
          <w:rFonts w:hint="eastAsia" w:ascii="Calibri" w:hAnsi="Calibri"/>
          <w:b/>
          <w:color w:val="auto"/>
          <w:szCs w:val="20"/>
        </w:rPr>
        <w:t xml:space="preserve"> </w:t>
      </w:r>
      <w:r>
        <w:rPr>
          <w:rFonts w:hint="eastAsia" w:hAnsi="宋体"/>
          <w:color w:val="auto"/>
          <w:kern w:val="0"/>
          <w:szCs w:val="21"/>
        </w:rPr>
        <w:t>不可抗力事件发生后，受影响方应在不可抗力发生后24小时内书面通知对方，并于15日内提供事发地行政机关出具的证明文件。</w:t>
      </w:r>
    </w:p>
    <w:p>
      <w:pPr>
        <w:snapToGrid w:val="0"/>
        <w:spacing w:line="420" w:lineRule="exact"/>
        <w:ind w:firstLine="420" w:firstLineChars="200"/>
        <w:rPr>
          <w:color w:val="auto"/>
          <w:szCs w:val="21"/>
        </w:rPr>
      </w:pPr>
      <w:r>
        <w:rPr>
          <w:color w:val="auto"/>
          <w:szCs w:val="21"/>
        </w:rPr>
        <w:t>3.</w:t>
      </w:r>
      <w:r>
        <w:rPr>
          <w:rFonts w:hint="eastAsia" w:hAnsi="宋体"/>
          <w:color w:val="auto"/>
          <w:szCs w:val="21"/>
        </w:rPr>
        <w:t>不可抗力事件延续一百二十天以上，双方应通过友好协商，确定是否继续履行合同。</w:t>
      </w:r>
      <w:r>
        <w:rPr>
          <w:rFonts w:hint="eastAsia"/>
          <w:color w:val="auto"/>
        </w:rPr>
        <w:t>如因不可抗力导致合同无法继续履行，甲方有权免责并单方终止合同，无需承担任何赔偿责任。</w:t>
      </w:r>
    </w:p>
    <w:p>
      <w:pPr>
        <w:snapToGrid w:val="0"/>
        <w:spacing w:line="420" w:lineRule="exact"/>
        <w:ind w:firstLine="422" w:firstLineChars="200"/>
        <w:rPr>
          <w:color w:val="auto"/>
          <w:szCs w:val="21"/>
        </w:rPr>
      </w:pPr>
      <w:r>
        <w:rPr>
          <w:rFonts w:hint="eastAsia" w:hAnsi="宋体"/>
          <w:b/>
          <w:color w:val="auto"/>
          <w:szCs w:val="21"/>
        </w:rPr>
        <w:t>第十三条 合同争议解决</w:t>
      </w:r>
    </w:p>
    <w:p>
      <w:pPr>
        <w:snapToGrid w:val="0"/>
        <w:spacing w:line="420" w:lineRule="exact"/>
        <w:ind w:firstLine="420" w:firstLineChars="200"/>
        <w:rPr>
          <w:color w:val="auto"/>
          <w:szCs w:val="21"/>
        </w:rPr>
      </w:pPr>
      <w:r>
        <w:rPr>
          <w:color w:val="auto"/>
          <w:szCs w:val="21"/>
        </w:rPr>
        <w:t xml:space="preserve">1. </w:t>
      </w:r>
      <w:r>
        <w:rPr>
          <w:rFonts w:hint="eastAsia" w:hAnsi="宋体"/>
          <w:color w:val="auto"/>
          <w:szCs w:val="21"/>
        </w:rPr>
        <w:t>因货物质量问题发生争议的，应邀请国家认可的质量检测机构对货物质量进行鉴定。货物符合标准的，鉴定费由甲方承担；货物不符合标准的，鉴定费由乙方承担。</w:t>
      </w:r>
    </w:p>
    <w:p>
      <w:pPr>
        <w:snapToGrid w:val="0"/>
        <w:spacing w:line="420" w:lineRule="exact"/>
        <w:ind w:left="-61" w:firstLine="514"/>
        <w:rPr>
          <w:color w:val="auto"/>
          <w:szCs w:val="21"/>
        </w:rPr>
      </w:pPr>
      <w:r>
        <w:rPr>
          <w:color w:val="auto"/>
          <w:szCs w:val="21"/>
        </w:rPr>
        <w:t xml:space="preserve">2. </w:t>
      </w:r>
      <w:r>
        <w:rPr>
          <w:rFonts w:hint="eastAsia" w:hAnsi="宋体"/>
          <w:color w:val="auto"/>
          <w:szCs w:val="21"/>
        </w:rPr>
        <w:t>因履行本合同引起的或者与本合同有关的争议，甲乙双方应首先通过友好协商解决，如果协商不能解决，</w:t>
      </w:r>
      <w:r>
        <w:rPr>
          <w:rFonts w:hint="eastAsia" w:ascii="宋体" w:hAnsi="宋体" w:cs="宋体"/>
          <w:color w:val="auto"/>
          <w:szCs w:val="21"/>
        </w:rPr>
        <w:t>可向甲方所在地仲裁委员会申请仲裁或向甲方所在地人民法院提起诉讼。</w:t>
      </w:r>
    </w:p>
    <w:p>
      <w:pPr>
        <w:snapToGrid w:val="0"/>
        <w:spacing w:line="420" w:lineRule="exact"/>
        <w:ind w:left="-61" w:firstLine="514"/>
        <w:rPr>
          <w:color w:val="auto"/>
          <w:szCs w:val="21"/>
        </w:rPr>
      </w:pPr>
      <w:r>
        <w:rPr>
          <w:color w:val="auto"/>
          <w:szCs w:val="21"/>
        </w:rPr>
        <w:t>3.</w:t>
      </w:r>
      <w:r>
        <w:rPr>
          <w:rFonts w:hint="eastAsia" w:hAnsi="宋体"/>
          <w:color w:val="auto"/>
          <w:szCs w:val="21"/>
        </w:rPr>
        <w:t>诉讼期间，本合同继续履行。</w:t>
      </w:r>
    </w:p>
    <w:p>
      <w:pPr>
        <w:snapToGrid w:val="0"/>
        <w:spacing w:line="420" w:lineRule="exact"/>
        <w:ind w:firstLine="413" w:firstLineChars="196"/>
        <w:rPr>
          <w:b/>
          <w:color w:val="auto"/>
          <w:kern w:val="0"/>
          <w:szCs w:val="21"/>
        </w:rPr>
      </w:pPr>
      <w:r>
        <w:rPr>
          <w:rFonts w:hint="eastAsia" w:ascii="宋体" w:hAnsi="宋体"/>
          <w:b/>
          <w:color w:val="auto"/>
          <w:kern w:val="0"/>
          <w:szCs w:val="21"/>
        </w:rPr>
        <w:t xml:space="preserve">第十四条 </w:t>
      </w:r>
      <w:r>
        <w:rPr>
          <w:rFonts w:hint="eastAsia" w:hAnsi="宋体"/>
          <w:b/>
          <w:color w:val="auto"/>
          <w:kern w:val="0"/>
          <w:szCs w:val="21"/>
        </w:rPr>
        <w:t>合同生效及其它</w:t>
      </w:r>
    </w:p>
    <w:p>
      <w:pPr>
        <w:snapToGrid w:val="0"/>
        <w:spacing w:line="420" w:lineRule="exact"/>
        <w:ind w:firstLine="420" w:firstLineChars="200"/>
        <w:rPr>
          <w:rFonts w:ascii="宋体" w:hAnsi="宋体" w:cs="宋体"/>
          <w:bCs/>
          <w:color w:val="auto"/>
          <w:kern w:val="0"/>
          <w:szCs w:val="21"/>
        </w:rPr>
      </w:pPr>
      <w:r>
        <w:rPr>
          <w:rFonts w:hint="eastAsia" w:ascii="宋体" w:hAnsi="宋体" w:cs="宋体"/>
          <w:bCs/>
          <w:color w:val="auto"/>
          <w:kern w:val="0"/>
          <w:szCs w:val="21"/>
        </w:rPr>
        <w:t>1. 合同经双方法定代表人或者委托代理人签字并加盖单位公章后生效（委托代理人签字的需后附法定代表人授权委托书，格式自拟）。</w:t>
      </w:r>
    </w:p>
    <w:p>
      <w:pPr>
        <w:snapToGrid w:val="0"/>
        <w:spacing w:line="420" w:lineRule="exact"/>
        <w:ind w:firstLine="420" w:firstLineChars="200"/>
        <w:rPr>
          <w:rFonts w:ascii="宋体" w:hAnsi="宋体" w:cs="宋体"/>
          <w:bCs/>
          <w:color w:val="auto"/>
          <w:kern w:val="0"/>
          <w:szCs w:val="21"/>
        </w:rPr>
      </w:pPr>
      <w:r>
        <w:rPr>
          <w:rFonts w:hint="eastAsia" w:ascii="宋体" w:hAnsi="宋体" w:cs="宋体"/>
          <w:bCs/>
          <w:color w:val="auto"/>
          <w:kern w:val="0"/>
          <w:szCs w:val="21"/>
        </w:rPr>
        <w:t>2.合同执行中涉及采购资金和采购内容修改或者补充的，须经财政部门审批，并签书面补充协议报财政部门备案，方可作为主合同不可分割的一部分。</w:t>
      </w:r>
    </w:p>
    <w:p>
      <w:pPr>
        <w:snapToGrid w:val="0"/>
        <w:spacing w:line="420" w:lineRule="exact"/>
        <w:ind w:left="420" w:leftChars="200"/>
        <w:rPr>
          <w:rFonts w:ascii="宋体" w:hAnsi="宋体" w:cs="宋体"/>
          <w:bCs/>
          <w:color w:val="auto"/>
          <w:kern w:val="0"/>
          <w:szCs w:val="21"/>
        </w:rPr>
      </w:pPr>
      <w:r>
        <w:rPr>
          <w:rFonts w:hint="eastAsia" w:ascii="宋体" w:hAnsi="宋体" w:cs="宋体"/>
          <w:bCs/>
          <w:color w:val="auto"/>
          <w:kern w:val="0"/>
          <w:szCs w:val="21"/>
        </w:rPr>
        <w:t>3.本合同未尽事宜，遵照《中华人民共和国民法典》有关条文执行。</w:t>
      </w:r>
    </w:p>
    <w:p>
      <w:pPr>
        <w:snapToGrid w:val="0"/>
        <w:spacing w:line="420" w:lineRule="exact"/>
        <w:ind w:firstLine="422" w:firstLineChars="200"/>
        <w:rPr>
          <w:b/>
          <w:color w:val="auto"/>
          <w:szCs w:val="21"/>
        </w:rPr>
      </w:pPr>
      <w:r>
        <w:rPr>
          <w:rFonts w:hint="eastAsia" w:hAnsi="宋体"/>
          <w:b/>
          <w:color w:val="auto"/>
          <w:szCs w:val="21"/>
        </w:rPr>
        <w:t>第十五条  合同的变更、终止与转让</w:t>
      </w:r>
    </w:p>
    <w:p>
      <w:pPr>
        <w:snapToGrid w:val="0"/>
        <w:spacing w:line="420" w:lineRule="exact"/>
        <w:ind w:firstLine="420" w:firstLineChars="200"/>
        <w:rPr>
          <w:color w:val="auto"/>
          <w:szCs w:val="21"/>
        </w:rPr>
      </w:pPr>
      <w:r>
        <w:rPr>
          <w:color w:val="auto"/>
          <w:szCs w:val="21"/>
        </w:rPr>
        <w:t xml:space="preserve">1. </w:t>
      </w:r>
      <w:r>
        <w:rPr>
          <w:rFonts w:hint="eastAsia" w:hAnsi="宋体"/>
          <w:color w:val="auto"/>
          <w:szCs w:val="21"/>
        </w:rPr>
        <w:t>除《中华人民共和国政府采购法》第五十条规定的情形外，本合同一经签订，甲乙双方不得擅自变更、中止或者终止。</w:t>
      </w:r>
    </w:p>
    <w:p>
      <w:pPr>
        <w:snapToGrid w:val="0"/>
        <w:spacing w:line="420" w:lineRule="exact"/>
        <w:ind w:left="-61" w:firstLine="514"/>
        <w:rPr>
          <w:color w:val="auto"/>
          <w:szCs w:val="21"/>
        </w:rPr>
      </w:pPr>
      <w:r>
        <w:rPr>
          <w:color w:val="auto"/>
          <w:szCs w:val="21"/>
        </w:rPr>
        <w:t xml:space="preserve">2. </w:t>
      </w:r>
      <w:r>
        <w:rPr>
          <w:rFonts w:hint="eastAsia" w:hAnsi="宋体"/>
          <w:color w:val="auto"/>
          <w:szCs w:val="21"/>
        </w:rPr>
        <w:t>乙方不得擅自转让（无进口资格的乙方委托进口货物除外）其应履行的合同义务。</w:t>
      </w:r>
    </w:p>
    <w:p>
      <w:pPr>
        <w:snapToGrid w:val="0"/>
        <w:spacing w:line="420" w:lineRule="exact"/>
        <w:ind w:firstLine="422" w:firstLineChars="200"/>
        <w:rPr>
          <w:b/>
          <w:color w:val="auto"/>
          <w:szCs w:val="21"/>
        </w:rPr>
      </w:pPr>
      <w:r>
        <w:rPr>
          <w:rFonts w:hint="eastAsia" w:hAnsi="宋体" w:cs="宋体"/>
          <w:b/>
          <w:color w:val="auto"/>
          <w:szCs w:val="21"/>
        </w:rPr>
        <w:t xml:space="preserve">第十六条  </w:t>
      </w:r>
      <w:r>
        <w:rPr>
          <w:rFonts w:hint="eastAsia" w:hAnsi="宋体"/>
          <w:color w:val="auto"/>
          <w:spacing w:val="-2"/>
          <w:kern w:val="0"/>
          <w:szCs w:val="21"/>
        </w:rPr>
        <w:t>本</w:t>
      </w:r>
      <w:r>
        <w:rPr>
          <w:rFonts w:hint="eastAsia" w:hAnsi="宋体"/>
          <w:color w:val="auto"/>
          <w:kern w:val="0"/>
          <w:szCs w:val="21"/>
        </w:rPr>
        <w:t>合同书</w:t>
      </w:r>
      <w:r>
        <w:rPr>
          <w:rFonts w:hint="eastAsia" w:hAnsi="宋体"/>
          <w:color w:val="auto"/>
          <w:spacing w:val="-2"/>
          <w:kern w:val="0"/>
          <w:szCs w:val="21"/>
        </w:rPr>
        <w:t>与</w:t>
      </w:r>
      <w:r>
        <w:rPr>
          <w:rFonts w:hint="eastAsia" w:hAnsi="宋体"/>
          <w:color w:val="auto"/>
          <w:kern w:val="0"/>
          <w:szCs w:val="21"/>
        </w:rPr>
        <w:t>下</w:t>
      </w:r>
      <w:r>
        <w:rPr>
          <w:rFonts w:hint="eastAsia" w:hAnsi="宋体"/>
          <w:color w:val="auto"/>
          <w:spacing w:val="-2"/>
          <w:kern w:val="0"/>
          <w:szCs w:val="21"/>
        </w:rPr>
        <w:t>列</w:t>
      </w:r>
      <w:r>
        <w:rPr>
          <w:rFonts w:hint="eastAsia" w:hAnsi="宋体"/>
          <w:color w:val="auto"/>
          <w:kern w:val="0"/>
          <w:szCs w:val="21"/>
        </w:rPr>
        <w:t>文</w:t>
      </w:r>
      <w:r>
        <w:rPr>
          <w:rFonts w:hint="eastAsia" w:hAnsi="宋体"/>
          <w:color w:val="auto"/>
          <w:spacing w:val="-2"/>
          <w:kern w:val="0"/>
          <w:szCs w:val="21"/>
        </w:rPr>
        <w:t>件一</w:t>
      </w:r>
      <w:r>
        <w:rPr>
          <w:rFonts w:hint="eastAsia" w:hAnsi="宋体"/>
          <w:color w:val="auto"/>
          <w:kern w:val="0"/>
          <w:szCs w:val="21"/>
        </w:rPr>
        <w:t>起构</w:t>
      </w:r>
      <w:r>
        <w:rPr>
          <w:rFonts w:hint="eastAsia" w:hAnsi="宋体"/>
          <w:color w:val="auto"/>
          <w:spacing w:val="-2"/>
          <w:kern w:val="0"/>
          <w:szCs w:val="21"/>
        </w:rPr>
        <w:t>成</w:t>
      </w:r>
      <w:r>
        <w:rPr>
          <w:rFonts w:hint="eastAsia" w:hAnsi="宋体"/>
          <w:color w:val="auto"/>
          <w:kern w:val="0"/>
          <w:szCs w:val="21"/>
        </w:rPr>
        <w:t>合</w:t>
      </w:r>
      <w:r>
        <w:rPr>
          <w:rFonts w:hint="eastAsia" w:hAnsi="宋体"/>
          <w:color w:val="auto"/>
          <w:spacing w:val="-2"/>
          <w:kern w:val="0"/>
          <w:szCs w:val="21"/>
        </w:rPr>
        <w:t>同</w:t>
      </w:r>
      <w:r>
        <w:rPr>
          <w:rFonts w:hint="eastAsia" w:hAnsi="宋体"/>
          <w:color w:val="auto"/>
          <w:kern w:val="0"/>
          <w:szCs w:val="21"/>
        </w:rPr>
        <w:t>文</w:t>
      </w:r>
      <w:r>
        <w:rPr>
          <w:rFonts w:hint="eastAsia" w:hAnsi="宋体"/>
          <w:color w:val="auto"/>
          <w:spacing w:val="-2"/>
          <w:kern w:val="0"/>
          <w:szCs w:val="21"/>
        </w:rPr>
        <w:t>件</w:t>
      </w:r>
    </w:p>
    <w:p>
      <w:pPr>
        <w:snapToGrid w:val="0"/>
        <w:spacing w:line="420" w:lineRule="exact"/>
        <w:ind w:left="420" w:leftChars="200"/>
        <w:rPr>
          <w:color w:val="auto"/>
          <w:kern w:val="0"/>
          <w:szCs w:val="21"/>
        </w:rPr>
      </w:pPr>
      <w:r>
        <w:rPr>
          <w:color w:val="auto"/>
          <w:kern w:val="0"/>
          <w:szCs w:val="21"/>
        </w:rPr>
        <w:t>1.</w:t>
      </w:r>
      <w:r>
        <w:rPr>
          <w:rFonts w:hint="eastAsia"/>
          <w:color w:val="auto"/>
          <w:kern w:val="0"/>
          <w:szCs w:val="21"/>
        </w:rPr>
        <w:t xml:space="preserve"> </w:t>
      </w:r>
      <w:r>
        <w:rPr>
          <w:rFonts w:hint="eastAsia" w:hAnsi="宋体"/>
          <w:color w:val="auto"/>
          <w:kern w:val="0"/>
          <w:szCs w:val="21"/>
        </w:rPr>
        <w:t>成交通知书；</w:t>
      </w:r>
    </w:p>
    <w:p>
      <w:pPr>
        <w:snapToGrid w:val="0"/>
        <w:spacing w:line="420" w:lineRule="exact"/>
        <w:ind w:left="420" w:leftChars="200"/>
        <w:rPr>
          <w:color w:val="auto"/>
          <w:kern w:val="0"/>
          <w:szCs w:val="21"/>
        </w:rPr>
      </w:pPr>
      <w:r>
        <w:rPr>
          <w:color w:val="auto"/>
          <w:kern w:val="0"/>
          <w:szCs w:val="21"/>
        </w:rPr>
        <w:t>2.</w:t>
      </w:r>
      <w:r>
        <w:rPr>
          <w:rFonts w:hint="eastAsia"/>
          <w:color w:val="auto"/>
        </w:rPr>
        <w:t xml:space="preserve"> </w:t>
      </w:r>
      <w:r>
        <w:rPr>
          <w:rFonts w:hint="eastAsia" w:hAnsi="宋体"/>
          <w:color w:val="auto"/>
          <w:kern w:val="0"/>
          <w:szCs w:val="21"/>
        </w:rPr>
        <w:t>竞标声明；</w:t>
      </w:r>
    </w:p>
    <w:p>
      <w:pPr>
        <w:snapToGrid w:val="0"/>
        <w:spacing w:line="420" w:lineRule="exact"/>
        <w:ind w:left="420" w:leftChars="200"/>
        <w:rPr>
          <w:color w:val="auto"/>
          <w:kern w:val="0"/>
          <w:szCs w:val="21"/>
        </w:rPr>
      </w:pPr>
      <w:r>
        <w:rPr>
          <w:color w:val="auto"/>
          <w:kern w:val="0"/>
          <w:szCs w:val="21"/>
        </w:rPr>
        <w:t>3.</w:t>
      </w:r>
      <w:r>
        <w:rPr>
          <w:rFonts w:hint="eastAsia"/>
          <w:color w:val="auto"/>
        </w:rPr>
        <w:t xml:space="preserve"> </w:t>
      </w:r>
      <w:r>
        <w:rPr>
          <w:rFonts w:hint="eastAsia" w:hAnsi="宋体"/>
          <w:color w:val="auto"/>
          <w:kern w:val="0"/>
          <w:szCs w:val="21"/>
        </w:rPr>
        <w:t>竞标报价表；</w:t>
      </w:r>
    </w:p>
    <w:p>
      <w:pPr>
        <w:snapToGrid w:val="0"/>
        <w:spacing w:line="420" w:lineRule="exact"/>
        <w:ind w:left="420" w:leftChars="200"/>
        <w:rPr>
          <w:color w:val="auto"/>
        </w:rPr>
      </w:pPr>
      <w:r>
        <w:rPr>
          <w:color w:val="auto"/>
          <w:kern w:val="0"/>
          <w:szCs w:val="21"/>
        </w:rPr>
        <w:t>4.</w:t>
      </w:r>
      <w:r>
        <w:rPr>
          <w:rFonts w:hint="eastAsia"/>
          <w:color w:val="auto"/>
        </w:rPr>
        <w:t xml:space="preserve"> 货物配置及报价明细表；</w:t>
      </w:r>
    </w:p>
    <w:p>
      <w:pPr>
        <w:numPr>
          <w:ilvl w:val="0"/>
          <w:numId w:val="8"/>
        </w:numPr>
        <w:snapToGrid w:val="0"/>
        <w:spacing w:line="420" w:lineRule="exact"/>
        <w:ind w:left="420" w:leftChars="200"/>
        <w:rPr>
          <w:color w:val="auto"/>
          <w:kern w:val="0"/>
          <w:szCs w:val="21"/>
        </w:rPr>
      </w:pPr>
      <w:r>
        <w:rPr>
          <w:rFonts w:hint="eastAsia" w:hAnsi="宋体"/>
          <w:color w:val="auto"/>
          <w:kern w:val="0"/>
          <w:szCs w:val="21"/>
        </w:rPr>
        <w:t>商务要求偏离表；</w:t>
      </w:r>
    </w:p>
    <w:p>
      <w:pPr>
        <w:snapToGrid w:val="0"/>
        <w:spacing w:line="420" w:lineRule="exact"/>
        <w:ind w:left="420" w:leftChars="200"/>
        <w:rPr>
          <w:color w:val="auto"/>
          <w:kern w:val="0"/>
          <w:szCs w:val="21"/>
        </w:rPr>
      </w:pPr>
      <w:r>
        <w:rPr>
          <w:rFonts w:hint="eastAsia"/>
          <w:color w:val="auto"/>
          <w:kern w:val="0"/>
          <w:szCs w:val="21"/>
        </w:rPr>
        <w:t>6</w:t>
      </w:r>
      <w:r>
        <w:rPr>
          <w:color w:val="auto"/>
          <w:kern w:val="0"/>
          <w:szCs w:val="21"/>
        </w:rPr>
        <w:t>.</w:t>
      </w:r>
      <w:r>
        <w:rPr>
          <w:rFonts w:hint="eastAsia"/>
          <w:color w:val="auto"/>
        </w:rPr>
        <w:t xml:space="preserve"> </w:t>
      </w:r>
      <w:r>
        <w:rPr>
          <w:rFonts w:hint="eastAsia" w:hAnsi="宋体"/>
          <w:color w:val="auto"/>
          <w:kern w:val="0"/>
          <w:szCs w:val="21"/>
        </w:rPr>
        <w:t>技术要求偏离表；</w:t>
      </w:r>
    </w:p>
    <w:p>
      <w:pPr>
        <w:snapToGrid w:val="0"/>
        <w:spacing w:line="420" w:lineRule="exact"/>
        <w:ind w:left="420" w:leftChars="200"/>
        <w:rPr>
          <w:color w:val="auto"/>
          <w:kern w:val="0"/>
          <w:szCs w:val="21"/>
        </w:rPr>
      </w:pPr>
      <w:r>
        <w:rPr>
          <w:rFonts w:hint="eastAsia"/>
          <w:color w:val="auto"/>
          <w:kern w:val="0"/>
          <w:szCs w:val="21"/>
        </w:rPr>
        <w:t>7</w:t>
      </w:r>
      <w:r>
        <w:rPr>
          <w:color w:val="auto"/>
          <w:kern w:val="0"/>
          <w:szCs w:val="21"/>
        </w:rPr>
        <w:t>.</w:t>
      </w:r>
      <w:r>
        <w:rPr>
          <w:rFonts w:hint="eastAsia"/>
          <w:color w:val="auto"/>
        </w:rPr>
        <w:t xml:space="preserve"> </w:t>
      </w:r>
      <w:r>
        <w:rPr>
          <w:rFonts w:hint="eastAsia" w:hAnsi="宋体"/>
          <w:color w:val="auto"/>
          <w:kern w:val="0"/>
          <w:szCs w:val="21"/>
        </w:rPr>
        <w:t>售后服务承诺；</w:t>
      </w:r>
    </w:p>
    <w:p>
      <w:pPr>
        <w:snapToGrid w:val="0"/>
        <w:spacing w:line="420" w:lineRule="exact"/>
        <w:ind w:left="420" w:leftChars="200"/>
        <w:rPr>
          <w:color w:val="auto"/>
          <w:kern w:val="0"/>
          <w:szCs w:val="21"/>
        </w:rPr>
      </w:pPr>
      <w:r>
        <w:rPr>
          <w:rFonts w:hint="eastAsia"/>
          <w:color w:val="auto"/>
          <w:kern w:val="0"/>
          <w:szCs w:val="21"/>
        </w:rPr>
        <w:t>8</w:t>
      </w:r>
      <w:r>
        <w:rPr>
          <w:color w:val="auto"/>
          <w:kern w:val="0"/>
          <w:szCs w:val="21"/>
        </w:rPr>
        <w:t>.</w:t>
      </w:r>
      <w:r>
        <w:rPr>
          <w:rFonts w:hint="eastAsia"/>
          <w:color w:val="auto"/>
          <w:kern w:val="0"/>
          <w:szCs w:val="21"/>
        </w:rPr>
        <w:t xml:space="preserve"> </w:t>
      </w:r>
      <w:r>
        <w:rPr>
          <w:rFonts w:hint="eastAsia" w:hAnsi="宋体"/>
          <w:color w:val="auto"/>
          <w:kern w:val="0"/>
          <w:szCs w:val="21"/>
        </w:rPr>
        <w:t>其他合同文件。</w:t>
      </w:r>
    </w:p>
    <w:p>
      <w:pPr>
        <w:snapToGrid w:val="0"/>
        <w:spacing w:line="420" w:lineRule="exact"/>
        <w:ind w:left="420" w:leftChars="200"/>
        <w:rPr>
          <w:b/>
          <w:color w:val="auto"/>
          <w:kern w:val="0"/>
          <w:szCs w:val="21"/>
        </w:rPr>
      </w:pPr>
      <w:r>
        <w:rPr>
          <w:rFonts w:hint="eastAsia"/>
          <w:color w:val="auto"/>
          <w:kern w:val="0"/>
          <w:szCs w:val="21"/>
        </w:rPr>
        <w:t>9</w:t>
      </w:r>
      <w:r>
        <w:rPr>
          <w:color w:val="auto"/>
          <w:kern w:val="0"/>
          <w:szCs w:val="21"/>
        </w:rPr>
        <w:t>.</w:t>
      </w:r>
      <w:r>
        <w:rPr>
          <w:rFonts w:hint="eastAsia" w:hAnsi="宋体"/>
          <w:color w:val="auto"/>
          <w:kern w:val="0"/>
          <w:szCs w:val="21"/>
        </w:rPr>
        <w:t>上述合同文件互相补充和解释。如果合同文件之间存在矛盾或者不一致之处，以上述文件的排列顺序在先者为准。</w:t>
      </w:r>
    </w:p>
    <w:p>
      <w:pPr>
        <w:snapToGrid w:val="0"/>
        <w:spacing w:line="420" w:lineRule="exact"/>
        <w:ind w:firstLine="422" w:firstLineChars="200"/>
        <w:rPr>
          <w:color w:val="auto"/>
          <w:szCs w:val="21"/>
        </w:rPr>
      </w:pPr>
      <w:r>
        <w:rPr>
          <w:rFonts w:hint="eastAsia" w:hAnsi="宋体"/>
          <w:b/>
          <w:color w:val="auto"/>
          <w:szCs w:val="21"/>
        </w:rPr>
        <w:t xml:space="preserve">第十七条 </w:t>
      </w:r>
      <w:r>
        <w:rPr>
          <w:rFonts w:hint="eastAsia" w:hAnsi="宋体"/>
          <w:color w:val="auto"/>
          <w:szCs w:val="21"/>
        </w:rPr>
        <w:t>本合同一式六份，具有同等法律效力，采购代理机构一份，</w:t>
      </w:r>
      <w:r>
        <w:rPr>
          <w:rFonts w:hint="eastAsia" w:ascii="宋体" w:hAnsi="宋体" w:cs="宋体"/>
          <w:color w:val="auto"/>
          <w:kern w:val="1"/>
          <w:szCs w:val="21"/>
          <w:lang w:eastAsia="ar-SA"/>
        </w:rPr>
        <w:t>甲方</w:t>
      </w:r>
      <w:r>
        <w:rPr>
          <w:rFonts w:hint="eastAsia" w:ascii="宋体" w:hAnsi="宋体" w:cs="宋体"/>
          <w:color w:val="auto"/>
          <w:kern w:val="1"/>
          <w:szCs w:val="21"/>
        </w:rPr>
        <w:t>三</w:t>
      </w:r>
      <w:r>
        <w:rPr>
          <w:rFonts w:hint="eastAsia" w:ascii="宋体" w:hAnsi="宋体" w:cs="宋体"/>
          <w:color w:val="auto"/>
          <w:kern w:val="1"/>
          <w:szCs w:val="21"/>
          <w:lang w:eastAsia="ar-SA"/>
        </w:rPr>
        <w:t>份，乙方</w:t>
      </w:r>
      <w:r>
        <w:rPr>
          <w:rFonts w:hint="eastAsia" w:ascii="宋体" w:hAnsi="宋体" w:cs="宋体"/>
          <w:color w:val="auto"/>
          <w:kern w:val="1"/>
          <w:szCs w:val="21"/>
        </w:rPr>
        <w:t>二</w:t>
      </w:r>
      <w:r>
        <w:rPr>
          <w:rFonts w:hint="eastAsia" w:ascii="宋体" w:hAnsi="宋体" w:cs="宋体"/>
          <w:color w:val="auto"/>
          <w:kern w:val="1"/>
          <w:szCs w:val="21"/>
          <w:lang w:eastAsia="ar-SA"/>
        </w:rPr>
        <w:t>份</w:t>
      </w:r>
      <w:r>
        <w:rPr>
          <w:rFonts w:hint="eastAsia" w:hAnsi="宋体"/>
          <w:color w:val="auto"/>
          <w:szCs w:val="21"/>
        </w:rPr>
        <w:t>（可根据需要另增加）。</w:t>
      </w:r>
    </w:p>
    <w:p>
      <w:pPr>
        <w:snapToGrid w:val="0"/>
        <w:spacing w:line="420" w:lineRule="exact"/>
        <w:ind w:left="-61" w:firstLine="514"/>
        <w:rPr>
          <w:color w:val="auto"/>
          <w:szCs w:val="21"/>
        </w:rPr>
      </w:pPr>
      <w:r>
        <w:rPr>
          <w:rFonts w:hint="eastAsia" w:hAnsi="宋体"/>
          <w:color w:val="auto"/>
          <w:szCs w:val="21"/>
        </w:rPr>
        <w:t>本合同甲乙双方签字盖章后生效，自签订之日起七个工作日内，甲方应当将合同副本报同级财政部门备案。</w:t>
      </w:r>
    </w:p>
    <w:p>
      <w:pPr>
        <w:spacing w:line="420" w:lineRule="exact"/>
        <w:ind w:firstLine="420" w:firstLineChars="200"/>
        <w:rPr>
          <w:color w:val="auto"/>
        </w:rPr>
      </w:pPr>
      <w:r>
        <w:rPr>
          <w:rFonts w:hint="eastAsia" w:hAnsi="宋体"/>
          <w:color w:val="auto"/>
          <w:szCs w:val="21"/>
        </w:rPr>
        <w:t>本合同自签订之日起</w:t>
      </w:r>
      <w:r>
        <w:rPr>
          <w:color w:val="auto"/>
          <w:szCs w:val="21"/>
        </w:rPr>
        <w:t>2</w:t>
      </w:r>
      <w:r>
        <w:rPr>
          <w:rFonts w:hint="eastAsia" w:hAnsi="宋体"/>
          <w:color w:val="auto"/>
          <w:szCs w:val="21"/>
        </w:rPr>
        <w:t>个工作日内，甲方应当将采购合同在广西壮族自治区财政厅指定的媒体上公告。</w:t>
      </w:r>
    </w:p>
    <w:tbl>
      <w:tblPr>
        <w:tblStyle w:val="24"/>
        <w:tblW w:w="9030" w:type="dxa"/>
        <w:tblInd w:w="0" w:type="dxa"/>
        <w:tblLayout w:type="fixed"/>
        <w:tblCellMar>
          <w:top w:w="0" w:type="dxa"/>
          <w:left w:w="108" w:type="dxa"/>
          <w:bottom w:w="0" w:type="dxa"/>
          <w:right w:w="108" w:type="dxa"/>
        </w:tblCellMar>
      </w:tblPr>
      <w:tblGrid>
        <w:gridCol w:w="4515"/>
        <w:gridCol w:w="4515"/>
      </w:tblGrid>
      <w:tr>
        <w:tblPrEx>
          <w:tblLayout w:type="fixed"/>
          <w:tblCellMar>
            <w:top w:w="0" w:type="dxa"/>
            <w:left w:w="108" w:type="dxa"/>
            <w:bottom w:w="0" w:type="dxa"/>
            <w:right w:w="108" w:type="dxa"/>
          </w:tblCellMar>
        </w:tblPrEx>
        <w:trPr>
          <w:cantSplit/>
          <w:trHeight w:val="829" w:hRule="atLeast"/>
        </w:trPr>
        <w:tc>
          <w:tcPr>
            <w:tcW w:w="4515" w:type="dxa"/>
            <w:vAlign w:val="center"/>
          </w:tcPr>
          <w:p>
            <w:pPr>
              <w:snapToGrid w:val="0"/>
              <w:spacing w:line="360" w:lineRule="auto"/>
              <w:rPr>
                <w:color w:val="auto"/>
                <w:szCs w:val="21"/>
              </w:rPr>
            </w:pPr>
            <w:r>
              <w:rPr>
                <w:rFonts w:hint="eastAsia" w:hAnsi="宋体"/>
                <w:color w:val="auto"/>
                <w:szCs w:val="21"/>
              </w:rPr>
              <w:t>甲方（章）：</w:t>
            </w:r>
            <w:r>
              <w:rPr>
                <w:rFonts w:hint="eastAsia"/>
                <w:color w:val="auto"/>
                <w:szCs w:val="21"/>
                <w:u w:val="single"/>
              </w:rPr>
              <w:t xml:space="preserve">                      </w:t>
            </w:r>
          </w:p>
        </w:tc>
        <w:tc>
          <w:tcPr>
            <w:tcW w:w="4515" w:type="dxa"/>
            <w:vAlign w:val="center"/>
          </w:tcPr>
          <w:p>
            <w:pPr>
              <w:snapToGrid w:val="0"/>
              <w:spacing w:line="360" w:lineRule="auto"/>
              <w:rPr>
                <w:color w:val="auto"/>
                <w:szCs w:val="21"/>
              </w:rPr>
            </w:pPr>
            <w:r>
              <w:rPr>
                <w:rFonts w:hint="eastAsia" w:hAnsi="宋体"/>
                <w:color w:val="auto"/>
                <w:szCs w:val="21"/>
              </w:rPr>
              <w:t>乙方（章）：</w:t>
            </w:r>
            <w:r>
              <w:rPr>
                <w:rFonts w:hint="eastAsia"/>
                <w:color w:val="auto"/>
                <w:szCs w:val="21"/>
                <w:u w:val="single"/>
              </w:rPr>
              <w:t xml:space="preserve">                      </w:t>
            </w:r>
          </w:p>
        </w:tc>
      </w:tr>
      <w:tr>
        <w:tblPrEx>
          <w:tblLayout w:type="fixed"/>
          <w:tblCellMar>
            <w:top w:w="0" w:type="dxa"/>
            <w:left w:w="108" w:type="dxa"/>
            <w:bottom w:w="0" w:type="dxa"/>
            <w:right w:w="108" w:type="dxa"/>
          </w:tblCellMar>
        </w:tblPrEx>
        <w:trPr>
          <w:cantSplit/>
          <w:trHeight w:val="416" w:hRule="atLeast"/>
        </w:trPr>
        <w:tc>
          <w:tcPr>
            <w:tcW w:w="4515" w:type="dxa"/>
            <w:vAlign w:val="center"/>
          </w:tcPr>
          <w:p>
            <w:pPr>
              <w:snapToGrid w:val="0"/>
              <w:spacing w:line="360" w:lineRule="auto"/>
              <w:rPr>
                <w:color w:val="auto"/>
                <w:szCs w:val="21"/>
              </w:rPr>
            </w:pPr>
            <w:r>
              <w:rPr>
                <w:rFonts w:hint="eastAsia" w:hAnsi="宋体"/>
                <w:color w:val="auto"/>
                <w:szCs w:val="21"/>
              </w:rPr>
              <w:t>单位地址：</w:t>
            </w:r>
            <w:r>
              <w:rPr>
                <w:rFonts w:hint="eastAsia"/>
                <w:color w:val="auto"/>
                <w:szCs w:val="21"/>
                <w:u w:val="single"/>
              </w:rPr>
              <w:t xml:space="preserve">                       </w:t>
            </w:r>
          </w:p>
        </w:tc>
        <w:tc>
          <w:tcPr>
            <w:tcW w:w="4515" w:type="dxa"/>
            <w:vAlign w:val="center"/>
          </w:tcPr>
          <w:p>
            <w:pPr>
              <w:snapToGrid w:val="0"/>
              <w:spacing w:line="360" w:lineRule="auto"/>
              <w:rPr>
                <w:color w:val="auto"/>
                <w:szCs w:val="21"/>
              </w:rPr>
            </w:pPr>
            <w:r>
              <w:rPr>
                <w:rFonts w:hint="eastAsia" w:hAnsi="宋体"/>
                <w:color w:val="auto"/>
                <w:szCs w:val="21"/>
              </w:rPr>
              <w:t>单位地址：</w:t>
            </w:r>
            <w:r>
              <w:rPr>
                <w:rFonts w:hint="eastAsia"/>
                <w:color w:val="auto"/>
                <w:szCs w:val="21"/>
                <w:u w:val="single"/>
              </w:rPr>
              <w:t xml:space="preserve">                       </w:t>
            </w:r>
          </w:p>
        </w:tc>
      </w:tr>
      <w:tr>
        <w:tblPrEx>
          <w:tblLayout w:type="fixed"/>
          <w:tblCellMar>
            <w:top w:w="0" w:type="dxa"/>
            <w:left w:w="108" w:type="dxa"/>
            <w:bottom w:w="0" w:type="dxa"/>
            <w:right w:w="108" w:type="dxa"/>
          </w:tblCellMar>
        </w:tblPrEx>
        <w:trPr>
          <w:cantSplit/>
          <w:trHeight w:val="463" w:hRule="atLeast"/>
        </w:trPr>
        <w:tc>
          <w:tcPr>
            <w:tcW w:w="4515" w:type="dxa"/>
          </w:tcPr>
          <w:p>
            <w:pPr>
              <w:snapToGrid w:val="0"/>
              <w:spacing w:line="360" w:lineRule="auto"/>
              <w:rPr>
                <w:color w:val="auto"/>
                <w:szCs w:val="21"/>
              </w:rPr>
            </w:pPr>
            <w:r>
              <w:rPr>
                <w:rFonts w:hint="eastAsia" w:hAnsi="宋体"/>
                <w:color w:val="auto"/>
                <w:szCs w:val="21"/>
              </w:rPr>
              <w:t>法定代表人或者委托代理人：</w:t>
            </w:r>
            <w:r>
              <w:rPr>
                <w:rFonts w:hint="eastAsia"/>
                <w:color w:val="auto"/>
                <w:szCs w:val="21"/>
                <w:u w:val="single"/>
              </w:rPr>
              <w:t xml:space="preserve">       </w:t>
            </w:r>
          </w:p>
        </w:tc>
        <w:tc>
          <w:tcPr>
            <w:tcW w:w="4515" w:type="dxa"/>
          </w:tcPr>
          <w:p>
            <w:pPr>
              <w:snapToGrid w:val="0"/>
              <w:spacing w:line="360" w:lineRule="auto"/>
              <w:rPr>
                <w:color w:val="auto"/>
                <w:szCs w:val="21"/>
              </w:rPr>
            </w:pPr>
            <w:r>
              <w:rPr>
                <w:rFonts w:hint="eastAsia" w:hAnsi="宋体"/>
                <w:color w:val="auto"/>
                <w:szCs w:val="21"/>
              </w:rPr>
              <w:t>法定代表人或者委托代理人：</w:t>
            </w:r>
            <w:r>
              <w:rPr>
                <w:rFonts w:hint="eastAsia"/>
                <w:color w:val="auto"/>
                <w:szCs w:val="21"/>
                <w:u w:val="single"/>
              </w:rPr>
              <w:t xml:space="preserve">       </w:t>
            </w:r>
          </w:p>
        </w:tc>
      </w:tr>
      <w:tr>
        <w:tblPrEx>
          <w:tblLayout w:type="fixed"/>
          <w:tblCellMar>
            <w:top w:w="0" w:type="dxa"/>
            <w:left w:w="108" w:type="dxa"/>
            <w:bottom w:w="0" w:type="dxa"/>
            <w:right w:w="108" w:type="dxa"/>
          </w:tblCellMar>
        </w:tblPrEx>
        <w:trPr>
          <w:cantSplit/>
          <w:trHeight w:val="434" w:hRule="atLeast"/>
        </w:trPr>
        <w:tc>
          <w:tcPr>
            <w:tcW w:w="4515" w:type="dxa"/>
            <w:vAlign w:val="center"/>
          </w:tcPr>
          <w:p>
            <w:pPr>
              <w:snapToGrid w:val="0"/>
              <w:spacing w:line="360" w:lineRule="auto"/>
              <w:rPr>
                <w:color w:val="auto"/>
                <w:szCs w:val="21"/>
              </w:rPr>
            </w:pPr>
            <w:r>
              <w:rPr>
                <w:rFonts w:hint="eastAsia" w:hAnsi="宋体"/>
                <w:color w:val="auto"/>
                <w:szCs w:val="21"/>
              </w:rPr>
              <w:t>电话：</w:t>
            </w:r>
            <w:r>
              <w:rPr>
                <w:rFonts w:hint="eastAsia"/>
                <w:color w:val="auto"/>
                <w:szCs w:val="21"/>
                <w:u w:val="single"/>
              </w:rPr>
              <w:t xml:space="preserve">                          </w:t>
            </w:r>
          </w:p>
        </w:tc>
        <w:tc>
          <w:tcPr>
            <w:tcW w:w="4515" w:type="dxa"/>
            <w:vAlign w:val="center"/>
          </w:tcPr>
          <w:p>
            <w:pPr>
              <w:snapToGrid w:val="0"/>
              <w:spacing w:line="360" w:lineRule="auto"/>
              <w:rPr>
                <w:color w:val="auto"/>
                <w:szCs w:val="21"/>
              </w:rPr>
            </w:pPr>
            <w:r>
              <w:rPr>
                <w:rFonts w:hint="eastAsia" w:hAnsi="宋体"/>
                <w:color w:val="auto"/>
                <w:szCs w:val="21"/>
              </w:rPr>
              <w:t>电话：</w:t>
            </w:r>
            <w:r>
              <w:rPr>
                <w:rFonts w:hint="eastAsia"/>
                <w:color w:val="auto"/>
                <w:szCs w:val="21"/>
                <w:u w:val="single"/>
              </w:rPr>
              <w:t xml:space="preserve">                          </w:t>
            </w:r>
          </w:p>
        </w:tc>
      </w:tr>
      <w:tr>
        <w:tblPrEx>
          <w:tblLayout w:type="fixed"/>
          <w:tblCellMar>
            <w:top w:w="0" w:type="dxa"/>
            <w:left w:w="108" w:type="dxa"/>
            <w:bottom w:w="0" w:type="dxa"/>
            <w:right w:w="108" w:type="dxa"/>
          </w:tblCellMar>
        </w:tblPrEx>
        <w:trPr>
          <w:cantSplit/>
          <w:trHeight w:val="548" w:hRule="atLeast"/>
        </w:trPr>
        <w:tc>
          <w:tcPr>
            <w:tcW w:w="4515" w:type="dxa"/>
            <w:vAlign w:val="center"/>
          </w:tcPr>
          <w:p>
            <w:pPr>
              <w:snapToGrid w:val="0"/>
              <w:spacing w:line="360" w:lineRule="auto"/>
              <w:rPr>
                <w:color w:val="auto"/>
                <w:szCs w:val="21"/>
              </w:rPr>
            </w:pPr>
            <w:r>
              <w:rPr>
                <w:rFonts w:hint="eastAsia" w:hAnsi="宋体"/>
                <w:color w:val="auto"/>
                <w:szCs w:val="21"/>
              </w:rPr>
              <w:t>电子邮箱：</w:t>
            </w:r>
            <w:r>
              <w:rPr>
                <w:rFonts w:hint="eastAsia"/>
                <w:color w:val="auto"/>
                <w:szCs w:val="21"/>
                <w:u w:val="single"/>
              </w:rPr>
              <w:t xml:space="preserve">                     </w:t>
            </w:r>
          </w:p>
        </w:tc>
        <w:tc>
          <w:tcPr>
            <w:tcW w:w="4515" w:type="dxa"/>
            <w:vAlign w:val="center"/>
          </w:tcPr>
          <w:p>
            <w:pPr>
              <w:snapToGrid w:val="0"/>
              <w:spacing w:line="360" w:lineRule="auto"/>
              <w:rPr>
                <w:color w:val="auto"/>
                <w:szCs w:val="21"/>
              </w:rPr>
            </w:pPr>
            <w:r>
              <w:rPr>
                <w:rFonts w:hint="eastAsia" w:hAnsi="宋体"/>
                <w:color w:val="auto"/>
                <w:szCs w:val="21"/>
              </w:rPr>
              <w:t>电子邮箱：</w:t>
            </w:r>
            <w:r>
              <w:rPr>
                <w:rFonts w:hint="eastAsia"/>
                <w:color w:val="auto"/>
                <w:szCs w:val="21"/>
                <w:u w:val="single"/>
              </w:rPr>
              <w:t xml:space="preserve">                      </w:t>
            </w:r>
          </w:p>
        </w:tc>
      </w:tr>
      <w:tr>
        <w:tblPrEx>
          <w:tblLayout w:type="fixed"/>
          <w:tblCellMar>
            <w:top w:w="0" w:type="dxa"/>
            <w:left w:w="108" w:type="dxa"/>
            <w:bottom w:w="0" w:type="dxa"/>
            <w:right w:w="108" w:type="dxa"/>
          </w:tblCellMar>
        </w:tblPrEx>
        <w:trPr>
          <w:cantSplit/>
          <w:trHeight w:val="598" w:hRule="atLeast"/>
        </w:trPr>
        <w:tc>
          <w:tcPr>
            <w:tcW w:w="4515" w:type="dxa"/>
            <w:vAlign w:val="center"/>
          </w:tcPr>
          <w:p>
            <w:pPr>
              <w:snapToGrid w:val="0"/>
              <w:spacing w:line="360" w:lineRule="auto"/>
              <w:rPr>
                <w:color w:val="auto"/>
                <w:szCs w:val="21"/>
              </w:rPr>
            </w:pPr>
            <w:r>
              <w:rPr>
                <w:rFonts w:hint="eastAsia" w:hAnsi="宋体"/>
                <w:color w:val="auto"/>
                <w:szCs w:val="21"/>
              </w:rPr>
              <w:t>开户银行：</w:t>
            </w:r>
            <w:r>
              <w:rPr>
                <w:rFonts w:hint="eastAsia"/>
                <w:color w:val="auto"/>
                <w:szCs w:val="21"/>
                <w:u w:val="single"/>
              </w:rPr>
              <w:t xml:space="preserve">                     </w:t>
            </w:r>
          </w:p>
        </w:tc>
        <w:tc>
          <w:tcPr>
            <w:tcW w:w="4515" w:type="dxa"/>
            <w:vAlign w:val="center"/>
          </w:tcPr>
          <w:p>
            <w:pPr>
              <w:snapToGrid w:val="0"/>
              <w:spacing w:line="360" w:lineRule="auto"/>
              <w:rPr>
                <w:color w:val="auto"/>
                <w:szCs w:val="21"/>
              </w:rPr>
            </w:pPr>
            <w:r>
              <w:rPr>
                <w:rFonts w:hint="eastAsia" w:hAnsi="宋体"/>
                <w:color w:val="auto"/>
                <w:szCs w:val="21"/>
              </w:rPr>
              <w:t>开户银行：</w:t>
            </w:r>
            <w:r>
              <w:rPr>
                <w:rFonts w:hint="eastAsia"/>
                <w:color w:val="auto"/>
                <w:szCs w:val="21"/>
                <w:u w:val="single"/>
              </w:rPr>
              <w:t xml:space="preserve">                      </w:t>
            </w:r>
          </w:p>
        </w:tc>
      </w:tr>
      <w:tr>
        <w:tblPrEx>
          <w:tblLayout w:type="fixed"/>
          <w:tblCellMar>
            <w:top w:w="0" w:type="dxa"/>
            <w:left w:w="108" w:type="dxa"/>
            <w:bottom w:w="0" w:type="dxa"/>
            <w:right w:w="108" w:type="dxa"/>
          </w:tblCellMar>
        </w:tblPrEx>
        <w:trPr>
          <w:cantSplit/>
          <w:trHeight w:val="581" w:hRule="atLeast"/>
        </w:trPr>
        <w:tc>
          <w:tcPr>
            <w:tcW w:w="4515" w:type="dxa"/>
            <w:vAlign w:val="center"/>
          </w:tcPr>
          <w:p>
            <w:pPr>
              <w:snapToGrid w:val="0"/>
              <w:spacing w:line="360" w:lineRule="auto"/>
              <w:rPr>
                <w:color w:val="auto"/>
                <w:szCs w:val="21"/>
              </w:rPr>
            </w:pPr>
            <w:r>
              <w:rPr>
                <w:rFonts w:hint="eastAsia" w:hAnsi="宋体"/>
                <w:color w:val="auto"/>
                <w:szCs w:val="21"/>
              </w:rPr>
              <w:t>账号：</w:t>
            </w:r>
            <w:r>
              <w:rPr>
                <w:rFonts w:hint="eastAsia"/>
                <w:color w:val="auto"/>
                <w:szCs w:val="21"/>
                <w:u w:val="single"/>
              </w:rPr>
              <w:t xml:space="preserve">                        </w:t>
            </w:r>
          </w:p>
        </w:tc>
        <w:tc>
          <w:tcPr>
            <w:tcW w:w="4515" w:type="dxa"/>
            <w:vAlign w:val="center"/>
          </w:tcPr>
          <w:p>
            <w:pPr>
              <w:snapToGrid w:val="0"/>
              <w:spacing w:line="360" w:lineRule="auto"/>
              <w:rPr>
                <w:color w:val="auto"/>
                <w:szCs w:val="21"/>
              </w:rPr>
            </w:pPr>
            <w:r>
              <w:rPr>
                <w:rFonts w:hint="eastAsia" w:hAnsi="宋体"/>
                <w:color w:val="auto"/>
                <w:szCs w:val="21"/>
              </w:rPr>
              <w:t>账号：</w:t>
            </w:r>
            <w:r>
              <w:rPr>
                <w:rFonts w:hint="eastAsia"/>
                <w:color w:val="auto"/>
                <w:szCs w:val="21"/>
                <w:u w:val="single"/>
              </w:rPr>
              <w:t xml:space="preserve">                          </w:t>
            </w:r>
          </w:p>
        </w:tc>
      </w:tr>
      <w:tr>
        <w:tblPrEx>
          <w:tblLayout w:type="fixed"/>
          <w:tblCellMar>
            <w:top w:w="0" w:type="dxa"/>
            <w:left w:w="108" w:type="dxa"/>
            <w:bottom w:w="0" w:type="dxa"/>
            <w:right w:w="108" w:type="dxa"/>
          </w:tblCellMar>
        </w:tblPrEx>
        <w:trPr>
          <w:cantSplit/>
          <w:trHeight w:val="581" w:hRule="atLeast"/>
        </w:trPr>
        <w:tc>
          <w:tcPr>
            <w:tcW w:w="4515" w:type="dxa"/>
            <w:vAlign w:val="center"/>
          </w:tcPr>
          <w:p>
            <w:pPr>
              <w:snapToGrid w:val="0"/>
              <w:spacing w:line="360" w:lineRule="auto"/>
              <w:jc w:val="right"/>
              <w:rPr>
                <w:rFonts w:hAnsi="宋体"/>
                <w:color w:val="auto"/>
                <w:szCs w:val="21"/>
              </w:rPr>
            </w:pPr>
            <w:r>
              <w:rPr>
                <w:rFonts w:hint="eastAsia" w:hAnsi="宋体"/>
                <w:color w:val="auto"/>
                <w:szCs w:val="21"/>
              </w:rPr>
              <w:t>年</w:t>
            </w:r>
            <w:r>
              <w:rPr>
                <w:color w:val="auto"/>
                <w:szCs w:val="21"/>
              </w:rPr>
              <w:t xml:space="preserve">   </w:t>
            </w:r>
            <w:r>
              <w:rPr>
                <w:rFonts w:hint="eastAsia" w:hAnsi="宋体"/>
                <w:color w:val="auto"/>
                <w:szCs w:val="21"/>
              </w:rPr>
              <w:t>月</w:t>
            </w:r>
            <w:r>
              <w:rPr>
                <w:color w:val="auto"/>
                <w:szCs w:val="21"/>
              </w:rPr>
              <w:t xml:space="preserve">   </w:t>
            </w:r>
            <w:r>
              <w:rPr>
                <w:rFonts w:hint="eastAsia" w:hAnsi="宋体"/>
                <w:color w:val="auto"/>
                <w:szCs w:val="21"/>
              </w:rPr>
              <w:t>日</w:t>
            </w:r>
          </w:p>
        </w:tc>
        <w:tc>
          <w:tcPr>
            <w:tcW w:w="4515" w:type="dxa"/>
            <w:vAlign w:val="center"/>
          </w:tcPr>
          <w:p>
            <w:pPr>
              <w:snapToGrid w:val="0"/>
              <w:spacing w:line="360" w:lineRule="auto"/>
              <w:jc w:val="right"/>
              <w:rPr>
                <w:rFonts w:hAnsi="宋体"/>
                <w:color w:val="auto"/>
                <w:szCs w:val="21"/>
              </w:rPr>
            </w:pPr>
            <w:r>
              <w:rPr>
                <w:rFonts w:hint="eastAsia" w:hAnsi="宋体"/>
                <w:color w:val="auto"/>
                <w:szCs w:val="21"/>
              </w:rPr>
              <w:t>年</w:t>
            </w:r>
            <w:r>
              <w:rPr>
                <w:color w:val="auto"/>
                <w:szCs w:val="21"/>
              </w:rPr>
              <w:t xml:space="preserve">   </w:t>
            </w:r>
            <w:r>
              <w:rPr>
                <w:rFonts w:hint="eastAsia" w:hAnsi="宋体"/>
                <w:color w:val="auto"/>
                <w:szCs w:val="21"/>
              </w:rPr>
              <w:t>月</w:t>
            </w:r>
            <w:r>
              <w:rPr>
                <w:color w:val="auto"/>
                <w:szCs w:val="21"/>
              </w:rPr>
              <w:t xml:space="preserve">   </w:t>
            </w:r>
            <w:r>
              <w:rPr>
                <w:rFonts w:hint="eastAsia" w:hAnsi="宋体"/>
                <w:color w:val="auto"/>
                <w:szCs w:val="21"/>
              </w:rPr>
              <w:t>日</w:t>
            </w:r>
          </w:p>
        </w:tc>
      </w:tr>
    </w:tbl>
    <w:p>
      <w:pPr>
        <w:pStyle w:val="21"/>
        <w:widowControl/>
        <w:spacing w:line="360" w:lineRule="auto"/>
        <w:jc w:val="left"/>
        <w:rPr>
          <w:rFonts w:cs="宋体" w:asciiTheme="minorEastAsia" w:hAnsiTheme="minorEastAsia" w:eastAsiaTheme="minorEastAsia"/>
          <w:b/>
          <w:bCs/>
          <w:color w:val="auto"/>
        </w:rPr>
      </w:pPr>
    </w:p>
    <w:sectPr>
      <w:footerReference r:id="rId5" w:type="firs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A00002BF" w:usb1="68C7FCFB" w:usb2="00000010" w:usb3="00000000" w:csb0="4002009F" w:csb1="DFD70000"/>
  </w:font>
  <w:font w:name="PingFang SC">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 PAGE   \* MERGEFORMAT </w:instrText>
    </w:r>
    <w:r>
      <w:fldChar w:fldCharType="separate"/>
    </w:r>
    <w:r>
      <w:rPr>
        <w:lang w:val="zh-CN"/>
      </w:rPr>
      <w:t>25</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j/QPurgEAAFAD&#10;AAAOAAAAAAAAAAEAIAAAAB4BAABkcnMvZTJvRG9jLnhtbFBLBQYAAAAABgAGAFkBAAA+BQAAAAA=&#10;">
          <v:path/>
          <v:fill on="f" focussize="0,0"/>
          <v:stroke on="f" joinstyle="miter"/>
          <v:imagedata o:title=""/>
          <o:lock v:ext="edit"/>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57B6B5"/>
    <w:multiLevelType w:val="singleLevel"/>
    <w:tmpl w:val="9B57B6B5"/>
    <w:lvl w:ilvl="0" w:tentative="0">
      <w:start w:val="1"/>
      <w:numFmt w:val="decimal"/>
      <w:suff w:val="nothing"/>
      <w:lvlText w:val="%1、"/>
      <w:lvlJc w:val="left"/>
    </w:lvl>
  </w:abstractNum>
  <w:abstractNum w:abstractNumId="1">
    <w:nsid w:val="9F4129D6"/>
    <w:multiLevelType w:val="singleLevel"/>
    <w:tmpl w:val="9F4129D6"/>
    <w:lvl w:ilvl="0" w:tentative="0">
      <w:start w:val="1"/>
      <w:numFmt w:val="decimal"/>
      <w:suff w:val="nothing"/>
      <w:lvlText w:val="%1、"/>
      <w:lvlJc w:val="left"/>
    </w:lvl>
  </w:abstractNum>
  <w:abstractNum w:abstractNumId="2">
    <w:nsid w:val="E64EB046"/>
    <w:multiLevelType w:val="singleLevel"/>
    <w:tmpl w:val="E64EB046"/>
    <w:lvl w:ilvl="0" w:tentative="0">
      <w:start w:val="1"/>
      <w:numFmt w:val="decimal"/>
      <w:suff w:val="nothing"/>
      <w:lvlText w:val="%1、"/>
      <w:lvlJc w:val="left"/>
    </w:lvl>
  </w:abstractNum>
  <w:abstractNum w:abstractNumId="3">
    <w:nsid w:val="1FC2E117"/>
    <w:multiLevelType w:val="singleLevel"/>
    <w:tmpl w:val="1FC2E117"/>
    <w:lvl w:ilvl="0" w:tentative="0">
      <w:start w:val="1"/>
      <w:numFmt w:val="decimal"/>
      <w:suff w:val="nothing"/>
      <w:lvlText w:val="%1、"/>
      <w:lvlJc w:val="left"/>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pStyle w:val="23"/>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3BCECFE4"/>
    <w:multiLevelType w:val="singleLevel"/>
    <w:tmpl w:val="3BCECFE4"/>
    <w:lvl w:ilvl="0" w:tentative="0">
      <w:start w:val="5"/>
      <w:numFmt w:val="decimal"/>
      <w:suff w:val="space"/>
      <w:lvlText w:val="%1."/>
      <w:lvlJc w:val="left"/>
    </w:lvl>
  </w:abstractNum>
  <w:abstractNum w:abstractNumId="6">
    <w:nsid w:val="42607111"/>
    <w:multiLevelType w:val="singleLevel"/>
    <w:tmpl w:val="42607111"/>
    <w:lvl w:ilvl="0" w:tentative="0">
      <w:start w:val="12"/>
      <w:numFmt w:val="decimal"/>
      <w:suff w:val="nothing"/>
      <w:lvlText w:val="%1、"/>
      <w:lvlJc w:val="left"/>
    </w:lvl>
  </w:abstractNum>
  <w:abstractNum w:abstractNumId="7">
    <w:nsid w:val="72260973"/>
    <w:multiLevelType w:val="singleLevel"/>
    <w:tmpl w:val="72260973"/>
    <w:lvl w:ilvl="0" w:tentative="0">
      <w:start w:val="1"/>
      <w:numFmt w:val="decimal"/>
      <w:suff w:val="nothing"/>
      <w:lvlText w:val="%1、"/>
      <w:lvlJc w:val="left"/>
    </w:lvl>
  </w:abstractNum>
  <w:num w:numId="1">
    <w:abstractNumId w:val="4"/>
  </w:num>
  <w:num w:numId="2">
    <w:abstractNumId w:val="3"/>
  </w:num>
  <w:num w:numId="3">
    <w:abstractNumId w:val="6"/>
  </w:num>
  <w:num w:numId="4">
    <w:abstractNumId w:val="1"/>
  </w:num>
  <w:num w:numId="5">
    <w:abstractNumId w:val="2"/>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k3MzE1ZGFlN2Q1MjU2NDA5NzMwZDVkN2UwMTU2MjMifQ=="/>
  </w:docVars>
  <w:rsids>
    <w:rsidRoot w:val="00F34B14"/>
    <w:rsid w:val="00000672"/>
    <w:rsid w:val="00001799"/>
    <w:rsid w:val="00002D29"/>
    <w:rsid w:val="000040C5"/>
    <w:rsid w:val="00004514"/>
    <w:rsid w:val="00004A8A"/>
    <w:rsid w:val="00005E55"/>
    <w:rsid w:val="00005FDF"/>
    <w:rsid w:val="00006586"/>
    <w:rsid w:val="00010D39"/>
    <w:rsid w:val="000112BB"/>
    <w:rsid w:val="0001149B"/>
    <w:rsid w:val="0001172C"/>
    <w:rsid w:val="00012854"/>
    <w:rsid w:val="00012EA6"/>
    <w:rsid w:val="000139DC"/>
    <w:rsid w:val="00013D8C"/>
    <w:rsid w:val="00013DFE"/>
    <w:rsid w:val="000141EA"/>
    <w:rsid w:val="00014385"/>
    <w:rsid w:val="00014B02"/>
    <w:rsid w:val="000166C4"/>
    <w:rsid w:val="00016960"/>
    <w:rsid w:val="00017396"/>
    <w:rsid w:val="000177DB"/>
    <w:rsid w:val="00017DD0"/>
    <w:rsid w:val="00020227"/>
    <w:rsid w:val="000203E4"/>
    <w:rsid w:val="00020455"/>
    <w:rsid w:val="00022731"/>
    <w:rsid w:val="00022792"/>
    <w:rsid w:val="0002392D"/>
    <w:rsid w:val="00024B43"/>
    <w:rsid w:val="00025382"/>
    <w:rsid w:val="00025636"/>
    <w:rsid w:val="000257DF"/>
    <w:rsid w:val="00025D65"/>
    <w:rsid w:val="00025E36"/>
    <w:rsid w:val="00026627"/>
    <w:rsid w:val="00026886"/>
    <w:rsid w:val="00030496"/>
    <w:rsid w:val="000329A1"/>
    <w:rsid w:val="000329E0"/>
    <w:rsid w:val="000333A0"/>
    <w:rsid w:val="000352E9"/>
    <w:rsid w:val="00036A07"/>
    <w:rsid w:val="00036E33"/>
    <w:rsid w:val="00037E2D"/>
    <w:rsid w:val="00040571"/>
    <w:rsid w:val="0004156E"/>
    <w:rsid w:val="00041597"/>
    <w:rsid w:val="0004440C"/>
    <w:rsid w:val="00045880"/>
    <w:rsid w:val="000462CB"/>
    <w:rsid w:val="00046B5E"/>
    <w:rsid w:val="0004783A"/>
    <w:rsid w:val="000509D9"/>
    <w:rsid w:val="00052097"/>
    <w:rsid w:val="000552A6"/>
    <w:rsid w:val="00055D41"/>
    <w:rsid w:val="00057C9E"/>
    <w:rsid w:val="00057CEC"/>
    <w:rsid w:val="00060DCE"/>
    <w:rsid w:val="000623B4"/>
    <w:rsid w:val="000634A7"/>
    <w:rsid w:val="00063E85"/>
    <w:rsid w:val="00063F81"/>
    <w:rsid w:val="00064847"/>
    <w:rsid w:val="0006484B"/>
    <w:rsid w:val="00065BBC"/>
    <w:rsid w:val="000663D2"/>
    <w:rsid w:val="000673E2"/>
    <w:rsid w:val="000711E4"/>
    <w:rsid w:val="00071678"/>
    <w:rsid w:val="00072AED"/>
    <w:rsid w:val="00073F47"/>
    <w:rsid w:val="00075B7E"/>
    <w:rsid w:val="00077C70"/>
    <w:rsid w:val="00080B57"/>
    <w:rsid w:val="000817D1"/>
    <w:rsid w:val="00081BA3"/>
    <w:rsid w:val="00081D2E"/>
    <w:rsid w:val="0008267B"/>
    <w:rsid w:val="00082D02"/>
    <w:rsid w:val="00083B91"/>
    <w:rsid w:val="0008520B"/>
    <w:rsid w:val="000871B8"/>
    <w:rsid w:val="00087DB6"/>
    <w:rsid w:val="00090639"/>
    <w:rsid w:val="000913BE"/>
    <w:rsid w:val="000918F8"/>
    <w:rsid w:val="00092442"/>
    <w:rsid w:val="00095478"/>
    <w:rsid w:val="0009588E"/>
    <w:rsid w:val="000959EE"/>
    <w:rsid w:val="00095B2F"/>
    <w:rsid w:val="00095B51"/>
    <w:rsid w:val="00097DA0"/>
    <w:rsid w:val="000A0D6B"/>
    <w:rsid w:val="000A0EEE"/>
    <w:rsid w:val="000A1389"/>
    <w:rsid w:val="000A166E"/>
    <w:rsid w:val="000A17D0"/>
    <w:rsid w:val="000A25DF"/>
    <w:rsid w:val="000A2B0E"/>
    <w:rsid w:val="000A398F"/>
    <w:rsid w:val="000A4AEE"/>
    <w:rsid w:val="000A509C"/>
    <w:rsid w:val="000A6007"/>
    <w:rsid w:val="000A65A6"/>
    <w:rsid w:val="000A7275"/>
    <w:rsid w:val="000A7A12"/>
    <w:rsid w:val="000A7AD8"/>
    <w:rsid w:val="000A7CA5"/>
    <w:rsid w:val="000B039A"/>
    <w:rsid w:val="000B1801"/>
    <w:rsid w:val="000B19B3"/>
    <w:rsid w:val="000B1D0C"/>
    <w:rsid w:val="000B2D03"/>
    <w:rsid w:val="000B3815"/>
    <w:rsid w:val="000B3C7B"/>
    <w:rsid w:val="000B5AB0"/>
    <w:rsid w:val="000B6C95"/>
    <w:rsid w:val="000C0C58"/>
    <w:rsid w:val="000C1679"/>
    <w:rsid w:val="000C2898"/>
    <w:rsid w:val="000C2F89"/>
    <w:rsid w:val="000C435F"/>
    <w:rsid w:val="000C4635"/>
    <w:rsid w:val="000C548E"/>
    <w:rsid w:val="000C6DE4"/>
    <w:rsid w:val="000D01EB"/>
    <w:rsid w:val="000D056E"/>
    <w:rsid w:val="000D0675"/>
    <w:rsid w:val="000D0A89"/>
    <w:rsid w:val="000D1389"/>
    <w:rsid w:val="000D1798"/>
    <w:rsid w:val="000D1A2A"/>
    <w:rsid w:val="000D2626"/>
    <w:rsid w:val="000D4A06"/>
    <w:rsid w:val="000D54D4"/>
    <w:rsid w:val="000D6EAC"/>
    <w:rsid w:val="000D73DD"/>
    <w:rsid w:val="000D7D9B"/>
    <w:rsid w:val="000E18E2"/>
    <w:rsid w:val="000E28AB"/>
    <w:rsid w:val="000E2E3E"/>
    <w:rsid w:val="000E33C5"/>
    <w:rsid w:val="000E3583"/>
    <w:rsid w:val="000E3AF0"/>
    <w:rsid w:val="000E3D53"/>
    <w:rsid w:val="000E3F4C"/>
    <w:rsid w:val="000E4E04"/>
    <w:rsid w:val="000E5376"/>
    <w:rsid w:val="000E6EC9"/>
    <w:rsid w:val="000E6F6A"/>
    <w:rsid w:val="000E70B4"/>
    <w:rsid w:val="000F3281"/>
    <w:rsid w:val="000F3733"/>
    <w:rsid w:val="000F4D88"/>
    <w:rsid w:val="000F5B1B"/>
    <w:rsid w:val="000F64AA"/>
    <w:rsid w:val="000F7AF4"/>
    <w:rsid w:val="000F7C33"/>
    <w:rsid w:val="000F7E7E"/>
    <w:rsid w:val="000F7F0C"/>
    <w:rsid w:val="00100246"/>
    <w:rsid w:val="001004D6"/>
    <w:rsid w:val="00100D90"/>
    <w:rsid w:val="00103918"/>
    <w:rsid w:val="00104324"/>
    <w:rsid w:val="00104889"/>
    <w:rsid w:val="00104897"/>
    <w:rsid w:val="00104EDE"/>
    <w:rsid w:val="00105372"/>
    <w:rsid w:val="001064CB"/>
    <w:rsid w:val="00106BEE"/>
    <w:rsid w:val="00113134"/>
    <w:rsid w:val="00113AC0"/>
    <w:rsid w:val="00113E75"/>
    <w:rsid w:val="00114851"/>
    <w:rsid w:val="00115E11"/>
    <w:rsid w:val="00115F56"/>
    <w:rsid w:val="00117CBD"/>
    <w:rsid w:val="0012006A"/>
    <w:rsid w:val="00120990"/>
    <w:rsid w:val="001217B5"/>
    <w:rsid w:val="00121979"/>
    <w:rsid w:val="00122064"/>
    <w:rsid w:val="00122DFE"/>
    <w:rsid w:val="00125004"/>
    <w:rsid w:val="001263B8"/>
    <w:rsid w:val="00126763"/>
    <w:rsid w:val="00130217"/>
    <w:rsid w:val="00130783"/>
    <w:rsid w:val="001312CB"/>
    <w:rsid w:val="00131B75"/>
    <w:rsid w:val="00132B47"/>
    <w:rsid w:val="00132E64"/>
    <w:rsid w:val="001351CB"/>
    <w:rsid w:val="001359A2"/>
    <w:rsid w:val="00135E37"/>
    <w:rsid w:val="00135F7C"/>
    <w:rsid w:val="00136020"/>
    <w:rsid w:val="00136445"/>
    <w:rsid w:val="001375E7"/>
    <w:rsid w:val="00140132"/>
    <w:rsid w:val="00141C9C"/>
    <w:rsid w:val="00142029"/>
    <w:rsid w:val="001434BE"/>
    <w:rsid w:val="0014479F"/>
    <w:rsid w:val="001452B4"/>
    <w:rsid w:val="0014550E"/>
    <w:rsid w:val="00146EC6"/>
    <w:rsid w:val="001478D2"/>
    <w:rsid w:val="00150CC9"/>
    <w:rsid w:val="00152A87"/>
    <w:rsid w:val="00154486"/>
    <w:rsid w:val="0015551C"/>
    <w:rsid w:val="00156D0E"/>
    <w:rsid w:val="0016086E"/>
    <w:rsid w:val="00160D0C"/>
    <w:rsid w:val="00161172"/>
    <w:rsid w:val="001612AA"/>
    <w:rsid w:val="0016139E"/>
    <w:rsid w:val="00161E65"/>
    <w:rsid w:val="00162597"/>
    <w:rsid w:val="001629AF"/>
    <w:rsid w:val="00162A2A"/>
    <w:rsid w:val="00162C2C"/>
    <w:rsid w:val="0016428A"/>
    <w:rsid w:val="0016462B"/>
    <w:rsid w:val="001647C9"/>
    <w:rsid w:val="001661A3"/>
    <w:rsid w:val="0016782B"/>
    <w:rsid w:val="00173256"/>
    <w:rsid w:val="001733E1"/>
    <w:rsid w:val="00173F74"/>
    <w:rsid w:val="00175086"/>
    <w:rsid w:val="00175BA6"/>
    <w:rsid w:val="00175F2E"/>
    <w:rsid w:val="00175FBB"/>
    <w:rsid w:val="00176CA7"/>
    <w:rsid w:val="001778C5"/>
    <w:rsid w:val="00177E56"/>
    <w:rsid w:val="00177F0A"/>
    <w:rsid w:val="00180669"/>
    <w:rsid w:val="00180847"/>
    <w:rsid w:val="00182B6B"/>
    <w:rsid w:val="00183088"/>
    <w:rsid w:val="00185617"/>
    <w:rsid w:val="0019171E"/>
    <w:rsid w:val="0019220F"/>
    <w:rsid w:val="001928B1"/>
    <w:rsid w:val="00194ED5"/>
    <w:rsid w:val="00195424"/>
    <w:rsid w:val="001955FF"/>
    <w:rsid w:val="00197EDD"/>
    <w:rsid w:val="001A02B3"/>
    <w:rsid w:val="001A04BB"/>
    <w:rsid w:val="001A08D0"/>
    <w:rsid w:val="001A0E93"/>
    <w:rsid w:val="001A14B1"/>
    <w:rsid w:val="001A1B39"/>
    <w:rsid w:val="001A2492"/>
    <w:rsid w:val="001A2E69"/>
    <w:rsid w:val="001A3377"/>
    <w:rsid w:val="001A3C34"/>
    <w:rsid w:val="001A3EDE"/>
    <w:rsid w:val="001A4222"/>
    <w:rsid w:val="001A50EA"/>
    <w:rsid w:val="001A5AB8"/>
    <w:rsid w:val="001A5E24"/>
    <w:rsid w:val="001A6D8B"/>
    <w:rsid w:val="001A7A67"/>
    <w:rsid w:val="001B079E"/>
    <w:rsid w:val="001B0CDA"/>
    <w:rsid w:val="001B0E26"/>
    <w:rsid w:val="001B116D"/>
    <w:rsid w:val="001B125A"/>
    <w:rsid w:val="001B1E05"/>
    <w:rsid w:val="001B1EBA"/>
    <w:rsid w:val="001B2142"/>
    <w:rsid w:val="001B26CF"/>
    <w:rsid w:val="001B2DE9"/>
    <w:rsid w:val="001B2F2B"/>
    <w:rsid w:val="001B327A"/>
    <w:rsid w:val="001B35DE"/>
    <w:rsid w:val="001B3A13"/>
    <w:rsid w:val="001B59FF"/>
    <w:rsid w:val="001B636D"/>
    <w:rsid w:val="001B65D7"/>
    <w:rsid w:val="001B6752"/>
    <w:rsid w:val="001B6768"/>
    <w:rsid w:val="001B6F1F"/>
    <w:rsid w:val="001B7ECC"/>
    <w:rsid w:val="001C1AED"/>
    <w:rsid w:val="001C25A7"/>
    <w:rsid w:val="001C318C"/>
    <w:rsid w:val="001C4287"/>
    <w:rsid w:val="001C4479"/>
    <w:rsid w:val="001C76B7"/>
    <w:rsid w:val="001C76FB"/>
    <w:rsid w:val="001D128B"/>
    <w:rsid w:val="001D2764"/>
    <w:rsid w:val="001D3697"/>
    <w:rsid w:val="001D51DE"/>
    <w:rsid w:val="001D540E"/>
    <w:rsid w:val="001D58A1"/>
    <w:rsid w:val="001D5A8A"/>
    <w:rsid w:val="001D709B"/>
    <w:rsid w:val="001D735E"/>
    <w:rsid w:val="001D73C8"/>
    <w:rsid w:val="001D74D4"/>
    <w:rsid w:val="001D7E1F"/>
    <w:rsid w:val="001E0756"/>
    <w:rsid w:val="001E0A8D"/>
    <w:rsid w:val="001E0C82"/>
    <w:rsid w:val="001E0FFB"/>
    <w:rsid w:val="001E129E"/>
    <w:rsid w:val="001E22A7"/>
    <w:rsid w:val="001E2B9F"/>
    <w:rsid w:val="001E4A8D"/>
    <w:rsid w:val="001E5A94"/>
    <w:rsid w:val="001E7648"/>
    <w:rsid w:val="001F127B"/>
    <w:rsid w:val="001F2A2E"/>
    <w:rsid w:val="001F2E3D"/>
    <w:rsid w:val="001F3B72"/>
    <w:rsid w:val="001F3C63"/>
    <w:rsid w:val="001F4460"/>
    <w:rsid w:val="001F5DAF"/>
    <w:rsid w:val="001F637C"/>
    <w:rsid w:val="001F6B6C"/>
    <w:rsid w:val="001F711A"/>
    <w:rsid w:val="001F75B0"/>
    <w:rsid w:val="001F7686"/>
    <w:rsid w:val="00200CE5"/>
    <w:rsid w:val="002014DB"/>
    <w:rsid w:val="00201E12"/>
    <w:rsid w:val="00202C16"/>
    <w:rsid w:val="002031E2"/>
    <w:rsid w:val="002033B5"/>
    <w:rsid w:val="0020382C"/>
    <w:rsid w:val="00203CB0"/>
    <w:rsid w:val="0020437A"/>
    <w:rsid w:val="00204B5F"/>
    <w:rsid w:val="00204E4A"/>
    <w:rsid w:val="0020532C"/>
    <w:rsid w:val="00205D23"/>
    <w:rsid w:val="0021064F"/>
    <w:rsid w:val="002114C7"/>
    <w:rsid w:val="002118F3"/>
    <w:rsid w:val="00212756"/>
    <w:rsid w:val="0021302C"/>
    <w:rsid w:val="00213045"/>
    <w:rsid w:val="00213483"/>
    <w:rsid w:val="00213B1C"/>
    <w:rsid w:val="00214202"/>
    <w:rsid w:val="002146F3"/>
    <w:rsid w:val="002148E3"/>
    <w:rsid w:val="00214CCE"/>
    <w:rsid w:val="00215373"/>
    <w:rsid w:val="0021552D"/>
    <w:rsid w:val="002156AE"/>
    <w:rsid w:val="00217665"/>
    <w:rsid w:val="00217861"/>
    <w:rsid w:val="002204C9"/>
    <w:rsid w:val="0022054D"/>
    <w:rsid w:val="0022290A"/>
    <w:rsid w:val="002233BF"/>
    <w:rsid w:val="00223C44"/>
    <w:rsid w:val="00224DE1"/>
    <w:rsid w:val="00225664"/>
    <w:rsid w:val="002269DC"/>
    <w:rsid w:val="00227F2D"/>
    <w:rsid w:val="0023089D"/>
    <w:rsid w:val="00231851"/>
    <w:rsid w:val="002319FB"/>
    <w:rsid w:val="00231B89"/>
    <w:rsid w:val="002355BE"/>
    <w:rsid w:val="00236DE9"/>
    <w:rsid w:val="00237D5A"/>
    <w:rsid w:val="00237EA9"/>
    <w:rsid w:val="00241300"/>
    <w:rsid w:val="00241B4F"/>
    <w:rsid w:val="00241D3C"/>
    <w:rsid w:val="0024274D"/>
    <w:rsid w:val="002439AB"/>
    <w:rsid w:val="00243CE6"/>
    <w:rsid w:val="002450D5"/>
    <w:rsid w:val="00245587"/>
    <w:rsid w:val="00245F2B"/>
    <w:rsid w:val="002464EB"/>
    <w:rsid w:val="0024696F"/>
    <w:rsid w:val="00246F95"/>
    <w:rsid w:val="00247F3A"/>
    <w:rsid w:val="00250122"/>
    <w:rsid w:val="00250755"/>
    <w:rsid w:val="00250AE3"/>
    <w:rsid w:val="00251C4A"/>
    <w:rsid w:val="0025271C"/>
    <w:rsid w:val="00252A91"/>
    <w:rsid w:val="00252D15"/>
    <w:rsid w:val="002533CD"/>
    <w:rsid w:val="002544C1"/>
    <w:rsid w:val="00254EAB"/>
    <w:rsid w:val="002557AF"/>
    <w:rsid w:val="002561FA"/>
    <w:rsid w:val="00256474"/>
    <w:rsid w:val="002566B1"/>
    <w:rsid w:val="002573CC"/>
    <w:rsid w:val="002575E3"/>
    <w:rsid w:val="002603C1"/>
    <w:rsid w:val="002609A1"/>
    <w:rsid w:val="002612B1"/>
    <w:rsid w:val="0026163B"/>
    <w:rsid w:val="002656BA"/>
    <w:rsid w:val="00266165"/>
    <w:rsid w:val="00270B2A"/>
    <w:rsid w:val="0027125E"/>
    <w:rsid w:val="00271767"/>
    <w:rsid w:val="00272293"/>
    <w:rsid w:val="002722C5"/>
    <w:rsid w:val="002723C8"/>
    <w:rsid w:val="00272676"/>
    <w:rsid w:val="00273CBE"/>
    <w:rsid w:val="00277441"/>
    <w:rsid w:val="002802D7"/>
    <w:rsid w:val="0028232C"/>
    <w:rsid w:val="002827F1"/>
    <w:rsid w:val="00282EC3"/>
    <w:rsid w:val="002835B0"/>
    <w:rsid w:val="0028407E"/>
    <w:rsid w:val="0028410F"/>
    <w:rsid w:val="00286603"/>
    <w:rsid w:val="00286A98"/>
    <w:rsid w:val="00286FB5"/>
    <w:rsid w:val="00287763"/>
    <w:rsid w:val="00290606"/>
    <w:rsid w:val="00290F9D"/>
    <w:rsid w:val="002918A7"/>
    <w:rsid w:val="00291D6D"/>
    <w:rsid w:val="00291FF1"/>
    <w:rsid w:val="002923F6"/>
    <w:rsid w:val="00293361"/>
    <w:rsid w:val="00293770"/>
    <w:rsid w:val="00293DD4"/>
    <w:rsid w:val="00295287"/>
    <w:rsid w:val="002952B1"/>
    <w:rsid w:val="00295D11"/>
    <w:rsid w:val="00295FA0"/>
    <w:rsid w:val="0029619F"/>
    <w:rsid w:val="00297A7A"/>
    <w:rsid w:val="002A0C3A"/>
    <w:rsid w:val="002A1130"/>
    <w:rsid w:val="002A1493"/>
    <w:rsid w:val="002A14D3"/>
    <w:rsid w:val="002A1880"/>
    <w:rsid w:val="002A1D47"/>
    <w:rsid w:val="002A20CF"/>
    <w:rsid w:val="002A23B7"/>
    <w:rsid w:val="002A3505"/>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699"/>
    <w:rsid w:val="002B3B2B"/>
    <w:rsid w:val="002B53B3"/>
    <w:rsid w:val="002B6CE4"/>
    <w:rsid w:val="002B6D17"/>
    <w:rsid w:val="002C0C1C"/>
    <w:rsid w:val="002C184E"/>
    <w:rsid w:val="002C29C1"/>
    <w:rsid w:val="002C54C2"/>
    <w:rsid w:val="002C58F6"/>
    <w:rsid w:val="002C5D34"/>
    <w:rsid w:val="002C5DC6"/>
    <w:rsid w:val="002C5EA7"/>
    <w:rsid w:val="002C661A"/>
    <w:rsid w:val="002C730C"/>
    <w:rsid w:val="002D0AF5"/>
    <w:rsid w:val="002D1C54"/>
    <w:rsid w:val="002D2231"/>
    <w:rsid w:val="002D25FC"/>
    <w:rsid w:val="002D318B"/>
    <w:rsid w:val="002D3380"/>
    <w:rsid w:val="002D4581"/>
    <w:rsid w:val="002D4925"/>
    <w:rsid w:val="002D4AC6"/>
    <w:rsid w:val="002D5C7B"/>
    <w:rsid w:val="002D6DFC"/>
    <w:rsid w:val="002D7648"/>
    <w:rsid w:val="002D7909"/>
    <w:rsid w:val="002D7E56"/>
    <w:rsid w:val="002E109C"/>
    <w:rsid w:val="002E115E"/>
    <w:rsid w:val="002E193E"/>
    <w:rsid w:val="002E1D76"/>
    <w:rsid w:val="002E243C"/>
    <w:rsid w:val="002E26C4"/>
    <w:rsid w:val="002E3FE8"/>
    <w:rsid w:val="002E4B37"/>
    <w:rsid w:val="002E4BF9"/>
    <w:rsid w:val="002E6F5B"/>
    <w:rsid w:val="002F0631"/>
    <w:rsid w:val="002F16DD"/>
    <w:rsid w:val="002F199D"/>
    <w:rsid w:val="002F23B2"/>
    <w:rsid w:val="002F2AC5"/>
    <w:rsid w:val="002F4084"/>
    <w:rsid w:val="002F4672"/>
    <w:rsid w:val="002F4A08"/>
    <w:rsid w:val="002F4ADB"/>
    <w:rsid w:val="002F50E5"/>
    <w:rsid w:val="002F531E"/>
    <w:rsid w:val="002F5ACC"/>
    <w:rsid w:val="002F6C2C"/>
    <w:rsid w:val="002F704B"/>
    <w:rsid w:val="002F70A6"/>
    <w:rsid w:val="002F72C3"/>
    <w:rsid w:val="002F768C"/>
    <w:rsid w:val="002F7D1E"/>
    <w:rsid w:val="00300F92"/>
    <w:rsid w:val="00301839"/>
    <w:rsid w:val="00302120"/>
    <w:rsid w:val="00302929"/>
    <w:rsid w:val="00302F0F"/>
    <w:rsid w:val="00303243"/>
    <w:rsid w:val="00303BCC"/>
    <w:rsid w:val="00303F2B"/>
    <w:rsid w:val="00303F8D"/>
    <w:rsid w:val="00304541"/>
    <w:rsid w:val="00304580"/>
    <w:rsid w:val="0030586A"/>
    <w:rsid w:val="003074C5"/>
    <w:rsid w:val="00307A3C"/>
    <w:rsid w:val="00307FA4"/>
    <w:rsid w:val="00310CC1"/>
    <w:rsid w:val="0031202C"/>
    <w:rsid w:val="00313026"/>
    <w:rsid w:val="0031421F"/>
    <w:rsid w:val="00314B31"/>
    <w:rsid w:val="00314B36"/>
    <w:rsid w:val="00315158"/>
    <w:rsid w:val="00315346"/>
    <w:rsid w:val="00315A65"/>
    <w:rsid w:val="00316CEC"/>
    <w:rsid w:val="00317BA7"/>
    <w:rsid w:val="00320BE2"/>
    <w:rsid w:val="003215B7"/>
    <w:rsid w:val="00321886"/>
    <w:rsid w:val="00321902"/>
    <w:rsid w:val="00322745"/>
    <w:rsid w:val="00322F03"/>
    <w:rsid w:val="00323694"/>
    <w:rsid w:val="00324D63"/>
    <w:rsid w:val="003255AF"/>
    <w:rsid w:val="003256EB"/>
    <w:rsid w:val="003259DB"/>
    <w:rsid w:val="00327019"/>
    <w:rsid w:val="00330A30"/>
    <w:rsid w:val="00331060"/>
    <w:rsid w:val="00331A48"/>
    <w:rsid w:val="003330C9"/>
    <w:rsid w:val="0033364C"/>
    <w:rsid w:val="00334415"/>
    <w:rsid w:val="00334F92"/>
    <w:rsid w:val="0033691E"/>
    <w:rsid w:val="003369DE"/>
    <w:rsid w:val="00336CCB"/>
    <w:rsid w:val="0033745F"/>
    <w:rsid w:val="00337631"/>
    <w:rsid w:val="00337F44"/>
    <w:rsid w:val="003411D1"/>
    <w:rsid w:val="003416BA"/>
    <w:rsid w:val="00341BD6"/>
    <w:rsid w:val="00342A8A"/>
    <w:rsid w:val="00342F99"/>
    <w:rsid w:val="00344726"/>
    <w:rsid w:val="003454A4"/>
    <w:rsid w:val="00350E6C"/>
    <w:rsid w:val="003518A6"/>
    <w:rsid w:val="00351CB0"/>
    <w:rsid w:val="00351E7F"/>
    <w:rsid w:val="00352953"/>
    <w:rsid w:val="00354062"/>
    <w:rsid w:val="00355C0D"/>
    <w:rsid w:val="003566A9"/>
    <w:rsid w:val="00356988"/>
    <w:rsid w:val="00356B20"/>
    <w:rsid w:val="00356E94"/>
    <w:rsid w:val="00357128"/>
    <w:rsid w:val="0035755E"/>
    <w:rsid w:val="00357A80"/>
    <w:rsid w:val="00361B8B"/>
    <w:rsid w:val="00361B95"/>
    <w:rsid w:val="00363F39"/>
    <w:rsid w:val="00364AB0"/>
    <w:rsid w:val="003667B0"/>
    <w:rsid w:val="003667DD"/>
    <w:rsid w:val="00366B48"/>
    <w:rsid w:val="00367764"/>
    <w:rsid w:val="00370316"/>
    <w:rsid w:val="00370DC7"/>
    <w:rsid w:val="0037156C"/>
    <w:rsid w:val="00371BE8"/>
    <w:rsid w:val="00371CBD"/>
    <w:rsid w:val="00373CBE"/>
    <w:rsid w:val="003740CC"/>
    <w:rsid w:val="0037435E"/>
    <w:rsid w:val="00374E79"/>
    <w:rsid w:val="00375388"/>
    <w:rsid w:val="00375FB9"/>
    <w:rsid w:val="00376851"/>
    <w:rsid w:val="00376FA2"/>
    <w:rsid w:val="00377A3B"/>
    <w:rsid w:val="00377E3C"/>
    <w:rsid w:val="00380BBE"/>
    <w:rsid w:val="00381775"/>
    <w:rsid w:val="00381D70"/>
    <w:rsid w:val="00382128"/>
    <w:rsid w:val="0038235E"/>
    <w:rsid w:val="003829D0"/>
    <w:rsid w:val="00382FBA"/>
    <w:rsid w:val="0038444F"/>
    <w:rsid w:val="00384E83"/>
    <w:rsid w:val="00385333"/>
    <w:rsid w:val="00387051"/>
    <w:rsid w:val="00387712"/>
    <w:rsid w:val="00387ECF"/>
    <w:rsid w:val="0039021B"/>
    <w:rsid w:val="00390429"/>
    <w:rsid w:val="00392A7A"/>
    <w:rsid w:val="0039327C"/>
    <w:rsid w:val="003933A2"/>
    <w:rsid w:val="0039366C"/>
    <w:rsid w:val="003938F3"/>
    <w:rsid w:val="00393EC8"/>
    <w:rsid w:val="00394BC6"/>
    <w:rsid w:val="00395E42"/>
    <w:rsid w:val="00396052"/>
    <w:rsid w:val="00396A2D"/>
    <w:rsid w:val="00396FC3"/>
    <w:rsid w:val="003A0954"/>
    <w:rsid w:val="003A0B61"/>
    <w:rsid w:val="003A1554"/>
    <w:rsid w:val="003A1A94"/>
    <w:rsid w:val="003A204E"/>
    <w:rsid w:val="003A2D25"/>
    <w:rsid w:val="003A39B2"/>
    <w:rsid w:val="003A4AA9"/>
    <w:rsid w:val="003A4DDB"/>
    <w:rsid w:val="003A60E7"/>
    <w:rsid w:val="003A6E03"/>
    <w:rsid w:val="003B0B6A"/>
    <w:rsid w:val="003B0F79"/>
    <w:rsid w:val="003B1483"/>
    <w:rsid w:val="003B1CFD"/>
    <w:rsid w:val="003B2532"/>
    <w:rsid w:val="003B29CF"/>
    <w:rsid w:val="003B41B5"/>
    <w:rsid w:val="003B54DF"/>
    <w:rsid w:val="003B5955"/>
    <w:rsid w:val="003B5F96"/>
    <w:rsid w:val="003B6659"/>
    <w:rsid w:val="003B7733"/>
    <w:rsid w:val="003C0166"/>
    <w:rsid w:val="003C0D9C"/>
    <w:rsid w:val="003C110D"/>
    <w:rsid w:val="003C350C"/>
    <w:rsid w:val="003C3903"/>
    <w:rsid w:val="003C3BA0"/>
    <w:rsid w:val="003C3E07"/>
    <w:rsid w:val="003C4580"/>
    <w:rsid w:val="003C52D8"/>
    <w:rsid w:val="003C5C5E"/>
    <w:rsid w:val="003C6746"/>
    <w:rsid w:val="003C7133"/>
    <w:rsid w:val="003C7555"/>
    <w:rsid w:val="003C7898"/>
    <w:rsid w:val="003D010A"/>
    <w:rsid w:val="003D0FF5"/>
    <w:rsid w:val="003D2D1B"/>
    <w:rsid w:val="003D30AB"/>
    <w:rsid w:val="003D3D94"/>
    <w:rsid w:val="003D48C7"/>
    <w:rsid w:val="003D4B26"/>
    <w:rsid w:val="003D4C08"/>
    <w:rsid w:val="003D51ED"/>
    <w:rsid w:val="003D7CE8"/>
    <w:rsid w:val="003E1032"/>
    <w:rsid w:val="003E1904"/>
    <w:rsid w:val="003E285E"/>
    <w:rsid w:val="003E321A"/>
    <w:rsid w:val="003E3300"/>
    <w:rsid w:val="003E65AC"/>
    <w:rsid w:val="003E6E24"/>
    <w:rsid w:val="003E72B9"/>
    <w:rsid w:val="003E7ED4"/>
    <w:rsid w:val="003F0E52"/>
    <w:rsid w:val="003F0EF2"/>
    <w:rsid w:val="003F0F6B"/>
    <w:rsid w:val="003F1F40"/>
    <w:rsid w:val="003F1FE3"/>
    <w:rsid w:val="003F3865"/>
    <w:rsid w:val="003F3A0A"/>
    <w:rsid w:val="003F4632"/>
    <w:rsid w:val="003F47BA"/>
    <w:rsid w:val="003F6617"/>
    <w:rsid w:val="00401081"/>
    <w:rsid w:val="00401F94"/>
    <w:rsid w:val="00402332"/>
    <w:rsid w:val="004025C2"/>
    <w:rsid w:val="00403E55"/>
    <w:rsid w:val="00404532"/>
    <w:rsid w:val="00404681"/>
    <w:rsid w:val="0040496D"/>
    <w:rsid w:val="00404CBE"/>
    <w:rsid w:val="00405010"/>
    <w:rsid w:val="0040595A"/>
    <w:rsid w:val="00405B11"/>
    <w:rsid w:val="00406417"/>
    <w:rsid w:val="00406923"/>
    <w:rsid w:val="0040713A"/>
    <w:rsid w:val="0040763D"/>
    <w:rsid w:val="004105B0"/>
    <w:rsid w:val="00410624"/>
    <w:rsid w:val="00410EC5"/>
    <w:rsid w:val="0041250F"/>
    <w:rsid w:val="004133A8"/>
    <w:rsid w:val="00413821"/>
    <w:rsid w:val="00413D43"/>
    <w:rsid w:val="004141A3"/>
    <w:rsid w:val="00414436"/>
    <w:rsid w:val="00414909"/>
    <w:rsid w:val="00415E66"/>
    <w:rsid w:val="00416112"/>
    <w:rsid w:val="00416DF0"/>
    <w:rsid w:val="00417AE0"/>
    <w:rsid w:val="00417BAA"/>
    <w:rsid w:val="004208F5"/>
    <w:rsid w:val="00420BA9"/>
    <w:rsid w:val="00420D7A"/>
    <w:rsid w:val="004223DE"/>
    <w:rsid w:val="0042293E"/>
    <w:rsid w:val="00422A10"/>
    <w:rsid w:val="00423D86"/>
    <w:rsid w:val="00424D17"/>
    <w:rsid w:val="00425DFD"/>
    <w:rsid w:val="004263A3"/>
    <w:rsid w:val="00427713"/>
    <w:rsid w:val="00427CCC"/>
    <w:rsid w:val="0043013A"/>
    <w:rsid w:val="00430421"/>
    <w:rsid w:val="00430B4F"/>
    <w:rsid w:val="004314B1"/>
    <w:rsid w:val="00431E65"/>
    <w:rsid w:val="00432589"/>
    <w:rsid w:val="00432A94"/>
    <w:rsid w:val="0043366D"/>
    <w:rsid w:val="00433827"/>
    <w:rsid w:val="004360C8"/>
    <w:rsid w:val="0044006B"/>
    <w:rsid w:val="0044033F"/>
    <w:rsid w:val="00440630"/>
    <w:rsid w:val="00441123"/>
    <w:rsid w:val="00442095"/>
    <w:rsid w:val="00442965"/>
    <w:rsid w:val="00444157"/>
    <w:rsid w:val="0044417C"/>
    <w:rsid w:val="00444DB3"/>
    <w:rsid w:val="004452B9"/>
    <w:rsid w:val="00445712"/>
    <w:rsid w:val="00445A2F"/>
    <w:rsid w:val="00446328"/>
    <w:rsid w:val="00446341"/>
    <w:rsid w:val="00446648"/>
    <w:rsid w:val="0044684E"/>
    <w:rsid w:val="004479CA"/>
    <w:rsid w:val="004503A4"/>
    <w:rsid w:val="00450555"/>
    <w:rsid w:val="00450DC6"/>
    <w:rsid w:val="004516A5"/>
    <w:rsid w:val="00451FE8"/>
    <w:rsid w:val="00452179"/>
    <w:rsid w:val="004522E3"/>
    <w:rsid w:val="00452E99"/>
    <w:rsid w:val="004535AE"/>
    <w:rsid w:val="00453C42"/>
    <w:rsid w:val="0045463A"/>
    <w:rsid w:val="00454AC9"/>
    <w:rsid w:val="00454E26"/>
    <w:rsid w:val="004554A3"/>
    <w:rsid w:val="00455A6E"/>
    <w:rsid w:val="00455F1F"/>
    <w:rsid w:val="00456758"/>
    <w:rsid w:val="004569CD"/>
    <w:rsid w:val="004576EC"/>
    <w:rsid w:val="004578EB"/>
    <w:rsid w:val="00460303"/>
    <w:rsid w:val="00460697"/>
    <w:rsid w:val="00461263"/>
    <w:rsid w:val="004620E5"/>
    <w:rsid w:val="00462593"/>
    <w:rsid w:val="004642AD"/>
    <w:rsid w:val="00465EEF"/>
    <w:rsid w:val="00466D03"/>
    <w:rsid w:val="0046711B"/>
    <w:rsid w:val="00467312"/>
    <w:rsid w:val="00467C31"/>
    <w:rsid w:val="00471156"/>
    <w:rsid w:val="00472429"/>
    <w:rsid w:val="004725E5"/>
    <w:rsid w:val="004726FE"/>
    <w:rsid w:val="00472751"/>
    <w:rsid w:val="00473128"/>
    <w:rsid w:val="00475078"/>
    <w:rsid w:val="00475226"/>
    <w:rsid w:val="004770FA"/>
    <w:rsid w:val="004779A0"/>
    <w:rsid w:val="004808E3"/>
    <w:rsid w:val="00481016"/>
    <w:rsid w:val="004814D3"/>
    <w:rsid w:val="0048204C"/>
    <w:rsid w:val="004821BB"/>
    <w:rsid w:val="00482233"/>
    <w:rsid w:val="0048261A"/>
    <w:rsid w:val="004826FE"/>
    <w:rsid w:val="004827D5"/>
    <w:rsid w:val="004830C9"/>
    <w:rsid w:val="00483347"/>
    <w:rsid w:val="00483E2E"/>
    <w:rsid w:val="00484B69"/>
    <w:rsid w:val="00485406"/>
    <w:rsid w:val="0048590F"/>
    <w:rsid w:val="004867A5"/>
    <w:rsid w:val="00486D60"/>
    <w:rsid w:val="00486F33"/>
    <w:rsid w:val="00486F65"/>
    <w:rsid w:val="00487C87"/>
    <w:rsid w:val="00490BB8"/>
    <w:rsid w:val="00492A25"/>
    <w:rsid w:val="00492D27"/>
    <w:rsid w:val="00492F3E"/>
    <w:rsid w:val="0049354F"/>
    <w:rsid w:val="0049474A"/>
    <w:rsid w:val="004961EA"/>
    <w:rsid w:val="00496350"/>
    <w:rsid w:val="00496F91"/>
    <w:rsid w:val="00497274"/>
    <w:rsid w:val="00497708"/>
    <w:rsid w:val="0049797C"/>
    <w:rsid w:val="00497C2C"/>
    <w:rsid w:val="00497E9D"/>
    <w:rsid w:val="004A07AC"/>
    <w:rsid w:val="004A1405"/>
    <w:rsid w:val="004A1FC6"/>
    <w:rsid w:val="004A2655"/>
    <w:rsid w:val="004A3C03"/>
    <w:rsid w:val="004A3DB7"/>
    <w:rsid w:val="004A3FB3"/>
    <w:rsid w:val="004A5088"/>
    <w:rsid w:val="004A5255"/>
    <w:rsid w:val="004A6097"/>
    <w:rsid w:val="004A6CB0"/>
    <w:rsid w:val="004A70FF"/>
    <w:rsid w:val="004A7CCC"/>
    <w:rsid w:val="004B1B84"/>
    <w:rsid w:val="004B29AC"/>
    <w:rsid w:val="004B35DF"/>
    <w:rsid w:val="004B3627"/>
    <w:rsid w:val="004B3F3A"/>
    <w:rsid w:val="004B4779"/>
    <w:rsid w:val="004B4922"/>
    <w:rsid w:val="004B498F"/>
    <w:rsid w:val="004B57DF"/>
    <w:rsid w:val="004C03A0"/>
    <w:rsid w:val="004C04AB"/>
    <w:rsid w:val="004C2138"/>
    <w:rsid w:val="004C2ED0"/>
    <w:rsid w:val="004C32D4"/>
    <w:rsid w:val="004C3940"/>
    <w:rsid w:val="004C51FD"/>
    <w:rsid w:val="004C534B"/>
    <w:rsid w:val="004C5629"/>
    <w:rsid w:val="004C65A8"/>
    <w:rsid w:val="004C6F74"/>
    <w:rsid w:val="004C786C"/>
    <w:rsid w:val="004C7963"/>
    <w:rsid w:val="004D2F63"/>
    <w:rsid w:val="004D35BA"/>
    <w:rsid w:val="004D4701"/>
    <w:rsid w:val="004D47C7"/>
    <w:rsid w:val="004D618D"/>
    <w:rsid w:val="004D62A9"/>
    <w:rsid w:val="004D6AEE"/>
    <w:rsid w:val="004D6FC3"/>
    <w:rsid w:val="004D7476"/>
    <w:rsid w:val="004E0083"/>
    <w:rsid w:val="004E0306"/>
    <w:rsid w:val="004E0572"/>
    <w:rsid w:val="004E25A8"/>
    <w:rsid w:val="004E2AA0"/>
    <w:rsid w:val="004E3930"/>
    <w:rsid w:val="004E3ED9"/>
    <w:rsid w:val="004E5866"/>
    <w:rsid w:val="004E5D94"/>
    <w:rsid w:val="004E6097"/>
    <w:rsid w:val="004E61EF"/>
    <w:rsid w:val="004E6772"/>
    <w:rsid w:val="004E76A7"/>
    <w:rsid w:val="004E7736"/>
    <w:rsid w:val="004E7B03"/>
    <w:rsid w:val="004F0064"/>
    <w:rsid w:val="004F06AC"/>
    <w:rsid w:val="004F1AE6"/>
    <w:rsid w:val="004F243F"/>
    <w:rsid w:val="004F3E0C"/>
    <w:rsid w:val="004F63EF"/>
    <w:rsid w:val="004F6A2D"/>
    <w:rsid w:val="004F7160"/>
    <w:rsid w:val="004F71A2"/>
    <w:rsid w:val="004F7E5B"/>
    <w:rsid w:val="00500258"/>
    <w:rsid w:val="00500FC7"/>
    <w:rsid w:val="0050175E"/>
    <w:rsid w:val="00501A99"/>
    <w:rsid w:val="00503180"/>
    <w:rsid w:val="0050417C"/>
    <w:rsid w:val="00505450"/>
    <w:rsid w:val="00507AE2"/>
    <w:rsid w:val="005100B7"/>
    <w:rsid w:val="005113C9"/>
    <w:rsid w:val="0051280C"/>
    <w:rsid w:val="00512842"/>
    <w:rsid w:val="005128BE"/>
    <w:rsid w:val="00512B7B"/>
    <w:rsid w:val="00512E6C"/>
    <w:rsid w:val="0051356F"/>
    <w:rsid w:val="00513E7C"/>
    <w:rsid w:val="005140BB"/>
    <w:rsid w:val="005143C2"/>
    <w:rsid w:val="0051454F"/>
    <w:rsid w:val="00514FD9"/>
    <w:rsid w:val="0051608F"/>
    <w:rsid w:val="0051770C"/>
    <w:rsid w:val="005210F7"/>
    <w:rsid w:val="00521753"/>
    <w:rsid w:val="00521A44"/>
    <w:rsid w:val="00521D16"/>
    <w:rsid w:val="005222BE"/>
    <w:rsid w:val="005224EE"/>
    <w:rsid w:val="00523AA4"/>
    <w:rsid w:val="00523BB1"/>
    <w:rsid w:val="0052451A"/>
    <w:rsid w:val="00524737"/>
    <w:rsid w:val="00526265"/>
    <w:rsid w:val="00526398"/>
    <w:rsid w:val="0052652D"/>
    <w:rsid w:val="0052655D"/>
    <w:rsid w:val="005265E0"/>
    <w:rsid w:val="00526BC3"/>
    <w:rsid w:val="005275DC"/>
    <w:rsid w:val="00530F9E"/>
    <w:rsid w:val="0053274E"/>
    <w:rsid w:val="0053358A"/>
    <w:rsid w:val="00534668"/>
    <w:rsid w:val="00534DDD"/>
    <w:rsid w:val="00535291"/>
    <w:rsid w:val="00535A94"/>
    <w:rsid w:val="00537874"/>
    <w:rsid w:val="00540204"/>
    <w:rsid w:val="00540578"/>
    <w:rsid w:val="005407D2"/>
    <w:rsid w:val="00540808"/>
    <w:rsid w:val="0054080E"/>
    <w:rsid w:val="00540EA1"/>
    <w:rsid w:val="00541F62"/>
    <w:rsid w:val="00542AD8"/>
    <w:rsid w:val="0054358E"/>
    <w:rsid w:val="00543AF4"/>
    <w:rsid w:val="00544191"/>
    <w:rsid w:val="00544F39"/>
    <w:rsid w:val="0054515D"/>
    <w:rsid w:val="00547EFB"/>
    <w:rsid w:val="00551FBD"/>
    <w:rsid w:val="00552034"/>
    <w:rsid w:val="00552563"/>
    <w:rsid w:val="005531DF"/>
    <w:rsid w:val="00553874"/>
    <w:rsid w:val="00553ACC"/>
    <w:rsid w:val="00554AD8"/>
    <w:rsid w:val="00554F78"/>
    <w:rsid w:val="005556A5"/>
    <w:rsid w:val="00555A14"/>
    <w:rsid w:val="00556BF7"/>
    <w:rsid w:val="005610A8"/>
    <w:rsid w:val="00562149"/>
    <w:rsid w:val="005630D8"/>
    <w:rsid w:val="00563FFD"/>
    <w:rsid w:val="00565855"/>
    <w:rsid w:val="005677CE"/>
    <w:rsid w:val="00567B5D"/>
    <w:rsid w:val="00570F3A"/>
    <w:rsid w:val="00573733"/>
    <w:rsid w:val="00574554"/>
    <w:rsid w:val="00576089"/>
    <w:rsid w:val="005764B1"/>
    <w:rsid w:val="00576A56"/>
    <w:rsid w:val="00576D06"/>
    <w:rsid w:val="005779E4"/>
    <w:rsid w:val="00580AC5"/>
    <w:rsid w:val="00580EB3"/>
    <w:rsid w:val="00581A2A"/>
    <w:rsid w:val="0058289C"/>
    <w:rsid w:val="00582C35"/>
    <w:rsid w:val="00582DC6"/>
    <w:rsid w:val="00582F23"/>
    <w:rsid w:val="005836C7"/>
    <w:rsid w:val="00583E30"/>
    <w:rsid w:val="0058408E"/>
    <w:rsid w:val="00585374"/>
    <w:rsid w:val="00586F3C"/>
    <w:rsid w:val="00590B77"/>
    <w:rsid w:val="005913A3"/>
    <w:rsid w:val="00591DCD"/>
    <w:rsid w:val="00591E6C"/>
    <w:rsid w:val="00594A7B"/>
    <w:rsid w:val="00594AFA"/>
    <w:rsid w:val="0059580E"/>
    <w:rsid w:val="00596A6F"/>
    <w:rsid w:val="0059740A"/>
    <w:rsid w:val="005976E1"/>
    <w:rsid w:val="005A0541"/>
    <w:rsid w:val="005A1525"/>
    <w:rsid w:val="005A1EC3"/>
    <w:rsid w:val="005A252B"/>
    <w:rsid w:val="005A2A71"/>
    <w:rsid w:val="005A3204"/>
    <w:rsid w:val="005A3341"/>
    <w:rsid w:val="005A3FA1"/>
    <w:rsid w:val="005A46EC"/>
    <w:rsid w:val="005A4847"/>
    <w:rsid w:val="005A494F"/>
    <w:rsid w:val="005A7BB6"/>
    <w:rsid w:val="005B0160"/>
    <w:rsid w:val="005B0185"/>
    <w:rsid w:val="005B07EC"/>
    <w:rsid w:val="005B09D8"/>
    <w:rsid w:val="005B120C"/>
    <w:rsid w:val="005B24F3"/>
    <w:rsid w:val="005B2B11"/>
    <w:rsid w:val="005B2E00"/>
    <w:rsid w:val="005B370E"/>
    <w:rsid w:val="005B45B3"/>
    <w:rsid w:val="005B4DA3"/>
    <w:rsid w:val="005B5BEE"/>
    <w:rsid w:val="005B6995"/>
    <w:rsid w:val="005B77D2"/>
    <w:rsid w:val="005C019B"/>
    <w:rsid w:val="005C144E"/>
    <w:rsid w:val="005C14A8"/>
    <w:rsid w:val="005C30F5"/>
    <w:rsid w:val="005C357E"/>
    <w:rsid w:val="005C3951"/>
    <w:rsid w:val="005C51A5"/>
    <w:rsid w:val="005C557A"/>
    <w:rsid w:val="005C5D71"/>
    <w:rsid w:val="005C61DD"/>
    <w:rsid w:val="005C6438"/>
    <w:rsid w:val="005C6B8B"/>
    <w:rsid w:val="005D02E3"/>
    <w:rsid w:val="005D0310"/>
    <w:rsid w:val="005D039C"/>
    <w:rsid w:val="005D125A"/>
    <w:rsid w:val="005D1F34"/>
    <w:rsid w:val="005D2529"/>
    <w:rsid w:val="005D2C1F"/>
    <w:rsid w:val="005D34B2"/>
    <w:rsid w:val="005D3B54"/>
    <w:rsid w:val="005D40CD"/>
    <w:rsid w:val="005D6B59"/>
    <w:rsid w:val="005D7037"/>
    <w:rsid w:val="005E03E4"/>
    <w:rsid w:val="005E0454"/>
    <w:rsid w:val="005E171D"/>
    <w:rsid w:val="005E34C2"/>
    <w:rsid w:val="005E35C6"/>
    <w:rsid w:val="005E3CC2"/>
    <w:rsid w:val="005E465F"/>
    <w:rsid w:val="005E5B01"/>
    <w:rsid w:val="005E77C2"/>
    <w:rsid w:val="005E7933"/>
    <w:rsid w:val="005E7E0B"/>
    <w:rsid w:val="005F009E"/>
    <w:rsid w:val="005F0A88"/>
    <w:rsid w:val="005F0DF1"/>
    <w:rsid w:val="005F1516"/>
    <w:rsid w:val="005F1D54"/>
    <w:rsid w:val="005F229E"/>
    <w:rsid w:val="005F2564"/>
    <w:rsid w:val="005F3822"/>
    <w:rsid w:val="005F3E0B"/>
    <w:rsid w:val="005F4D16"/>
    <w:rsid w:val="005F4E52"/>
    <w:rsid w:val="005F5590"/>
    <w:rsid w:val="005F5967"/>
    <w:rsid w:val="005F6A62"/>
    <w:rsid w:val="005F77C8"/>
    <w:rsid w:val="0060058E"/>
    <w:rsid w:val="00602740"/>
    <w:rsid w:val="00602A3C"/>
    <w:rsid w:val="00603BE3"/>
    <w:rsid w:val="00603EFD"/>
    <w:rsid w:val="006041DF"/>
    <w:rsid w:val="0060475B"/>
    <w:rsid w:val="00604FB6"/>
    <w:rsid w:val="00605387"/>
    <w:rsid w:val="00606302"/>
    <w:rsid w:val="006072EF"/>
    <w:rsid w:val="006076FD"/>
    <w:rsid w:val="00607BA3"/>
    <w:rsid w:val="0061143F"/>
    <w:rsid w:val="006114D8"/>
    <w:rsid w:val="00611585"/>
    <w:rsid w:val="00612931"/>
    <w:rsid w:val="00613601"/>
    <w:rsid w:val="00613791"/>
    <w:rsid w:val="00613AAB"/>
    <w:rsid w:val="00614505"/>
    <w:rsid w:val="00614772"/>
    <w:rsid w:val="006148C7"/>
    <w:rsid w:val="006150D6"/>
    <w:rsid w:val="00617EEE"/>
    <w:rsid w:val="006210FE"/>
    <w:rsid w:val="00622811"/>
    <w:rsid w:val="00622894"/>
    <w:rsid w:val="00622BB7"/>
    <w:rsid w:val="00622F3B"/>
    <w:rsid w:val="00623389"/>
    <w:rsid w:val="0062352A"/>
    <w:rsid w:val="00625E45"/>
    <w:rsid w:val="006265C4"/>
    <w:rsid w:val="00627383"/>
    <w:rsid w:val="00627733"/>
    <w:rsid w:val="006301BB"/>
    <w:rsid w:val="00630BAD"/>
    <w:rsid w:val="00631626"/>
    <w:rsid w:val="00632605"/>
    <w:rsid w:val="00633F8D"/>
    <w:rsid w:val="006341EF"/>
    <w:rsid w:val="00634BED"/>
    <w:rsid w:val="00635A4A"/>
    <w:rsid w:val="00635FB9"/>
    <w:rsid w:val="00636148"/>
    <w:rsid w:val="00637774"/>
    <w:rsid w:val="0064016B"/>
    <w:rsid w:val="0064024C"/>
    <w:rsid w:val="00640291"/>
    <w:rsid w:val="00641FAC"/>
    <w:rsid w:val="006432A5"/>
    <w:rsid w:val="00643664"/>
    <w:rsid w:val="00643CAA"/>
    <w:rsid w:val="00652137"/>
    <w:rsid w:val="00652680"/>
    <w:rsid w:val="00652A09"/>
    <w:rsid w:val="006530A1"/>
    <w:rsid w:val="00653CDE"/>
    <w:rsid w:val="006540B4"/>
    <w:rsid w:val="0065636A"/>
    <w:rsid w:val="00656C3C"/>
    <w:rsid w:val="00657003"/>
    <w:rsid w:val="00657126"/>
    <w:rsid w:val="006572C1"/>
    <w:rsid w:val="00657930"/>
    <w:rsid w:val="00660238"/>
    <w:rsid w:val="006602EF"/>
    <w:rsid w:val="00660F41"/>
    <w:rsid w:val="00661277"/>
    <w:rsid w:val="006616FE"/>
    <w:rsid w:val="006619D1"/>
    <w:rsid w:val="00661D93"/>
    <w:rsid w:val="00662D69"/>
    <w:rsid w:val="00662ECC"/>
    <w:rsid w:val="00663FEA"/>
    <w:rsid w:val="00664253"/>
    <w:rsid w:val="006647AE"/>
    <w:rsid w:val="00664803"/>
    <w:rsid w:val="006661A4"/>
    <w:rsid w:val="006670E0"/>
    <w:rsid w:val="00667532"/>
    <w:rsid w:val="006704FD"/>
    <w:rsid w:val="0067180A"/>
    <w:rsid w:val="00671C6C"/>
    <w:rsid w:val="0067294B"/>
    <w:rsid w:val="0067317A"/>
    <w:rsid w:val="00673AA4"/>
    <w:rsid w:val="00674187"/>
    <w:rsid w:val="0067508F"/>
    <w:rsid w:val="00675349"/>
    <w:rsid w:val="00675674"/>
    <w:rsid w:val="00675E7E"/>
    <w:rsid w:val="0068051E"/>
    <w:rsid w:val="00680B9D"/>
    <w:rsid w:val="0068163C"/>
    <w:rsid w:val="00681F13"/>
    <w:rsid w:val="0068231C"/>
    <w:rsid w:val="00682344"/>
    <w:rsid w:val="00682F28"/>
    <w:rsid w:val="00684338"/>
    <w:rsid w:val="00684842"/>
    <w:rsid w:val="00685BD6"/>
    <w:rsid w:val="006878A6"/>
    <w:rsid w:val="00690437"/>
    <w:rsid w:val="00690E65"/>
    <w:rsid w:val="0069188E"/>
    <w:rsid w:val="00691974"/>
    <w:rsid w:val="00692CE6"/>
    <w:rsid w:val="00693B6C"/>
    <w:rsid w:val="00694202"/>
    <w:rsid w:val="006942AE"/>
    <w:rsid w:val="0069483C"/>
    <w:rsid w:val="00695421"/>
    <w:rsid w:val="00696D4B"/>
    <w:rsid w:val="00697BD3"/>
    <w:rsid w:val="00697DFA"/>
    <w:rsid w:val="006A0C53"/>
    <w:rsid w:val="006A10F3"/>
    <w:rsid w:val="006A16D5"/>
    <w:rsid w:val="006A1772"/>
    <w:rsid w:val="006A1780"/>
    <w:rsid w:val="006A25A5"/>
    <w:rsid w:val="006A2790"/>
    <w:rsid w:val="006A3CEC"/>
    <w:rsid w:val="006A3F75"/>
    <w:rsid w:val="006A4FB3"/>
    <w:rsid w:val="006A5A3E"/>
    <w:rsid w:val="006A6CA7"/>
    <w:rsid w:val="006A703E"/>
    <w:rsid w:val="006A7BE3"/>
    <w:rsid w:val="006B01D1"/>
    <w:rsid w:val="006B16EA"/>
    <w:rsid w:val="006B1780"/>
    <w:rsid w:val="006B224E"/>
    <w:rsid w:val="006B376E"/>
    <w:rsid w:val="006B4589"/>
    <w:rsid w:val="006B4AC8"/>
    <w:rsid w:val="006B6805"/>
    <w:rsid w:val="006B6BBE"/>
    <w:rsid w:val="006B6DE0"/>
    <w:rsid w:val="006B7D5F"/>
    <w:rsid w:val="006C1EA9"/>
    <w:rsid w:val="006C1F53"/>
    <w:rsid w:val="006C32F4"/>
    <w:rsid w:val="006C3C54"/>
    <w:rsid w:val="006C40F4"/>
    <w:rsid w:val="006C427B"/>
    <w:rsid w:val="006C4D5D"/>
    <w:rsid w:val="006C4E5A"/>
    <w:rsid w:val="006C4F9F"/>
    <w:rsid w:val="006C4FEE"/>
    <w:rsid w:val="006C61AB"/>
    <w:rsid w:val="006C650D"/>
    <w:rsid w:val="006C748D"/>
    <w:rsid w:val="006C74E2"/>
    <w:rsid w:val="006D0C1D"/>
    <w:rsid w:val="006D0CE1"/>
    <w:rsid w:val="006D2004"/>
    <w:rsid w:val="006D2861"/>
    <w:rsid w:val="006D2A8C"/>
    <w:rsid w:val="006D2E9D"/>
    <w:rsid w:val="006D4C1E"/>
    <w:rsid w:val="006D4C42"/>
    <w:rsid w:val="006D4CA4"/>
    <w:rsid w:val="006D5809"/>
    <w:rsid w:val="006D630A"/>
    <w:rsid w:val="006D668D"/>
    <w:rsid w:val="006D6AC7"/>
    <w:rsid w:val="006D7363"/>
    <w:rsid w:val="006D74F2"/>
    <w:rsid w:val="006E04C8"/>
    <w:rsid w:val="006E0712"/>
    <w:rsid w:val="006E0754"/>
    <w:rsid w:val="006E2668"/>
    <w:rsid w:val="006E2D39"/>
    <w:rsid w:val="006E32B0"/>
    <w:rsid w:val="006E36D8"/>
    <w:rsid w:val="006E396A"/>
    <w:rsid w:val="006E3A73"/>
    <w:rsid w:val="006E3E38"/>
    <w:rsid w:val="006E5DD8"/>
    <w:rsid w:val="006E5EA1"/>
    <w:rsid w:val="006E7ABC"/>
    <w:rsid w:val="006F0760"/>
    <w:rsid w:val="006F0FF1"/>
    <w:rsid w:val="006F11E2"/>
    <w:rsid w:val="006F12F5"/>
    <w:rsid w:val="006F2574"/>
    <w:rsid w:val="006F3231"/>
    <w:rsid w:val="006F3DE3"/>
    <w:rsid w:val="006F511F"/>
    <w:rsid w:val="006F54B3"/>
    <w:rsid w:val="006F61D8"/>
    <w:rsid w:val="006F62B7"/>
    <w:rsid w:val="006F70BC"/>
    <w:rsid w:val="006F713A"/>
    <w:rsid w:val="006F76BF"/>
    <w:rsid w:val="00700077"/>
    <w:rsid w:val="00701BEC"/>
    <w:rsid w:val="007066A4"/>
    <w:rsid w:val="00706F37"/>
    <w:rsid w:val="00707D09"/>
    <w:rsid w:val="00711208"/>
    <w:rsid w:val="0071209F"/>
    <w:rsid w:val="007125A2"/>
    <w:rsid w:val="00712DA3"/>
    <w:rsid w:val="00713F79"/>
    <w:rsid w:val="00714390"/>
    <w:rsid w:val="007148A8"/>
    <w:rsid w:val="00714AA4"/>
    <w:rsid w:val="00716286"/>
    <w:rsid w:val="00716839"/>
    <w:rsid w:val="007171E0"/>
    <w:rsid w:val="0072033C"/>
    <w:rsid w:val="00720B1B"/>
    <w:rsid w:val="00720EC1"/>
    <w:rsid w:val="00721062"/>
    <w:rsid w:val="00721E5D"/>
    <w:rsid w:val="007229D4"/>
    <w:rsid w:val="00722CD9"/>
    <w:rsid w:val="007230F8"/>
    <w:rsid w:val="007233F4"/>
    <w:rsid w:val="00723517"/>
    <w:rsid w:val="00724044"/>
    <w:rsid w:val="007244E1"/>
    <w:rsid w:val="007248D3"/>
    <w:rsid w:val="00725137"/>
    <w:rsid w:val="007263ED"/>
    <w:rsid w:val="00727A43"/>
    <w:rsid w:val="00727FF2"/>
    <w:rsid w:val="007323E0"/>
    <w:rsid w:val="0073306C"/>
    <w:rsid w:val="00733791"/>
    <w:rsid w:val="0073391B"/>
    <w:rsid w:val="00733DE2"/>
    <w:rsid w:val="007352EA"/>
    <w:rsid w:val="007364E5"/>
    <w:rsid w:val="0073792F"/>
    <w:rsid w:val="00740DA6"/>
    <w:rsid w:val="00741A0E"/>
    <w:rsid w:val="00741D1E"/>
    <w:rsid w:val="00741EE2"/>
    <w:rsid w:val="00742367"/>
    <w:rsid w:val="00742EAA"/>
    <w:rsid w:val="00743818"/>
    <w:rsid w:val="007439E2"/>
    <w:rsid w:val="00743D6F"/>
    <w:rsid w:val="00743DD8"/>
    <w:rsid w:val="007441FB"/>
    <w:rsid w:val="00744517"/>
    <w:rsid w:val="00744810"/>
    <w:rsid w:val="00744C81"/>
    <w:rsid w:val="00747DE2"/>
    <w:rsid w:val="007504BF"/>
    <w:rsid w:val="007506CD"/>
    <w:rsid w:val="0075267F"/>
    <w:rsid w:val="007526EC"/>
    <w:rsid w:val="0075310C"/>
    <w:rsid w:val="00753347"/>
    <w:rsid w:val="00753C48"/>
    <w:rsid w:val="00754C97"/>
    <w:rsid w:val="00754FE4"/>
    <w:rsid w:val="00755538"/>
    <w:rsid w:val="00756236"/>
    <w:rsid w:val="00756271"/>
    <w:rsid w:val="00756521"/>
    <w:rsid w:val="00756AB7"/>
    <w:rsid w:val="00757047"/>
    <w:rsid w:val="00760477"/>
    <w:rsid w:val="00761AF4"/>
    <w:rsid w:val="00762071"/>
    <w:rsid w:val="007623FB"/>
    <w:rsid w:val="007635D9"/>
    <w:rsid w:val="0076376A"/>
    <w:rsid w:val="0076500F"/>
    <w:rsid w:val="0076504E"/>
    <w:rsid w:val="00765E6A"/>
    <w:rsid w:val="00767EA0"/>
    <w:rsid w:val="0077068F"/>
    <w:rsid w:val="0077382B"/>
    <w:rsid w:val="0077408D"/>
    <w:rsid w:val="00774270"/>
    <w:rsid w:val="00775679"/>
    <w:rsid w:val="00775803"/>
    <w:rsid w:val="00777B32"/>
    <w:rsid w:val="007803B5"/>
    <w:rsid w:val="0078051E"/>
    <w:rsid w:val="00781D67"/>
    <w:rsid w:val="00781FDD"/>
    <w:rsid w:val="00782A9F"/>
    <w:rsid w:val="0078508A"/>
    <w:rsid w:val="00786966"/>
    <w:rsid w:val="00786D5C"/>
    <w:rsid w:val="00786E96"/>
    <w:rsid w:val="00787F93"/>
    <w:rsid w:val="007907CA"/>
    <w:rsid w:val="007913A1"/>
    <w:rsid w:val="00791E6D"/>
    <w:rsid w:val="0079284D"/>
    <w:rsid w:val="007928DC"/>
    <w:rsid w:val="007939CC"/>
    <w:rsid w:val="00794AD7"/>
    <w:rsid w:val="00796FB8"/>
    <w:rsid w:val="007A0A5E"/>
    <w:rsid w:val="007A11C2"/>
    <w:rsid w:val="007A2063"/>
    <w:rsid w:val="007A2367"/>
    <w:rsid w:val="007A41BF"/>
    <w:rsid w:val="007A490A"/>
    <w:rsid w:val="007A4AC1"/>
    <w:rsid w:val="007A581D"/>
    <w:rsid w:val="007A66F5"/>
    <w:rsid w:val="007A7B95"/>
    <w:rsid w:val="007B0297"/>
    <w:rsid w:val="007B0F53"/>
    <w:rsid w:val="007B1DD8"/>
    <w:rsid w:val="007B200F"/>
    <w:rsid w:val="007B21AE"/>
    <w:rsid w:val="007B2570"/>
    <w:rsid w:val="007B3113"/>
    <w:rsid w:val="007B3304"/>
    <w:rsid w:val="007B332B"/>
    <w:rsid w:val="007B394D"/>
    <w:rsid w:val="007B7490"/>
    <w:rsid w:val="007B774A"/>
    <w:rsid w:val="007C0525"/>
    <w:rsid w:val="007C0B56"/>
    <w:rsid w:val="007C13F7"/>
    <w:rsid w:val="007C218D"/>
    <w:rsid w:val="007C2D28"/>
    <w:rsid w:val="007C3E22"/>
    <w:rsid w:val="007C5153"/>
    <w:rsid w:val="007C67C6"/>
    <w:rsid w:val="007C707A"/>
    <w:rsid w:val="007C752B"/>
    <w:rsid w:val="007C7E59"/>
    <w:rsid w:val="007D0B91"/>
    <w:rsid w:val="007D0F53"/>
    <w:rsid w:val="007D1452"/>
    <w:rsid w:val="007D1E29"/>
    <w:rsid w:val="007D460C"/>
    <w:rsid w:val="007D4AD3"/>
    <w:rsid w:val="007D4C8D"/>
    <w:rsid w:val="007D5195"/>
    <w:rsid w:val="007D5D19"/>
    <w:rsid w:val="007D5D29"/>
    <w:rsid w:val="007D5FDC"/>
    <w:rsid w:val="007D6232"/>
    <w:rsid w:val="007D6D68"/>
    <w:rsid w:val="007E01DA"/>
    <w:rsid w:val="007E1603"/>
    <w:rsid w:val="007E32DA"/>
    <w:rsid w:val="007E4998"/>
    <w:rsid w:val="007E4A9C"/>
    <w:rsid w:val="007E4BAE"/>
    <w:rsid w:val="007E5F6B"/>
    <w:rsid w:val="007E6914"/>
    <w:rsid w:val="007E7F78"/>
    <w:rsid w:val="007E7FB1"/>
    <w:rsid w:val="007F0C8B"/>
    <w:rsid w:val="007F1517"/>
    <w:rsid w:val="007F1D44"/>
    <w:rsid w:val="007F2C13"/>
    <w:rsid w:val="007F2CEC"/>
    <w:rsid w:val="007F42CC"/>
    <w:rsid w:val="007F55DE"/>
    <w:rsid w:val="007F5605"/>
    <w:rsid w:val="007F6147"/>
    <w:rsid w:val="007F6995"/>
    <w:rsid w:val="007F6FCD"/>
    <w:rsid w:val="007F75F2"/>
    <w:rsid w:val="007F78FF"/>
    <w:rsid w:val="00800F6C"/>
    <w:rsid w:val="008025BE"/>
    <w:rsid w:val="00804C86"/>
    <w:rsid w:val="008051FC"/>
    <w:rsid w:val="008055A9"/>
    <w:rsid w:val="008070EB"/>
    <w:rsid w:val="00807376"/>
    <w:rsid w:val="008073E7"/>
    <w:rsid w:val="00810E8E"/>
    <w:rsid w:val="0081142D"/>
    <w:rsid w:val="00812462"/>
    <w:rsid w:val="008131C3"/>
    <w:rsid w:val="008140A5"/>
    <w:rsid w:val="0081481D"/>
    <w:rsid w:val="00814BE8"/>
    <w:rsid w:val="00814F6E"/>
    <w:rsid w:val="00815162"/>
    <w:rsid w:val="00815B84"/>
    <w:rsid w:val="0081612E"/>
    <w:rsid w:val="0082184A"/>
    <w:rsid w:val="00821A3D"/>
    <w:rsid w:val="00821B36"/>
    <w:rsid w:val="00822037"/>
    <w:rsid w:val="00823E0A"/>
    <w:rsid w:val="00823FC6"/>
    <w:rsid w:val="00823FFC"/>
    <w:rsid w:val="00824811"/>
    <w:rsid w:val="00825C74"/>
    <w:rsid w:val="00826AB9"/>
    <w:rsid w:val="00826E0E"/>
    <w:rsid w:val="0082731F"/>
    <w:rsid w:val="00827D11"/>
    <w:rsid w:val="00827E0F"/>
    <w:rsid w:val="00827F6E"/>
    <w:rsid w:val="00831758"/>
    <w:rsid w:val="0083279F"/>
    <w:rsid w:val="008327B8"/>
    <w:rsid w:val="00833B7F"/>
    <w:rsid w:val="008345E0"/>
    <w:rsid w:val="00834906"/>
    <w:rsid w:val="00836075"/>
    <w:rsid w:val="00836417"/>
    <w:rsid w:val="00840DDD"/>
    <w:rsid w:val="008411F9"/>
    <w:rsid w:val="008413AB"/>
    <w:rsid w:val="00842D10"/>
    <w:rsid w:val="0084322B"/>
    <w:rsid w:val="00843B93"/>
    <w:rsid w:val="00843F81"/>
    <w:rsid w:val="00844087"/>
    <w:rsid w:val="00844FD7"/>
    <w:rsid w:val="0084519E"/>
    <w:rsid w:val="00846370"/>
    <w:rsid w:val="00847C2B"/>
    <w:rsid w:val="0085270D"/>
    <w:rsid w:val="008532BF"/>
    <w:rsid w:val="00853BF4"/>
    <w:rsid w:val="00854294"/>
    <w:rsid w:val="0085595B"/>
    <w:rsid w:val="00855F80"/>
    <w:rsid w:val="008566B8"/>
    <w:rsid w:val="00856E98"/>
    <w:rsid w:val="0085788B"/>
    <w:rsid w:val="00857A9E"/>
    <w:rsid w:val="00857DE2"/>
    <w:rsid w:val="0086353C"/>
    <w:rsid w:val="0086407F"/>
    <w:rsid w:val="00864B50"/>
    <w:rsid w:val="00864BFE"/>
    <w:rsid w:val="00864E79"/>
    <w:rsid w:val="00865EBA"/>
    <w:rsid w:val="00866111"/>
    <w:rsid w:val="0086661F"/>
    <w:rsid w:val="00866A0D"/>
    <w:rsid w:val="00866DB5"/>
    <w:rsid w:val="0086784E"/>
    <w:rsid w:val="00867AF1"/>
    <w:rsid w:val="00870445"/>
    <w:rsid w:val="00872118"/>
    <w:rsid w:val="00872827"/>
    <w:rsid w:val="00872888"/>
    <w:rsid w:val="00872A32"/>
    <w:rsid w:val="00872D92"/>
    <w:rsid w:val="00872E21"/>
    <w:rsid w:val="00874ECA"/>
    <w:rsid w:val="00876EAE"/>
    <w:rsid w:val="00880F95"/>
    <w:rsid w:val="008819C6"/>
    <w:rsid w:val="00882B44"/>
    <w:rsid w:val="00882FE5"/>
    <w:rsid w:val="008833FB"/>
    <w:rsid w:val="008845A4"/>
    <w:rsid w:val="00886138"/>
    <w:rsid w:val="00886E66"/>
    <w:rsid w:val="008871B0"/>
    <w:rsid w:val="008919B3"/>
    <w:rsid w:val="0089217C"/>
    <w:rsid w:val="008928A1"/>
    <w:rsid w:val="00893671"/>
    <w:rsid w:val="00895576"/>
    <w:rsid w:val="00895838"/>
    <w:rsid w:val="00895A72"/>
    <w:rsid w:val="00895CDF"/>
    <w:rsid w:val="008968C7"/>
    <w:rsid w:val="00897A55"/>
    <w:rsid w:val="00897EAA"/>
    <w:rsid w:val="008A0FC9"/>
    <w:rsid w:val="008A1956"/>
    <w:rsid w:val="008A2B5F"/>
    <w:rsid w:val="008A40D3"/>
    <w:rsid w:val="008A469C"/>
    <w:rsid w:val="008A484A"/>
    <w:rsid w:val="008A5877"/>
    <w:rsid w:val="008A6539"/>
    <w:rsid w:val="008A701C"/>
    <w:rsid w:val="008B05DD"/>
    <w:rsid w:val="008B17E8"/>
    <w:rsid w:val="008B1925"/>
    <w:rsid w:val="008B266C"/>
    <w:rsid w:val="008B2D03"/>
    <w:rsid w:val="008B2E7C"/>
    <w:rsid w:val="008B42EB"/>
    <w:rsid w:val="008B45A7"/>
    <w:rsid w:val="008B4A70"/>
    <w:rsid w:val="008B502F"/>
    <w:rsid w:val="008B5A88"/>
    <w:rsid w:val="008B6AFE"/>
    <w:rsid w:val="008B7034"/>
    <w:rsid w:val="008B7227"/>
    <w:rsid w:val="008B7298"/>
    <w:rsid w:val="008C191C"/>
    <w:rsid w:val="008C1DA4"/>
    <w:rsid w:val="008C2CD5"/>
    <w:rsid w:val="008C2E6C"/>
    <w:rsid w:val="008C3618"/>
    <w:rsid w:val="008C37C2"/>
    <w:rsid w:val="008C3F20"/>
    <w:rsid w:val="008C43AD"/>
    <w:rsid w:val="008C59FB"/>
    <w:rsid w:val="008C6687"/>
    <w:rsid w:val="008C68F0"/>
    <w:rsid w:val="008C6F92"/>
    <w:rsid w:val="008C731F"/>
    <w:rsid w:val="008C74D9"/>
    <w:rsid w:val="008D01FF"/>
    <w:rsid w:val="008D1052"/>
    <w:rsid w:val="008D124C"/>
    <w:rsid w:val="008D1BB3"/>
    <w:rsid w:val="008D22AE"/>
    <w:rsid w:val="008D234A"/>
    <w:rsid w:val="008D2600"/>
    <w:rsid w:val="008D566C"/>
    <w:rsid w:val="008D58D9"/>
    <w:rsid w:val="008D6426"/>
    <w:rsid w:val="008D66EA"/>
    <w:rsid w:val="008D6E59"/>
    <w:rsid w:val="008D7155"/>
    <w:rsid w:val="008D7DE4"/>
    <w:rsid w:val="008E09B3"/>
    <w:rsid w:val="008E141A"/>
    <w:rsid w:val="008E1A44"/>
    <w:rsid w:val="008E1DDB"/>
    <w:rsid w:val="008E28E6"/>
    <w:rsid w:val="008E2B60"/>
    <w:rsid w:val="008E3232"/>
    <w:rsid w:val="008E3674"/>
    <w:rsid w:val="008E3B6C"/>
    <w:rsid w:val="008E68BB"/>
    <w:rsid w:val="008E6C9B"/>
    <w:rsid w:val="008E77D4"/>
    <w:rsid w:val="008F0981"/>
    <w:rsid w:val="008F0AFD"/>
    <w:rsid w:val="008F17B2"/>
    <w:rsid w:val="008F28EE"/>
    <w:rsid w:val="008F357B"/>
    <w:rsid w:val="008F44CA"/>
    <w:rsid w:val="008F49B9"/>
    <w:rsid w:val="008F49D3"/>
    <w:rsid w:val="008F6183"/>
    <w:rsid w:val="008F6519"/>
    <w:rsid w:val="008F7012"/>
    <w:rsid w:val="008F7B17"/>
    <w:rsid w:val="00900042"/>
    <w:rsid w:val="0090034B"/>
    <w:rsid w:val="00902623"/>
    <w:rsid w:val="00902890"/>
    <w:rsid w:val="00904BE4"/>
    <w:rsid w:val="0090504A"/>
    <w:rsid w:val="00905188"/>
    <w:rsid w:val="00905D7E"/>
    <w:rsid w:val="009063B7"/>
    <w:rsid w:val="009064FA"/>
    <w:rsid w:val="00906B83"/>
    <w:rsid w:val="00907037"/>
    <w:rsid w:val="0091114B"/>
    <w:rsid w:val="0091160A"/>
    <w:rsid w:val="00913258"/>
    <w:rsid w:val="0091564D"/>
    <w:rsid w:val="009156DA"/>
    <w:rsid w:val="00916BC5"/>
    <w:rsid w:val="0091726A"/>
    <w:rsid w:val="00917B08"/>
    <w:rsid w:val="00920184"/>
    <w:rsid w:val="00920A19"/>
    <w:rsid w:val="00920EA4"/>
    <w:rsid w:val="00921792"/>
    <w:rsid w:val="00921BEA"/>
    <w:rsid w:val="00923998"/>
    <w:rsid w:val="00923DB4"/>
    <w:rsid w:val="0092430E"/>
    <w:rsid w:val="009249D7"/>
    <w:rsid w:val="0092625F"/>
    <w:rsid w:val="009268A9"/>
    <w:rsid w:val="00927B37"/>
    <w:rsid w:val="009301B2"/>
    <w:rsid w:val="009313DD"/>
    <w:rsid w:val="00931BDE"/>
    <w:rsid w:val="009321B1"/>
    <w:rsid w:val="00932ED7"/>
    <w:rsid w:val="0093357E"/>
    <w:rsid w:val="0093394C"/>
    <w:rsid w:val="0093422D"/>
    <w:rsid w:val="00934325"/>
    <w:rsid w:val="00934DD7"/>
    <w:rsid w:val="0093543E"/>
    <w:rsid w:val="009369A9"/>
    <w:rsid w:val="00936CF7"/>
    <w:rsid w:val="00937201"/>
    <w:rsid w:val="0093734A"/>
    <w:rsid w:val="00937783"/>
    <w:rsid w:val="00940FE1"/>
    <w:rsid w:val="00942306"/>
    <w:rsid w:val="009424B8"/>
    <w:rsid w:val="0094277A"/>
    <w:rsid w:val="009433A4"/>
    <w:rsid w:val="0094435B"/>
    <w:rsid w:val="00944668"/>
    <w:rsid w:val="00944DC6"/>
    <w:rsid w:val="0094515F"/>
    <w:rsid w:val="0094537D"/>
    <w:rsid w:val="0094573F"/>
    <w:rsid w:val="009458B0"/>
    <w:rsid w:val="00945B52"/>
    <w:rsid w:val="00945DC0"/>
    <w:rsid w:val="00945F05"/>
    <w:rsid w:val="00946348"/>
    <w:rsid w:val="009471AD"/>
    <w:rsid w:val="009477FE"/>
    <w:rsid w:val="009478A2"/>
    <w:rsid w:val="00950404"/>
    <w:rsid w:val="00952060"/>
    <w:rsid w:val="00954800"/>
    <w:rsid w:val="00955643"/>
    <w:rsid w:val="00955BF4"/>
    <w:rsid w:val="00955FBB"/>
    <w:rsid w:val="0095669A"/>
    <w:rsid w:val="0095694B"/>
    <w:rsid w:val="00956BD5"/>
    <w:rsid w:val="009574BB"/>
    <w:rsid w:val="009577B5"/>
    <w:rsid w:val="009608E6"/>
    <w:rsid w:val="00961779"/>
    <w:rsid w:val="00962EB1"/>
    <w:rsid w:val="00966522"/>
    <w:rsid w:val="00967D3F"/>
    <w:rsid w:val="00967E78"/>
    <w:rsid w:val="00970D7E"/>
    <w:rsid w:val="00970F18"/>
    <w:rsid w:val="00971CF1"/>
    <w:rsid w:val="009721E9"/>
    <w:rsid w:val="00972A58"/>
    <w:rsid w:val="00973772"/>
    <w:rsid w:val="009738FC"/>
    <w:rsid w:val="00975E1E"/>
    <w:rsid w:val="00975E70"/>
    <w:rsid w:val="00977CD6"/>
    <w:rsid w:val="00982481"/>
    <w:rsid w:val="00982D26"/>
    <w:rsid w:val="0098330E"/>
    <w:rsid w:val="009833DD"/>
    <w:rsid w:val="009840AB"/>
    <w:rsid w:val="009849E9"/>
    <w:rsid w:val="0098538D"/>
    <w:rsid w:val="009866F3"/>
    <w:rsid w:val="00987812"/>
    <w:rsid w:val="00990225"/>
    <w:rsid w:val="0099244B"/>
    <w:rsid w:val="009925B5"/>
    <w:rsid w:val="00992D40"/>
    <w:rsid w:val="00993186"/>
    <w:rsid w:val="009947B6"/>
    <w:rsid w:val="00994FCC"/>
    <w:rsid w:val="00995150"/>
    <w:rsid w:val="009957F3"/>
    <w:rsid w:val="00995D67"/>
    <w:rsid w:val="00996D0C"/>
    <w:rsid w:val="009970BF"/>
    <w:rsid w:val="009A013B"/>
    <w:rsid w:val="009A02F4"/>
    <w:rsid w:val="009A1844"/>
    <w:rsid w:val="009A1F12"/>
    <w:rsid w:val="009A2494"/>
    <w:rsid w:val="009A26CA"/>
    <w:rsid w:val="009A36F2"/>
    <w:rsid w:val="009A5749"/>
    <w:rsid w:val="009A57D0"/>
    <w:rsid w:val="009A6559"/>
    <w:rsid w:val="009A68FC"/>
    <w:rsid w:val="009A7514"/>
    <w:rsid w:val="009A7E7A"/>
    <w:rsid w:val="009B1584"/>
    <w:rsid w:val="009B1585"/>
    <w:rsid w:val="009B2469"/>
    <w:rsid w:val="009B314F"/>
    <w:rsid w:val="009B439C"/>
    <w:rsid w:val="009B4A6C"/>
    <w:rsid w:val="009B5777"/>
    <w:rsid w:val="009B5779"/>
    <w:rsid w:val="009B62A1"/>
    <w:rsid w:val="009B6753"/>
    <w:rsid w:val="009B6A26"/>
    <w:rsid w:val="009C079D"/>
    <w:rsid w:val="009C0D70"/>
    <w:rsid w:val="009C13D1"/>
    <w:rsid w:val="009C2913"/>
    <w:rsid w:val="009C3008"/>
    <w:rsid w:val="009C5AFE"/>
    <w:rsid w:val="009C6606"/>
    <w:rsid w:val="009C6CE5"/>
    <w:rsid w:val="009C6D50"/>
    <w:rsid w:val="009C7547"/>
    <w:rsid w:val="009D1678"/>
    <w:rsid w:val="009D1693"/>
    <w:rsid w:val="009D16ED"/>
    <w:rsid w:val="009D2721"/>
    <w:rsid w:val="009D2ADD"/>
    <w:rsid w:val="009D2F60"/>
    <w:rsid w:val="009D338C"/>
    <w:rsid w:val="009D3D0D"/>
    <w:rsid w:val="009D5BAC"/>
    <w:rsid w:val="009D64BD"/>
    <w:rsid w:val="009E0D0A"/>
    <w:rsid w:val="009E0D1A"/>
    <w:rsid w:val="009E153F"/>
    <w:rsid w:val="009E26EA"/>
    <w:rsid w:val="009E2D6C"/>
    <w:rsid w:val="009E2EC4"/>
    <w:rsid w:val="009E388B"/>
    <w:rsid w:val="009E393E"/>
    <w:rsid w:val="009E444E"/>
    <w:rsid w:val="009E4968"/>
    <w:rsid w:val="009E663C"/>
    <w:rsid w:val="009E6BB1"/>
    <w:rsid w:val="009F0092"/>
    <w:rsid w:val="009F0CD9"/>
    <w:rsid w:val="009F1A79"/>
    <w:rsid w:val="009F1F57"/>
    <w:rsid w:val="009F2E26"/>
    <w:rsid w:val="009F4FCF"/>
    <w:rsid w:val="009F5DE2"/>
    <w:rsid w:val="009F65F4"/>
    <w:rsid w:val="009F676B"/>
    <w:rsid w:val="009F6EA6"/>
    <w:rsid w:val="009F7D4B"/>
    <w:rsid w:val="00A004DF"/>
    <w:rsid w:val="00A00D29"/>
    <w:rsid w:val="00A00FD5"/>
    <w:rsid w:val="00A019A8"/>
    <w:rsid w:val="00A01B03"/>
    <w:rsid w:val="00A02C66"/>
    <w:rsid w:val="00A03861"/>
    <w:rsid w:val="00A0464C"/>
    <w:rsid w:val="00A04D48"/>
    <w:rsid w:val="00A054E0"/>
    <w:rsid w:val="00A05ABE"/>
    <w:rsid w:val="00A0663F"/>
    <w:rsid w:val="00A066CE"/>
    <w:rsid w:val="00A0740B"/>
    <w:rsid w:val="00A075A9"/>
    <w:rsid w:val="00A1046F"/>
    <w:rsid w:val="00A11042"/>
    <w:rsid w:val="00A133D8"/>
    <w:rsid w:val="00A14E97"/>
    <w:rsid w:val="00A15209"/>
    <w:rsid w:val="00A20069"/>
    <w:rsid w:val="00A20280"/>
    <w:rsid w:val="00A2228A"/>
    <w:rsid w:val="00A2244D"/>
    <w:rsid w:val="00A2253D"/>
    <w:rsid w:val="00A22AEC"/>
    <w:rsid w:val="00A2418A"/>
    <w:rsid w:val="00A247B8"/>
    <w:rsid w:val="00A24D39"/>
    <w:rsid w:val="00A24D8F"/>
    <w:rsid w:val="00A252D3"/>
    <w:rsid w:val="00A25B8B"/>
    <w:rsid w:val="00A26130"/>
    <w:rsid w:val="00A269AF"/>
    <w:rsid w:val="00A269C3"/>
    <w:rsid w:val="00A26ECA"/>
    <w:rsid w:val="00A26ED0"/>
    <w:rsid w:val="00A300A1"/>
    <w:rsid w:val="00A3142C"/>
    <w:rsid w:val="00A324C1"/>
    <w:rsid w:val="00A32EAD"/>
    <w:rsid w:val="00A337DB"/>
    <w:rsid w:val="00A3467F"/>
    <w:rsid w:val="00A3551A"/>
    <w:rsid w:val="00A376E8"/>
    <w:rsid w:val="00A37E69"/>
    <w:rsid w:val="00A37F8E"/>
    <w:rsid w:val="00A41737"/>
    <w:rsid w:val="00A42B8F"/>
    <w:rsid w:val="00A43254"/>
    <w:rsid w:val="00A43896"/>
    <w:rsid w:val="00A43A26"/>
    <w:rsid w:val="00A447A0"/>
    <w:rsid w:val="00A447C0"/>
    <w:rsid w:val="00A4598B"/>
    <w:rsid w:val="00A459F5"/>
    <w:rsid w:val="00A45FC0"/>
    <w:rsid w:val="00A46B32"/>
    <w:rsid w:val="00A47301"/>
    <w:rsid w:val="00A47448"/>
    <w:rsid w:val="00A47ECC"/>
    <w:rsid w:val="00A5008C"/>
    <w:rsid w:val="00A50171"/>
    <w:rsid w:val="00A5102E"/>
    <w:rsid w:val="00A51083"/>
    <w:rsid w:val="00A5132E"/>
    <w:rsid w:val="00A51533"/>
    <w:rsid w:val="00A51547"/>
    <w:rsid w:val="00A51E68"/>
    <w:rsid w:val="00A52F3B"/>
    <w:rsid w:val="00A531D4"/>
    <w:rsid w:val="00A55ACD"/>
    <w:rsid w:val="00A55CC3"/>
    <w:rsid w:val="00A55CFA"/>
    <w:rsid w:val="00A568C9"/>
    <w:rsid w:val="00A575B8"/>
    <w:rsid w:val="00A633DA"/>
    <w:rsid w:val="00A647B1"/>
    <w:rsid w:val="00A64DEF"/>
    <w:rsid w:val="00A65E4E"/>
    <w:rsid w:val="00A665DF"/>
    <w:rsid w:val="00A67B87"/>
    <w:rsid w:val="00A67F1B"/>
    <w:rsid w:val="00A67FCC"/>
    <w:rsid w:val="00A716DC"/>
    <w:rsid w:val="00A71ABE"/>
    <w:rsid w:val="00A7217B"/>
    <w:rsid w:val="00A7293E"/>
    <w:rsid w:val="00A72EE4"/>
    <w:rsid w:val="00A73067"/>
    <w:rsid w:val="00A737C4"/>
    <w:rsid w:val="00A739A6"/>
    <w:rsid w:val="00A73BB5"/>
    <w:rsid w:val="00A75EF9"/>
    <w:rsid w:val="00A76BC9"/>
    <w:rsid w:val="00A76FD8"/>
    <w:rsid w:val="00A77566"/>
    <w:rsid w:val="00A80563"/>
    <w:rsid w:val="00A81717"/>
    <w:rsid w:val="00A8311C"/>
    <w:rsid w:val="00A840D2"/>
    <w:rsid w:val="00A84BC8"/>
    <w:rsid w:val="00A84C5F"/>
    <w:rsid w:val="00A86973"/>
    <w:rsid w:val="00A8721F"/>
    <w:rsid w:val="00A8740B"/>
    <w:rsid w:val="00A87519"/>
    <w:rsid w:val="00A9007F"/>
    <w:rsid w:val="00A90DE4"/>
    <w:rsid w:val="00A9246D"/>
    <w:rsid w:val="00A93644"/>
    <w:rsid w:val="00A93BD0"/>
    <w:rsid w:val="00A93DF8"/>
    <w:rsid w:val="00A95D69"/>
    <w:rsid w:val="00A975A4"/>
    <w:rsid w:val="00AA2001"/>
    <w:rsid w:val="00AA2B5C"/>
    <w:rsid w:val="00AA3E9C"/>
    <w:rsid w:val="00AA3F1F"/>
    <w:rsid w:val="00AA4024"/>
    <w:rsid w:val="00AA4E59"/>
    <w:rsid w:val="00AA5328"/>
    <w:rsid w:val="00AA5393"/>
    <w:rsid w:val="00AA5771"/>
    <w:rsid w:val="00AA63D4"/>
    <w:rsid w:val="00AA6767"/>
    <w:rsid w:val="00AB03FD"/>
    <w:rsid w:val="00AB0743"/>
    <w:rsid w:val="00AB38CB"/>
    <w:rsid w:val="00AB3BEC"/>
    <w:rsid w:val="00AB44E4"/>
    <w:rsid w:val="00AB4AEB"/>
    <w:rsid w:val="00AB5352"/>
    <w:rsid w:val="00AB56AE"/>
    <w:rsid w:val="00AB62D5"/>
    <w:rsid w:val="00AB65B5"/>
    <w:rsid w:val="00AB6DCD"/>
    <w:rsid w:val="00AB6EE0"/>
    <w:rsid w:val="00AB7D91"/>
    <w:rsid w:val="00AC1CFC"/>
    <w:rsid w:val="00AC2DFD"/>
    <w:rsid w:val="00AC352D"/>
    <w:rsid w:val="00AC39B7"/>
    <w:rsid w:val="00AC40B7"/>
    <w:rsid w:val="00AC531F"/>
    <w:rsid w:val="00AC6121"/>
    <w:rsid w:val="00AC626D"/>
    <w:rsid w:val="00AC6CB1"/>
    <w:rsid w:val="00AD0091"/>
    <w:rsid w:val="00AD1C2C"/>
    <w:rsid w:val="00AD23D8"/>
    <w:rsid w:val="00AD23EF"/>
    <w:rsid w:val="00AD307B"/>
    <w:rsid w:val="00AD41B3"/>
    <w:rsid w:val="00AD4C48"/>
    <w:rsid w:val="00AD57AF"/>
    <w:rsid w:val="00AD6267"/>
    <w:rsid w:val="00AD6DEC"/>
    <w:rsid w:val="00AD7317"/>
    <w:rsid w:val="00AE01A8"/>
    <w:rsid w:val="00AE0CBD"/>
    <w:rsid w:val="00AE1124"/>
    <w:rsid w:val="00AE123A"/>
    <w:rsid w:val="00AE1D09"/>
    <w:rsid w:val="00AE28A7"/>
    <w:rsid w:val="00AE33A6"/>
    <w:rsid w:val="00AE3446"/>
    <w:rsid w:val="00AE3715"/>
    <w:rsid w:val="00AE3729"/>
    <w:rsid w:val="00AE4049"/>
    <w:rsid w:val="00AE55B2"/>
    <w:rsid w:val="00AE5C6A"/>
    <w:rsid w:val="00AE65F7"/>
    <w:rsid w:val="00AE7280"/>
    <w:rsid w:val="00AF033A"/>
    <w:rsid w:val="00AF1699"/>
    <w:rsid w:val="00AF2838"/>
    <w:rsid w:val="00AF3896"/>
    <w:rsid w:val="00AF4490"/>
    <w:rsid w:val="00AF6C33"/>
    <w:rsid w:val="00B00705"/>
    <w:rsid w:val="00B0098A"/>
    <w:rsid w:val="00B00A5F"/>
    <w:rsid w:val="00B0145C"/>
    <w:rsid w:val="00B01BAA"/>
    <w:rsid w:val="00B0225F"/>
    <w:rsid w:val="00B0237E"/>
    <w:rsid w:val="00B029B8"/>
    <w:rsid w:val="00B02F60"/>
    <w:rsid w:val="00B032B8"/>
    <w:rsid w:val="00B04B46"/>
    <w:rsid w:val="00B0534D"/>
    <w:rsid w:val="00B053E8"/>
    <w:rsid w:val="00B06368"/>
    <w:rsid w:val="00B06FC6"/>
    <w:rsid w:val="00B07163"/>
    <w:rsid w:val="00B07429"/>
    <w:rsid w:val="00B12BB6"/>
    <w:rsid w:val="00B12FE6"/>
    <w:rsid w:val="00B1303F"/>
    <w:rsid w:val="00B1364A"/>
    <w:rsid w:val="00B13D3C"/>
    <w:rsid w:val="00B1525C"/>
    <w:rsid w:val="00B16715"/>
    <w:rsid w:val="00B171B4"/>
    <w:rsid w:val="00B174A8"/>
    <w:rsid w:val="00B17910"/>
    <w:rsid w:val="00B20F18"/>
    <w:rsid w:val="00B21516"/>
    <w:rsid w:val="00B22BBD"/>
    <w:rsid w:val="00B22CE0"/>
    <w:rsid w:val="00B23738"/>
    <w:rsid w:val="00B23BEF"/>
    <w:rsid w:val="00B247BB"/>
    <w:rsid w:val="00B24914"/>
    <w:rsid w:val="00B24C70"/>
    <w:rsid w:val="00B25806"/>
    <w:rsid w:val="00B25C11"/>
    <w:rsid w:val="00B25EDF"/>
    <w:rsid w:val="00B25EE6"/>
    <w:rsid w:val="00B26B53"/>
    <w:rsid w:val="00B3115A"/>
    <w:rsid w:val="00B31A5C"/>
    <w:rsid w:val="00B33C19"/>
    <w:rsid w:val="00B34861"/>
    <w:rsid w:val="00B34BBC"/>
    <w:rsid w:val="00B34CB7"/>
    <w:rsid w:val="00B35F6E"/>
    <w:rsid w:val="00B363BD"/>
    <w:rsid w:val="00B369F7"/>
    <w:rsid w:val="00B36A99"/>
    <w:rsid w:val="00B37537"/>
    <w:rsid w:val="00B37E8B"/>
    <w:rsid w:val="00B41B81"/>
    <w:rsid w:val="00B42980"/>
    <w:rsid w:val="00B434B2"/>
    <w:rsid w:val="00B434C7"/>
    <w:rsid w:val="00B43D45"/>
    <w:rsid w:val="00B44771"/>
    <w:rsid w:val="00B45A33"/>
    <w:rsid w:val="00B4650E"/>
    <w:rsid w:val="00B468F2"/>
    <w:rsid w:val="00B46B45"/>
    <w:rsid w:val="00B46F6B"/>
    <w:rsid w:val="00B47286"/>
    <w:rsid w:val="00B47894"/>
    <w:rsid w:val="00B50234"/>
    <w:rsid w:val="00B51794"/>
    <w:rsid w:val="00B51BF4"/>
    <w:rsid w:val="00B52966"/>
    <w:rsid w:val="00B52C68"/>
    <w:rsid w:val="00B542FE"/>
    <w:rsid w:val="00B55A1B"/>
    <w:rsid w:val="00B561DB"/>
    <w:rsid w:val="00B57494"/>
    <w:rsid w:val="00B61DCE"/>
    <w:rsid w:val="00B62188"/>
    <w:rsid w:val="00B62467"/>
    <w:rsid w:val="00B62A68"/>
    <w:rsid w:val="00B62F79"/>
    <w:rsid w:val="00B62F82"/>
    <w:rsid w:val="00B6325B"/>
    <w:rsid w:val="00B648FA"/>
    <w:rsid w:val="00B662FF"/>
    <w:rsid w:val="00B71C0B"/>
    <w:rsid w:val="00B72C80"/>
    <w:rsid w:val="00B730B4"/>
    <w:rsid w:val="00B73585"/>
    <w:rsid w:val="00B74340"/>
    <w:rsid w:val="00B744E0"/>
    <w:rsid w:val="00B7481A"/>
    <w:rsid w:val="00B74F2F"/>
    <w:rsid w:val="00B756FB"/>
    <w:rsid w:val="00B769BC"/>
    <w:rsid w:val="00B77349"/>
    <w:rsid w:val="00B7761E"/>
    <w:rsid w:val="00B80A37"/>
    <w:rsid w:val="00B80A3D"/>
    <w:rsid w:val="00B823E0"/>
    <w:rsid w:val="00B82B78"/>
    <w:rsid w:val="00B82D9C"/>
    <w:rsid w:val="00B83199"/>
    <w:rsid w:val="00B83E3C"/>
    <w:rsid w:val="00B84662"/>
    <w:rsid w:val="00B85402"/>
    <w:rsid w:val="00B864A3"/>
    <w:rsid w:val="00B86C2A"/>
    <w:rsid w:val="00B902A5"/>
    <w:rsid w:val="00B90420"/>
    <w:rsid w:val="00B913E4"/>
    <w:rsid w:val="00B91DB9"/>
    <w:rsid w:val="00B92493"/>
    <w:rsid w:val="00B92FDE"/>
    <w:rsid w:val="00B93EFE"/>
    <w:rsid w:val="00B94956"/>
    <w:rsid w:val="00B94C7F"/>
    <w:rsid w:val="00B94D0F"/>
    <w:rsid w:val="00B94E48"/>
    <w:rsid w:val="00B956B5"/>
    <w:rsid w:val="00B95904"/>
    <w:rsid w:val="00B95C3A"/>
    <w:rsid w:val="00B95FCE"/>
    <w:rsid w:val="00BA0D44"/>
    <w:rsid w:val="00BA0E26"/>
    <w:rsid w:val="00BA31BF"/>
    <w:rsid w:val="00BA43FC"/>
    <w:rsid w:val="00BA478B"/>
    <w:rsid w:val="00BA5224"/>
    <w:rsid w:val="00BA5CA6"/>
    <w:rsid w:val="00BA7456"/>
    <w:rsid w:val="00BA7925"/>
    <w:rsid w:val="00BA7B27"/>
    <w:rsid w:val="00BA7E3B"/>
    <w:rsid w:val="00BB079C"/>
    <w:rsid w:val="00BB1746"/>
    <w:rsid w:val="00BB32A1"/>
    <w:rsid w:val="00BB39C1"/>
    <w:rsid w:val="00BB4041"/>
    <w:rsid w:val="00BB5555"/>
    <w:rsid w:val="00BB5D16"/>
    <w:rsid w:val="00BB6180"/>
    <w:rsid w:val="00BB69E6"/>
    <w:rsid w:val="00BB7714"/>
    <w:rsid w:val="00BC1B7A"/>
    <w:rsid w:val="00BC2BC7"/>
    <w:rsid w:val="00BC2C17"/>
    <w:rsid w:val="00BC3ACD"/>
    <w:rsid w:val="00BC5C09"/>
    <w:rsid w:val="00BC6E73"/>
    <w:rsid w:val="00BC7038"/>
    <w:rsid w:val="00BD0014"/>
    <w:rsid w:val="00BD01D8"/>
    <w:rsid w:val="00BD1B17"/>
    <w:rsid w:val="00BD2512"/>
    <w:rsid w:val="00BD255F"/>
    <w:rsid w:val="00BD383D"/>
    <w:rsid w:val="00BD4236"/>
    <w:rsid w:val="00BD430D"/>
    <w:rsid w:val="00BD4A46"/>
    <w:rsid w:val="00BD5CCA"/>
    <w:rsid w:val="00BD5CD4"/>
    <w:rsid w:val="00BD6EF9"/>
    <w:rsid w:val="00BD77DD"/>
    <w:rsid w:val="00BE0ACB"/>
    <w:rsid w:val="00BE1A90"/>
    <w:rsid w:val="00BE2C0A"/>
    <w:rsid w:val="00BE3537"/>
    <w:rsid w:val="00BE360F"/>
    <w:rsid w:val="00BE41F7"/>
    <w:rsid w:val="00BE50FD"/>
    <w:rsid w:val="00BE51CA"/>
    <w:rsid w:val="00BE5E5A"/>
    <w:rsid w:val="00BE6D47"/>
    <w:rsid w:val="00BE7032"/>
    <w:rsid w:val="00BE7330"/>
    <w:rsid w:val="00BF01C5"/>
    <w:rsid w:val="00BF045B"/>
    <w:rsid w:val="00BF066A"/>
    <w:rsid w:val="00BF361C"/>
    <w:rsid w:val="00BF4342"/>
    <w:rsid w:val="00BF5050"/>
    <w:rsid w:val="00BF5422"/>
    <w:rsid w:val="00BF54CF"/>
    <w:rsid w:val="00BF59B1"/>
    <w:rsid w:val="00BF6A78"/>
    <w:rsid w:val="00BF6E19"/>
    <w:rsid w:val="00BF79B4"/>
    <w:rsid w:val="00C0099F"/>
    <w:rsid w:val="00C01427"/>
    <w:rsid w:val="00C016A1"/>
    <w:rsid w:val="00C04AAB"/>
    <w:rsid w:val="00C058AF"/>
    <w:rsid w:val="00C059BE"/>
    <w:rsid w:val="00C06502"/>
    <w:rsid w:val="00C10117"/>
    <w:rsid w:val="00C124C1"/>
    <w:rsid w:val="00C128AE"/>
    <w:rsid w:val="00C136D6"/>
    <w:rsid w:val="00C13D5B"/>
    <w:rsid w:val="00C15761"/>
    <w:rsid w:val="00C16436"/>
    <w:rsid w:val="00C17AE2"/>
    <w:rsid w:val="00C20F27"/>
    <w:rsid w:val="00C215CF"/>
    <w:rsid w:val="00C2244B"/>
    <w:rsid w:val="00C2263D"/>
    <w:rsid w:val="00C22B0D"/>
    <w:rsid w:val="00C22F55"/>
    <w:rsid w:val="00C240C1"/>
    <w:rsid w:val="00C250D0"/>
    <w:rsid w:val="00C252AC"/>
    <w:rsid w:val="00C255AB"/>
    <w:rsid w:val="00C27214"/>
    <w:rsid w:val="00C27597"/>
    <w:rsid w:val="00C30382"/>
    <w:rsid w:val="00C30D51"/>
    <w:rsid w:val="00C30D6F"/>
    <w:rsid w:val="00C31063"/>
    <w:rsid w:val="00C31B7E"/>
    <w:rsid w:val="00C3242A"/>
    <w:rsid w:val="00C32AE2"/>
    <w:rsid w:val="00C33201"/>
    <w:rsid w:val="00C332C4"/>
    <w:rsid w:val="00C360B3"/>
    <w:rsid w:val="00C36363"/>
    <w:rsid w:val="00C3679B"/>
    <w:rsid w:val="00C37027"/>
    <w:rsid w:val="00C3778D"/>
    <w:rsid w:val="00C405A3"/>
    <w:rsid w:val="00C42752"/>
    <w:rsid w:val="00C42973"/>
    <w:rsid w:val="00C44F9C"/>
    <w:rsid w:val="00C46D58"/>
    <w:rsid w:val="00C4730E"/>
    <w:rsid w:val="00C47EE9"/>
    <w:rsid w:val="00C5019C"/>
    <w:rsid w:val="00C5034F"/>
    <w:rsid w:val="00C514D3"/>
    <w:rsid w:val="00C52479"/>
    <w:rsid w:val="00C5291F"/>
    <w:rsid w:val="00C52BC8"/>
    <w:rsid w:val="00C52C59"/>
    <w:rsid w:val="00C5349E"/>
    <w:rsid w:val="00C5354B"/>
    <w:rsid w:val="00C54467"/>
    <w:rsid w:val="00C54D3D"/>
    <w:rsid w:val="00C55116"/>
    <w:rsid w:val="00C55A30"/>
    <w:rsid w:val="00C5658D"/>
    <w:rsid w:val="00C5787F"/>
    <w:rsid w:val="00C57C58"/>
    <w:rsid w:val="00C6028F"/>
    <w:rsid w:val="00C6036D"/>
    <w:rsid w:val="00C608F1"/>
    <w:rsid w:val="00C631E1"/>
    <w:rsid w:val="00C638D8"/>
    <w:rsid w:val="00C63C84"/>
    <w:rsid w:val="00C63D26"/>
    <w:rsid w:val="00C641EB"/>
    <w:rsid w:val="00C65053"/>
    <w:rsid w:val="00C65BD9"/>
    <w:rsid w:val="00C66061"/>
    <w:rsid w:val="00C661D6"/>
    <w:rsid w:val="00C66F69"/>
    <w:rsid w:val="00C67223"/>
    <w:rsid w:val="00C67CFF"/>
    <w:rsid w:val="00C707B8"/>
    <w:rsid w:val="00C7084B"/>
    <w:rsid w:val="00C71C15"/>
    <w:rsid w:val="00C71F3D"/>
    <w:rsid w:val="00C72F53"/>
    <w:rsid w:val="00C74035"/>
    <w:rsid w:val="00C76FF4"/>
    <w:rsid w:val="00C77818"/>
    <w:rsid w:val="00C77AE3"/>
    <w:rsid w:val="00C8063F"/>
    <w:rsid w:val="00C81549"/>
    <w:rsid w:val="00C829A1"/>
    <w:rsid w:val="00C83B36"/>
    <w:rsid w:val="00C84F8A"/>
    <w:rsid w:val="00C85209"/>
    <w:rsid w:val="00C8618F"/>
    <w:rsid w:val="00C90372"/>
    <w:rsid w:val="00C9041F"/>
    <w:rsid w:val="00C91A45"/>
    <w:rsid w:val="00C91ED2"/>
    <w:rsid w:val="00C91FB4"/>
    <w:rsid w:val="00C94D41"/>
    <w:rsid w:val="00C95745"/>
    <w:rsid w:val="00C962E3"/>
    <w:rsid w:val="00C965BD"/>
    <w:rsid w:val="00C96717"/>
    <w:rsid w:val="00C97997"/>
    <w:rsid w:val="00CA08FE"/>
    <w:rsid w:val="00CA0FAC"/>
    <w:rsid w:val="00CA2513"/>
    <w:rsid w:val="00CA25C0"/>
    <w:rsid w:val="00CA3451"/>
    <w:rsid w:val="00CA4948"/>
    <w:rsid w:val="00CA52F9"/>
    <w:rsid w:val="00CA568B"/>
    <w:rsid w:val="00CA6AF0"/>
    <w:rsid w:val="00CA7500"/>
    <w:rsid w:val="00CB0696"/>
    <w:rsid w:val="00CB1239"/>
    <w:rsid w:val="00CB19FE"/>
    <w:rsid w:val="00CB304C"/>
    <w:rsid w:val="00CB53E8"/>
    <w:rsid w:val="00CB594A"/>
    <w:rsid w:val="00CB5CB2"/>
    <w:rsid w:val="00CB6979"/>
    <w:rsid w:val="00CC0A3D"/>
    <w:rsid w:val="00CC2373"/>
    <w:rsid w:val="00CC3D24"/>
    <w:rsid w:val="00CC3F91"/>
    <w:rsid w:val="00CC40B6"/>
    <w:rsid w:val="00CC4B0A"/>
    <w:rsid w:val="00CC544A"/>
    <w:rsid w:val="00CC57EA"/>
    <w:rsid w:val="00CC5954"/>
    <w:rsid w:val="00CC6C4E"/>
    <w:rsid w:val="00CC6DD8"/>
    <w:rsid w:val="00CD05A2"/>
    <w:rsid w:val="00CD1830"/>
    <w:rsid w:val="00CD19DA"/>
    <w:rsid w:val="00CD29D4"/>
    <w:rsid w:val="00CD38F5"/>
    <w:rsid w:val="00CD437E"/>
    <w:rsid w:val="00CD4AE5"/>
    <w:rsid w:val="00CD5833"/>
    <w:rsid w:val="00CD5A89"/>
    <w:rsid w:val="00CD5DAD"/>
    <w:rsid w:val="00CD72C5"/>
    <w:rsid w:val="00CD79A7"/>
    <w:rsid w:val="00CE0789"/>
    <w:rsid w:val="00CE1A03"/>
    <w:rsid w:val="00CE2346"/>
    <w:rsid w:val="00CE3529"/>
    <w:rsid w:val="00CE35C8"/>
    <w:rsid w:val="00CE3962"/>
    <w:rsid w:val="00CE4155"/>
    <w:rsid w:val="00CE5105"/>
    <w:rsid w:val="00CE56BD"/>
    <w:rsid w:val="00CE5EC0"/>
    <w:rsid w:val="00CE6F9F"/>
    <w:rsid w:val="00CE773B"/>
    <w:rsid w:val="00CE781A"/>
    <w:rsid w:val="00CE7A6E"/>
    <w:rsid w:val="00CF10FC"/>
    <w:rsid w:val="00CF1D74"/>
    <w:rsid w:val="00CF2BE2"/>
    <w:rsid w:val="00CF3157"/>
    <w:rsid w:val="00CF4266"/>
    <w:rsid w:val="00CF55F9"/>
    <w:rsid w:val="00CF71A6"/>
    <w:rsid w:val="00CF7495"/>
    <w:rsid w:val="00CF7671"/>
    <w:rsid w:val="00CF7C5B"/>
    <w:rsid w:val="00D005F7"/>
    <w:rsid w:val="00D01CF9"/>
    <w:rsid w:val="00D021A4"/>
    <w:rsid w:val="00D02246"/>
    <w:rsid w:val="00D0334D"/>
    <w:rsid w:val="00D0374D"/>
    <w:rsid w:val="00D05A76"/>
    <w:rsid w:val="00D07384"/>
    <w:rsid w:val="00D07BEF"/>
    <w:rsid w:val="00D07F1D"/>
    <w:rsid w:val="00D10558"/>
    <w:rsid w:val="00D1203E"/>
    <w:rsid w:val="00D13E70"/>
    <w:rsid w:val="00D16C58"/>
    <w:rsid w:val="00D17019"/>
    <w:rsid w:val="00D170C1"/>
    <w:rsid w:val="00D178DE"/>
    <w:rsid w:val="00D17C6E"/>
    <w:rsid w:val="00D21168"/>
    <w:rsid w:val="00D22CAB"/>
    <w:rsid w:val="00D235C8"/>
    <w:rsid w:val="00D2384A"/>
    <w:rsid w:val="00D23FFB"/>
    <w:rsid w:val="00D2438C"/>
    <w:rsid w:val="00D26C3F"/>
    <w:rsid w:val="00D27185"/>
    <w:rsid w:val="00D31CA2"/>
    <w:rsid w:val="00D32398"/>
    <w:rsid w:val="00D32B84"/>
    <w:rsid w:val="00D337AE"/>
    <w:rsid w:val="00D33AB3"/>
    <w:rsid w:val="00D33F24"/>
    <w:rsid w:val="00D346B7"/>
    <w:rsid w:val="00D346B8"/>
    <w:rsid w:val="00D351CC"/>
    <w:rsid w:val="00D35AC8"/>
    <w:rsid w:val="00D35D34"/>
    <w:rsid w:val="00D36F87"/>
    <w:rsid w:val="00D37432"/>
    <w:rsid w:val="00D37E4E"/>
    <w:rsid w:val="00D42E6C"/>
    <w:rsid w:val="00D43218"/>
    <w:rsid w:val="00D43B80"/>
    <w:rsid w:val="00D4412E"/>
    <w:rsid w:val="00D44236"/>
    <w:rsid w:val="00D44AE2"/>
    <w:rsid w:val="00D45B1E"/>
    <w:rsid w:val="00D45BA4"/>
    <w:rsid w:val="00D471AF"/>
    <w:rsid w:val="00D4724F"/>
    <w:rsid w:val="00D473DB"/>
    <w:rsid w:val="00D50519"/>
    <w:rsid w:val="00D516A5"/>
    <w:rsid w:val="00D5264C"/>
    <w:rsid w:val="00D5289A"/>
    <w:rsid w:val="00D537FE"/>
    <w:rsid w:val="00D538F0"/>
    <w:rsid w:val="00D54A6A"/>
    <w:rsid w:val="00D54BF8"/>
    <w:rsid w:val="00D54D7C"/>
    <w:rsid w:val="00D55951"/>
    <w:rsid w:val="00D572BE"/>
    <w:rsid w:val="00D57EB6"/>
    <w:rsid w:val="00D60ED7"/>
    <w:rsid w:val="00D63586"/>
    <w:rsid w:val="00D65538"/>
    <w:rsid w:val="00D664BF"/>
    <w:rsid w:val="00D66D8B"/>
    <w:rsid w:val="00D71070"/>
    <w:rsid w:val="00D72A1C"/>
    <w:rsid w:val="00D73580"/>
    <w:rsid w:val="00D73802"/>
    <w:rsid w:val="00D73868"/>
    <w:rsid w:val="00D73C2C"/>
    <w:rsid w:val="00D73D52"/>
    <w:rsid w:val="00D74042"/>
    <w:rsid w:val="00D7453F"/>
    <w:rsid w:val="00D745E7"/>
    <w:rsid w:val="00D77495"/>
    <w:rsid w:val="00D774ED"/>
    <w:rsid w:val="00D777F6"/>
    <w:rsid w:val="00D77F88"/>
    <w:rsid w:val="00D8002D"/>
    <w:rsid w:val="00D8047C"/>
    <w:rsid w:val="00D81EAA"/>
    <w:rsid w:val="00D8259F"/>
    <w:rsid w:val="00D825F2"/>
    <w:rsid w:val="00D828B1"/>
    <w:rsid w:val="00D84F27"/>
    <w:rsid w:val="00D850D4"/>
    <w:rsid w:val="00D862D1"/>
    <w:rsid w:val="00D8689E"/>
    <w:rsid w:val="00D873C6"/>
    <w:rsid w:val="00D91027"/>
    <w:rsid w:val="00D94C7D"/>
    <w:rsid w:val="00D94CA4"/>
    <w:rsid w:val="00D94FB4"/>
    <w:rsid w:val="00D95E99"/>
    <w:rsid w:val="00D979CD"/>
    <w:rsid w:val="00DA098C"/>
    <w:rsid w:val="00DA1A3A"/>
    <w:rsid w:val="00DA2712"/>
    <w:rsid w:val="00DA2C65"/>
    <w:rsid w:val="00DA395D"/>
    <w:rsid w:val="00DA6D33"/>
    <w:rsid w:val="00DB02C8"/>
    <w:rsid w:val="00DB16B8"/>
    <w:rsid w:val="00DB1869"/>
    <w:rsid w:val="00DB1D52"/>
    <w:rsid w:val="00DB1F62"/>
    <w:rsid w:val="00DB2E03"/>
    <w:rsid w:val="00DB2E97"/>
    <w:rsid w:val="00DB3369"/>
    <w:rsid w:val="00DB3742"/>
    <w:rsid w:val="00DB3F4B"/>
    <w:rsid w:val="00DB4CBC"/>
    <w:rsid w:val="00DB61A4"/>
    <w:rsid w:val="00DB67C1"/>
    <w:rsid w:val="00DB70CD"/>
    <w:rsid w:val="00DB70F4"/>
    <w:rsid w:val="00DB7343"/>
    <w:rsid w:val="00DB745D"/>
    <w:rsid w:val="00DB7F27"/>
    <w:rsid w:val="00DC1056"/>
    <w:rsid w:val="00DC211E"/>
    <w:rsid w:val="00DC21D8"/>
    <w:rsid w:val="00DC282A"/>
    <w:rsid w:val="00DC34DC"/>
    <w:rsid w:val="00DC3CC6"/>
    <w:rsid w:val="00DC514A"/>
    <w:rsid w:val="00DC64EC"/>
    <w:rsid w:val="00DC67B1"/>
    <w:rsid w:val="00DC74CF"/>
    <w:rsid w:val="00DC7833"/>
    <w:rsid w:val="00DC7CE9"/>
    <w:rsid w:val="00DD0C01"/>
    <w:rsid w:val="00DD132B"/>
    <w:rsid w:val="00DD1725"/>
    <w:rsid w:val="00DD2427"/>
    <w:rsid w:val="00DD2A18"/>
    <w:rsid w:val="00DD36DA"/>
    <w:rsid w:val="00DD5B1A"/>
    <w:rsid w:val="00DD61E8"/>
    <w:rsid w:val="00DD62C0"/>
    <w:rsid w:val="00DD7859"/>
    <w:rsid w:val="00DE03AC"/>
    <w:rsid w:val="00DE0A1D"/>
    <w:rsid w:val="00DE15B2"/>
    <w:rsid w:val="00DE1A9A"/>
    <w:rsid w:val="00DE3D2C"/>
    <w:rsid w:val="00DE59F8"/>
    <w:rsid w:val="00DE5E82"/>
    <w:rsid w:val="00DE5FA6"/>
    <w:rsid w:val="00DE6494"/>
    <w:rsid w:val="00DE6AA1"/>
    <w:rsid w:val="00DE74D7"/>
    <w:rsid w:val="00DE7EF7"/>
    <w:rsid w:val="00DF106A"/>
    <w:rsid w:val="00DF1185"/>
    <w:rsid w:val="00DF1299"/>
    <w:rsid w:val="00DF1A70"/>
    <w:rsid w:val="00DF23A8"/>
    <w:rsid w:val="00DF2F27"/>
    <w:rsid w:val="00DF34ED"/>
    <w:rsid w:val="00DF6CCC"/>
    <w:rsid w:val="00DF6D0C"/>
    <w:rsid w:val="00DF6DC2"/>
    <w:rsid w:val="00DF6F64"/>
    <w:rsid w:val="00DF721E"/>
    <w:rsid w:val="00DF7C87"/>
    <w:rsid w:val="00E009B0"/>
    <w:rsid w:val="00E031C0"/>
    <w:rsid w:val="00E035FE"/>
    <w:rsid w:val="00E03AFE"/>
    <w:rsid w:val="00E03D5C"/>
    <w:rsid w:val="00E046A9"/>
    <w:rsid w:val="00E04C0F"/>
    <w:rsid w:val="00E04CBC"/>
    <w:rsid w:val="00E0570B"/>
    <w:rsid w:val="00E057B2"/>
    <w:rsid w:val="00E05996"/>
    <w:rsid w:val="00E068D9"/>
    <w:rsid w:val="00E10B87"/>
    <w:rsid w:val="00E1478B"/>
    <w:rsid w:val="00E14FAC"/>
    <w:rsid w:val="00E15007"/>
    <w:rsid w:val="00E1515E"/>
    <w:rsid w:val="00E16C2E"/>
    <w:rsid w:val="00E16EC7"/>
    <w:rsid w:val="00E1714F"/>
    <w:rsid w:val="00E17995"/>
    <w:rsid w:val="00E21576"/>
    <w:rsid w:val="00E21801"/>
    <w:rsid w:val="00E219CE"/>
    <w:rsid w:val="00E23961"/>
    <w:rsid w:val="00E24071"/>
    <w:rsid w:val="00E24EBC"/>
    <w:rsid w:val="00E2522C"/>
    <w:rsid w:val="00E2599B"/>
    <w:rsid w:val="00E27383"/>
    <w:rsid w:val="00E2793D"/>
    <w:rsid w:val="00E31AFA"/>
    <w:rsid w:val="00E324EE"/>
    <w:rsid w:val="00E359FF"/>
    <w:rsid w:val="00E36083"/>
    <w:rsid w:val="00E36AA7"/>
    <w:rsid w:val="00E36E39"/>
    <w:rsid w:val="00E405F1"/>
    <w:rsid w:val="00E43054"/>
    <w:rsid w:val="00E434C4"/>
    <w:rsid w:val="00E44AE2"/>
    <w:rsid w:val="00E44FE4"/>
    <w:rsid w:val="00E46013"/>
    <w:rsid w:val="00E461F1"/>
    <w:rsid w:val="00E477C3"/>
    <w:rsid w:val="00E500C2"/>
    <w:rsid w:val="00E5048D"/>
    <w:rsid w:val="00E50AC4"/>
    <w:rsid w:val="00E51077"/>
    <w:rsid w:val="00E5132D"/>
    <w:rsid w:val="00E51741"/>
    <w:rsid w:val="00E51E16"/>
    <w:rsid w:val="00E52151"/>
    <w:rsid w:val="00E522A7"/>
    <w:rsid w:val="00E53730"/>
    <w:rsid w:val="00E53910"/>
    <w:rsid w:val="00E53C46"/>
    <w:rsid w:val="00E54511"/>
    <w:rsid w:val="00E548BE"/>
    <w:rsid w:val="00E54978"/>
    <w:rsid w:val="00E55DC3"/>
    <w:rsid w:val="00E57577"/>
    <w:rsid w:val="00E62043"/>
    <w:rsid w:val="00E626B9"/>
    <w:rsid w:val="00E627C9"/>
    <w:rsid w:val="00E630F3"/>
    <w:rsid w:val="00E65198"/>
    <w:rsid w:val="00E664FB"/>
    <w:rsid w:val="00E66F0D"/>
    <w:rsid w:val="00E70615"/>
    <w:rsid w:val="00E71A5E"/>
    <w:rsid w:val="00E7207B"/>
    <w:rsid w:val="00E72B75"/>
    <w:rsid w:val="00E7347A"/>
    <w:rsid w:val="00E73898"/>
    <w:rsid w:val="00E746F4"/>
    <w:rsid w:val="00E75325"/>
    <w:rsid w:val="00E759B7"/>
    <w:rsid w:val="00E75A47"/>
    <w:rsid w:val="00E75D8C"/>
    <w:rsid w:val="00E77771"/>
    <w:rsid w:val="00E777F2"/>
    <w:rsid w:val="00E779ED"/>
    <w:rsid w:val="00E77C0D"/>
    <w:rsid w:val="00E802C9"/>
    <w:rsid w:val="00E80EDD"/>
    <w:rsid w:val="00E80F0A"/>
    <w:rsid w:val="00E81382"/>
    <w:rsid w:val="00E81A6A"/>
    <w:rsid w:val="00E8291B"/>
    <w:rsid w:val="00E8395F"/>
    <w:rsid w:val="00E83BAE"/>
    <w:rsid w:val="00E8473F"/>
    <w:rsid w:val="00E857EB"/>
    <w:rsid w:val="00E85E41"/>
    <w:rsid w:val="00E85EA1"/>
    <w:rsid w:val="00E8610B"/>
    <w:rsid w:val="00E866A5"/>
    <w:rsid w:val="00E86C86"/>
    <w:rsid w:val="00E90A85"/>
    <w:rsid w:val="00E90F99"/>
    <w:rsid w:val="00E91044"/>
    <w:rsid w:val="00E910D3"/>
    <w:rsid w:val="00E9214B"/>
    <w:rsid w:val="00E923CF"/>
    <w:rsid w:val="00E9335F"/>
    <w:rsid w:val="00E95111"/>
    <w:rsid w:val="00E97BF0"/>
    <w:rsid w:val="00EA061E"/>
    <w:rsid w:val="00EA14C8"/>
    <w:rsid w:val="00EA19D3"/>
    <w:rsid w:val="00EA2358"/>
    <w:rsid w:val="00EA2C8B"/>
    <w:rsid w:val="00EA3582"/>
    <w:rsid w:val="00EA6649"/>
    <w:rsid w:val="00EB0451"/>
    <w:rsid w:val="00EB05D0"/>
    <w:rsid w:val="00EB07C5"/>
    <w:rsid w:val="00EB107E"/>
    <w:rsid w:val="00EB1D49"/>
    <w:rsid w:val="00EB1F8B"/>
    <w:rsid w:val="00EB2D61"/>
    <w:rsid w:val="00EB42DD"/>
    <w:rsid w:val="00EB559F"/>
    <w:rsid w:val="00EB5F3D"/>
    <w:rsid w:val="00EB6EC2"/>
    <w:rsid w:val="00EC1CEB"/>
    <w:rsid w:val="00EC268C"/>
    <w:rsid w:val="00EC2C41"/>
    <w:rsid w:val="00EC3602"/>
    <w:rsid w:val="00EC3753"/>
    <w:rsid w:val="00EC3CB8"/>
    <w:rsid w:val="00EC3D46"/>
    <w:rsid w:val="00EC4E71"/>
    <w:rsid w:val="00EC569A"/>
    <w:rsid w:val="00EC6667"/>
    <w:rsid w:val="00ED0365"/>
    <w:rsid w:val="00ED0865"/>
    <w:rsid w:val="00ED094F"/>
    <w:rsid w:val="00ED16B6"/>
    <w:rsid w:val="00ED1C60"/>
    <w:rsid w:val="00ED2EB9"/>
    <w:rsid w:val="00ED4469"/>
    <w:rsid w:val="00ED533D"/>
    <w:rsid w:val="00ED5F23"/>
    <w:rsid w:val="00ED63B1"/>
    <w:rsid w:val="00ED6DC0"/>
    <w:rsid w:val="00ED79CE"/>
    <w:rsid w:val="00ED7A7A"/>
    <w:rsid w:val="00EE038C"/>
    <w:rsid w:val="00EE040B"/>
    <w:rsid w:val="00EE06A3"/>
    <w:rsid w:val="00EE1714"/>
    <w:rsid w:val="00EE47C5"/>
    <w:rsid w:val="00EE490C"/>
    <w:rsid w:val="00EE4E02"/>
    <w:rsid w:val="00EE613B"/>
    <w:rsid w:val="00EE735D"/>
    <w:rsid w:val="00EE7E17"/>
    <w:rsid w:val="00EF2C8E"/>
    <w:rsid w:val="00EF3A0D"/>
    <w:rsid w:val="00EF3CEB"/>
    <w:rsid w:val="00EF41A8"/>
    <w:rsid w:val="00EF44FB"/>
    <w:rsid w:val="00EF4D3C"/>
    <w:rsid w:val="00EF5554"/>
    <w:rsid w:val="00EF5AD8"/>
    <w:rsid w:val="00EF5D2F"/>
    <w:rsid w:val="00EF63F5"/>
    <w:rsid w:val="00EF6758"/>
    <w:rsid w:val="00EF69D9"/>
    <w:rsid w:val="00EF6B90"/>
    <w:rsid w:val="00EF70AE"/>
    <w:rsid w:val="00EF79F7"/>
    <w:rsid w:val="00F00418"/>
    <w:rsid w:val="00F006C0"/>
    <w:rsid w:val="00F019AA"/>
    <w:rsid w:val="00F0267E"/>
    <w:rsid w:val="00F02686"/>
    <w:rsid w:val="00F030DA"/>
    <w:rsid w:val="00F0459B"/>
    <w:rsid w:val="00F04E15"/>
    <w:rsid w:val="00F05DF3"/>
    <w:rsid w:val="00F0641B"/>
    <w:rsid w:val="00F069EA"/>
    <w:rsid w:val="00F07B6E"/>
    <w:rsid w:val="00F07DF8"/>
    <w:rsid w:val="00F11461"/>
    <w:rsid w:val="00F11675"/>
    <w:rsid w:val="00F1182D"/>
    <w:rsid w:val="00F123DA"/>
    <w:rsid w:val="00F12557"/>
    <w:rsid w:val="00F13A8F"/>
    <w:rsid w:val="00F144F8"/>
    <w:rsid w:val="00F14DF8"/>
    <w:rsid w:val="00F164A3"/>
    <w:rsid w:val="00F17281"/>
    <w:rsid w:val="00F17AD9"/>
    <w:rsid w:val="00F17F74"/>
    <w:rsid w:val="00F20280"/>
    <w:rsid w:val="00F202C2"/>
    <w:rsid w:val="00F22756"/>
    <w:rsid w:val="00F23890"/>
    <w:rsid w:val="00F2447A"/>
    <w:rsid w:val="00F24638"/>
    <w:rsid w:val="00F2504D"/>
    <w:rsid w:val="00F2637F"/>
    <w:rsid w:val="00F263A8"/>
    <w:rsid w:val="00F268F7"/>
    <w:rsid w:val="00F269A3"/>
    <w:rsid w:val="00F27280"/>
    <w:rsid w:val="00F3053D"/>
    <w:rsid w:val="00F30BDB"/>
    <w:rsid w:val="00F30CF8"/>
    <w:rsid w:val="00F317E3"/>
    <w:rsid w:val="00F31EDF"/>
    <w:rsid w:val="00F32CDE"/>
    <w:rsid w:val="00F32D4C"/>
    <w:rsid w:val="00F34811"/>
    <w:rsid w:val="00F34B14"/>
    <w:rsid w:val="00F367C0"/>
    <w:rsid w:val="00F36A6A"/>
    <w:rsid w:val="00F40101"/>
    <w:rsid w:val="00F404F7"/>
    <w:rsid w:val="00F40CCA"/>
    <w:rsid w:val="00F41521"/>
    <w:rsid w:val="00F41975"/>
    <w:rsid w:val="00F41C0E"/>
    <w:rsid w:val="00F42D97"/>
    <w:rsid w:val="00F43F09"/>
    <w:rsid w:val="00F4483C"/>
    <w:rsid w:val="00F45A72"/>
    <w:rsid w:val="00F46723"/>
    <w:rsid w:val="00F50016"/>
    <w:rsid w:val="00F50647"/>
    <w:rsid w:val="00F5118A"/>
    <w:rsid w:val="00F51A21"/>
    <w:rsid w:val="00F5276E"/>
    <w:rsid w:val="00F529F9"/>
    <w:rsid w:val="00F52E9F"/>
    <w:rsid w:val="00F53304"/>
    <w:rsid w:val="00F53D40"/>
    <w:rsid w:val="00F545ED"/>
    <w:rsid w:val="00F5687F"/>
    <w:rsid w:val="00F575C7"/>
    <w:rsid w:val="00F60305"/>
    <w:rsid w:val="00F61B12"/>
    <w:rsid w:val="00F61CC5"/>
    <w:rsid w:val="00F62398"/>
    <w:rsid w:val="00F631E8"/>
    <w:rsid w:val="00F63223"/>
    <w:rsid w:val="00F63264"/>
    <w:rsid w:val="00F6379E"/>
    <w:rsid w:val="00F64142"/>
    <w:rsid w:val="00F657C2"/>
    <w:rsid w:val="00F657E9"/>
    <w:rsid w:val="00F674F7"/>
    <w:rsid w:val="00F70799"/>
    <w:rsid w:val="00F70906"/>
    <w:rsid w:val="00F70A8B"/>
    <w:rsid w:val="00F70CDC"/>
    <w:rsid w:val="00F724FB"/>
    <w:rsid w:val="00F72578"/>
    <w:rsid w:val="00F72A26"/>
    <w:rsid w:val="00F733C3"/>
    <w:rsid w:val="00F73E02"/>
    <w:rsid w:val="00F756DD"/>
    <w:rsid w:val="00F75DB3"/>
    <w:rsid w:val="00F80047"/>
    <w:rsid w:val="00F8104D"/>
    <w:rsid w:val="00F81587"/>
    <w:rsid w:val="00F82571"/>
    <w:rsid w:val="00F85B72"/>
    <w:rsid w:val="00F86B6D"/>
    <w:rsid w:val="00F8766F"/>
    <w:rsid w:val="00F9104C"/>
    <w:rsid w:val="00F91082"/>
    <w:rsid w:val="00F91A9A"/>
    <w:rsid w:val="00F93ABB"/>
    <w:rsid w:val="00F94D79"/>
    <w:rsid w:val="00F97E7E"/>
    <w:rsid w:val="00FA118A"/>
    <w:rsid w:val="00FA31C7"/>
    <w:rsid w:val="00FA472D"/>
    <w:rsid w:val="00FA6833"/>
    <w:rsid w:val="00FA7254"/>
    <w:rsid w:val="00FB0214"/>
    <w:rsid w:val="00FB080C"/>
    <w:rsid w:val="00FB12BC"/>
    <w:rsid w:val="00FB18F6"/>
    <w:rsid w:val="00FB2A52"/>
    <w:rsid w:val="00FB2F13"/>
    <w:rsid w:val="00FB539B"/>
    <w:rsid w:val="00FB6E19"/>
    <w:rsid w:val="00FB71F6"/>
    <w:rsid w:val="00FC1483"/>
    <w:rsid w:val="00FC1C47"/>
    <w:rsid w:val="00FC39ED"/>
    <w:rsid w:val="00FC4419"/>
    <w:rsid w:val="00FC47E2"/>
    <w:rsid w:val="00FC4AA5"/>
    <w:rsid w:val="00FC4AFE"/>
    <w:rsid w:val="00FC5148"/>
    <w:rsid w:val="00FC5528"/>
    <w:rsid w:val="00FC5B79"/>
    <w:rsid w:val="00FC75AC"/>
    <w:rsid w:val="00FD01BF"/>
    <w:rsid w:val="00FD0525"/>
    <w:rsid w:val="00FD0E70"/>
    <w:rsid w:val="00FD297D"/>
    <w:rsid w:val="00FD298C"/>
    <w:rsid w:val="00FD2D13"/>
    <w:rsid w:val="00FD3D26"/>
    <w:rsid w:val="00FD4789"/>
    <w:rsid w:val="00FD59FE"/>
    <w:rsid w:val="00FD6071"/>
    <w:rsid w:val="00FE0794"/>
    <w:rsid w:val="00FE1041"/>
    <w:rsid w:val="00FE24CB"/>
    <w:rsid w:val="00FE3166"/>
    <w:rsid w:val="00FE3320"/>
    <w:rsid w:val="00FE3473"/>
    <w:rsid w:val="00FE353B"/>
    <w:rsid w:val="00FE3E81"/>
    <w:rsid w:val="00FE4049"/>
    <w:rsid w:val="00FE4794"/>
    <w:rsid w:val="00FE5DF7"/>
    <w:rsid w:val="00FE5F72"/>
    <w:rsid w:val="00FF0231"/>
    <w:rsid w:val="00FF1C9B"/>
    <w:rsid w:val="00FF1D49"/>
    <w:rsid w:val="00FF2562"/>
    <w:rsid w:val="00FF2CE1"/>
    <w:rsid w:val="00FF3A41"/>
    <w:rsid w:val="00FF3E5B"/>
    <w:rsid w:val="00FF544F"/>
    <w:rsid w:val="00FF57E4"/>
    <w:rsid w:val="00FF63A7"/>
    <w:rsid w:val="00FF75D9"/>
    <w:rsid w:val="00FF78E5"/>
    <w:rsid w:val="00FF7FBC"/>
    <w:rsid w:val="018D0FD6"/>
    <w:rsid w:val="01A95C2A"/>
    <w:rsid w:val="01C63477"/>
    <w:rsid w:val="02511F9D"/>
    <w:rsid w:val="025E06B3"/>
    <w:rsid w:val="02706DAC"/>
    <w:rsid w:val="03056ED3"/>
    <w:rsid w:val="031049B5"/>
    <w:rsid w:val="033B0E05"/>
    <w:rsid w:val="03A300D1"/>
    <w:rsid w:val="03A314B8"/>
    <w:rsid w:val="03D82B98"/>
    <w:rsid w:val="03F83E8B"/>
    <w:rsid w:val="043C0407"/>
    <w:rsid w:val="044C4C9A"/>
    <w:rsid w:val="05DC5B21"/>
    <w:rsid w:val="06B87797"/>
    <w:rsid w:val="073562D9"/>
    <w:rsid w:val="07B72767"/>
    <w:rsid w:val="07B9246C"/>
    <w:rsid w:val="07D11CCD"/>
    <w:rsid w:val="08077E72"/>
    <w:rsid w:val="08E36F8D"/>
    <w:rsid w:val="08F64A65"/>
    <w:rsid w:val="091B2C9B"/>
    <w:rsid w:val="09270E73"/>
    <w:rsid w:val="09CC2AAC"/>
    <w:rsid w:val="09D820EE"/>
    <w:rsid w:val="0A3E2F0D"/>
    <w:rsid w:val="0A546E2D"/>
    <w:rsid w:val="0A652D3E"/>
    <w:rsid w:val="0A8B3584"/>
    <w:rsid w:val="0B253A7F"/>
    <w:rsid w:val="0B367323"/>
    <w:rsid w:val="0B3A48F0"/>
    <w:rsid w:val="0C3660F8"/>
    <w:rsid w:val="0C92213C"/>
    <w:rsid w:val="0CAC3C14"/>
    <w:rsid w:val="0D4F221D"/>
    <w:rsid w:val="0D84032B"/>
    <w:rsid w:val="0DE76FA1"/>
    <w:rsid w:val="0E2826F4"/>
    <w:rsid w:val="0E644AA0"/>
    <w:rsid w:val="0ED021CA"/>
    <w:rsid w:val="0ED317E0"/>
    <w:rsid w:val="0EFD592E"/>
    <w:rsid w:val="0F0A0484"/>
    <w:rsid w:val="0FAC3CB5"/>
    <w:rsid w:val="0FDA4A81"/>
    <w:rsid w:val="10A27F31"/>
    <w:rsid w:val="10CA487C"/>
    <w:rsid w:val="10F925C6"/>
    <w:rsid w:val="11014CEC"/>
    <w:rsid w:val="1120169E"/>
    <w:rsid w:val="11927058"/>
    <w:rsid w:val="11F96738"/>
    <w:rsid w:val="12171C37"/>
    <w:rsid w:val="1243298F"/>
    <w:rsid w:val="126537F7"/>
    <w:rsid w:val="12AD687C"/>
    <w:rsid w:val="13121818"/>
    <w:rsid w:val="13AF4F03"/>
    <w:rsid w:val="13BA0AF5"/>
    <w:rsid w:val="14736E66"/>
    <w:rsid w:val="149B6AC2"/>
    <w:rsid w:val="14C637BF"/>
    <w:rsid w:val="14F12E0A"/>
    <w:rsid w:val="15293653"/>
    <w:rsid w:val="1534169A"/>
    <w:rsid w:val="15C03E03"/>
    <w:rsid w:val="162A25EB"/>
    <w:rsid w:val="16B5608C"/>
    <w:rsid w:val="16FD2A55"/>
    <w:rsid w:val="17240BAF"/>
    <w:rsid w:val="17366761"/>
    <w:rsid w:val="176E3187"/>
    <w:rsid w:val="177C01F0"/>
    <w:rsid w:val="178057B9"/>
    <w:rsid w:val="179813FC"/>
    <w:rsid w:val="17986B92"/>
    <w:rsid w:val="17CE6630"/>
    <w:rsid w:val="17EF123A"/>
    <w:rsid w:val="18043E1F"/>
    <w:rsid w:val="19686453"/>
    <w:rsid w:val="19820BA0"/>
    <w:rsid w:val="19982D10"/>
    <w:rsid w:val="1AD57EB7"/>
    <w:rsid w:val="1AF46CFA"/>
    <w:rsid w:val="1AFA16D5"/>
    <w:rsid w:val="1B4F19F8"/>
    <w:rsid w:val="1BA15E53"/>
    <w:rsid w:val="1BD92184"/>
    <w:rsid w:val="1C0B6F75"/>
    <w:rsid w:val="1C5170A2"/>
    <w:rsid w:val="1D085D0B"/>
    <w:rsid w:val="1D4061A8"/>
    <w:rsid w:val="1DB8493A"/>
    <w:rsid w:val="1DC9142A"/>
    <w:rsid w:val="1E004BE2"/>
    <w:rsid w:val="1E1834E3"/>
    <w:rsid w:val="1E5A0A86"/>
    <w:rsid w:val="1E7D5652"/>
    <w:rsid w:val="1E9B4F4B"/>
    <w:rsid w:val="1E9F75B7"/>
    <w:rsid w:val="1F063325"/>
    <w:rsid w:val="1FBC5DF5"/>
    <w:rsid w:val="1FC55574"/>
    <w:rsid w:val="200228D8"/>
    <w:rsid w:val="203A5D23"/>
    <w:rsid w:val="20AE2B29"/>
    <w:rsid w:val="20CA4C86"/>
    <w:rsid w:val="21320C7D"/>
    <w:rsid w:val="219A5199"/>
    <w:rsid w:val="21AC3D2C"/>
    <w:rsid w:val="21B83F86"/>
    <w:rsid w:val="21E55E66"/>
    <w:rsid w:val="221178A8"/>
    <w:rsid w:val="221213CF"/>
    <w:rsid w:val="22327A92"/>
    <w:rsid w:val="22965435"/>
    <w:rsid w:val="22BD6F35"/>
    <w:rsid w:val="22FE17F0"/>
    <w:rsid w:val="231D53A2"/>
    <w:rsid w:val="23B41A3D"/>
    <w:rsid w:val="23B7504C"/>
    <w:rsid w:val="24142F60"/>
    <w:rsid w:val="24467BB3"/>
    <w:rsid w:val="24517602"/>
    <w:rsid w:val="24571307"/>
    <w:rsid w:val="24B00F26"/>
    <w:rsid w:val="24BA2984"/>
    <w:rsid w:val="24C97D0D"/>
    <w:rsid w:val="24F018DE"/>
    <w:rsid w:val="25246333"/>
    <w:rsid w:val="2562393C"/>
    <w:rsid w:val="25782608"/>
    <w:rsid w:val="26446DE3"/>
    <w:rsid w:val="264D165B"/>
    <w:rsid w:val="26D7699F"/>
    <w:rsid w:val="271E2DF7"/>
    <w:rsid w:val="274A5E17"/>
    <w:rsid w:val="275F3A8E"/>
    <w:rsid w:val="27CE341A"/>
    <w:rsid w:val="287767FF"/>
    <w:rsid w:val="293F37FC"/>
    <w:rsid w:val="29590560"/>
    <w:rsid w:val="2A6A64D0"/>
    <w:rsid w:val="2AA254A2"/>
    <w:rsid w:val="2AA300BC"/>
    <w:rsid w:val="2B09065E"/>
    <w:rsid w:val="2B774624"/>
    <w:rsid w:val="2B910CBA"/>
    <w:rsid w:val="2BA029C6"/>
    <w:rsid w:val="2BC068DD"/>
    <w:rsid w:val="2BD7315E"/>
    <w:rsid w:val="2C7A72BE"/>
    <w:rsid w:val="2CA70E6A"/>
    <w:rsid w:val="2D611FA8"/>
    <w:rsid w:val="2E5C5D76"/>
    <w:rsid w:val="2E702708"/>
    <w:rsid w:val="2E7727EF"/>
    <w:rsid w:val="2E804C4A"/>
    <w:rsid w:val="2F401D3C"/>
    <w:rsid w:val="2FA95C88"/>
    <w:rsid w:val="2FC16B16"/>
    <w:rsid w:val="3041370F"/>
    <w:rsid w:val="30803872"/>
    <w:rsid w:val="31083A05"/>
    <w:rsid w:val="314F65C1"/>
    <w:rsid w:val="31547B90"/>
    <w:rsid w:val="317C0B77"/>
    <w:rsid w:val="32453A27"/>
    <w:rsid w:val="325C464C"/>
    <w:rsid w:val="3263064A"/>
    <w:rsid w:val="32AC0C06"/>
    <w:rsid w:val="32DD434B"/>
    <w:rsid w:val="332B34CB"/>
    <w:rsid w:val="341279FA"/>
    <w:rsid w:val="347A68F0"/>
    <w:rsid w:val="34F85328"/>
    <w:rsid w:val="3537750C"/>
    <w:rsid w:val="3537798C"/>
    <w:rsid w:val="357F7ED5"/>
    <w:rsid w:val="35B0742E"/>
    <w:rsid w:val="35C13FC9"/>
    <w:rsid w:val="35E64EF9"/>
    <w:rsid w:val="360751E5"/>
    <w:rsid w:val="361C39E7"/>
    <w:rsid w:val="362E6D87"/>
    <w:rsid w:val="364257B6"/>
    <w:rsid w:val="36F834D1"/>
    <w:rsid w:val="37160B27"/>
    <w:rsid w:val="371C0798"/>
    <w:rsid w:val="374264D3"/>
    <w:rsid w:val="37DB7874"/>
    <w:rsid w:val="37E65AFD"/>
    <w:rsid w:val="37EA5922"/>
    <w:rsid w:val="37F30863"/>
    <w:rsid w:val="381A0FE2"/>
    <w:rsid w:val="38276B93"/>
    <w:rsid w:val="38462529"/>
    <w:rsid w:val="38465BE0"/>
    <w:rsid w:val="38850613"/>
    <w:rsid w:val="38857649"/>
    <w:rsid w:val="393F7DAD"/>
    <w:rsid w:val="39945914"/>
    <w:rsid w:val="39AA2EB0"/>
    <w:rsid w:val="39C4217B"/>
    <w:rsid w:val="3A0B64A7"/>
    <w:rsid w:val="3A8E7F92"/>
    <w:rsid w:val="3A9965CD"/>
    <w:rsid w:val="3AF74C02"/>
    <w:rsid w:val="3C0059A5"/>
    <w:rsid w:val="3C134E78"/>
    <w:rsid w:val="3C310B4C"/>
    <w:rsid w:val="3CBA3AA6"/>
    <w:rsid w:val="3CCA2A44"/>
    <w:rsid w:val="3D601B39"/>
    <w:rsid w:val="3DF6345D"/>
    <w:rsid w:val="3E1727B1"/>
    <w:rsid w:val="3E6A1E9A"/>
    <w:rsid w:val="3EC357A9"/>
    <w:rsid w:val="3EE13701"/>
    <w:rsid w:val="3EE65B78"/>
    <w:rsid w:val="3F1A4BB3"/>
    <w:rsid w:val="40192BA6"/>
    <w:rsid w:val="40891693"/>
    <w:rsid w:val="409070C5"/>
    <w:rsid w:val="409C634B"/>
    <w:rsid w:val="41470361"/>
    <w:rsid w:val="42550A18"/>
    <w:rsid w:val="426E27E1"/>
    <w:rsid w:val="42DA422F"/>
    <w:rsid w:val="42F473A1"/>
    <w:rsid w:val="43402F96"/>
    <w:rsid w:val="436E326E"/>
    <w:rsid w:val="43853221"/>
    <w:rsid w:val="43931DE2"/>
    <w:rsid w:val="43A540C7"/>
    <w:rsid w:val="44007789"/>
    <w:rsid w:val="441E62C0"/>
    <w:rsid w:val="44274ACD"/>
    <w:rsid w:val="44E907E8"/>
    <w:rsid w:val="44F61D0C"/>
    <w:rsid w:val="45053D72"/>
    <w:rsid w:val="45435142"/>
    <w:rsid w:val="45811C7C"/>
    <w:rsid w:val="45B8153D"/>
    <w:rsid w:val="45FA6B1E"/>
    <w:rsid w:val="46053138"/>
    <w:rsid w:val="468B3EFB"/>
    <w:rsid w:val="470A6193"/>
    <w:rsid w:val="47B738BF"/>
    <w:rsid w:val="47DC4F5C"/>
    <w:rsid w:val="48A948A0"/>
    <w:rsid w:val="48B40671"/>
    <w:rsid w:val="49891282"/>
    <w:rsid w:val="499B5738"/>
    <w:rsid w:val="499F244D"/>
    <w:rsid w:val="49E67388"/>
    <w:rsid w:val="4A872BCA"/>
    <w:rsid w:val="4A8F58C2"/>
    <w:rsid w:val="4AAA61F4"/>
    <w:rsid w:val="4AF96BC7"/>
    <w:rsid w:val="4B3774F7"/>
    <w:rsid w:val="4B784D60"/>
    <w:rsid w:val="4B95246F"/>
    <w:rsid w:val="4BFB4050"/>
    <w:rsid w:val="4CEF36E2"/>
    <w:rsid w:val="4CEF795D"/>
    <w:rsid w:val="4CFA04BA"/>
    <w:rsid w:val="4CFD462D"/>
    <w:rsid w:val="4D3B1120"/>
    <w:rsid w:val="4D673607"/>
    <w:rsid w:val="4DD01CC4"/>
    <w:rsid w:val="4F0C0928"/>
    <w:rsid w:val="4F372FFB"/>
    <w:rsid w:val="4FA76FA4"/>
    <w:rsid w:val="5006393C"/>
    <w:rsid w:val="50114897"/>
    <w:rsid w:val="50362246"/>
    <w:rsid w:val="5040259D"/>
    <w:rsid w:val="513F391C"/>
    <w:rsid w:val="5141363B"/>
    <w:rsid w:val="51564E44"/>
    <w:rsid w:val="516D4911"/>
    <w:rsid w:val="51B51175"/>
    <w:rsid w:val="51BF17C8"/>
    <w:rsid w:val="51F36455"/>
    <w:rsid w:val="52C10D75"/>
    <w:rsid w:val="52E37B9B"/>
    <w:rsid w:val="5311242E"/>
    <w:rsid w:val="533E5F5A"/>
    <w:rsid w:val="53565CC2"/>
    <w:rsid w:val="53664BDE"/>
    <w:rsid w:val="54454E9C"/>
    <w:rsid w:val="545171DE"/>
    <w:rsid w:val="549D4147"/>
    <w:rsid w:val="54B92B75"/>
    <w:rsid w:val="550C4BD7"/>
    <w:rsid w:val="55572986"/>
    <w:rsid w:val="56537644"/>
    <w:rsid w:val="56577746"/>
    <w:rsid w:val="5682624E"/>
    <w:rsid w:val="56B028B5"/>
    <w:rsid w:val="57034A41"/>
    <w:rsid w:val="57371A7C"/>
    <w:rsid w:val="579A0A0B"/>
    <w:rsid w:val="57AA7B05"/>
    <w:rsid w:val="58C3434A"/>
    <w:rsid w:val="59351195"/>
    <w:rsid w:val="5A957D93"/>
    <w:rsid w:val="5AE85093"/>
    <w:rsid w:val="5B3760D9"/>
    <w:rsid w:val="5BC63DF7"/>
    <w:rsid w:val="5BD546BA"/>
    <w:rsid w:val="5BFC6DA3"/>
    <w:rsid w:val="5D2317D1"/>
    <w:rsid w:val="5D387910"/>
    <w:rsid w:val="5F2913F5"/>
    <w:rsid w:val="5F80710D"/>
    <w:rsid w:val="5FC2575C"/>
    <w:rsid w:val="60064659"/>
    <w:rsid w:val="601C6864"/>
    <w:rsid w:val="60223000"/>
    <w:rsid w:val="606007BB"/>
    <w:rsid w:val="60AC7F66"/>
    <w:rsid w:val="61423403"/>
    <w:rsid w:val="618835DC"/>
    <w:rsid w:val="61BB6C21"/>
    <w:rsid w:val="61BF10D9"/>
    <w:rsid w:val="61E93E17"/>
    <w:rsid w:val="61F67397"/>
    <w:rsid w:val="6216501E"/>
    <w:rsid w:val="62165280"/>
    <w:rsid w:val="624E5B6F"/>
    <w:rsid w:val="62680180"/>
    <w:rsid w:val="629F7BDB"/>
    <w:rsid w:val="62A54044"/>
    <w:rsid w:val="640C7C21"/>
    <w:rsid w:val="64396D52"/>
    <w:rsid w:val="644F3F22"/>
    <w:rsid w:val="64E45EF7"/>
    <w:rsid w:val="65686337"/>
    <w:rsid w:val="65DE22B3"/>
    <w:rsid w:val="65FE4E01"/>
    <w:rsid w:val="66A57729"/>
    <w:rsid w:val="670F5904"/>
    <w:rsid w:val="677435B2"/>
    <w:rsid w:val="67A70322"/>
    <w:rsid w:val="67EF75F1"/>
    <w:rsid w:val="6874377B"/>
    <w:rsid w:val="69124F16"/>
    <w:rsid w:val="699C40E0"/>
    <w:rsid w:val="69C64B0E"/>
    <w:rsid w:val="69C932E5"/>
    <w:rsid w:val="69CD5C14"/>
    <w:rsid w:val="69CF0D33"/>
    <w:rsid w:val="6A765A09"/>
    <w:rsid w:val="6A901902"/>
    <w:rsid w:val="6AB24495"/>
    <w:rsid w:val="6ABC3D49"/>
    <w:rsid w:val="6AFC4106"/>
    <w:rsid w:val="6B2C0DD3"/>
    <w:rsid w:val="6B6C0E24"/>
    <w:rsid w:val="6B9946B3"/>
    <w:rsid w:val="6BC37AE9"/>
    <w:rsid w:val="6BCE496B"/>
    <w:rsid w:val="6C977A49"/>
    <w:rsid w:val="6C9F34AF"/>
    <w:rsid w:val="6D1837C6"/>
    <w:rsid w:val="6D257788"/>
    <w:rsid w:val="6DCF07B7"/>
    <w:rsid w:val="6DDC466C"/>
    <w:rsid w:val="6DE76850"/>
    <w:rsid w:val="6E3F268E"/>
    <w:rsid w:val="6E427DDD"/>
    <w:rsid w:val="6E9A1018"/>
    <w:rsid w:val="6ED67D1E"/>
    <w:rsid w:val="6F0F5516"/>
    <w:rsid w:val="6F812FA0"/>
    <w:rsid w:val="6FB20BD4"/>
    <w:rsid w:val="6FBA59BE"/>
    <w:rsid w:val="6FFE47E9"/>
    <w:rsid w:val="70027229"/>
    <w:rsid w:val="700820D0"/>
    <w:rsid w:val="70296B3E"/>
    <w:rsid w:val="70611204"/>
    <w:rsid w:val="706524E2"/>
    <w:rsid w:val="70B937E5"/>
    <w:rsid w:val="70D43728"/>
    <w:rsid w:val="70EE5FFA"/>
    <w:rsid w:val="71287D44"/>
    <w:rsid w:val="71782E2E"/>
    <w:rsid w:val="7234593E"/>
    <w:rsid w:val="72600312"/>
    <w:rsid w:val="726C71D7"/>
    <w:rsid w:val="726E1581"/>
    <w:rsid w:val="72EF4CB6"/>
    <w:rsid w:val="73010E97"/>
    <w:rsid w:val="734C17D1"/>
    <w:rsid w:val="73816C49"/>
    <w:rsid w:val="73A51066"/>
    <w:rsid w:val="73DA1076"/>
    <w:rsid w:val="74454ECC"/>
    <w:rsid w:val="7477050B"/>
    <w:rsid w:val="74FA2C30"/>
    <w:rsid w:val="76603336"/>
    <w:rsid w:val="76945E5B"/>
    <w:rsid w:val="76BC49EB"/>
    <w:rsid w:val="77000DA2"/>
    <w:rsid w:val="772D69BC"/>
    <w:rsid w:val="77743205"/>
    <w:rsid w:val="781E69D1"/>
    <w:rsid w:val="782958C7"/>
    <w:rsid w:val="78340059"/>
    <w:rsid w:val="794413FD"/>
    <w:rsid w:val="7A234437"/>
    <w:rsid w:val="7ADD0453"/>
    <w:rsid w:val="7AF46346"/>
    <w:rsid w:val="7AFE1C0C"/>
    <w:rsid w:val="7B0F5EBF"/>
    <w:rsid w:val="7B130FB9"/>
    <w:rsid w:val="7B323F80"/>
    <w:rsid w:val="7BDE0625"/>
    <w:rsid w:val="7BF64EDE"/>
    <w:rsid w:val="7C400C1E"/>
    <w:rsid w:val="7CB4634A"/>
    <w:rsid w:val="7CBF7F35"/>
    <w:rsid w:val="7D3827DA"/>
    <w:rsid w:val="7DD11708"/>
    <w:rsid w:val="7E1C6D32"/>
    <w:rsid w:val="7E4D25B2"/>
    <w:rsid w:val="7E80015B"/>
    <w:rsid w:val="7EA53149"/>
    <w:rsid w:val="7EB3368D"/>
    <w:rsid w:val="7EBC46EA"/>
    <w:rsid w:val="7EC167BD"/>
    <w:rsid w:val="7F2D30F2"/>
    <w:rsid w:val="7FF82C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outlineLvl w:val="1"/>
    </w:pPr>
    <w:rPr>
      <w:rFonts w:ascii="Cambria" w:hAnsi="Cambria"/>
      <w:b/>
      <w:bCs/>
      <w:sz w:val="32"/>
      <w:szCs w:val="32"/>
    </w:rPr>
  </w:style>
  <w:style w:type="paragraph" w:styleId="4">
    <w:name w:val="heading 5"/>
    <w:basedOn w:val="1"/>
    <w:next w:val="5"/>
    <w:link w:val="32"/>
    <w:qFormat/>
    <w:uiPriority w:val="9"/>
    <w:pPr>
      <w:keepNext/>
      <w:keepLines/>
      <w:spacing w:before="280" w:after="290" w:line="376" w:lineRule="auto"/>
      <w:outlineLvl w:val="4"/>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7">
    <w:name w:val="annotation text"/>
    <w:basedOn w:val="1"/>
    <w:link w:val="33"/>
    <w:qFormat/>
    <w:uiPriority w:val="0"/>
    <w:pPr>
      <w:jc w:val="left"/>
    </w:pPr>
  </w:style>
  <w:style w:type="paragraph" w:styleId="8">
    <w:name w:val="Body Text 3"/>
    <w:basedOn w:val="1"/>
    <w:link w:val="34"/>
    <w:unhideWhenUsed/>
    <w:qFormat/>
    <w:uiPriority w:val="99"/>
    <w:pPr>
      <w:spacing w:after="120"/>
    </w:pPr>
    <w:rPr>
      <w:sz w:val="16"/>
      <w:szCs w:val="16"/>
    </w:rPr>
  </w:style>
  <w:style w:type="paragraph" w:styleId="9">
    <w:name w:val="Body Text"/>
    <w:basedOn w:val="1"/>
    <w:next w:val="10"/>
    <w:link w:val="35"/>
    <w:unhideWhenUsed/>
    <w:qFormat/>
    <w:uiPriority w:val="0"/>
    <w:pPr>
      <w:spacing w:after="120"/>
    </w:pPr>
  </w:style>
  <w:style w:type="paragraph" w:styleId="10">
    <w:name w:val="Body Text First Indent 2"/>
    <w:basedOn w:val="11"/>
    <w:next w:val="1"/>
    <w:unhideWhenUsed/>
    <w:qFormat/>
    <w:uiPriority w:val="0"/>
    <w:pPr>
      <w:spacing w:before="240" w:line="360" w:lineRule="auto"/>
      <w:ind w:firstLine="420" w:firstLineChars="200"/>
    </w:pPr>
    <w:rPr>
      <w:rFonts w:ascii="宋体" w:hAnsi="宋体" w:eastAsia="宋体"/>
      <w:sz w:val="21"/>
    </w:rPr>
  </w:style>
  <w:style w:type="paragraph" w:styleId="11">
    <w:name w:val="Body Text Indent"/>
    <w:basedOn w:val="1"/>
    <w:link w:val="36"/>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Block Text"/>
    <w:basedOn w:val="1"/>
    <w:unhideWhenUsed/>
    <w:qFormat/>
    <w:uiPriority w:val="99"/>
    <w:pPr>
      <w:spacing w:after="120"/>
      <w:ind w:left="1440" w:leftChars="700" w:right="1440" w:rightChars="700"/>
    </w:pPr>
  </w:style>
  <w:style w:type="paragraph" w:styleId="14">
    <w:name w:val="Plain Text"/>
    <w:basedOn w:val="1"/>
    <w:link w:val="37"/>
    <w:qFormat/>
    <w:uiPriority w:val="0"/>
    <w:rPr>
      <w:rFonts w:ascii="宋体" w:hAnsi="Courier New"/>
      <w:kern w:val="0"/>
      <w:sz w:val="20"/>
      <w:szCs w:val="21"/>
    </w:rPr>
  </w:style>
  <w:style w:type="paragraph" w:styleId="15">
    <w:name w:val="Date"/>
    <w:basedOn w:val="1"/>
    <w:next w:val="1"/>
    <w:link w:val="38"/>
    <w:unhideWhenUsed/>
    <w:qFormat/>
    <w:uiPriority w:val="99"/>
    <w:pPr>
      <w:ind w:left="100" w:leftChars="2500"/>
    </w:pPr>
  </w:style>
  <w:style w:type="paragraph" w:styleId="16">
    <w:name w:val="Balloon Text"/>
    <w:basedOn w:val="1"/>
    <w:semiHidden/>
    <w:qFormat/>
    <w:uiPriority w:val="0"/>
    <w:rPr>
      <w:sz w:val="18"/>
      <w:szCs w:val="18"/>
    </w:rPr>
  </w:style>
  <w:style w:type="paragraph" w:styleId="17">
    <w:name w:val="footer"/>
    <w:basedOn w:val="1"/>
    <w:link w:val="39"/>
    <w:unhideWhenUsed/>
    <w:qFormat/>
    <w:uiPriority w:val="99"/>
    <w:pPr>
      <w:tabs>
        <w:tab w:val="center" w:pos="4153"/>
        <w:tab w:val="right" w:pos="8306"/>
      </w:tabs>
      <w:snapToGrid w:val="0"/>
      <w:jc w:val="left"/>
    </w:pPr>
    <w:rPr>
      <w:kern w:val="0"/>
      <w:sz w:val="18"/>
      <w:szCs w:val="18"/>
    </w:rPr>
  </w:style>
  <w:style w:type="paragraph" w:styleId="18">
    <w:name w:val="header"/>
    <w:basedOn w:val="1"/>
    <w:link w:val="4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tabs>
        <w:tab w:val="right" w:leader="dot" w:pos="8296"/>
      </w:tabs>
      <w:ind w:left="420" w:leftChars="200"/>
    </w:pPr>
  </w:style>
  <w:style w:type="paragraph" w:styleId="21">
    <w:name w:val="Normal (Web)"/>
    <w:basedOn w:val="1"/>
    <w:unhideWhenUsed/>
    <w:qFormat/>
    <w:uiPriority w:val="99"/>
    <w:rPr>
      <w:rFonts w:ascii="Calibri" w:hAnsi="Calibri"/>
      <w:kern w:val="0"/>
      <w:sz w:val="24"/>
    </w:rPr>
  </w:style>
  <w:style w:type="paragraph" w:styleId="22">
    <w:name w:val="annotation subject"/>
    <w:basedOn w:val="7"/>
    <w:next w:val="7"/>
    <w:link w:val="41"/>
    <w:qFormat/>
    <w:uiPriority w:val="99"/>
    <w:rPr>
      <w:b/>
      <w:bCs/>
    </w:rPr>
  </w:style>
  <w:style w:type="paragraph" w:styleId="23">
    <w:name w:val="Body Text First Indent"/>
    <w:basedOn w:val="9"/>
    <w:qFormat/>
    <w:uiPriority w:val="0"/>
    <w:pPr>
      <w:numPr>
        <w:ilvl w:val="1"/>
        <w:numId w:val="1"/>
      </w:numPr>
      <w:tabs>
        <w:tab w:val="left" w:pos="1440"/>
      </w:tabs>
      <w:ind w:firstLine="420" w:firstLineChars="100"/>
    </w:pPr>
    <w:rPr>
      <w:sz w:val="18"/>
      <w:szCs w:val="18"/>
    </w:rPr>
  </w:style>
  <w:style w:type="table" w:styleId="25">
    <w:name w:val="Table Grid"/>
    <w:basedOn w:val="2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27">
    <w:name w:val="Strong"/>
    <w:basedOn w:val="26"/>
    <w:qFormat/>
    <w:uiPriority w:val="22"/>
    <w:rPr>
      <w:b/>
    </w:rPr>
  </w:style>
  <w:style w:type="character" w:styleId="28">
    <w:name w:val="Hyperlink"/>
    <w:unhideWhenUsed/>
    <w:qFormat/>
    <w:uiPriority w:val="99"/>
    <w:rPr>
      <w:color w:val="0000FF"/>
      <w:u w:val="single"/>
    </w:rPr>
  </w:style>
  <w:style w:type="character" w:styleId="29">
    <w:name w:val="annotation reference"/>
    <w:qFormat/>
    <w:uiPriority w:val="0"/>
    <w:rPr>
      <w:sz w:val="21"/>
      <w:szCs w:val="21"/>
    </w:rPr>
  </w:style>
  <w:style w:type="character" w:customStyle="1" w:styleId="30">
    <w:name w:val="标题 1 Char"/>
    <w:link w:val="2"/>
    <w:qFormat/>
    <w:uiPriority w:val="0"/>
    <w:rPr>
      <w:b/>
      <w:bCs/>
      <w:kern w:val="44"/>
      <w:sz w:val="44"/>
      <w:szCs w:val="44"/>
    </w:rPr>
  </w:style>
  <w:style w:type="character" w:customStyle="1" w:styleId="31">
    <w:name w:val="标题 2 Char"/>
    <w:link w:val="3"/>
    <w:qFormat/>
    <w:uiPriority w:val="9"/>
    <w:rPr>
      <w:rFonts w:ascii="Cambria" w:hAnsi="Cambria" w:eastAsia="宋体" w:cs="Times New Roman"/>
      <w:b/>
      <w:bCs/>
      <w:kern w:val="2"/>
      <w:sz w:val="32"/>
      <w:szCs w:val="32"/>
    </w:rPr>
  </w:style>
  <w:style w:type="character" w:customStyle="1" w:styleId="32">
    <w:name w:val="标题 5 Char"/>
    <w:link w:val="4"/>
    <w:semiHidden/>
    <w:qFormat/>
    <w:uiPriority w:val="9"/>
    <w:rPr>
      <w:rFonts w:ascii="Times New Roman" w:hAnsi="Times New Roman"/>
      <w:b/>
      <w:bCs/>
      <w:kern w:val="2"/>
      <w:sz w:val="28"/>
      <w:szCs w:val="28"/>
    </w:rPr>
  </w:style>
  <w:style w:type="character" w:customStyle="1" w:styleId="33">
    <w:name w:val="批注文字 Char"/>
    <w:link w:val="7"/>
    <w:qFormat/>
    <w:uiPriority w:val="0"/>
    <w:rPr>
      <w:rFonts w:ascii="Times New Roman" w:hAnsi="Times New Roman"/>
      <w:kern w:val="2"/>
      <w:sz w:val="21"/>
      <w:szCs w:val="24"/>
    </w:rPr>
  </w:style>
  <w:style w:type="character" w:customStyle="1" w:styleId="34">
    <w:name w:val="正文文本 3 Char"/>
    <w:link w:val="8"/>
    <w:semiHidden/>
    <w:qFormat/>
    <w:uiPriority w:val="99"/>
    <w:rPr>
      <w:rFonts w:ascii="Times New Roman" w:hAnsi="Times New Roman"/>
      <w:kern w:val="2"/>
      <w:sz w:val="16"/>
      <w:szCs w:val="16"/>
    </w:rPr>
  </w:style>
  <w:style w:type="character" w:customStyle="1" w:styleId="35">
    <w:name w:val="正文文本 Char"/>
    <w:link w:val="9"/>
    <w:qFormat/>
    <w:uiPriority w:val="0"/>
    <w:rPr>
      <w:rFonts w:ascii="Times New Roman" w:hAnsi="Times New Roman"/>
      <w:kern w:val="2"/>
      <w:sz w:val="21"/>
      <w:szCs w:val="24"/>
    </w:rPr>
  </w:style>
  <w:style w:type="character" w:customStyle="1" w:styleId="36">
    <w:name w:val="正文文本缩进 Char"/>
    <w:link w:val="11"/>
    <w:qFormat/>
    <w:uiPriority w:val="0"/>
    <w:rPr>
      <w:rFonts w:ascii="仿宋_GB2312" w:hAnsi="Times New Roman" w:eastAsia="仿宋_GB2312" w:cs="Times New Roman"/>
      <w:sz w:val="32"/>
      <w:szCs w:val="20"/>
    </w:rPr>
  </w:style>
  <w:style w:type="character" w:customStyle="1" w:styleId="37">
    <w:name w:val="纯文本 Char"/>
    <w:link w:val="14"/>
    <w:qFormat/>
    <w:uiPriority w:val="0"/>
    <w:rPr>
      <w:rFonts w:ascii="宋体" w:hAnsi="Courier New" w:eastAsia="宋体" w:cs="Courier New"/>
      <w:szCs w:val="21"/>
    </w:rPr>
  </w:style>
  <w:style w:type="character" w:customStyle="1" w:styleId="38">
    <w:name w:val="日期 Char"/>
    <w:link w:val="15"/>
    <w:semiHidden/>
    <w:qFormat/>
    <w:uiPriority w:val="99"/>
    <w:rPr>
      <w:rFonts w:ascii="Times New Roman" w:hAnsi="Times New Roman"/>
      <w:kern w:val="2"/>
      <w:sz w:val="21"/>
      <w:szCs w:val="24"/>
    </w:rPr>
  </w:style>
  <w:style w:type="character" w:customStyle="1" w:styleId="39">
    <w:name w:val="页脚 Char1"/>
    <w:link w:val="17"/>
    <w:qFormat/>
    <w:uiPriority w:val="99"/>
    <w:rPr>
      <w:sz w:val="18"/>
      <w:szCs w:val="18"/>
    </w:rPr>
  </w:style>
  <w:style w:type="character" w:customStyle="1" w:styleId="40">
    <w:name w:val="页眉 Char"/>
    <w:link w:val="18"/>
    <w:qFormat/>
    <w:uiPriority w:val="99"/>
    <w:rPr>
      <w:sz w:val="18"/>
      <w:szCs w:val="18"/>
    </w:rPr>
  </w:style>
  <w:style w:type="character" w:customStyle="1" w:styleId="41">
    <w:name w:val="批注主题 Char"/>
    <w:link w:val="22"/>
    <w:qFormat/>
    <w:uiPriority w:val="99"/>
    <w:rPr>
      <w:rFonts w:ascii="Times New Roman" w:hAnsi="Times New Roman"/>
      <w:b/>
      <w:bCs/>
      <w:kern w:val="2"/>
      <w:sz w:val="21"/>
      <w:szCs w:val="24"/>
    </w:rPr>
  </w:style>
  <w:style w:type="paragraph" w:customStyle="1" w:styleId="42">
    <w:name w:val="Default"/>
    <w:qFormat/>
    <w:uiPriority w:val="0"/>
    <w:pPr>
      <w:widowControl w:val="0"/>
      <w:autoSpaceDE w:val="0"/>
      <w:autoSpaceDN w:val="0"/>
      <w:adjustRightInd w:val="0"/>
      <w:spacing w:after="160" w:line="278" w:lineRule="auto"/>
    </w:pPr>
    <w:rPr>
      <w:rFonts w:ascii="Arial" w:hAnsi="Arial" w:eastAsia="宋体" w:cs="Arial"/>
      <w:color w:val="000000"/>
      <w:sz w:val="24"/>
      <w:szCs w:val="24"/>
      <w:lang w:val="en-US" w:eastAsia="zh-CN" w:bidi="ar-SA"/>
    </w:rPr>
  </w:style>
  <w:style w:type="character" w:customStyle="1" w:styleId="43">
    <w:name w:val="页脚 Char"/>
    <w:qFormat/>
    <w:uiPriority w:val="99"/>
    <w:rPr>
      <w:lang w:eastAsia="zh-CN"/>
    </w:rPr>
  </w:style>
  <w:style w:type="character" w:customStyle="1" w:styleId="44">
    <w:name w:val="批注文字 Char1"/>
    <w:qFormat/>
    <w:uiPriority w:val="0"/>
    <w:rPr>
      <w:rFonts w:ascii="Times New Roman" w:hAnsi="Times New Roman"/>
      <w:kern w:val="2"/>
      <w:sz w:val="21"/>
      <w:szCs w:val="24"/>
    </w:rPr>
  </w:style>
  <w:style w:type="character" w:customStyle="1" w:styleId="45">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46">
    <w:name w:val="标题 1 字符"/>
    <w:qFormat/>
    <w:uiPriority w:val="9"/>
    <w:rPr>
      <w:b/>
      <w:bCs/>
      <w:kern w:val="44"/>
      <w:sz w:val="44"/>
      <w:szCs w:val="44"/>
    </w:rPr>
  </w:style>
  <w:style w:type="character" w:customStyle="1" w:styleId="47">
    <w:name w:val="批注文字 字符2"/>
    <w:qFormat/>
    <w:uiPriority w:val="0"/>
    <w:rPr>
      <w:rFonts w:ascii="Times New Roman" w:hAnsi="Times New Roman"/>
      <w:kern w:val="2"/>
      <w:sz w:val="21"/>
      <w:szCs w:val="24"/>
    </w:rPr>
  </w:style>
  <w:style w:type="character" w:customStyle="1" w:styleId="48">
    <w:name w:val="apple-style-span"/>
    <w:qFormat/>
    <w:uiPriority w:val="0"/>
  </w:style>
  <w:style w:type="character" w:customStyle="1" w:styleId="49">
    <w:name w:val="textcontents"/>
    <w:qFormat/>
    <w:uiPriority w:val="0"/>
  </w:style>
  <w:style w:type="character" w:customStyle="1" w:styleId="50">
    <w:name w:val="纯文本 Char1"/>
    <w:qFormat/>
    <w:uiPriority w:val="0"/>
    <w:rPr>
      <w:rFonts w:ascii="宋体" w:hAnsi="Courier New" w:eastAsia="宋体" w:cs="Courier New"/>
      <w:szCs w:val="21"/>
    </w:rPr>
  </w:style>
  <w:style w:type="character" w:customStyle="1" w:styleId="51">
    <w:name w:val="正文文本 Char1"/>
    <w:semiHidden/>
    <w:qFormat/>
    <w:locked/>
    <w:uiPriority w:val="0"/>
    <w:rPr>
      <w:kern w:val="2"/>
      <w:sz w:val="21"/>
      <w:szCs w:val="24"/>
    </w:rPr>
  </w:style>
  <w:style w:type="character" w:customStyle="1" w:styleId="52">
    <w:name w:val="正文文本缩进 字符1"/>
    <w:qFormat/>
    <w:uiPriority w:val="0"/>
    <w:rPr>
      <w:rFonts w:ascii="仿宋_GB2312" w:hAnsi="Times New Roman" w:eastAsia="仿宋_GB2312" w:cs="Times New Roman"/>
      <w:sz w:val="32"/>
      <w:szCs w:val="20"/>
    </w:rPr>
  </w:style>
  <w:style w:type="character" w:customStyle="1" w:styleId="53">
    <w:name w:val="批注文字 字符1"/>
    <w:qFormat/>
    <w:uiPriority w:val="0"/>
    <w:rPr>
      <w:kern w:val="2"/>
      <w:sz w:val="21"/>
      <w:szCs w:val="24"/>
    </w:rPr>
  </w:style>
  <w:style w:type="character" w:customStyle="1" w:styleId="54">
    <w:name w:val="纯文本 字符1"/>
    <w:qFormat/>
    <w:uiPriority w:val="0"/>
    <w:rPr>
      <w:rFonts w:ascii="宋体" w:hAnsi="Courier New"/>
    </w:rPr>
  </w:style>
  <w:style w:type="character" w:customStyle="1" w:styleId="55">
    <w:name w:val="正文2 Char Char"/>
    <w:link w:val="56"/>
    <w:qFormat/>
    <w:uiPriority w:val="0"/>
    <w:rPr>
      <w:kern w:val="2"/>
      <w:sz w:val="24"/>
    </w:rPr>
  </w:style>
  <w:style w:type="paragraph" w:customStyle="1" w:styleId="56">
    <w:name w:val="正文2"/>
    <w:basedOn w:val="1"/>
    <w:link w:val="55"/>
    <w:qFormat/>
    <w:uiPriority w:val="0"/>
    <w:pPr>
      <w:adjustRightInd w:val="0"/>
      <w:spacing w:before="156" w:line="360" w:lineRule="auto"/>
      <w:ind w:firstLine="510" w:firstLineChars="200"/>
    </w:pPr>
    <w:rPr>
      <w:sz w:val="24"/>
      <w:szCs w:val="20"/>
    </w:rPr>
  </w:style>
  <w:style w:type="character" w:customStyle="1" w:styleId="57">
    <w:name w:val="批注文字 Char2"/>
    <w:qFormat/>
    <w:uiPriority w:val="0"/>
    <w:rPr>
      <w:rFonts w:ascii="Times New Roman" w:hAnsi="Times New Roman"/>
      <w:kern w:val="2"/>
      <w:sz w:val="21"/>
      <w:szCs w:val="24"/>
    </w:rPr>
  </w:style>
  <w:style w:type="character" w:customStyle="1" w:styleId="58">
    <w:name w:val="纯文本 字符2"/>
    <w:qFormat/>
    <w:uiPriority w:val="0"/>
    <w:rPr>
      <w:rFonts w:ascii="宋体" w:hAnsi="Courier New" w:eastAsia="宋体" w:cs="Courier New"/>
      <w:szCs w:val="21"/>
    </w:rPr>
  </w:style>
  <w:style w:type="paragraph" w:styleId="59">
    <w:name w:val="List Paragraph"/>
    <w:basedOn w:val="1"/>
    <w:qFormat/>
    <w:uiPriority w:val="34"/>
    <w:pPr>
      <w:ind w:firstLine="420" w:firstLineChars="200"/>
    </w:pPr>
  </w:style>
  <w:style w:type="paragraph" w:customStyle="1" w:styleId="60">
    <w:name w:val="默认段落字体 Para Char Char Char Char Char Char Char Char Char1 Char Char Char Char"/>
    <w:basedOn w:val="1"/>
    <w:qFormat/>
    <w:uiPriority w:val="0"/>
    <w:rPr>
      <w:rFonts w:ascii="Tahoma" w:hAnsi="Tahoma"/>
      <w:sz w:val="24"/>
      <w:szCs w:val="20"/>
    </w:rPr>
  </w:style>
  <w:style w:type="paragraph" w:customStyle="1" w:styleId="61">
    <w:name w:val="Table Paragraph"/>
    <w:basedOn w:val="1"/>
    <w:qFormat/>
    <w:uiPriority w:val="1"/>
    <w:pPr>
      <w:jc w:val="left"/>
    </w:pPr>
    <w:rPr>
      <w:rFonts w:ascii="Calibri" w:hAnsi="Calibri"/>
      <w:kern w:val="0"/>
      <w:sz w:val="22"/>
      <w:szCs w:val="22"/>
      <w:lang w:eastAsia="en-US"/>
    </w:rPr>
  </w:style>
  <w:style w:type="paragraph" w:customStyle="1" w:styleId="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qFormat/>
    <w:uiPriority w:val="0"/>
    <w:pPr>
      <w:ind w:firstLine="420" w:firstLineChars="200"/>
    </w:pPr>
    <w:rPr>
      <w:szCs w:val="21"/>
    </w:rPr>
  </w:style>
  <w:style w:type="paragraph" w:customStyle="1" w:styleId="6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65">
    <w:name w:val="&gt;合同 正文"/>
    <w:qFormat/>
    <w:uiPriority w:val="0"/>
    <w:pPr>
      <w:spacing w:line="288" w:lineRule="auto"/>
      <w:ind w:firstLine="200" w:firstLineChars="200"/>
    </w:pPr>
    <w:rPr>
      <w:rFonts w:ascii="宋体" w:hAnsi="宋体" w:eastAsia="宋体" w:cs="宋体"/>
      <w:color w:val="000000"/>
      <w:kern w:val="2"/>
      <w:sz w:val="21"/>
      <w:szCs w:val="21"/>
      <w:lang w:val="en-US" w:eastAsia="zh-CN" w:bidi="ar-SA"/>
    </w:rPr>
  </w:style>
  <w:style w:type="paragraph" w:customStyle="1" w:styleId="66">
    <w:name w:val="样式 宋体 小四 行距: 1.5 倍行距 首行缩进:  2 字符"/>
    <w:basedOn w:val="1"/>
    <w:qFormat/>
    <w:uiPriority w:val="0"/>
    <w:pPr>
      <w:spacing w:line="440" w:lineRule="exact"/>
      <w:ind w:firstLine="200" w:firstLineChars="200"/>
    </w:pPr>
    <w:rPr>
      <w:rFonts w:ascii="宋体" w:hAnsi="宋体" w:cs="宋体"/>
      <w:szCs w:val="20"/>
    </w:rPr>
  </w:style>
  <w:style w:type="paragraph" w:customStyle="1" w:styleId="67">
    <w:name w:val="首行缩进"/>
    <w:basedOn w:val="1"/>
    <w:qFormat/>
    <w:uiPriority w:val="0"/>
    <w:pPr>
      <w:ind w:firstLine="480" w:firstLineChars="200"/>
    </w:pPr>
    <w:rPr>
      <w:rFonts w:ascii="Calibri" w:hAnsi="Calibri"/>
    </w:rPr>
  </w:style>
  <w:style w:type="character" w:customStyle="1" w:styleId="68">
    <w:name w:val="font01"/>
    <w:basedOn w:val="26"/>
    <w:qFormat/>
    <w:uiPriority w:val="0"/>
    <w:rPr>
      <w:rFonts w:hint="eastAsia" w:ascii="宋体" w:hAnsi="宋体" w:eastAsia="宋体" w:cs="宋体"/>
      <w:color w:val="000000"/>
      <w:sz w:val="22"/>
      <w:szCs w:val="22"/>
      <w:u w:val="none"/>
    </w:rPr>
  </w:style>
  <w:style w:type="character" w:customStyle="1" w:styleId="69">
    <w:name w:val="font11"/>
    <w:basedOn w:val="26"/>
    <w:qFormat/>
    <w:uiPriority w:val="0"/>
    <w:rPr>
      <w:rFonts w:ascii="宋体" w:hAnsi="宋体" w:eastAsia="宋体" w:cs="宋体"/>
      <w:color w:val="000000"/>
      <w:sz w:val="22"/>
      <w:szCs w:val="22"/>
      <w:u w:val="none"/>
    </w:rPr>
  </w:style>
  <w:style w:type="character" w:customStyle="1" w:styleId="70">
    <w:name w:val="font91"/>
    <w:basedOn w:val="26"/>
    <w:qFormat/>
    <w:uiPriority w:val="0"/>
    <w:rPr>
      <w:rFonts w:hint="eastAsia" w:ascii="宋体" w:hAnsi="宋体" w:eastAsia="宋体" w:cs="宋体"/>
      <w:color w:val="000000"/>
      <w:sz w:val="20"/>
      <w:szCs w:val="20"/>
      <w:u w:val="none"/>
    </w:rPr>
  </w:style>
  <w:style w:type="character" w:customStyle="1" w:styleId="71">
    <w:name w:val="font8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 StyleName=""/>
</file>

<file path=customXml/item4.xml><?xml version="1.0" encoding="utf-8"?>
<relations xmlns="http://www.yonyou.com/rela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89868D-A82D-4658-8F81-392FB506D929}">
  <ds:schemaRefs/>
</ds:datastoreItem>
</file>

<file path=customXml/itemProps3.xml><?xml version="1.0" encoding="utf-8"?>
<ds:datastoreItem xmlns:ds="http://schemas.openxmlformats.org/officeDocument/2006/customXml" ds:itemID="{7CB6052A-B9BC-4EF8-A229-761D18A86728}">
  <ds:schemaRefs/>
</ds:datastoreItem>
</file>

<file path=customXml/itemProps4.xml><?xml version="1.0" encoding="utf-8"?>
<ds:datastoreItem xmlns:ds="http://schemas.openxmlformats.org/officeDocument/2006/customXml" ds:itemID="{7D91F077-762F-4569-8C4E-3593BBFB2311}">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95</Pages>
  <Words>11020</Words>
  <Characters>11853</Characters>
  <Lines>574</Lines>
  <Paragraphs>161</Paragraphs>
  <TotalTime>34</TotalTime>
  <ScaleCrop>false</ScaleCrop>
  <LinksUpToDate>false</LinksUpToDate>
  <CharactersWithSpaces>12070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2026-08-12T04:32:00Z</dcterms:created>
  <dc:creator>唐冰</dc:creator>
  <cp:lastModifiedBy>作者</cp:lastModifiedBy>
  <cp:lastPrinted>2025-09-05T03:12:00Z</cp:lastPrinted>
  <dcterms:modified xsi:type="dcterms:W3CDTF">2026-08-31T07:46:11Z</dcterms:modified>
  <dc:title>竞争性谈判文件规范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6DC434392DD548FBAD4C8EDB2BB0B5E8_13</vt:lpwstr>
  </property>
  <property fmtid="{D5CDD505-2E9C-101B-9397-08002B2CF9AE}" pid="4" name="KSOTemplateDocerSaveRecord">
    <vt:lpwstr>eyJoZGlkIjoiYmExNmNiN2JiYTA5YTYzNDlhNzIxNjIzZGM0ODkzYjgiLCJ1c2VySWQiOiIxNjI3MDI0NDY0In0=</vt:lpwstr>
  </property>
</Properties>
</file>