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4835B">
      <w:pPr>
        <w:spacing w:before="223" w:beforeLines="70"/>
        <w:ind w:left="-199" w:leftChars="-95" w:right="63" w:rightChars="30" w:firstLine="770"/>
        <w:rPr>
          <w:rFonts w:hint="eastAsia" w:ascii="宋体" w:hAnsi="宋体" w:cs="宋体"/>
          <w:b/>
          <w:sz w:val="40"/>
          <w:szCs w:val="40"/>
        </w:rPr>
      </w:pPr>
      <w:bookmarkStart w:id="0" w:name="_Hlt67893495"/>
      <w:bookmarkEnd w:id="0"/>
      <w:r>
        <w:rPr>
          <w:sz w:val="44"/>
        </w:rPr>
        <mc:AlternateContent>
          <mc:Choice Requires="wps">
            <w:drawing>
              <wp:anchor distT="0" distB="0" distL="114300" distR="114300" simplePos="0" relativeHeight="251662336" behindDoc="0" locked="0" layoutInCell="1" allowOverlap="1">
                <wp:simplePos x="0" y="0"/>
                <wp:positionH relativeFrom="column">
                  <wp:posOffset>1215390</wp:posOffset>
                </wp:positionH>
                <wp:positionV relativeFrom="paragraph">
                  <wp:posOffset>-27305</wp:posOffset>
                </wp:positionV>
                <wp:extent cx="0" cy="1200150"/>
                <wp:effectExtent l="6350" t="0" r="12700" b="0"/>
                <wp:wrapNone/>
                <wp:docPr id="1" name="直接连接符 1"/>
                <wp:cNvGraphicFramePr/>
                <a:graphic xmlns:a="http://schemas.openxmlformats.org/drawingml/2006/main">
                  <a:graphicData uri="http://schemas.microsoft.com/office/word/2010/wordprocessingShape">
                    <wps:wsp>
                      <wps:cNvCnPr/>
                      <wps:spPr>
                        <a:xfrm>
                          <a:off x="2608580" y="1134745"/>
                          <a:ext cx="0" cy="120015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5.7pt;margin-top:-2.15pt;height:94.5pt;width:0pt;z-index:251662336;mso-width-relative:page;mso-height-relative:page;" filled="f" stroked="t" coordsize="21600,21600" o:gfxdata="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m116a2QAA&#10;AAoBAAAPAAAAAAAAAAEAIAAAACIAAABkcnMvZG93bnJldi54bWxQSwECFAAUAAAACACHTuJAii9d&#10;XeQBAACnAwAADgAAAAAAAAABACAAAAAoAQAAZHJzL2Uyb0RvYy54bWxQSwUGAAAAAAYABgBZAQAA&#10;fgUAAAAA&#10;">
                <v:fill on="f" focussize="0,0"/>
                <v:stroke weight="1pt" color="#000000 [3213]" joinstyle="round"/>
                <v:imagedata o:title=""/>
                <o:lock v:ext="edit" aspectratio="f"/>
              </v:line>
            </w:pict>
          </mc:Fallback>
        </mc:AlternateContent>
      </w:r>
      <w:r>
        <w:rPr>
          <w:rFonts w:hint="eastAsia" w:ascii="宋体" w:hAnsi="宋体" w:cs="宋体"/>
          <w:b/>
          <w:sz w:val="44"/>
          <w:szCs w:val="44"/>
        </w:rPr>
        <w:drawing>
          <wp:anchor distT="0" distB="0" distL="114300" distR="114300" simplePos="0" relativeHeight="251663360" behindDoc="0" locked="0" layoutInCell="1" allowOverlap="1">
            <wp:simplePos x="0" y="0"/>
            <wp:positionH relativeFrom="column">
              <wp:posOffset>34925</wp:posOffset>
            </wp:positionH>
            <wp:positionV relativeFrom="paragraph">
              <wp:posOffset>-66040</wp:posOffset>
            </wp:positionV>
            <wp:extent cx="972185" cy="1182370"/>
            <wp:effectExtent l="0" t="0" r="18415" b="17780"/>
            <wp:wrapNone/>
            <wp:docPr id="18" name="图片 18" descr="农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农投1"/>
                    <pic:cNvPicPr>
                      <a:picLocks noChangeAspect="1"/>
                    </pic:cNvPicPr>
                  </pic:nvPicPr>
                  <pic:blipFill>
                    <a:blip r:embed="rId9"/>
                    <a:stretch>
                      <a:fillRect/>
                    </a:stretch>
                  </pic:blipFill>
                  <pic:spPr>
                    <a:xfrm>
                      <a:off x="0" y="0"/>
                      <a:ext cx="972185" cy="1182370"/>
                    </a:xfrm>
                    <a:prstGeom prst="rect">
                      <a:avLst/>
                    </a:prstGeom>
                  </pic:spPr>
                </pic:pic>
              </a:graphicData>
            </a:graphic>
          </wp:anchor>
        </w:drawing>
      </w:r>
      <w:r>
        <w:rPr>
          <w:rFonts w:hint="eastAsia" w:ascii="宋体" w:hAnsi="宋体" w:cs="宋体"/>
          <w:b/>
          <w:sz w:val="44"/>
          <w:szCs w:val="44"/>
        </w:rPr>
        <w:t xml:space="preserve">           </w:t>
      </w:r>
      <w:r>
        <w:rPr>
          <w:rFonts w:hint="eastAsia" w:ascii="宋体" w:hAnsi="宋体" w:cs="宋体"/>
          <w:b/>
          <w:sz w:val="44"/>
          <w:szCs w:val="44"/>
          <w:lang w:val="en-US" w:eastAsia="zh-CN"/>
        </w:rPr>
        <w:t xml:space="preserve"> </w:t>
      </w:r>
      <w:r>
        <w:rPr>
          <w:rFonts w:hint="eastAsia" w:ascii="宋体" w:hAnsi="宋体" w:cs="宋体"/>
          <w:b/>
          <w:sz w:val="52"/>
          <w:szCs w:val="52"/>
        </w:rPr>
        <w:t>广西科联招标中心有限公司</w:t>
      </w:r>
      <w:r>
        <w:rPr>
          <w:rFonts w:hint="eastAsia" w:ascii="宋体" w:hAnsi="宋体" w:cs="宋体"/>
          <w:b/>
          <w:sz w:val="40"/>
          <w:szCs w:val="40"/>
        </w:rPr>
        <w:t xml:space="preserve"> </w:t>
      </w:r>
    </w:p>
    <w:p w14:paraId="296BE8D8">
      <w:pPr>
        <w:snapToGrid w:val="0"/>
        <w:spacing w:line="360" w:lineRule="auto"/>
        <w:ind w:right="-210" w:rightChars="-100" w:firstLine="3373" w:firstLineChars="1200"/>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pPr>
      <w:r>
        <w:rPr>
          <w:rFonts w:hint="eastAsia" w:ascii="宋体" w:hAnsi="宋体" w:cs="宋体"/>
          <w:b/>
          <w:sz w:val="28"/>
          <w:szCs w:val="28"/>
        </w:rPr>
        <w:t>GUANGXI KELIAN TENDRING CENTER CO.,LTD</w:t>
      </w:r>
      <w:r>
        <w:rPr>
          <w:rFonts w:hint="eastAsia" w:ascii="宋体" w:hAnsi="宋体" w:cs="宋体"/>
          <w:b/>
          <w:sz w:val="32"/>
          <w:szCs w:val="32"/>
        </w:rPr>
        <w:t>.</w:t>
      </w:r>
      <w:r>
        <w:rPr>
          <w:rFonts w:hint="eastAsia" w:ascii="宋体" w:hAnsi="宋体" w:cs="宋体"/>
          <w:b/>
          <w:sz w:val="44"/>
          <w:szCs w:val="44"/>
        </w:rPr>
        <w:t xml:space="preserve">  </w:t>
      </w:r>
    </w:p>
    <w:p w14:paraId="2A289D15">
      <w:pPr>
        <w:pStyle w:val="29"/>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pPr>
    </w:p>
    <w:p w14:paraId="46FE20D4">
      <w:pPr>
        <w:pStyle w:val="29"/>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pPr>
    </w:p>
    <w:p w14:paraId="479DE2A8">
      <w:pPr>
        <w:snapToGrid w:val="0"/>
        <w:spacing w:before="842" w:beforeLines="351" w:after="962" w:afterLines="401" w:line="360" w:lineRule="auto"/>
        <w:ind w:left="-210" w:leftChars="-100" w:right="-210" w:rightChars="-100"/>
        <w:jc w:val="center"/>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pPr>
      <w:r>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t>竞 争 性 磋 商 文 件</w:t>
      </w:r>
    </w:p>
    <w:p w14:paraId="773431A8">
      <w:pPr>
        <w:pStyle w:val="29"/>
        <w:rPr>
          <w:rFonts w:hint="eastAsia" w:ascii="宋体" w:hAnsi="宋体" w:cs="宋体"/>
          <w:b/>
          <w:bCs/>
          <w:color w:val="auto"/>
          <w:sz w:val="56"/>
          <w:szCs w:val="56"/>
          <w:highlight w:val="none"/>
          <w14:shadow w14:blurRad="50800" w14:dist="38100" w14:dir="2700000" w14:sx="100000" w14:sy="100000" w14:kx="0" w14:ky="0" w14:algn="tl">
            <w14:srgbClr w14:val="000000">
              <w14:alpha w14:val="60000"/>
            </w14:srgbClr>
          </w14:shadow>
        </w:rPr>
      </w:pPr>
    </w:p>
    <w:tbl>
      <w:tblPr>
        <w:tblStyle w:val="41"/>
        <w:tblW w:w="75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1"/>
        <w:gridCol w:w="5359"/>
      </w:tblGrid>
      <w:tr w14:paraId="25CC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9" w:hRule="atLeast"/>
          <w:jc w:val="center"/>
        </w:trPr>
        <w:tc>
          <w:tcPr>
            <w:tcW w:w="2181" w:type="dxa"/>
            <w:noWrap w:val="0"/>
            <w:vAlign w:val="center"/>
          </w:tcPr>
          <w:p w14:paraId="0B958326">
            <w:pPr>
              <w:jc w:val="both"/>
              <w:rPr>
                <w:rFonts w:hint="eastAsia" w:ascii="宋体" w:hAnsi="宋体" w:eastAsia="宋体" w:cs="宋体"/>
                <w:b w:val="0"/>
                <w:bCs/>
                <w:color w:val="auto"/>
                <w:spacing w:val="159"/>
                <w:sz w:val="28"/>
                <w:szCs w:val="28"/>
                <w:highlight w:val="none"/>
                <w:vertAlign w:val="baseline"/>
                <w:lang w:val="en-US" w:eastAsia="zh-CN"/>
              </w:rPr>
            </w:pPr>
            <w:r>
              <w:rPr>
                <w:rFonts w:hint="eastAsia" w:ascii="宋体" w:hAnsi="宋体" w:eastAsia="宋体" w:cs="宋体"/>
                <w:b/>
                <w:bCs/>
                <w:color w:val="auto"/>
                <w:sz w:val="28"/>
                <w:szCs w:val="28"/>
                <w:highlight w:val="none"/>
              </w:rPr>
              <w:t>项</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目</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编</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号：</w:t>
            </w:r>
          </w:p>
        </w:tc>
        <w:tc>
          <w:tcPr>
            <w:tcW w:w="5359" w:type="dxa"/>
            <w:noWrap w:val="0"/>
            <w:vAlign w:val="center"/>
          </w:tcPr>
          <w:p w14:paraId="18FA9D24">
            <w:p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BHZC2026-C2-030052-GXKL</w:t>
            </w:r>
          </w:p>
        </w:tc>
      </w:tr>
      <w:tr w14:paraId="50575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jc w:val="center"/>
        </w:trPr>
        <w:tc>
          <w:tcPr>
            <w:tcW w:w="2181" w:type="dxa"/>
            <w:noWrap w:val="0"/>
            <w:vAlign w:val="center"/>
          </w:tcPr>
          <w:p w14:paraId="4495D6D8">
            <w:pPr>
              <w:jc w:val="both"/>
              <w:rPr>
                <w:rFonts w:hint="eastAsia" w:ascii="宋体" w:hAnsi="宋体" w:eastAsia="宋体" w:cs="宋体"/>
                <w:b w:val="0"/>
                <w:bCs/>
                <w:color w:val="auto"/>
                <w:spacing w:val="159"/>
                <w:sz w:val="28"/>
                <w:szCs w:val="28"/>
                <w:highlight w:val="none"/>
                <w:u w:val="none"/>
                <w:vertAlign w:val="baseline"/>
                <w:lang w:val="en-US" w:eastAsia="zh-CN"/>
              </w:rPr>
            </w:pPr>
            <w:r>
              <w:rPr>
                <w:rFonts w:hint="eastAsia" w:ascii="宋体" w:hAnsi="宋体" w:eastAsia="宋体" w:cs="宋体"/>
                <w:b/>
                <w:bCs/>
                <w:color w:val="auto"/>
                <w:sz w:val="28"/>
                <w:szCs w:val="28"/>
                <w:highlight w:val="none"/>
                <w:u w:val="none"/>
              </w:rPr>
              <w:t>项</w:t>
            </w:r>
            <w:r>
              <w:rPr>
                <w:rFonts w:hint="eastAsia" w:ascii="宋体" w:hAnsi="宋体" w:eastAsia="宋体" w:cs="宋体"/>
                <w:b/>
                <w:bCs/>
                <w:color w:val="auto"/>
                <w:sz w:val="28"/>
                <w:szCs w:val="28"/>
                <w:highlight w:val="none"/>
                <w:u w:val="none"/>
                <w:lang w:val="en-US" w:eastAsia="zh-CN"/>
              </w:rPr>
              <w:t xml:space="preserve"> </w:t>
            </w:r>
            <w:r>
              <w:rPr>
                <w:rFonts w:hint="eastAsia" w:ascii="宋体" w:hAnsi="宋体" w:eastAsia="宋体" w:cs="宋体"/>
                <w:b/>
                <w:bCs/>
                <w:color w:val="auto"/>
                <w:sz w:val="28"/>
                <w:szCs w:val="28"/>
                <w:highlight w:val="none"/>
                <w:u w:val="none"/>
              </w:rPr>
              <w:t>目</w:t>
            </w:r>
            <w:r>
              <w:rPr>
                <w:rFonts w:hint="eastAsia" w:ascii="宋体" w:hAnsi="宋体" w:eastAsia="宋体" w:cs="宋体"/>
                <w:b/>
                <w:bCs/>
                <w:color w:val="auto"/>
                <w:sz w:val="28"/>
                <w:szCs w:val="28"/>
                <w:highlight w:val="none"/>
                <w:u w:val="none"/>
                <w:lang w:val="en-US" w:eastAsia="zh-CN"/>
              </w:rPr>
              <w:t xml:space="preserve"> </w:t>
            </w:r>
            <w:r>
              <w:rPr>
                <w:rFonts w:hint="eastAsia" w:ascii="宋体" w:hAnsi="宋体" w:eastAsia="宋体" w:cs="宋体"/>
                <w:b/>
                <w:bCs/>
                <w:color w:val="auto"/>
                <w:sz w:val="28"/>
                <w:szCs w:val="28"/>
                <w:highlight w:val="none"/>
                <w:u w:val="none"/>
              </w:rPr>
              <w:t>名</w:t>
            </w:r>
            <w:r>
              <w:rPr>
                <w:rFonts w:hint="eastAsia" w:ascii="宋体" w:hAnsi="宋体" w:eastAsia="宋体" w:cs="宋体"/>
                <w:b/>
                <w:bCs/>
                <w:color w:val="auto"/>
                <w:sz w:val="28"/>
                <w:szCs w:val="28"/>
                <w:highlight w:val="none"/>
                <w:u w:val="none"/>
                <w:lang w:val="en-US" w:eastAsia="zh-CN"/>
              </w:rPr>
              <w:t xml:space="preserve"> </w:t>
            </w:r>
            <w:r>
              <w:rPr>
                <w:rFonts w:hint="eastAsia" w:ascii="宋体" w:hAnsi="宋体" w:eastAsia="宋体" w:cs="宋体"/>
                <w:b/>
                <w:bCs/>
                <w:color w:val="auto"/>
                <w:sz w:val="28"/>
                <w:szCs w:val="28"/>
                <w:highlight w:val="none"/>
                <w:u w:val="none"/>
              </w:rPr>
              <w:t>称：</w:t>
            </w:r>
          </w:p>
        </w:tc>
        <w:tc>
          <w:tcPr>
            <w:tcW w:w="5359" w:type="dxa"/>
            <w:noWrap w:val="0"/>
            <w:vAlign w:val="center"/>
          </w:tcPr>
          <w:p w14:paraId="73D05E44">
            <w:pPr>
              <w:jc w:val="both"/>
              <w:rPr>
                <w:rFonts w:hint="eastAsia" w:ascii="宋体" w:hAnsi="宋体" w:eastAsia="宋体" w:cs="宋体"/>
                <w:b w:val="0"/>
                <w:bCs/>
                <w:color w:val="auto"/>
                <w:spacing w:val="159"/>
                <w:sz w:val="28"/>
                <w:szCs w:val="28"/>
                <w:highlight w:val="none"/>
                <w:u w:val="none"/>
                <w:vertAlign w:val="baseline"/>
                <w:lang w:val="en-US" w:eastAsia="zh-CN"/>
              </w:rPr>
            </w:pPr>
            <w:r>
              <w:rPr>
                <w:rFonts w:hint="eastAsia" w:hAnsi="宋体" w:cs="宋体"/>
                <w:color w:val="auto"/>
                <w:sz w:val="28"/>
                <w:szCs w:val="28"/>
                <w:highlight w:val="none"/>
                <w:u w:val="none"/>
                <w:lang w:val="en-US" w:eastAsia="zh-CN"/>
              </w:rPr>
              <w:t>银滩镇禾沟村委后背岭种植园区产业路项目</w:t>
            </w:r>
          </w:p>
        </w:tc>
      </w:tr>
      <w:tr w14:paraId="3E339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9" w:hRule="atLeast"/>
          <w:jc w:val="center"/>
        </w:trPr>
        <w:tc>
          <w:tcPr>
            <w:tcW w:w="2181" w:type="dxa"/>
            <w:noWrap w:val="0"/>
            <w:vAlign w:val="center"/>
          </w:tcPr>
          <w:p w14:paraId="474F09FB">
            <w:pPr>
              <w:jc w:val="both"/>
              <w:rPr>
                <w:rFonts w:hint="eastAsia" w:ascii="宋体" w:hAnsi="宋体" w:eastAsia="宋体" w:cs="宋体"/>
                <w:b w:val="0"/>
                <w:bCs/>
                <w:color w:val="auto"/>
                <w:spacing w:val="159"/>
                <w:sz w:val="28"/>
                <w:szCs w:val="28"/>
                <w:highlight w:val="none"/>
                <w:u w:val="none"/>
                <w:vertAlign w:val="baseline"/>
                <w:lang w:val="en-US" w:eastAsia="zh-CN"/>
              </w:rPr>
            </w:pPr>
            <w:r>
              <w:rPr>
                <w:rFonts w:hint="eastAsia" w:ascii="宋体" w:hAnsi="宋体" w:eastAsia="宋体" w:cs="宋体"/>
                <w:b/>
                <w:color w:val="auto"/>
                <w:sz w:val="28"/>
                <w:szCs w:val="28"/>
                <w:highlight w:val="none"/>
                <w:u w:val="none"/>
              </w:rPr>
              <w:t>采</w:t>
            </w:r>
            <w:r>
              <w:rPr>
                <w:rFonts w:hint="eastAsia" w:ascii="宋体" w:hAnsi="宋体" w:eastAsia="宋体" w:cs="宋体"/>
                <w:b/>
                <w:color w:val="auto"/>
                <w:sz w:val="28"/>
                <w:szCs w:val="28"/>
                <w:highlight w:val="none"/>
                <w:u w:val="none"/>
                <w:lang w:val="en-US" w:eastAsia="zh-CN"/>
              </w:rPr>
              <w:t xml:space="preserve">   </w:t>
            </w:r>
            <w:r>
              <w:rPr>
                <w:rFonts w:hint="eastAsia" w:ascii="宋体" w:hAnsi="宋体" w:eastAsia="宋体" w:cs="宋体"/>
                <w:b/>
                <w:bCs/>
                <w:color w:val="auto"/>
                <w:kern w:val="2"/>
                <w:sz w:val="28"/>
                <w:szCs w:val="28"/>
                <w:highlight w:val="none"/>
                <w:u w:val="none"/>
                <w:lang w:val="en-US" w:eastAsia="zh-CN" w:bidi="ar-SA"/>
              </w:rPr>
              <w:t>购  人</w:t>
            </w:r>
            <w:r>
              <w:rPr>
                <w:rFonts w:hint="eastAsia" w:ascii="宋体" w:hAnsi="宋体" w:eastAsia="宋体" w:cs="宋体"/>
                <w:b/>
                <w:color w:val="auto"/>
                <w:sz w:val="28"/>
                <w:szCs w:val="28"/>
                <w:highlight w:val="none"/>
                <w:u w:val="none"/>
              </w:rPr>
              <w:t>：</w:t>
            </w:r>
          </w:p>
        </w:tc>
        <w:tc>
          <w:tcPr>
            <w:tcW w:w="5359" w:type="dxa"/>
            <w:noWrap w:val="0"/>
            <w:vAlign w:val="center"/>
          </w:tcPr>
          <w:p w14:paraId="44C7A98F">
            <w:pPr>
              <w:jc w:val="both"/>
              <w:rPr>
                <w:rFonts w:hint="eastAsia" w:ascii="宋体" w:hAnsi="宋体" w:eastAsia="宋体" w:cs="宋体"/>
                <w:b w:val="0"/>
                <w:bCs/>
                <w:color w:val="auto"/>
                <w:spacing w:val="159"/>
                <w:sz w:val="28"/>
                <w:szCs w:val="28"/>
                <w:highlight w:val="none"/>
                <w:u w:val="none"/>
                <w:vertAlign w:val="baseline"/>
                <w:lang w:val="en-US" w:eastAsia="zh-CN"/>
              </w:rPr>
            </w:pPr>
            <w:r>
              <w:rPr>
                <w:rFonts w:hint="eastAsia" w:ascii="Times New Roman" w:hAnsi="宋体" w:eastAsia="宋体" w:cs="宋体"/>
                <w:color w:val="auto"/>
                <w:sz w:val="28"/>
                <w:szCs w:val="28"/>
                <w:highlight w:val="none"/>
                <w:u w:val="none"/>
                <w:lang w:eastAsia="zh-CN"/>
              </w:rPr>
              <w:t>北海市银海区农业农村和水利局</w:t>
            </w:r>
          </w:p>
        </w:tc>
      </w:tr>
      <w:tr w14:paraId="4B2C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jc w:val="center"/>
        </w:trPr>
        <w:tc>
          <w:tcPr>
            <w:tcW w:w="2181" w:type="dxa"/>
            <w:noWrap w:val="0"/>
            <w:vAlign w:val="center"/>
          </w:tcPr>
          <w:p w14:paraId="09A93EE8">
            <w:pPr>
              <w:jc w:val="both"/>
              <w:rPr>
                <w:rFonts w:hint="eastAsia" w:ascii="宋体" w:hAnsi="宋体" w:eastAsia="宋体" w:cs="宋体"/>
                <w:b w:val="0"/>
                <w:bCs/>
                <w:color w:val="auto"/>
                <w:spacing w:val="0"/>
                <w:sz w:val="28"/>
                <w:szCs w:val="28"/>
                <w:highlight w:val="none"/>
                <w:u w:val="none"/>
                <w:lang w:val="en-US" w:eastAsia="zh-CN"/>
              </w:rPr>
            </w:pPr>
            <w:r>
              <w:rPr>
                <w:rFonts w:hint="eastAsia" w:ascii="宋体" w:hAnsi="宋体" w:eastAsia="宋体" w:cs="宋体"/>
                <w:b/>
                <w:color w:val="auto"/>
                <w:sz w:val="28"/>
                <w:szCs w:val="28"/>
                <w:highlight w:val="none"/>
                <w:u w:val="none"/>
              </w:rPr>
              <w:t>采购代理机构：</w:t>
            </w:r>
          </w:p>
        </w:tc>
        <w:tc>
          <w:tcPr>
            <w:tcW w:w="5359" w:type="dxa"/>
            <w:noWrap w:val="0"/>
            <w:vAlign w:val="center"/>
          </w:tcPr>
          <w:p w14:paraId="5EBDA7F8">
            <w:pPr>
              <w:jc w:val="both"/>
              <w:rPr>
                <w:rFonts w:hint="eastAsia" w:ascii="宋体" w:hAnsi="宋体" w:eastAsia="宋体" w:cs="宋体"/>
                <w:b w:val="0"/>
                <w:bCs/>
                <w:color w:val="auto"/>
                <w:spacing w:val="0"/>
                <w:sz w:val="28"/>
                <w:szCs w:val="28"/>
                <w:highlight w:val="none"/>
                <w:u w:val="none"/>
                <w:lang w:val="en-US" w:eastAsia="zh-CN"/>
              </w:rPr>
            </w:pPr>
            <w:r>
              <w:rPr>
                <w:rFonts w:hint="eastAsia" w:ascii="宋体" w:hAnsi="宋体" w:eastAsia="宋体" w:cs="宋体"/>
                <w:bCs/>
                <w:color w:val="auto"/>
                <w:sz w:val="28"/>
                <w:szCs w:val="28"/>
                <w:highlight w:val="none"/>
                <w:u w:val="none"/>
              </w:rPr>
              <w:t>广西科联招标中心有限公司</w:t>
            </w:r>
          </w:p>
        </w:tc>
      </w:tr>
      <w:tr w14:paraId="4A36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jc w:val="center"/>
        </w:trPr>
        <w:tc>
          <w:tcPr>
            <w:tcW w:w="7540" w:type="dxa"/>
            <w:gridSpan w:val="2"/>
            <w:noWrap w:val="0"/>
            <w:vAlign w:val="center"/>
          </w:tcPr>
          <w:p w14:paraId="5D2633FC">
            <w:pPr>
              <w:pStyle w:val="25"/>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eastAsia="宋体" w:cs="宋体"/>
                <w:bCs/>
                <w:color w:val="auto"/>
                <w:sz w:val="28"/>
                <w:szCs w:val="28"/>
                <w:highlight w:val="none"/>
                <w:u w:val="none"/>
              </w:rPr>
            </w:pPr>
            <w:r>
              <w:rPr>
                <w:rFonts w:hint="eastAsia" w:ascii="宋体" w:hAnsi="宋体" w:eastAsia="宋体" w:cs="宋体"/>
                <w:b w:val="0"/>
                <w:bCs/>
                <w:color w:val="auto"/>
                <w:sz w:val="28"/>
                <w:szCs w:val="28"/>
                <w:highlight w:val="none"/>
                <w:lang w:val="en-US" w:eastAsia="zh-CN"/>
              </w:rPr>
              <w:t>202</w:t>
            </w:r>
            <w:r>
              <w:rPr>
                <w:rFonts w:hint="eastAsia" w:hAnsi="宋体" w:cs="宋体"/>
                <w:b w:val="0"/>
                <w:bCs/>
                <w:color w:val="auto"/>
                <w:sz w:val="28"/>
                <w:szCs w:val="28"/>
                <w:highlight w:val="none"/>
                <w:lang w:val="en-US" w:eastAsia="zh-CN"/>
              </w:rPr>
              <w:t>6</w:t>
            </w:r>
            <w:r>
              <w:rPr>
                <w:rFonts w:hint="eastAsia" w:ascii="宋体" w:hAnsi="宋体" w:eastAsia="宋体" w:cs="宋体"/>
                <w:b w:val="0"/>
                <w:bCs/>
                <w:color w:val="auto"/>
                <w:sz w:val="28"/>
                <w:szCs w:val="28"/>
                <w:highlight w:val="none"/>
                <w:lang w:val="en-US" w:eastAsia="zh-CN"/>
              </w:rPr>
              <w:t>年</w:t>
            </w:r>
            <w:r>
              <w:rPr>
                <w:rFonts w:hint="eastAsia" w:hAnsi="宋体" w:cs="宋体"/>
                <w:b w:val="0"/>
                <w:bCs/>
                <w:color w:val="auto"/>
                <w:sz w:val="28"/>
                <w:szCs w:val="28"/>
                <w:highlight w:val="none"/>
                <w:lang w:val="en-US" w:eastAsia="zh-CN"/>
              </w:rPr>
              <w:t>9</w:t>
            </w:r>
            <w:r>
              <w:rPr>
                <w:rFonts w:hint="eastAsia" w:ascii="宋体" w:hAnsi="宋体" w:cs="宋体"/>
                <w:b w:val="0"/>
                <w:bCs/>
                <w:color w:val="auto"/>
                <w:sz w:val="28"/>
                <w:szCs w:val="28"/>
                <w:highlight w:val="none"/>
                <w:lang w:val="en-US" w:eastAsia="zh-CN"/>
              </w:rPr>
              <w:t>月</w:t>
            </w:r>
          </w:p>
        </w:tc>
      </w:tr>
    </w:tbl>
    <w:p w14:paraId="0DC0194F">
      <w:pPr>
        <w:spacing w:line="800" w:lineRule="exact"/>
        <w:jc w:val="center"/>
        <w:rPr>
          <w:rFonts w:hint="eastAsia" w:ascii="黑体" w:hAnsi="Courier New" w:eastAsia="黑体" w:cs="Courier New"/>
          <w:color w:val="auto"/>
          <w:sz w:val="48"/>
          <w:szCs w:val="48"/>
          <w:highlight w:val="none"/>
        </w:rPr>
        <w:sectPr>
          <w:headerReference r:id="rId3" w:type="first"/>
          <w:footerReference r:id="rId4" w:type="first"/>
          <w:pgSz w:w="11906" w:h="16838"/>
          <w:pgMar w:top="1474" w:right="942" w:bottom="1134" w:left="884" w:header="851" w:footer="992" w:gutter="0"/>
          <w:pgNumType w:fmt="decimal" w:start="1"/>
          <w:cols w:space="720" w:num="1"/>
          <w:docGrid w:type="lines" w:linePitch="312" w:charSpace="0"/>
        </w:sectPr>
      </w:pPr>
    </w:p>
    <w:p w14:paraId="319D6604">
      <w:pPr>
        <w:pStyle w:val="18"/>
        <w:rPr>
          <w:rFonts w:hint="eastAsia"/>
        </w:rPr>
        <w:sectPr>
          <w:pgSz w:w="11906" w:h="16838"/>
          <w:pgMar w:top="1474" w:right="942" w:bottom="1134" w:left="884" w:header="851" w:footer="992" w:gutter="0"/>
          <w:pgNumType w:fmt="decimal" w:start="1"/>
          <w:cols w:space="720" w:num="1"/>
          <w:docGrid w:type="lines" w:linePitch="312" w:charSpace="0"/>
        </w:sectPr>
      </w:pPr>
    </w:p>
    <w:p w14:paraId="6DD81CCB">
      <w:pPr>
        <w:spacing w:line="800" w:lineRule="exact"/>
        <w:jc w:val="center"/>
        <w:rPr>
          <w:rFonts w:ascii="黑体" w:hAnsi="Courier New" w:eastAsia="黑体" w:cs="Courier New"/>
          <w:color w:val="auto"/>
          <w:sz w:val="48"/>
          <w:szCs w:val="48"/>
          <w:highlight w:val="none"/>
        </w:rPr>
      </w:pPr>
      <w:r>
        <w:rPr>
          <w:rFonts w:hint="eastAsia" w:ascii="黑体" w:hAnsi="Courier New" w:eastAsia="黑体" w:cs="Courier New"/>
          <w:color w:val="auto"/>
          <w:sz w:val="48"/>
          <w:szCs w:val="48"/>
          <w:highlight w:val="none"/>
        </w:rPr>
        <w:t>目   录</w:t>
      </w:r>
    </w:p>
    <w:p w14:paraId="475148D3">
      <w:pPr>
        <w:spacing w:line="560" w:lineRule="exact"/>
        <w:ind w:left="1" w:firstLine="2"/>
        <w:rPr>
          <w:rFonts w:ascii="宋体" w:hAnsi="宋体" w:cs="Courier New"/>
          <w:b/>
          <w:color w:val="auto"/>
          <w:spacing w:val="4"/>
          <w:sz w:val="32"/>
          <w:highlight w:val="none"/>
        </w:rPr>
      </w:pPr>
    </w:p>
    <w:p w14:paraId="2BA49E7F">
      <w:pPr>
        <w:spacing w:line="400" w:lineRule="exact"/>
        <w:jc w:val="center"/>
        <w:rPr>
          <w:rFonts w:ascii="仿宋_GB2312" w:hAnsi="宋体" w:eastAsia="仿宋_GB2312"/>
          <w:b/>
          <w:color w:val="auto"/>
          <w:sz w:val="32"/>
          <w:szCs w:val="32"/>
          <w:highlight w:val="none"/>
        </w:rPr>
      </w:pPr>
    </w:p>
    <w:p w14:paraId="64D76683">
      <w:pPr>
        <w:spacing w:line="400" w:lineRule="exact"/>
        <w:rPr>
          <w:rFonts w:ascii="仿宋_GB2312" w:hAnsi="宋体" w:eastAsia="仿宋_GB2312"/>
          <w:b/>
          <w:color w:val="auto"/>
          <w:sz w:val="32"/>
          <w:szCs w:val="32"/>
          <w:highlight w:val="none"/>
        </w:rPr>
      </w:pPr>
    </w:p>
    <w:p w14:paraId="2A9B608E">
      <w:pPr>
        <w:pStyle w:val="31"/>
        <w:tabs>
          <w:tab w:val="right" w:leader="dot" w:pos="9288"/>
        </w:tabs>
        <w:spacing w:line="360" w:lineRule="auto"/>
        <w:rPr>
          <w:rFonts w:ascii="宋体" w:hAnsi="宋体"/>
          <w:color w:val="auto"/>
          <w:sz w:val="32"/>
          <w:szCs w:val="32"/>
          <w:highlight w:val="none"/>
        </w:rPr>
      </w:pPr>
      <w:r>
        <w:rPr>
          <w:rFonts w:ascii="宋体" w:hAnsi="宋体" w:cs="Courier New"/>
          <w:bCs/>
          <w:color w:val="auto"/>
          <w:spacing w:val="4"/>
          <w:sz w:val="32"/>
          <w:szCs w:val="32"/>
          <w:highlight w:val="none"/>
        </w:rPr>
        <w:fldChar w:fldCharType="begin"/>
      </w:r>
      <w:r>
        <w:rPr>
          <w:rFonts w:ascii="宋体" w:hAnsi="宋体" w:cs="Courier New"/>
          <w:bCs/>
          <w:color w:val="auto"/>
          <w:spacing w:val="4"/>
          <w:sz w:val="32"/>
          <w:szCs w:val="32"/>
          <w:highlight w:val="none"/>
        </w:rPr>
        <w:instrText xml:space="preserve"> </w:instrText>
      </w:r>
      <w:r>
        <w:rPr>
          <w:rFonts w:hint="eastAsia" w:ascii="宋体" w:hAnsi="宋体" w:cs="Courier New"/>
          <w:bCs/>
          <w:color w:val="auto"/>
          <w:spacing w:val="4"/>
          <w:sz w:val="32"/>
          <w:szCs w:val="32"/>
          <w:highlight w:val="none"/>
        </w:rPr>
        <w:instrText xml:space="preserve">TOC \o "1-2" \h \z \u</w:instrText>
      </w:r>
      <w:r>
        <w:rPr>
          <w:rFonts w:ascii="宋体" w:hAnsi="宋体" w:cs="Courier New"/>
          <w:bCs/>
          <w:color w:val="auto"/>
          <w:spacing w:val="4"/>
          <w:sz w:val="32"/>
          <w:szCs w:val="32"/>
          <w:highlight w:val="none"/>
        </w:rPr>
        <w:instrText xml:space="preserve"> </w:instrText>
      </w:r>
      <w:r>
        <w:rPr>
          <w:rFonts w:ascii="宋体" w:hAnsi="宋体" w:cs="Courier New"/>
          <w:bCs/>
          <w:color w:val="auto"/>
          <w:spacing w:val="4"/>
          <w:sz w:val="32"/>
          <w:szCs w:val="32"/>
          <w:highlight w:val="none"/>
        </w:rPr>
        <w:fldChar w:fldCharType="separate"/>
      </w:r>
      <w:r>
        <w:rPr>
          <w:color w:val="auto"/>
          <w:highlight w:val="none"/>
        </w:rPr>
        <w:fldChar w:fldCharType="begin"/>
      </w:r>
      <w:r>
        <w:rPr>
          <w:color w:val="auto"/>
          <w:highlight w:val="none"/>
        </w:rPr>
        <w:instrText xml:space="preserve"> HYPERLINK \l "_Toc176861406" </w:instrText>
      </w:r>
      <w:r>
        <w:rPr>
          <w:color w:val="auto"/>
          <w:highlight w:val="none"/>
        </w:rPr>
        <w:fldChar w:fldCharType="separate"/>
      </w:r>
      <w:r>
        <w:rPr>
          <w:rStyle w:val="45"/>
          <w:rFonts w:hint="eastAsia" w:ascii="宋体" w:hAnsi="宋体"/>
          <w:color w:val="auto"/>
          <w:sz w:val="32"/>
          <w:szCs w:val="32"/>
          <w:highlight w:val="none"/>
        </w:rPr>
        <w:t>第一章</w:t>
      </w:r>
      <w:r>
        <w:rPr>
          <w:rStyle w:val="45"/>
          <w:rFonts w:ascii="宋体" w:hAnsi="宋体"/>
          <w:color w:val="auto"/>
          <w:sz w:val="32"/>
          <w:szCs w:val="32"/>
          <w:highlight w:val="none"/>
        </w:rPr>
        <w:t xml:space="preserve">  </w:t>
      </w:r>
      <w:r>
        <w:rPr>
          <w:rStyle w:val="45"/>
          <w:rFonts w:hint="eastAsia" w:ascii="宋体" w:hAnsi="宋体"/>
          <w:color w:val="auto"/>
          <w:sz w:val="32"/>
          <w:szCs w:val="32"/>
          <w:highlight w:val="none"/>
        </w:rPr>
        <w:t>竞争性磋商公告</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_Toc176861406 \h </w:instrText>
      </w:r>
      <w:r>
        <w:rPr>
          <w:rFonts w:ascii="宋体" w:hAnsi="宋体"/>
          <w:color w:val="auto"/>
          <w:sz w:val="32"/>
          <w:szCs w:val="32"/>
          <w:highlight w:val="none"/>
        </w:rPr>
        <w:fldChar w:fldCharType="separate"/>
      </w:r>
      <w:r>
        <w:rPr>
          <w:rFonts w:ascii="宋体" w:hAnsi="宋体"/>
          <w:color w:val="auto"/>
          <w:sz w:val="32"/>
          <w:szCs w:val="32"/>
          <w:highlight w:val="none"/>
        </w:rPr>
        <w:t>2</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D2CEBA2">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"_Toc176861407" </w:instrText>
      </w:r>
      <w:r>
        <w:rPr>
          <w:color w:val="auto"/>
          <w:highlight w:val="none"/>
        </w:rPr>
        <w:fldChar w:fldCharType="separate"/>
      </w:r>
      <w:r>
        <w:rPr>
          <w:rStyle w:val="45"/>
          <w:rFonts w:hint="eastAsia" w:ascii="宋体" w:hAnsi="宋体"/>
          <w:color w:val="auto"/>
          <w:sz w:val="32"/>
          <w:szCs w:val="32"/>
          <w:highlight w:val="none"/>
        </w:rPr>
        <w:t>第二章</w:t>
      </w:r>
      <w:r>
        <w:rPr>
          <w:rStyle w:val="45"/>
          <w:rFonts w:ascii="宋体" w:hAnsi="宋体"/>
          <w:color w:val="auto"/>
          <w:sz w:val="32"/>
          <w:szCs w:val="32"/>
          <w:highlight w:val="none"/>
        </w:rPr>
        <w:t xml:space="preserve">  </w:t>
      </w:r>
      <w:r>
        <w:rPr>
          <w:rStyle w:val="45"/>
          <w:rFonts w:hint="eastAsia" w:ascii="宋体" w:hAnsi="宋体"/>
          <w:color w:val="auto"/>
          <w:sz w:val="32"/>
          <w:szCs w:val="32"/>
          <w:highlight w:val="none"/>
        </w:rPr>
        <w:t>磋商供应商须知</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_Toc176861407 \h </w:instrText>
      </w:r>
      <w:r>
        <w:rPr>
          <w:rFonts w:ascii="宋体" w:hAnsi="宋体"/>
          <w:color w:val="auto"/>
          <w:sz w:val="32"/>
          <w:szCs w:val="32"/>
          <w:highlight w:val="none"/>
        </w:rPr>
        <w:fldChar w:fldCharType="separate"/>
      </w:r>
      <w:r>
        <w:rPr>
          <w:rFonts w:ascii="宋体" w:hAnsi="宋体"/>
          <w:color w:val="auto"/>
          <w:sz w:val="32"/>
          <w:szCs w:val="32"/>
          <w:highlight w:val="none"/>
        </w:rPr>
        <w:t>6</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4604B9F5">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"_Toc176861408" </w:instrText>
      </w:r>
      <w:r>
        <w:rPr>
          <w:color w:val="auto"/>
          <w:highlight w:val="none"/>
        </w:rPr>
        <w:fldChar w:fldCharType="separate"/>
      </w:r>
      <w:r>
        <w:rPr>
          <w:rStyle w:val="45"/>
          <w:rFonts w:hint="eastAsia" w:ascii="宋体" w:hAnsi="宋体"/>
          <w:color w:val="auto"/>
          <w:sz w:val="32"/>
          <w:szCs w:val="32"/>
          <w:highlight w:val="none"/>
        </w:rPr>
        <w:t>第三章</w:t>
      </w:r>
      <w:r>
        <w:rPr>
          <w:rStyle w:val="45"/>
          <w:rFonts w:ascii="宋体" w:hAnsi="宋体"/>
          <w:color w:val="auto"/>
          <w:sz w:val="32"/>
          <w:szCs w:val="32"/>
          <w:highlight w:val="none"/>
        </w:rPr>
        <w:t xml:space="preserve">  </w:t>
      </w:r>
      <w:r>
        <w:rPr>
          <w:rStyle w:val="45"/>
          <w:rFonts w:hint="eastAsia" w:ascii="宋体" w:hAnsi="宋体"/>
          <w:color w:val="auto"/>
          <w:sz w:val="32"/>
          <w:szCs w:val="32"/>
          <w:highlight w:val="none"/>
        </w:rPr>
        <w:t>竞争性磋商响应文件格式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_Toc176861408 \h </w:instrText>
      </w:r>
      <w:r>
        <w:rPr>
          <w:rFonts w:ascii="宋体" w:hAnsi="宋体"/>
          <w:color w:val="auto"/>
          <w:sz w:val="32"/>
          <w:szCs w:val="32"/>
          <w:highlight w:val="none"/>
        </w:rPr>
        <w:fldChar w:fldCharType="separate"/>
      </w:r>
      <w:r>
        <w:rPr>
          <w:rFonts w:ascii="宋体" w:hAnsi="宋体"/>
          <w:color w:val="auto"/>
          <w:sz w:val="32"/>
          <w:szCs w:val="32"/>
          <w:highlight w:val="none"/>
        </w:rPr>
        <w:t>34</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7DCCD4A7">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"_Toc176861409" </w:instrText>
      </w:r>
      <w:r>
        <w:rPr>
          <w:color w:val="auto"/>
          <w:highlight w:val="none"/>
        </w:rPr>
        <w:fldChar w:fldCharType="separate"/>
      </w:r>
      <w:r>
        <w:rPr>
          <w:rStyle w:val="45"/>
          <w:rFonts w:hint="eastAsia" w:ascii="宋体" w:hAnsi="宋体"/>
          <w:color w:val="auto"/>
          <w:sz w:val="32"/>
          <w:szCs w:val="32"/>
          <w:highlight w:val="none"/>
        </w:rPr>
        <w:t>第四章</w:t>
      </w:r>
      <w:r>
        <w:rPr>
          <w:rStyle w:val="45"/>
          <w:rFonts w:ascii="宋体" w:hAnsi="宋体"/>
          <w:color w:val="auto"/>
          <w:sz w:val="32"/>
          <w:szCs w:val="32"/>
          <w:highlight w:val="none"/>
        </w:rPr>
        <w:t xml:space="preserve">  </w:t>
      </w:r>
      <w:r>
        <w:rPr>
          <w:rStyle w:val="45"/>
          <w:rFonts w:hint="eastAsia" w:ascii="宋体" w:hAnsi="宋体"/>
          <w:color w:val="auto"/>
          <w:sz w:val="32"/>
          <w:szCs w:val="32"/>
          <w:highlight w:val="none"/>
        </w:rPr>
        <w:t>采购项目需求</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_Toc176861409 \h </w:instrText>
      </w:r>
      <w:r>
        <w:rPr>
          <w:rFonts w:ascii="宋体" w:hAnsi="宋体"/>
          <w:color w:val="auto"/>
          <w:sz w:val="32"/>
          <w:szCs w:val="32"/>
          <w:highlight w:val="none"/>
        </w:rPr>
        <w:fldChar w:fldCharType="separate"/>
      </w:r>
      <w:r>
        <w:rPr>
          <w:rFonts w:ascii="宋体" w:hAnsi="宋体"/>
          <w:color w:val="auto"/>
          <w:sz w:val="32"/>
          <w:szCs w:val="32"/>
          <w:highlight w:val="none"/>
        </w:rPr>
        <w:t>67</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1443C191">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"_Toc176861410" </w:instrText>
      </w:r>
      <w:r>
        <w:rPr>
          <w:color w:val="auto"/>
          <w:highlight w:val="none"/>
        </w:rPr>
        <w:fldChar w:fldCharType="separate"/>
      </w:r>
      <w:r>
        <w:rPr>
          <w:rStyle w:val="45"/>
          <w:rFonts w:hint="eastAsia" w:ascii="宋体" w:hAnsi="宋体"/>
          <w:color w:val="auto"/>
          <w:sz w:val="32"/>
          <w:szCs w:val="32"/>
          <w:highlight w:val="none"/>
        </w:rPr>
        <w:t>第五章</w:t>
      </w:r>
      <w:r>
        <w:rPr>
          <w:rStyle w:val="45"/>
          <w:rFonts w:ascii="宋体" w:hAnsi="宋体"/>
          <w:color w:val="auto"/>
          <w:sz w:val="32"/>
          <w:szCs w:val="32"/>
          <w:highlight w:val="none"/>
        </w:rPr>
        <w:t xml:space="preserve">  </w:t>
      </w:r>
      <w:r>
        <w:rPr>
          <w:rStyle w:val="45"/>
          <w:rFonts w:hint="eastAsia" w:ascii="宋体" w:hAnsi="宋体"/>
          <w:color w:val="auto"/>
          <w:sz w:val="32"/>
          <w:szCs w:val="32"/>
          <w:highlight w:val="none"/>
        </w:rPr>
        <w:t>工程量清单及图纸</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_Toc176861410 \h </w:instrText>
      </w:r>
      <w:r>
        <w:rPr>
          <w:rFonts w:ascii="宋体" w:hAnsi="宋体"/>
          <w:color w:val="auto"/>
          <w:sz w:val="32"/>
          <w:szCs w:val="32"/>
          <w:highlight w:val="none"/>
        </w:rPr>
        <w:fldChar w:fldCharType="separate"/>
      </w:r>
      <w:r>
        <w:rPr>
          <w:rFonts w:ascii="宋体" w:hAnsi="宋体"/>
          <w:color w:val="auto"/>
          <w:sz w:val="32"/>
          <w:szCs w:val="32"/>
          <w:highlight w:val="none"/>
        </w:rPr>
        <w:t>68</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1CA03624">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"_Toc176861411" </w:instrText>
      </w:r>
      <w:r>
        <w:rPr>
          <w:color w:val="auto"/>
          <w:highlight w:val="none"/>
        </w:rPr>
        <w:fldChar w:fldCharType="separate"/>
      </w:r>
      <w:r>
        <w:rPr>
          <w:rStyle w:val="45"/>
          <w:rFonts w:hint="eastAsia" w:ascii="宋体" w:hAnsi="宋体"/>
          <w:color w:val="auto"/>
          <w:kern w:val="0"/>
          <w:sz w:val="32"/>
          <w:szCs w:val="32"/>
          <w:highlight w:val="none"/>
        </w:rPr>
        <w:t>第六章</w:t>
      </w:r>
      <w:r>
        <w:rPr>
          <w:rStyle w:val="45"/>
          <w:rFonts w:ascii="宋体" w:hAnsi="宋体"/>
          <w:color w:val="auto"/>
          <w:kern w:val="0"/>
          <w:sz w:val="32"/>
          <w:szCs w:val="32"/>
          <w:highlight w:val="none"/>
        </w:rPr>
        <w:t xml:space="preserve">  </w:t>
      </w:r>
      <w:r>
        <w:rPr>
          <w:rStyle w:val="45"/>
          <w:rFonts w:hint="eastAsia" w:ascii="宋体" w:hAnsi="宋体"/>
          <w:color w:val="auto"/>
          <w:kern w:val="0"/>
          <w:sz w:val="32"/>
          <w:szCs w:val="32"/>
          <w:highlight w:val="none"/>
        </w:rPr>
        <w:t>合同格式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_Toc176861411 \h </w:instrText>
      </w:r>
      <w:r>
        <w:rPr>
          <w:rFonts w:ascii="宋体" w:hAnsi="宋体"/>
          <w:color w:val="auto"/>
          <w:sz w:val="32"/>
          <w:szCs w:val="32"/>
          <w:highlight w:val="none"/>
        </w:rPr>
        <w:fldChar w:fldCharType="separate"/>
      </w:r>
      <w:r>
        <w:rPr>
          <w:rFonts w:ascii="宋体" w:hAnsi="宋体"/>
          <w:color w:val="auto"/>
          <w:sz w:val="32"/>
          <w:szCs w:val="32"/>
          <w:highlight w:val="none"/>
        </w:rPr>
        <w:t>69</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1C22A123">
      <w:pPr>
        <w:pStyle w:val="31"/>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"_Toc176861412" </w:instrText>
      </w:r>
      <w:r>
        <w:rPr>
          <w:color w:val="auto"/>
          <w:highlight w:val="none"/>
        </w:rPr>
        <w:fldChar w:fldCharType="separate"/>
      </w:r>
      <w:r>
        <w:rPr>
          <w:rStyle w:val="45"/>
          <w:rFonts w:hint="eastAsia" w:ascii="宋体" w:hAnsi="宋体"/>
          <w:color w:val="auto"/>
          <w:kern w:val="0"/>
          <w:sz w:val="32"/>
          <w:szCs w:val="32"/>
          <w:highlight w:val="none"/>
        </w:rPr>
        <w:t>第七章</w:t>
      </w:r>
      <w:r>
        <w:rPr>
          <w:rStyle w:val="45"/>
          <w:rFonts w:ascii="宋体" w:hAnsi="宋体"/>
          <w:color w:val="auto"/>
          <w:kern w:val="0"/>
          <w:sz w:val="32"/>
          <w:szCs w:val="32"/>
          <w:highlight w:val="none"/>
        </w:rPr>
        <w:t xml:space="preserve">  </w:t>
      </w:r>
      <w:r>
        <w:rPr>
          <w:rStyle w:val="45"/>
          <w:rFonts w:hint="eastAsia" w:ascii="宋体" w:hAnsi="宋体"/>
          <w:color w:val="auto"/>
          <w:kern w:val="0"/>
          <w:sz w:val="32"/>
          <w:szCs w:val="32"/>
          <w:highlight w:val="none"/>
        </w:rPr>
        <w:t>评定标准</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_Toc176861412 \h </w:instrText>
      </w:r>
      <w:r>
        <w:rPr>
          <w:rFonts w:ascii="宋体" w:hAnsi="宋体"/>
          <w:color w:val="auto"/>
          <w:sz w:val="32"/>
          <w:szCs w:val="32"/>
          <w:highlight w:val="none"/>
        </w:rPr>
        <w:fldChar w:fldCharType="separate"/>
      </w:r>
      <w:r>
        <w:rPr>
          <w:rFonts w:ascii="宋体" w:hAnsi="宋体"/>
          <w:color w:val="auto"/>
          <w:sz w:val="32"/>
          <w:szCs w:val="32"/>
          <w:highlight w:val="none"/>
        </w:rPr>
        <w:t>127</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D587485">
      <w:pPr>
        <w:spacing w:line="360" w:lineRule="auto"/>
        <w:jc w:val="center"/>
        <w:rPr>
          <w:rFonts w:ascii="仿宋_GB2312" w:hAnsi="宋体" w:eastAsia="仿宋_GB2312"/>
          <w:b/>
          <w:color w:val="auto"/>
          <w:sz w:val="32"/>
          <w:szCs w:val="32"/>
          <w:highlight w:val="none"/>
        </w:rPr>
      </w:pPr>
      <w:r>
        <w:rPr>
          <w:rFonts w:ascii="宋体" w:hAnsi="宋体" w:cs="Courier New"/>
          <w:bCs/>
          <w:color w:val="auto"/>
          <w:spacing w:val="4"/>
          <w:sz w:val="32"/>
          <w:szCs w:val="32"/>
          <w:highlight w:val="none"/>
        </w:rPr>
        <w:fldChar w:fldCharType="end"/>
      </w:r>
    </w:p>
    <w:p w14:paraId="0F874281">
      <w:pPr>
        <w:spacing w:line="400" w:lineRule="exact"/>
        <w:jc w:val="center"/>
        <w:rPr>
          <w:rFonts w:ascii="仿宋_GB2312" w:hAnsi="宋体" w:eastAsia="仿宋_GB2312"/>
          <w:b/>
          <w:color w:val="auto"/>
          <w:sz w:val="32"/>
          <w:szCs w:val="32"/>
          <w:highlight w:val="none"/>
        </w:rPr>
      </w:pPr>
    </w:p>
    <w:p w14:paraId="0D12A86E">
      <w:pPr>
        <w:spacing w:line="400" w:lineRule="exact"/>
        <w:jc w:val="center"/>
        <w:rPr>
          <w:rFonts w:ascii="仿宋_GB2312" w:hAnsi="宋体" w:eastAsia="仿宋_GB2312"/>
          <w:b/>
          <w:color w:val="auto"/>
          <w:sz w:val="32"/>
          <w:szCs w:val="32"/>
          <w:highlight w:val="none"/>
        </w:rPr>
      </w:pPr>
    </w:p>
    <w:p w14:paraId="389F7F75">
      <w:pPr>
        <w:spacing w:line="400" w:lineRule="exact"/>
        <w:jc w:val="center"/>
        <w:rPr>
          <w:rFonts w:ascii="仿宋_GB2312" w:hAnsi="宋体" w:eastAsia="仿宋_GB2312"/>
          <w:b/>
          <w:color w:val="auto"/>
          <w:sz w:val="32"/>
          <w:szCs w:val="32"/>
          <w:highlight w:val="none"/>
        </w:rPr>
      </w:pPr>
    </w:p>
    <w:p w14:paraId="6FAD0686">
      <w:pPr>
        <w:spacing w:line="400" w:lineRule="exact"/>
        <w:jc w:val="center"/>
        <w:rPr>
          <w:rFonts w:ascii="仿宋_GB2312" w:hAnsi="宋体" w:eastAsia="仿宋_GB2312"/>
          <w:b/>
          <w:color w:val="auto"/>
          <w:sz w:val="32"/>
          <w:szCs w:val="32"/>
          <w:highlight w:val="none"/>
        </w:rPr>
      </w:pPr>
    </w:p>
    <w:p w14:paraId="2C64986E">
      <w:pPr>
        <w:spacing w:line="400" w:lineRule="exact"/>
        <w:jc w:val="center"/>
        <w:rPr>
          <w:rFonts w:ascii="仿宋_GB2312" w:hAnsi="宋体" w:eastAsia="仿宋_GB2312"/>
          <w:b/>
          <w:color w:val="auto"/>
          <w:sz w:val="32"/>
          <w:szCs w:val="32"/>
          <w:highlight w:val="none"/>
        </w:rPr>
      </w:pPr>
    </w:p>
    <w:p w14:paraId="07998468">
      <w:pPr>
        <w:spacing w:line="400" w:lineRule="exact"/>
        <w:jc w:val="center"/>
        <w:rPr>
          <w:rFonts w:ascii="仿宋_GB2312" w:hAnsi="宋体" w:eastAsia="仿宋_GB2312"/>
          <w:b/>
          <w:color w:val="auto"/>
          <w:sz w:val="32"/>
          <w:szCs w:val="32"/>
          <w:highlight w:val="none"/>
        </w:rPr>
      </w:pPr>
    </w:p>
    <w:p w14:paraId="22D59F8A">
      <w:pPr>
        <w:spacing w:line="400" w:lineRule="exact"/>
        <w:jc w:val="center"/>
        <w:rPr>
          <w:rFonts w:ascii="仿宋_GB2312" w:hAnsi="宋体" w:eastAsia="仿宋_GB2312"/>
          <w:b/>
          <w:color w:val="auto"/>
          <w:sz w:val="32"/>
          <w:szCs w:val="32"/>
          <w:highlight w:val="none"/>
        </w:rPr>
      </w:pPr>
    </w:p>
    <w:p w14:paraId="7049C1AA">
      <w:pPr>
        <w:spacing w:line="400" w:lineRule="exact"/>
        <w:jc w:val="center"/>
        <w:rPr>
          <w:rFonts w:ascii="仿宋_GB2312" w:hAnsi="宋体" w:eastAsia="仿宋_GB2312"/>
          <w:b/>
          <w:color w:val="auto"/>
          <w:sz w:val="32"/>
          <w:szCs w:val="32"/>
          <w:highlight w:val="none"/>
        </w:rPr>
      </w:pPr>
    </w:p>
    <w:p w14:paraId="664DCC42">
      <w:pPr>
        <w:spacing w:line="400" w:lineRule="exact"/>
        <w:jc w:val="center"/>
        <w:rPr>
          <w:rFonts w:ascii="仿宋_GB2312" w:hAnsi="宋体" w:eastAsia="仿宋_GB2312"/>
          <w:b/>
          <w:color w:val="auto"/>
          <w:sz w:val="32"/>
          <w:szCs w:val="32"/>
          <w:highlight w:val="none"/>
        </w:rPr>
      </w:pPr>
    </w:p>
    <w:p w14:paraId="6D3C677B">
      <w:pPr>
        <w:spacing w:line="400" w:lineRule="exact"/>
        <w:rPr>
          <w:rFonts w:ascii="仿宋_GB2312" w:hAnsi="宋体" w:eastAsia="仿宋_GB2312"/>
          <w:b/>
          <w:color w:val="auto"/>
          <w:sz w:val="32"/>
          <w:szCs w:val="32"/>
          <w:highlight w:val="none"/>
        </w:rPr>
      </w:pPr>
    </w:p>
    <w:p w14:paraId="2AB1DCC4">
      <w:pPr>
        <w:spacing w:line="400" w:lineRule="exact"/>
        <w:rPr>
          <w:rFonts w:ascii="仿宋_GB2312" w:hAnsi="宋体" w:eastAsia="仿宋_GB2312"/>
          <w:b/>
          <w:color w:val="auto"/>
          <w:sz w:val="32"/>
          <w:szCs w:val="32"/>
          <w:highlight w:val="none"/>
        </w:rPr>
        <w:sectPr>
          <w:footerReference r:id="rId5" w:type="default"/>
          <w:pgSz w:w="11906" w:h="16838"/>
          <w:pgMar w:top="1474" w:right="942" w:bottom="1134" w:left="884" w:header="851" w:footer="992" w:gutter="0"/>
          <w:pgNumType w:fmt="decimal" w:start="1"/>
          <w:cols w:space="720" w:num="1"/>
          <w:docGrid w:type="lines" w:linePitch="312" w:charSpace="0"/>
        </w:sectPr>
      </w:pPr>
    </w:p>
    <w:p w14:paraId="3F640FB8">
      <w:pPr>
        <w:spacing w:line="600" w:lineRule="exact"/>
        <w:jc w:val="center"/>
        <w:outlineLvl w:val="0"/>
        <w:rPr>
          <w:rFonts w:ascii="宋体" w:hAnsi="宋体"/>
          <w:b/>
          <w:color w:val="auto"/>
          <w:sz w:val="44"/>
          <w:szCs w:val="44"/>
          <w:highlight w:val="none"/>
        </w:rPr>
      </w:pPr>
      <w:bookmarkStart w:id="1" w:name="_Toc176861406"/>
      <w:bookmarkStart w:id="2" w:name="_Toc23639"/>
      <w:bookmarkStart w:id="3" w:name="_Toc3994503"/>
      <w:r>
        <w:rPr>
          <w:rFonts w:hint="eastAsia" w:ascii="宋体" w:hAnsi="宋体"/>
          <w:b/>
          <w:color w:val="auto"/>
          <w:sz w:val="44"/>
          <w:szCs w:val="44"/>
          <w:highlight w:val="none"/>
        </w:rPr>
        <w:t>第一章  竞争性磋商公告</w:t>
      </w:r>
      <w:bookmarkEnd w:id="1"/>
      <w:bookmarkEnd w:id="2"/>
      <w:bookmarkEnd w:id="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3"/>
      </w:tblGrid>
      <w:tr w14:paraId="3784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5" w:hRule="atLeast"/>
        </w:trPr>
        <w:tc>
          <w:tcPr>
            <w:tcW w:w="9962" w:type="dxa"/>
          </w:tcPr>
          <w:p w14:paraId="79609CA5">
            <w:pPr>
              <w:tabs>
                <w:tab w:val="left" w:pos="9639"/>
                <w:tab w:val="left" w:pos="9746"/>
              </w:tabs>
              <w:adjustRightInd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项目概况</w:t>
            </w:r>
          </w:p>
          <w:p w14:paraId="22F31719">
            <w:pPr>
              <w:tabs>
                <w:tab w:val="left" w:pos="9639"/>
                <w:tab w:val="left" w:pos="9746"/>
              </w:tabs>
              <w:adjustRightInd w:val="0"/>
              <w:snapToGrid w:val="0"/>
              <w:spacing w:line="360" w:lineRule="auto"/>
              <w:ind w:left="105" w:leftChars="50" w:firstLine="360" w:firstLineChars="150"/>
              <w:rPr>
                <w:rFonts w:ascii="宋体" w:hAnsi="宋体" w:cs="宋体"/>
                <w:color w:val="auto"/>
                <w:kern w:val="0"/>
                <w:szCs w:val="21"/>
                <w:highlight w:val="none"/>
              </w:rPr>
            </w:pPr>
            <w:r>
              <w:rPr>
                <w:rFonts w:hint="eastAsia" w:ascii="宋体" w:hAnsi="宋体" w:cs="宋体"/>
                <w:color w:val="auto"/>
                <w:kern w:val="0"/>
                <w:sz w:val="24"/>
                <w:highlight w:val="none"/>
                <w:u w:val="single"/>
                <w:lang w:eastAsia="zh-CN"/>
              </w:rPr>
              <w:t>银滩镇禾沟村委后背岭种植园区产业路项目</w:t>
            </w:r>
            <w:r>
              <w:rPr>
                <w:rFonts w:hint="eastAsia" w:ascii="宋体" w:hAnsi="宋体" w:cs="宋体"/>
                <w:color w:val="auto"/>
                <w:kern w:val="0"/>
                <w:sz w:val="24"/>
                <w:highlight w:val="none"/>
              </w:rPr>
              <w:t>采购项目的潜在供应商应在广西政府采购云平台（https://www.gcy.zfcg.gxzf.gov.cn/）获取采购文件，并于</w:t>
            </w:r>
            <w:r>
              <w:rPr>
                <w:rFonts w:hint="eastAsia" w:ascii="宋体" w:hAnsi="宋体" w:cs="宋体"/>
                <w:color w:val="auto"/>
                <w:kern w:val="0"/>
                <w:sz w:val="24"/>
                <w:highlight w:val="none"/>
                <w:u w:val="single"/>
                <w:lang w:eastAsia="zh-CN"/>
              </w:rPr>
              <w:t>2026年</w:t>
            </w:r>
            <w:r>
              <w:rPr>
                <w:rFonts w:hint="eastAsia" w:ascii="宋体" w:hAnsi="宋体" w:cs="宋体"/>
                <w:color w:val="auto"/>
                <w:kern w:val="0"/>
                <w:sz w:val="24"/>
                <w:highlight w:val="none"/>
                <w:u w:val="single"/>
                <w:lang w:val="en-US" w:eastAsia="zh-CN"/>
              </w:rPr>
              <w:t>10月8日</w:t>
            </w:r>
            <w:r>
              <w:rPr>
                <w:rFonts w:hint="eastAsia" w:ascii="宋体" w:hAnsi="宋体" w:cs="宋体"/>
                <w:color w:val="auto"/>
                <w:kern w:val="0"/>
                <w:sz w:val="24"/>
                <w:highlight w:val="none"/>
                <w:u w:val="single"/>
                <w:lang w:eastAsia="zh-CN"/>
              </w:rPr>
              <w:t>9时00分00秒</w:t>
            </w:r>
            <w:r>
              <w:rPr>
                <w:rFonts w:hint="eastAsia" w:ascii="宋体" w:hAnsi="宋体" w:cs="宋体"/>
                <w:color w:val="auto"/>
                <w:kern w:val="0"/>
                <w:sz w:val="24"/>
                <w:highlight w:val="none"/>
              </w:rPr>
              <w:t>（北京时间）前提交响应文件。</w:t>
            </w:r>
          </w:p>
        </w:tc>
      </w:tr>
    </w:tbl>
    <w:p w14:paraId="555F916E">
      <w:pPr>
        <w:tabs>
          <w:tab w:val="left" w:pos="9639"/>
          <w:tab w:val="left" w:pos="9746"/>
        </w:tabs>
        <w:adjustRightInd w:val="0"/>
        <w:snapToGrid w:val="0"/>
        <w:rPr>
          <w:rFonts w:ascii="宋体" w:hAnsi="宋体" w:cs="宋体"/>
          <w:color w:val="auto"/>
          <w:kern w:val="0"/>
          <w:szCs w:val="21"/>
          <w:highlight w:val="none"/>
        </w:rPr>
      </w:pPr>
    </w:p>
    <w:p w14:paraId="5CD374E5">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一、项目基本情况</w:t>
      </w:r>
    </w:p>
    <w:p w14:paraId="5428698A">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项目编号：BHZC2026-C2-030052-GXKL</w:t>
      </w:r>
    </w:p>
    <w:p w14:paraId="211A6C08">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采购计划编号：YHZC2026-C2-00320</w:t>
      </w:r>
    </w:p>
    <w:p w14:paraId="178F3FA2">
      <w:pPr>
        <w:adjustRightInd w:val="0"/>
        <w:spacing w:line="360" w:lineRule="auto"/>
        <w:ind w:firstLine="480" w:firstLineChars="200"/>
        <w:rPr>
          <w:rFonts w:hint="eastAsia" w:ascii="宋体" w:hAnsi="宋体" w:eastAsia="宋体"/>
          <w:color w:val="auto"/>
          <w:sz w:val="24"/>
          <w:highlight w:val="none"/>
          <w:u w:val="single"/>
          <w:lang w:eastAsia="zh-CN"/>
        </w:rPr>
      </w:pPr>
      <w:r>
        <w:rPr>
          <w:rFonts w:hint="eastAsia" w:ascii="宋体" w:hAnsi="宋体"/>
          <w:color w:val="auto"/>
          <w:sz w:val="24"/>
          <w:highlight w:val="none"/>
        </w:rPr>
        <w:t>项目名称：</w:t>
      </w:r>
      <w:r>
        <w:rPr>
          <w:rFonts w:hint="eastAsia" w:ascii="宋体" w:hAnsi="宋体"/>
          <w:color w:val="auto"/>
          <w:sz w:val="24"/>
          <w:highlight w:val="none"/>
          <w:lang w:eastAsia="zh-CN"/>
        </w:rPr>
        <w:t>银滩镇禾沟村委后背岭种植园区产业路项目</w:t>
      </w:r>
    </w:p>
    <w:p w14:paraId="40F889D3">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采购方式：竞争性磋商</w:t>
      </w:r>
    </w:p>
    <w:p w14:paraId="5AB1B59F">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预算金额（元）：</w:t>
      </w:r>
      <w:r>
        <w:rPr>
          <w:rFonts w:hint="eastAsia" w:ascii="宋体" w:hAnsi="宋体"/>
          <w:color w:val="auto"/>
          <w:sz w:val="24"/>
          <w:highlight w:val="none"/>
          <w:lang w:val="en-US" w:eastAsia="zh-CN"/>
        </w:rPr>
        <w:t>921180.54</w:t>
      </w:r>
      <w:r>
        <w:rPr>
          <w:rFonts w:ascii="宋体" w:hAnsi="宋体"/>
          <w:color w:val="auto"/>
          <w:sz w:val="24"/>
          <w:highlight w:val="none"/>
        </w:rPr>
        <w:t xml:space="preserve"> </w:t>
      </w:r>
    </w:p>
    <w:p w14:paraId="5D244C1F">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最高限价（元）：</w:t>
      </w:r>
      <w:r>
        <w:rPr>
          <w:rFonts w:hint="eastAsia" w:ascii="宋体" w:hAnsi="宋体"/>
          <w:color w:val="auto"/>
          <w:sz w:val="24"/>
          <w:highlight w:val="none"/>
          <w:lang w:val="en-US" w:eastAsia="zh-CN"/>
        </w:rPr>
        <w:t>921180.54</w:t>
      </w:r>
      <w:r>
        <w:rPr>
          <w:rFonts w:ascii="宋体" w:hAnsi="宋体"/>
          <w:color w:val="auto"/>
          <w:sz w:val="24"/>
          <w:highlight w:val="none"/>
        </w:rPr>
        <w:t xml:space="preserve"> </w:t>
      </w:r>
    </w:p>
    <w:p w14:paraId="5A227B3D">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采购需求：</w:t>
      </w:r>
      <w:r>
        <w:rPr>
          <w:rFonts w:hint="eastAsia" w:hAnsi="宋体" w:cs="宋体"/>
          <w:bCs/>
          <w:color w:val="auto"/>
          <w:sz w:val="24"/>
          <w:highlight w:val="none"/>
          <w:lang w:eastAsia="zh-CN"/>
        </w:rPr>
        <w:t>本工程位于北海市银海区，路面结构为水泥混凝土路面，道路工程等级为等外级乡村道路，主要建设内容为混凝土道路及交通工程，设计路线总长为1596.021米，采用单幅路横断面型式，路面宽度3.5米，路基宽度4.5米</w:t>
      </w:r>
      <w:r>
        <w:rPr>
          <w:rFonts w:hint="eastAsia" w:hAnsi="宋体" w:cs="宋体"/>
          <w:bCs/>
          <w:color w:val="auto"/>
          <w:sz w:val="24"/>
          <w:highlight w:val="none"/>
          <w:lang w:val="en-US" w:eastAsia="zh-CN"/>
        </w:rPr>
        <w:t>；</w:t>
      </w:r>
      <w:r>
        <w:rPr>
          <w:rFonts w:hint="eastAsia" w:hAnsi="宋体" w:cs="宋体"/>
          <w:bCs/>
          <w:color w:val="auto"/>
          <w:sz w:val="24"/>
          <w:highlight w:val="none"/>
          <w:lang w:eastAsia="zh-CN"/>
        </w:rPr>
        <w:t>如需进一步了解详细内容，详见工程量清单。</w:t>
      </w:r>
    </w:p>
    <w:p w14:paraId="507EB917">
      <w:pPr>
        <w:adjustRightIn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合同履行期限：自合同签订之日起</w:t>
      </w:r>
      <w:r>
        <w:rPr>
          <w:rFonts w:hint="eastAsia" w:ascii="宋体" w:hAnsi="宋体"/>
          <w:color w:val="auto"/>
          <w:sz w:val="24"/>
          <w:highlight w:val="none"/>
          <w:lang w:val="en-US" w:eastAsia="zh-CN"/>
        </w:rPr>
        <w:t>60天内竣工验收</w:t>
      </w:r>
      <w:r>
        <w:rPr>
          <w:rFonts w:hint="eastAsia" w:ascii="宋体" w:hAnsi="宋体"/>
          <w:color w:val="auto"/>
          <w:sz w:val="24"/>
          <w:highlight w:val="none"/>
        </w:rPr>
        <w:t>并交付使用。</w:t>
      </w:r>
    </w:p>
    <w:p w14:paraId="48F08200">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本项目是否接受联合体磋商：否</w:t>
      </w:r>
    </w:p>
    <w:p w14:paraId="3B018E97">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二、申请人的资格要求</w:t>
      </w:r>
    </w:p>
    <w:p w14:paraId="530C6E5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1.满足《中华人民共和国政府采购法》第二十二条规定；</w:t>
      </w:r>
    </w:p>
    <w:p w14:paraId="22C5981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cs="宋体"/>
          <w:color w:val="auto"/>
          <w:sz w:val="24"/>
          <w:highlight w:val="none"/>
        </w:rPr>
      </w:pPr>
      <w:r>
        <w:rPr>
          <w:rFonts w:ascii="宋体" w:hAnsi="宋体" w:cs="宋体"/>
          <w:snapToGrid w:val="0"/>
          <w:color w:val="auto"/>
          <w:kern w:val="28"/>
          <w:sz w:val="24"/>
          <w:szCs w:val="20"/>
          <w:highlight w:val="none"/>
        </w:rPr>
        <w:t>2</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kern w:val="0"/>
          <w:sz w:val="24"/>
          <w:highlight w:val="none"/>
        </w:rPr>
        <w:t>专门面向小微企业，工程全部由符合政策要求的小微企业承接</w:t>
      </w:r>
      <w:r>
        <w:rPr>
          <w:rFonts w:hint="eastAsia" w:ascii="宋体" w:hAnsi="宋体" w:cs="宋体"/>
          <w:color w:val="auto"/>
          <w:sz w:val="24"/>
          <w:highlight w:val="none"/>
        </w:rPr>
        <w:t>；</w:t>
      </w:r>
    </w:p>
    <w:p w14:paraId="762E1112">
      <w:pPr>
        <w:adjustRightInd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3.本项目的特定资格要求：供应商须具备</w:t>
      </w:r>
      <w:r>
        <w:rPr>
          <w:rFonts w:hint="eastAsia" w:ascii="宋体" w:hAnsi="宋体" w:cs="宋体"/>
          <w:color w:val="auto"/>
          <w:sz w:val="24"/>
          <w:highlight w:val="none"/>
          <w:lang w:val="en-US" w:eastAsia="zh-CN"/>
        </w:rPr>
        <w:t>市政公用工程施工</w:t>
      </w:r>
      <w:r>
        <w:rPr>
          <w:rFonts w:hint="eastAsia" w:ascii="宋体" w:hAnsi="宋体" w:cs="宋体"/>
          <w:color w:val="auto"/>
          <w:sz w:val="24"/>
          <w:highlight w:val="none"/>
          <w:lang w:eastAsia="zh-CN"/>
        </w:rPr>
        <w:t>总承包贰级</w:t>
      </w:r>
      <w:r>
        <w:rPr>
          <w:rFonts w:hint="eastAsia" w:ascii="宋体" w:hAnsi="宋体" w:cs="宋体"/>
          <w:color w:val="auto"/>
          <w:sz w:val="24"/>
          <w:highlight w:val="none"/>
        </w:rPr>
        <w:t>（含）以上资质，并持有有效的安全生产许可证，并在人员、设备、资金等方面具备相应的施工能力</w:t>
      </w:r>
      <w:r>
        <w:rPr>
          <w:rFonts w:hint="eastAsia" w:ascii="宋体" w:hAnsi="宋体" w:cs="宋体"/>
          <w:color w:val="auto"/>
          <w:sz w:val="24"/>
          <w:highlight w:val="none"/>
          <w:lang w:eastAsia="zh-CN"/>
        </w:rPr>
        <w:t>。</w:t>
      </w:r>
    </w:p>
    <w:p w14:paraId="412828D4">
      <w:pPr>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三、获取响应文件</w:t>
      </w:r>
    </w:p>
    <w:p w14:paraId="145D1632">
      <w:pPr>
        <w:adjustRightInd w:val="0"/>
        <w:spacing w:line="360" w:lineRule="auto"/>
        <w:ind w:firstLine="540"/>
        <w:rPr>
          <w:rFonts w:ascii="宋体" w:hAnsi="宋体" w:cs="宋体"/>
          <w:color w:val="auto"/>
          <w:sz w:val="24"/>
          <w:highlight w:val="none"/>
        </w:rPr>
      </w:pPr>
      <w:r>
        <w:rPr>
          <w:rFonts w:hint="eastAsia" w:ascii="宋体" w:hAnsi="宋体" w:cs="宋体"/>
          <w:b/>
          <w:color w:val="auto"/>
          <w:sz w:val="24"/>
          <w:highlight w:val="none"/>
        </w:rPr>
        <w:t>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22</w:t>
      </w:r>
      <w:r>
        <w:rPr>
          <w:rFonts w:hint="eastAsia" w:ascii="宋体" w:hAnsi="宋体" w:cs="宋体"/>
          <w:color w:val="auto"/>
          <w:sz w:val="24"/>
          <w:highlight w:val="none"/>
        </w:rPr>
        <w:t>日至202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日，每天上午</w:t>
      </w:r>
      <w:r>
        <w:rPr>
          <w:rFonts w:hint="eastAsia" w:ascii="宋体" w:hAnsi="宋体"/>
          <w:color w:val="auto"/>
          <w:sz w:val="24"/>
          <w:highlight w:val="none"/>
        </w:rPr>
        <w:t>00:00至12:00 ，下午12:00至23:59</w:t>
      </w:r>
      <w:r>
        <w:rPr>
          <w:rFonts w:hint="eastAsia" w:ascii="宋体" w:hAnsi="宋体" w:cs="宋体"/>
          <w:color w:val="auto"/>
          <w:sz w:val="24"/>
          <w:highlight w:val="none"/>
        </w:rPr>
        <w:t>（北京时间，法定节假日除外）；</w:t>
      </w:r>
    </w:p>
    <w:p w14:paraId="19C4F6E9">
      <w:pPr>
        <w:adjustRightInd w:val="0"/>
        <w:spacing w:line="360" w:lineRule="auto"/>
        <w:ind w:firstLine="540"/>
        <w:rPr>
          <w:rFonts w:ascii="宋体" w:hAnsi="宋体" w:cs="宋体"/>
          <w:color w:val="auto"/>
          <w:sz w:val="28"/>
          <w:szCs w:val="28"/>
          <w:highlight w:val="none"/>
          <w:u w:val="single"/>
        </w:rPr>
      </w:pPr>
      <w:r>
        <w:rPr>
          <w:rFonts w:hint="eastAsia" w:ascii="宋体" w:hAnsi="宋体" w:cs="宋体"/>
          <w:b/>
          <w:color w:val="auto"/>
          <w:sz w:val="24"/>
          <w:highlight w:val="none"/>
        </w:rPr>
        <w:t>地点（网址）：</w:t>
      </w:r>
      <w:r>
        <w:rPr>
          <w:rFonts w:hint="eastAsia" w:ascii="宋体" w:hAnsi="宋体" w:cs="宋体"/>
          <w:color w:val="auto"/>
          <w:sz w:val="24"/>
          <w:highlight w:val="none"/>
        </w:rPr>
        <w:t>广西政府采购云平台（https://www.gcy.zfcg.gxzf.gov.cn/）</w:t>
      </w:r>
    </w:p>
    <w:p w14:paraId="4016C22C">
      <w:pPr>
        <w:adjustRightInd w:val="0"/>
        <w:spacing w:line="360" w:lineRule="auto"/>
        <w:ind w:firstLine="540"/>
        <w:rPr>
          <w:rFonts w:ascii="宋体" w:hAnsi="宋体" w:cs="宋体"/>
          <w:color w:val="auto"/>
          <w:sz w:val="24"/>
          <w:highlight w:val="none"/>
          <w:u w:val="single"/>
        </w:rPr>
      </w:pPr>
      <w:r>
        <w:rPr>
          <w:rFonts w:hint="eastAsia" w:ascii="宋体" w:hAnsi="宋体" w:cs="宋体"/>
          <w:b/>
          <w:color w:val="auto"/>
          <w:sz w:val="24"/>
          <w:highlight w:val="none"/>
        </w:rPr>
        <w:t>方式：</w:t>
      </w:r>
      <w:r>
        <w:rPr>
          <w:rFonts w:hint="eastAsia" w:ascii="宋体" w:hAnsi="宋体" w:cs="宋体"/>
          <w:color w:val="auto"/>
          <w:sz w:val="24"/>
          <w:highlight w:val="none"/>
        </w:rPr>
        <w:t>供应商登录广西政府采购云平台（https://www.gcy.zfcg.gxzf.gov.cn/）在线申请获取采购文件（进入“项目采购”应用，在获取采购文件菜单中选择项目，申请获取采购文件）。</w:t>
      </w:r>
    </w:p>
    <w:p w14:paraId="6434DA7E">
      <w:pPr>
        <w:adjustRightInd w:val="0"/>
        <w:spacing w:line="360" w:lineRule="auto"/>
        <w:ind w:firstLine="540"/>
        <w:rPr>
          <w:rFonts w:ascii="宋体" w:hAnsi="宋体" w:cs="宋体"/>
          <w:color w:val="auto"/>
          <w:sz w:val="28"/>
          <w:szCs w:val="28"/>
          <w:highlight w:val="none"/>
        </w:rPr>
      </w:pPr>
      <w:r>
        <w:rPr>
          <w:rFonts w:hint="eastAsia" w:ascii="宋体" w:hAnsi="宋体" w:cs="宋体"/>
          <w:b/>
          <w:color w:val="auto"/>
          <w:sz w:val="24"/>
          <w:highlight w:val="none"/>
        </w:rPr>
        <w:t>售价：</w:t>
      </w:r>
      <w:r>
        <w:rPr>
          <w:rFonts w:hint="eastAsia" w:ascii="宋体" w:hAnsi="宋体" w:cs="仿宋_GB2312"/>
          <w:color w:val="auto"/>
          <w:sz w:val="24"/>
          <w:highlight w:val="none"/>
        </w:rPr>
        <w:t>0。</w:t>
      </w:r>
    </w:p>
    <w:p w14:paraId="40D872E4">
      <w:pPr>
        <w:adjustRightInd w:val="0"/>
        <w:snapToGrid w:val="0"/>
        <w:spacing w:line="360" w:lineRule="auto"/>
        <w:jc w:val="left"/>
        <w:rPr>
          <w:rFonts w:ascii="宋体" w:hAnsi="宋体"/>
          <w:b/>
          <w:color w:val="auto"/>
          <w:kern w:val="0"/>
          <w:sz w:val="24"/>
          <w:szCs w:val="20"/>
          <w:highlight w:val="none"/>
        </w:rPr>
      </w:pPr>
      <w:bookmarkStart w:id="4" w:name="_Toc28359092"/>
      <w:bookmarkStart w:id="5" w:name="_Toc35393801"/>
      <w:bookmarkStart w:id="6" w:name="_Toc28359015"/>
      <w:bookmarkStart w:id="7" w:name="_Toc35393632"/>
      <w:r>
        <w:rPr>
          <w:rFonts w:hint="eastAsia" w:ascii="宋体" w:hAnsi="宋体"/>
          <w:b/>
          <w:color w:val="auto"/>
          <w:kern w:val="0"/>
          <w:sz w:val="24"/>
          <w:szCs w:val="20"/>
          <w:highlight w:val="none"/>
        </w:rPr>
        <w:t>四、响应文件提交</w:t>
      </w:r>
      <w:bookmarkEnd w:id="4"/>
      <w:bookmarkEnd w:id="5"/>
      <w:bookmarkEnd w:id="6"/>
      <w:bookmarkEnd w:id="7"/>
      <w:r>
        <w:rPr>
          <w:rFonts w:hint="eastAsia" w:ascii="宋体" w:hAnsi="宋体"/>
          <w:b/>
          <w:color w:val="auto"/>
          <w:kern w:val="0"/>
          <w:sz w:val="24"/>
          <w:szCs w:val="20"/>
          <w:highlight w:val="none"/>
        </w:rPr>
        <w:t>（上传）</w:t>
      </w:r>
    </w:p>
    <w:p w14:paraId="3E442890">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截止时间：</w:t>
      </w:r>
      <w:r>
        <w:rPr>
          <w:rFonts w:hint="eastAsia" w:ascii="宋体" w:hAnsi="宋体"/>
          <w:color w:val="auto"/>
          <w:sz w:val="24"/>
          <w:highlight w:val="none"/>
          <w:u w:val="single"/>
          <w:lang w:eastAsia="zh-CN"/>
        </w:rPr>
        <w:t>2026年</w:t>
      </w:r>
      <w:r>
        <w:rPr>
          <w:rFonts w:hint="eastAsia" w:ascii="宋体" w:hAnsi="宋体"/>
          <w:color w:val="auto"/>
          <w:sz w:val="24"/>
          <w:highlight w:val="none"/>
          <w:u w:val="single"/>
          <w:lang w:val="en-US" w:eastAsia="zh-CN"/>
        </w:rPr>
        <w:t>10月8日</w:t>
      </w:r>
      <w:r>
        <w:rPr>
          <w:rFonts w:hint="eastAsia" w:ascii="宋体" w:hAnsi="宋体"/>
          <w:color w:val="auto"/>
          <w:sz w:val="24"/>
          <w:highlight w:val="none"/>
          <w:u w:val="single"/>
          <w:lang w:eastAsia="zh-CN"/>
        </w:rPr>
        <w:t>9时00分00秒</w:t>
      </w:r>
      <w:r>
        <w:rPr>
          <w:rFonts w:hint="eastAsia" w:ascii="宋体" w:hAnsi="宋体"/>
          <w:bCs/>
          <w:color w:val="auto"/>
          <w:sz w:val="24"/>
          <w:highlight w:val="none"/>
        </w:rPr>
        <w:t>（北京时间）</w:t>
      </w:r>
    </w:p>
    <w:p w14:paraId="206C29C4">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w:t>
      </w:r>
      <w:r>
        <w:rPr>
          <w:rFonts w:hint="eastAsia" w:ascii="宋体" w:hAnsi="宋体" w:cs="宋体"/>
          <w:color w:val="auto"/>
          <w:sz w:val="24"/>
          <w:highlight w:val="none"/>
        </w:rPr>
        <w:t>广西政府采购云平台（https://www.gcy.zfcg.gxzf.gov.cn/）</w:t>
      </w:r>
      <w:r>
        <w:rPr>
          <w:rFonts w:hint="eastAsia" w:ascii="宋体" w:hAnsi="宋体" w:cs="仿宋_GB2312"/>
          <w:b/>
          <w:color w:val="auto"/>
          <w:sz w:val="24"/>
          <w:highlight w:val="none"/>
        </w:rPr>
        <w:t>。</w:t>
      </w:r>
    </w:p>
    <w:p w14:paraId="76FB268C">
      <w:pPr>
        <w:adjustRightInd w:val="0"/>
        <w:snapToGrid w:val="0"/>
        <w:spacing w:line="360" w:lineRule="auto"/>
        <w:jc w:val="left"/>
        <w:rPr>
          <w:rFonts w:ascii="宋体" w:hAnsi="宋体"/>
          <w:b/>
          <w:color w:val="auto"/>
          <w:kern w:val="0"/>
          <w:sz w:val="24"/>
          <w:szCs w:val="20"/>
          <w:highlight w:val="none"/>
        </w:rPr>
      </w:pPr>
      <w:bookmarkStart w:id="8" w:name="_Toc28359093"/>
      <w:bookmarkStart w:id="9" w:name="_Toc35393802"/>
      <w:bookmarkStart w:id="10" w:name="_Toc28359016"/>
      <w:bookmarkStart w:id="11" w:name="_Toc35393633"/>
      <w:r>
        <w:rPr>
          <w:rFonts w:hint="eastAsia" w:ascii="宋体" w:hAnsi="宋体"/>
          <w:b/>
          <w:color w:val="auto"/>
          <w:kern w:val="0"/>
          <w:sz w:val="24"/>
          <w:szCs w:val="20"/>
          <w:highlight w:val="none"/>
        </w:rPr>
        <w:t>五、响应文件开启</w:t>
      </w:r>
      <w:bookmarkEnd w:id="8"/>
      <w:bookmarkEnd w:id="9"/>
      <w:bookmarkEnd w:id="10"/>
      <w:bookmarkEnd w:id="11"/>
    </w:p>
    <w:p w14:paraId="5F5FF980">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时间：</w:t>
      </w:r>
      <w:r>
        <w:rPr>
          <w:rFonts w:hint="eastAsia" w:ascii="宋体" w:hAnsi="宋体"/>
          <w:color w:val="auto"/>
          <w:sz w:val="24"/>
          <w:highlight w:val="none"/>
          <w:u w:val="single"/>
          <w:lang w:eastAsia="zh-CN"/>
        </w:rPr>
        <w:t>2026年</w:t>
      </w:r>
      <w:r>
        <w:rPr>
          <w:rFonts w:hint="eastAsia" w:ascii="宋体" w:hAnsi="宋体"/>
          <w:color w:val="auto"/>
          <w:sz w:val="24"/>
          <w:highlight w:val="none"/>
          <w:u w:val="single"/>
          <w:lang w:val="en-US" w:eastAsia="zh-CN"/>
        </w:rPr>
        <w:t>10月8日</w:t>
      </w:r>
      <w:r>
        <w:rPr>
          <w:rFonts w:hint="eastAsia" w:ascii="宋体" w:hAnsi="宋体"/>
          <w:color w:val="auto"/>
          <w:sz w:val="24"/>
          <w:highlight w:val="none"/>
          <w:u w:val="single"/>
          <w:lang w:eastAsia="zh-CN"/>
        </w:rPr>
        <w:t>9时00分00秒</w:t>
      </w:r>
      <w:r>
        <w:rPr>
          <w:rFonts w:hint="eastAsia" w:ascii="宋体" w:hAnsi="宋体"/>
          <w:bCs/>
          <w:color w:val="auto"/>
          <w:sz w:val="24"/>
          <w:highlight w:val="none"/>
        </w:rPr>
        <w:t>（北京时间）</w:t>
      </w:r>
    </w:p>
    <w:p w14:paraId="6BF9DB54">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w:t>
      </w:r>
      <w:r>
        <w:rPr>
          <w:rFonts w:hint="eastAsia" w:ascii="宋体" w:hAnsi="宋体" w:cs="宋体"/>
          <w:color w:val="auto"/>
          <w:sz w:val="24"/>
          <w:highlight w:val="none"/>
        </w:rPr>
        <w:t>广西政府采购云平台（https://www.gcy.zfcg.gxzf.gov.cn/）。</w:t>
      </w:r>
    </w:p>
    <w:p w14:paraId="2F7FFC6F">
      <w:pPr>
        <w:adjustRightInd w:val="0"/>
        <w:snapToGrid w:val="0"/>
        <w:spacing w:line="360" w:lineRule="auto"/>
        <w:jc w:val="left"/>
        <w:rPr>
          <w:rFonts w:ascii="宋体" w:hAnsi="宋体"/>
          <w:b/>
          <w:color w:val="auto"/>
          <w:kern w:val="0"/>
          <w:sz w:val="24"/>
          <w:szCs w:val="20"/>
          <w:highlight w:val="none"/>
        </w:rPr>
      </w:pPr>
      <w:bookmarkStart w:id="12" w:name="_Toc35393803"/>
      <w:bookmarkStart w:id="13" w:name="_Toc28359017"/>
      <w:bookmarkStart w:id="14" w:name="_Toc35393634"/>
      <w:bookmarkStart w:id="15" w:name="_Toc28359094"/>
      <w:r>
        <w:rPr>
          <w:rFonts w:hint="eastAsia" w:ascii="宋体" w:hAnsi="宋体"/>
          <w:b/>
          <w:color w:val="auto"/>
          <w:kern w:val="0"/>
          <w:sz w:val="24"/>
          <w:szCs w:val="20"/>
          <w:highlight w:val="none"/>
        </w:rPr>
        <w:t>六、公告期限</w:t>
      </w:r>
      <w:bookmarkEnd w:id="12"/>
      <w:bookmarkEnd w:id="13"/>
      <w:bookmarkEnd w:id="14"/>
      <w:bookmarkEnd w:id="15"/>
    </w:p>
    <w:p w14:paraId="329BA904">
      <w:pPr>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个工作日。</w:t>
      </w:r>
    </w:p>
    <w:p w14:paraId="65FC94C3">
      <w:pPr>
        <w:adjustRightInd w:val="0"/>
        <w:snapToGrid w:val="0"/>
        <w:spacing w:line="360" w:lineRule="auto"/>
        <w:jc w:val="left"/>
        <w:rPr>
          <w:rFonts w:ascii="宋体" w:hAnsi="宋体"/>
          <w:b/>
          <w:color w:val="auto"/>
          <w:kern w:val="0"/>
          <w:sz w:val="24"/>
          <w:szCs w:val="20"/>
          <w:highlight w:val="none"/>
        </w:rPr>
      </w:pPr>
      <w:bookmarkStart w:id="16" w:name="_Toc35393804"/>
      <w:bookmarkStart w:id="17" w:name="_Toc35393635"/>
      <w:r>
        <w:rPr>
          <w:rFonts w:hint="eastAsia" w:ascii="宋体" w:hAnsi="宋体"/>
          <w:b/>
          <w:color w:val="auto"/>
          <w:kern w:val="0"/>
          <w:sz w:val="24"/>
          <w:szCs w:val="20"/>
          <w:highlight w:val="none"/>
        </w:rPr>
        <w:t>七、其他补充事宜</w:t>
      </w:r>
      <w:bookmarkEnd w:id="16"/>
      <w:bookmarkEnd w:id="17"/>
    </w:p>
    <w:p w14:paraId="44BA791B">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1.磋商保证金：</w:t>
      </w:r>
      <w:r>
        <w:rPr>
          <w:rFonts w:hint="eastAsia" w:ascii="宋体" w:hAnsi="宋体" w:cs="宋体"/>
          <w:color w:val="auto"/>
          <w:sz w:val="24"/>
          <w:highlight w:val="none"/>
          <w:lang w:val="en-US" w:eastAsia="zh-CN"/>
        </w:rPr>
        <w:t>无。</w:t>
      </w:r>
    </w:p>
    <w:p w14:paraId="38AF89CC">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1237E484">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本项目需要落实的政府采购政策：</w:t>
      </w:r>
    </w:p>
    <w:p w14:paraId="04AF2FB6">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（1）支持采用本国产品</w:t>
      </w:r>
    </w:p>
    <w:p w14:paraId="22E38F33">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（2）支持绿色发展</w:t>
      </w:r>
    </w:p>
    <w:p w14:paraId="4E8C38F3">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（3）支持中小企业发展</w:t>
      </w:r>
    </w:p>
    <w:p w14:paraId="06579198">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（4）支持监狱企业、残疾人福利性单位发展</w:t>
      </w:r>
    </w:p>
    <w:p w14:paraId="4FC6E007">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（5）支持创新发展</w:t>
      </w:r>
    </w:p>
    <w:p w14:paraId="0B1B4CD2">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（6）平等对待内外资企业和符合条件的破产重整企业。</w:t>
      </w:r>
    </w:p>
    <w:p w14:paraId="19FF2B04">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color w:val="auto"/>
          <w:highlight w:val="none"/>
        </w:rPr>
      </w:pPr>
      <w:r>
        <w:rPr>
          <w:rFonts w:hint="eastAsia" w:ascii="宋体" w:hAnsi="宋体" w:cs="宋体"/>
          <w:snapToGrid w:val="0"/>
          <w:color w:val="auto"/>
          <w:kern w:val="28"/>
          <w:sz w:val="24"/>
          <w:highlight w:val="none"/>
          <w:lang w:val="en-US" w:eastAsia="zh-CN"/>
        </w:rPr>
        <w:t>4</w:t>
      </w:r>
      <w:r>
        <w:rPr>
          <w:rFonts w:hint="eastAsia" w:ascii="宋体" w:hAnsi="宋体" w:cs="宋体"/>
          <w:snapToGrid w:val="0"/>
          <w:color w:val="auto"/>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4208C46F">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.网上公告媒体查询：http://www.ccgp.gov.cn/</w:t>
      </w:r>
      <w:r>
        <w:rPr>
          <w:rFonts w:hint="eastAsia" w:ascii="宋体" w:hAnsi="宋体" w:cs="宋体"/>
          <w:color w:val="auto"/>
          <w:sz w:val="24"/>
          <w:highlight w:val="none"/>
          <w:lang w:eastAsia="zh-CN"/>
        </w:rPr>
        <w:t>（</w:t>
      </w:r>
      <w:r>
        <w:rPr>
          <w:rFonts w:hint="eastAsia" w:ascii="宋体" w:hAnsi="宋体" w:cs="宋体"/>
          <w:color w:val="auto"/>
          <w:sz w:val="24"/>
          <w:highlight w:val="none"/>
        </w:rPr>
        <w:t>中国政府采购网</w:t>
      </w:r>
      <w:r>
        <w:rPr>
          <w:rFonts w:hint="eastAsia" w:ascii="宋体" w:hAnsi="宋体" w:cs="宋体"/>
          <w:color w:val="auto"/>
          <w:sz w:val="24"/>
          <w:highlight w:val="none"/>
          <w:lang w:eastAsia="zh-CN"/>
        </w:rPr>
        <w:t>）</w:t>
      </w:r>
      <w:r>
        <w:rPr>
          <w:rFonts w:hint="eastAsia" w:ascii="宋体" w:hAnsi="宋体" w:cs="宋体"/>
          <w:color w:val="auto"/>
          <w:sz w:val="24"/>
          <w:highlight w:val="none"/>
        </w:rPr>
        <w:t>、http://zfcg.gxzf.gov.cn/</w:t>
      </w:r>
      <w:r>
        <w:rPr>
          <w:rFonts w:hint="eastAsia" w:ascii="宋体" w:hAnsi="宋体" w:cs="宋体"/>
          <w:color w:val="auto"/>
          <w:sz w:val="24"/>
          <w:highlight w:val="none"/>
          <w:lang w:eastAsia="zh-CN"/>
        </w:rPr>
        <w:t>（</w:t>
      </w:r>
      <w:r>
        <w:rPr>
          <w:rFonts w:hint="eastAsia" w:ascii="宋体" w:hAnsi="宋体" w:cs="宋体"/>
          <w:color w:val="auto"/>
          <w:sz w:val="24"/>
          <w:highlight w:val="none"/>
        </w:rPr>
        <w:t>广西政府采购网</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7EA958BD">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w:t>
      </w:r>
    </w:p>
    <w:p w14:paraId="3522750E">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7.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09CA55A7">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8.未被“信用中国”（www.creditchina.gov.cn)、中国政府采购网（www.ccgp.gov.cn）、中国执行信息公开网（https://zxgk.court.gov.cn/）列入失信被执行人、重大税收违法失信主体、政府采购严重违法失信行为记录名单。</w:t>
      </w:r>
    </w:p>
    <w:p w14:paraId="2047E842">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ascii="宋体" w:hAnsi="宋体"/>
          <w:color w:val="auto"/>
          <w:sz w:val="24"/>
          <w:highlight w:val="none"/>
        </w:rPr>
      </w:pPr>
      <w:r>
        <w:rPr>
          <w:rFonts w:hint="eastAsia" w:ascii="宋体" w:hAnsi="宋体" w:cs="宋体"/>
          <w:color w:val="auto"/>
          <w:sz w:val="24"/>
          <w:highlight w:val="none"/>
          <w:lang w:val="en-US" w:eastAsia="zh-CN"/>
        </w:rPr>
        <w:t>9.本项目采用远程异地评标。</w:t>
      </w:r>
    </w:p>
    <w:p w14:paraId="28145607">
      <w:pPr>
        <w:adjustRightInd w:val="0"/>
        <w:snapToGrid w:val="0"/>
        <w:spacing w:line="360" w:lineRule="auto"/>
        <w:jc w:val="left"/>
        <w:rPr>
          <w:rFonts w:ascii="宋体" w:hAnsi="宋体"/>
          <w:b/>
          <w:color w:val="auto"/>
          <w:kern w:val="0"/>
          <w:sz w:val="24"/>
          <w:szCs w:val="20"/>
          <w:highlight w:val="none"/>
        </w:rPr>
      </w:pPr>
      <w:bookmarkStart w:id="18" w:name="_Toc35393805"/>
      <w:bookmarkStart w:id="19" w:name="_Toc28359095"/>
      <w:bookmarkStart w:id="20" w:name="_Toc28359018"/>
      <w:bookmarkStart w:id="21" w:name="_Toc35393636"/>
      <w:r>
        <w:rPr>
          <w:rFonts w:hint="eastAsia" w:ascii="宋体" w:hAnsi="宋体"/>
          <w:b/>
          <w:color w:val="auto"/>
          <w:kern w:val="0"/>
          <w:sz w:val="24"/>
          <w:szCs w:val="20"/>
          <w:highlight w:val="none"/>
        </w:rPr>
        <w:t>八、凡对本次采购提出询问、质疑、投诉，请按以下方式联系</w:t>
      </w:r>
      <w:bookmarkEnd w:id="18"/>
      <w:bookmarkEnd w:id="19"/>
      <w:bookmarkEnd w:id="20"/>
      <w:bookmarkEnd w:id="21"/>
    </w:p>
    <w:p w14:paraId="5078A84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highlight w:val="none"/>
        </w:rPr>
        <w:t>1.采购人</w:t>
      </w:r>
      <w:r>
        <w:rPr>
          <w:rFonts w:hint="eastAsia" w:ascii="宋体" w:hAnsi="宋体" w:eastAsia="宋体" w:cs="宋体"/>
          <w:color w:val="auto"/>
          <w:sz w:val="24"/>
          <w:highlight w:val="none"/>
        </w:rPr>
        <w:t>信息</w:t>
      </w:r>
    </w:p>
    <w:p w14:paraId="2FD5690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名   称：北海市银海区农业农村和水利局 </w:t>
      </w:r>
    </w:p>
    <w:p w14:paraId="33CE8F2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址：北海市银海区人民政府大院</w:t>
      </w:r>
    </w:p>
    <w:p w14:paraId="5888519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项目联系人：覃</w:t>
      </w:r>
      <w:r>
        <w:rPr>
          <w:rFonts w:hint="eastAsia" w:ascii="宋体" w:hAnsi="宋体" w:cs="宋体"/>
          <w:color w:val="auto"/>
          <w:sz w:val="24"/>
          <w:highlight w:val="none"/>
          <w:lang w:val="en-US" w:eastAsia="zh-CN"/>
        </w:rPr>
        <w:t>工</w:t>
      </w:r>
    </w:p>
    <w:p w14:paraId="55270D3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项目联系方式：0779-3210978</w:t>
      </w:r>
    </w:p>
    <w:p w14:paraId="271FC34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04CC218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2.采购代理机构信息            </w:t>
      </w:r>
    </w:p>
    <w:p w14:paraId="6ACC8C1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名    称：广西科联招标中心有限公司 </w:t>
      </w:r>
    </w:p>
    <w:p w14:paraId="725B979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地    址：北海市北海大道科技大厦三楼 </w:t>
      </w:r>
    </w:p>
    <w:p w14:paraId="7A28CE2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项目联系人：简良</w:t>
      </w:r>
    </w:p>
    <w:p w14:paraId="50566BD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项目联系方式：0779-3832133/3830266</w:t>
      </w:r>
    </w:p>
    <w:p w14:paraId="08D472A9">
      <w:pPr>
        <w:tabs>
          <w:tab w:val="left" w:pos="9639"/>
          <w:tab w:val="left" w:pos="9746"/>
        </w:tabs>
        <w:adjustRightInd w:val="0"/>
        <w:snapToGrid w:val="0"/>
        <w:ind w:firstLine="6377" w:firstLineChars="3037"/>
        <w:rPr>
          <w:rFonts w:ascii="宋体" w:hAnsi="宋体" w:cs="宋体"/>
          <w:color w:val="auto"/>
          <w:kern w:val="0"/>
          <w:szCs w:val="21"/>
          <w:highlight w:val="none"/>
        </w:rPr>
      </w:pPr>
    </w:p>
    <w:p w14:paraId="3938ED22">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若对项目采购电子交易系统操作有疑问，可登录广西政府采购云平台（https://www.zcygov.cn/），点击右侧咨询小采，获取采小蜜智能服务管家帮助，或拨打广西政府采购云平台服务热线95763获取热线服务帮助。</w:t>
      </w:r>
    </w:p>
    <w:p w14:paraId="24900CE4">
      <w:pPr>
        <w:tabs>
          <w:tab w:val="left" w:pos="9639"/>
          <w:tab w:val="left" w:pos="9746"/>
        </w:tabs>
        <w:adjustRightInd w:val="0"/>
        <w:snapToGrid w:val="0"/>
        <w:ind w:firstLine="420" w:firstLineChars="200"/>
        <w:rPr>
          <w:rFonts w:ascii="宋体" w:hAnsi="宋体" w:cs="宋体"/>
          <w:color w:val="auto"/>
          <w:kern w:val="0"/>
          <w:szCs w:val="21"/>
          <w:highlight w:val="none"/>
        </w:rPr>
      </w:pPr>
    </w:p>
    <w:p w14:paraId="2F711FDA">
      <w:pPr>
        <w:tabs>
          <w:tab w:val="left" w:pos="9639"/>
          <w:tab w:val="left" w:pos="9746"/>
        </w:tabs>
        <w:adjustRightInd w:val="0"/>
        <w:snapToGrid w:val="0"/>
        <w:spacing w:line="260" w:lineRule="exact"/>
        <w:ind w:firstLine="6972" w:firstLineChars="3320"/>
        <w:rPr>
          <w:rFonts w:ascii="仿宋_GB2312" w:hAnsi="宋体" w:eastAsia="仿宋_GB2312"/>
          <w:b/>
          <w:color w:val="auto"/>
          <w:sz w:val="32"/>
          <w:szCs w:val="32"/>
          <w:highlight w:val="none"/>
        </w:rPr>
      </w:pPr>
      <w:r>
        <w:rPr>
          <w:rFonts w:hAnsi="宋体" w:cs="宋体"/>
          <w:color w:val="auto"/>
          <w:kern w:val="0"/>
          <w:szCs w:val="21"/>
          <w:highlight w:val="none"/>
        </w:rPr>
        <w:br w:type="page"/>
      </w:r>
    </w:p>
    <w:p w14:paraId="53D8693C">
      <w:pPr>
        <w:spacing w:line="600" w:lineRule="exact"/>
        <w:jc w:val="center"/>
        <w:outlineLvl w:val="0"/>
        <w:rPr>
          <w:rFonts w:ascii="宋体" w:hAnsi="宋体"/>
          <w:b/>
          <w:color w:val="auto"/>
          <w:sz w:val="44"/>
          <w:szCs w:val="44"/>
          <w:highlight w:val="none"/>
        </w:rPr>
      </w:pPr>
      <w:bookmarkStart w:id="22" w:name="_Toc3994504"/>
      <w:bookmarkStart w:id="23" w:name="_Toc3943"/>
      <w:bookmarkStart w:id="24" w:name="_Toc176861407"/>
      <w:r>
        <w:rPr>
          <w:rFonts w:hint="eastAsia" w:ascii="宋体" w:hAnsi="宋体"/>
          <w:b/>
          <w:color w:val="auto"/>
          <w:sz w:val="44"/>
          <w:szCs w:val="44"/>
          <w:highlight w:val="none"/>
        </w:rPr>
        <w:t>第二章  磋商供应商须知</w:t>
      </w:r>
      <w:bookmarkEnd w:id="22"/>
      <w:bookmarkEnd w:id="23"/>
      <w:bookmarkEnd w:id="24"/>
    </w:p>
    <w:p w14:paraId="34347071">
      <w:pPr>
        <w:spacing w:line="400" w:lineRule="exact"/>
        <w:jc w:val="center"/>
        <w:rPr>
          <w:rFonts w:ascii="宋体" w:hAnsi="宋体"/>
          <w:b/>
          <w:color w:val="auto"/>
          <w:sz w:val="30"/>
          <w:szCs w:val="30"/>
          <w:highlight w:val="none"/>
        </w:rPr>
      </w:pPr>
      <w:r>
        <w:rPr>
          <w:rFonts w:hint="eastAsia" w:ascii="宋体" w:hAnsi="宋体"/>
          <w:b/>
          <w:color w:val="auto"/>
          <w:sz w:val="30"/>
          <w:szCs w:val="30"/>
          <w:highlight w:val="none"/>
        </w:rPr>
        <w:t>磋商</w:t>
      </w:r>
      <w:r>
        <w:rPr>
          <w:rFonts w:ascii="宋体" w:hAnsi="宋体"/>
          <w:b/>
          <w:color w:val="auto"/>
          <w:sz w:val="30"/>
          <w:szCs w:val="30"/>
          <w:highlight w:val="none"/>
        </w:rPr>
        <w:t>供应商须知前附表</w:t>
      </w:r>
    </w:p>
    <w:tbl>
      <w:tblPr>
        <w:tblStyle w:val="40"/>
        <w:tblW w:w="10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284"/>
        <w:gridCol w:w="8781"/>
      </w:tblGrid>
      <w:tr w14:paraId="45B0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37" w:type="dxa"/>
            <w:vAlign w:val="center"/>
          </w:tcPr>
          <w:p w14:paraId="490288D6">
            <w:pPr>
              <w:pStyle w:val="71"/>
              <w:spacing w:line="360" w:lineRule="auto"/>
              <w:jc w:val="center"/>
              <w:rPr>
                <w:rFonts w:hAnsi="宋体"/>
                <w:color w:val="auto"/>
                <w:sz w:val="24"/>
                <w:szCs w:val="24"/>
                <w:highlight w:val="none"/>
              </w:rPr>
            </w:pPr>
            <w:r>
              <w:rPr>
                <w:rFonts w:hint="eastAsia" w:hAnsi="宋体"/>
                <w:color w:val="auto"/>
                <w:sz w:val="24"/>
                <w:szCs w:val="24"/>
                <w:highlight w:val="none"/>
              </w:rPr>
              <w:t>序号</w:t>
            </w:r>
          </w:p>
        </w:tc>
        <w:tc>
          <w:tcPr>
            <w:tcW w:w="1284" w:type="dxa"/>
            <w:vAlign w:val="center"/>
          </w:tcPr>
          <w:p w14:paraId="5149D0C8">
            <w:pPr>
              <w:pStyle w:val="71"/>
              <w:spacing w:line="360" w:lineRule="auto"/>
              <w:jc w:val="center"/>
              <w:rPr>
                <w:rFonts w:hAnsi="宋体"/>
                <w:color w:val="auto"/>
                <w:sz w:val="24"/>
                <w:szCs w:val="24"/>
                <w:highlight w:val="none"/>
              </w:rPr>
            </w:pPr>
            <w:r>
              <w:rPr>
                <w:rFonts w:hint="eastAsia" w:hAnsi="宋体"/>
                <w:color w:val="auto"/>
                <w:sz w:val="24"/>
                <w:szCs w:val="24"/>
                <w:highlight w:val="none"/>
              </w:rPr>
              <w:t>名称</w:t>
            </w:r>
          </w:p>
        </w:tc>
        <w:tc>
          <w:tcPr>
            <w:tcW w:w="8781" w:type="dxa"/>
            <w:vAlign w:val="center"/>
          </w:tcPr>
          <w:p w14:paraId="669CA82E">
            <w:pPr>
              <w:pStyle w:val="71"/>
              <w:spacing w:line="360" w:lineRule="auto"/>
              <w:jc w:val="center"/>
              <w:rPr>
                <w:rFonts w:hAnsi="宋体"/>
                <w:color w:val="auto"/>
                <w:sz w:val="24"/>
                <w:szCs w:val="24"/>
                <w:highlight w:val="none"/>
              </w:rPr>
            </w:pPr>
            <w:r>
              <w:rPr>
                <w:rFonts w:hint="eastAsia" w:hAnsi="宋体"/>
                <w:color w:val="auto"/>
                <w:sz w:val="24"/>
                <w:szCs w:val="24"/>
                <w:highlight w:val="none"/>
              </w:rPr>
              <w:t>内    容</w:t>
            </w:r>
          </w:p>
        </w:tc>
      </w:tr>
      <w:tr w14:paraId="116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351EF512">
            <w:pPr>
              <w:pStyle w:val="71"/>
              <w:spacing w:line="360" w:lineRule="auto"/>
              <w:jc w:val="center"/>
              <w:rPr>
                <w:rFonts w:hAnsi="宋体"/>
                <w:color w:val="auto"/>
                <w:sz w:val="24"/>
                <w:szCs w:val="24"/>
                <w:highlight w:val="none"/>
              </w:rPr>
            </w:pPr>
            <w:r>
              <w:rPr>
                <w:rFonts w:hint="eastAsia" w:hAnsi="宋体"/>
                <w:color w:val="auto"/>
                <w:sz w:val="24"/>
                <w:szCs w:val="24"/>
                <w:highlight w:val="none"/>
              </w:rPr>
              <w:t>1</w:t>
            </w:r>
          </w:p>
        </w:tc>
        <w:tc>
          <w:tcPr>
            <w:tcW w:w="1284" w:type="dxa"/>
            <w:vAlign w:val="center"/>
          </w:tcPr>
          <w:p w14:paraId="3ABF06BE">
            <w:pPr>
              <w:pStyle w:val="71"/>
              <w:spacing w:line="360" w:lineRule="auto"/>
              <w:jc w:val="center"/>
              <w:rPr>
                <w:rFonts w:hAnsi="宋体"/>
                <w:color w:val="auto"/>
                <w:sz w:val="24"/>
                <w:szCs w:val="24"/>
                <w:highlight w:val="none"/>
              </w:rPr>
            </w:pPr>
            <w:r>
              <w:rPr>
                <w:rFonts w:hint="eastAsia" w:hAnsi="宋体"/>
                <w:color w:val="auto"/>
                <w:sz w:val="24"/>
                <w:szCs w:val="24"/>
                <w:highlight w:val="none"/>
              </w:rPr>
              <w:t>项目名称及编号</w:t>
            </w:r>
          </w:p>
        </w:tc>
        <w:tc>
          <w:tcPr>
            <w:tcW w:w="8781" w:type="dxa"/>
            <w:vAlign w:val="center"/>
          </w:tcPr>
          <w:p w14:paraId="4D26B850">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工程名称：</w:t>
            </w:r>
            <w:r>
              <w:rPr>
                <w:rFonts w:hint="eastAsia" w:ascii="宋体" w:hAnsi="宋体" w:cs="宋体"/>
                <w:color w:val="auto"/>
                <w:spacing w:val="2"/>
                <w:sz w:val="24"/>
                <w:highlight w:val="none"/>
                <w:lang w:eastAsia="zh-CN"/>
              </w:rPr>
              <w:t>银滩镇禾沟村委后背岭种植园区产业路项目</w:t>
            </w:r>
            <w:r>
              <w:rPr>
                <w:rFonts w:hint="eastAsia" w:ascii="宋体" w:hAnsi="宋体" w:cs="宋体"/>
                <w:color w:val="auto"/>
                <w:sz w:val="24"/>
                <w:highlight w:val="none"/>
              </w:rPr>
              <w:t xml:space="preserve"> </w:t>
            </w:r>
          </w:p>
          <w:p w14:paraId="47CD0F68">
            <w:pPr>
              <w:spacing w:line="360" w:lineRule="auto"/>
              <w:rPr>
                <w:rFonts w:hint="eastAsia" w:ascii="宋体" w:hAnsi="宋体" w:eastAsia="宋体" w:cs="宋体"/>
                <w:color w:val="auto"/>
                <w:sz w:val="24"/>
                <w:highlight w:val="none"/>
                <w:lang w:eastAsia="zh-CN"/>
              </w:rPr>
            </w:pPr>
            <w:r>
              <w:rPr>
                <w:rFonts w:hint="eastAsia" w:ascii="宋体" w:hAnsi="宋体" w:cs="宋体"/>
                <w:color w:val="auto"/>
                <w:spacing w:val="2"/>
                <w:sz w:val="24"/>
                <w:highlight w:val="none"/>
              </w:rPr>
              <w:t>项目编号：BHZC2026-C2-030052-GXKL</w:t>
            </w:r>
          </w:p>
          <w:p w14:paraId="4320CB23">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建设地点：</w:t>
            </w:r>
            <w:r>
              <w:rPr>
                <w:rFonts w:hint="eastAsia" w:hAnsi="宋体" w:cs="宋体"/>
                <w:bCs/>
                <w:color w:val="auto"/>
                <w:sz w:val="24"/>
                <w:highlight w:val="none"/>
                <w:lang w:eastAsia="zh-CN"/>
              </w:rPr>
              <w:t>北海市银海区</w:t>
            </w:r>
            <w:r>
              <w:rPr>
                <w:rFonts w:hint="eastAsia" w:ascii="宋体" w:hAnsi="宋体" w:cs="宋体"/>
                <w:color w:val="auto"/>
                <w:sz w:val="24"/>
                <w:highlight w:val="none"/>
              </w:rPr>
              <w:t xml:space="preserve"> </w:t>
            </w:r>
          </w:p>
          <w:p w14:paraId="21A75D6A">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发包方式：包工包料</w:t>
            </w:r>
          </w:p>
          <w:p w14:paraId="1E0C46EE">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工程质量要求：达到国家工程施工验收规范合格标准</w:t>
            </w:r>
          </w:p>
          <w:p w14:paraId="1C5B25AD">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要求工期：自合同签订之日起</w:t>
            </w:r>
            <w:r>
              <w:rPr>
                <w:rFonts w:hint="eastAsia" w:ascii="宋体" w:hAnsi="宋体" w:cs="宋体"/>
                <w:color w:val="auto"/>
                <w:spacing w:val="2"/>
                <w:sz w:val="24"/>
                <w:highlight w:val="none"/>
                <w:lang w:eastAsia="zh-CN"/>
              </w:rPr>
              <w:t>60天内</w:t>
            </w:r>
            <w:r>
              <w:rPr>
                <w:rFonts w:hint="eastAsia" w:ascii="宋体" w:hAnsi="宋体" w:cs="宋体"/>
                <w:color w:val="auto"/>
                <w:spacing w:val="2"/>
                <w:sz w:val="24"/>
                <w:highlight w:val="none"/>
              </w:rPr>
              <w:t xml:space="preserve">竣工验收并交付使用。 </w:t>
            </w:r>
          </w:p>
          <w:p w14:paraId="4BCA2C81">
            <w:pPr>
              <w:pStyle w:val="71"/>
              <w:spacing w:line="360" w:lineRule="auto"/>
              <w:rPr>
                <w:rFonts w:hAnsi="宋体"/>
                <w:color w:val="auto"/>
                <w:sz w:val="24"/>
                <w:szCs w:val="24"/>
                <w:highlight w:val="none"/>
              </w:rPr>
            </w:pPr>
            <w:r>
              <w:rPr>
                <w:rFonts w:hint="eastAsia" w:hAnsi="宋体" w:cs="宋体"/>
                <w:color w:val="auto"/>
                <w:spacing w:val="2"/>
                <w:sz w:val="24"/>
                <w:szCs w:val="24"/>
                <w:highlight w:val="none"/>
              </w:rPr>
              <w:t>采购范围：</w:t>
            </w:r>
            <w:r>
              <w:rPr>
                <w:rFonts w:hint="eastAsia" w:hAnsi="宋体" w:cs="宋体"/>
                <w:color w:val="auto"/>
                <w:spacing w:val="2"/>
                <w:sz w:val="24"/>
                <w:szCs w:val="24"/>
                <w:highlight w:val="none"/>
                <w:lang w:eastAsia="zh-CN"/>
              </w:rPr>
              <w:t>本工程位于北海市银海区，路面结构为水泥混凝土路面，道路工程等级为等外级乡村道路，主要建设内容为混凝土道路及交通工程，设计路线总长为1596.021米，采用单幅路横断面型式，路面宽度3.5米，路基宽度4.5米；如需进一步了解详细内容，详见工程量清单。</w:t>
            </w:r>
            <w:r>
              <w:rPr>
                <w:rFonts w:hint="eastAsia" w:hAnsi="宋体" w:cs="宋体"/>
                <w:color w:val="auto"/>
                <w:spacing w:val="2"/>
                <w:sz w:val="24"/>
                <w:szCs w:val="24"/>
                <w:highlight w:val="none"/>
              </w:rPr>
              <w:t xml:space="preserve"> </w:t>
            </w:r>
          </w:p>
        </w:tc>
      </w:tr>
      <w:tr w14:paraId="2EE0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606AFC9A">
            <w:pPr>
              <w:pStyle w:val="71"/>
              <w:spacing w:line="360" w:lineRule="auto"/>
              <w:jc w:val="center"/>
              <w:rPr>
                <w:rFonts w:hAnsi="宋体"/>
                <w:color w:val="auto"/>
                <w:sz w:val="24"/>
                <w:szCs w:val="24"/>
                <w:highlight w:val="none"/>
              </w:rPr>
            </w:pPr>
            <w:r>
              <w:rPr>
                <w:rFonts w:hint="eastAsia" w:hAnsi="宋体"/>
                <w:color w:val="auto"/>
                <w:sz w:val="24"/>
                <w:szCs w:val="24"/>
                <w:highlight w:val="none"/>
              </w:rPr>
              <w:t>2</w:t>
            </w:r>
          </w:p>
        </w:tc>
        <w:tc>
          <w:tcPr>
            <w:tcW w:w="1284" w:type="dxa"/>
            <w:vAlign w:val="center"/>
          </w:tcPr>
          <w:p w14:paraId="43A51D8B">
            <w:pPr>
              <w:pStyle w:val="71"/>
              <w:spacing w:line="360" w:lineRule="auto"/>
              <w:rPr>
                <w:rFonts w:hAnsi="宋体"/>
                <w:color w:val="auto"/>
                <w:sz w:val="24"/>
                <w:szCs w:val="24"/>
                <w:highlight w:val="none"/>
              </w:rPr>
            </w:pPr>
            <w:r>
              <w:rPr>
                <w:rFonts w:hint="eastAsia" w:hAnsi="宋体"/>
                <w:color w:val="auto"/>
                <w:sz w:val="24"/>
                <w:szCs w:val="24"/>
                <w:highlight w:val="none"/>
              </w:rPr>
              <w:t>资金来源</w:t>
            </w:r>
          </w:p>
        </w:tc>
        <w:tc>
          <w:tcPr>
            <w:tcW w:w="8781" w:type="dxa"/>
            <w:vAlign w:val="center"/>
          </w:tcPr>
          <w:p w14:paraId="5CCF147E">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本工程的资金来源为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u w:val="single"/>
                <w:lang w:val="en-US" w:eastAsia="zh-CN"/>
              </w:rPr>
              <w:t>财政资金</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，资金已落实，并将资金用于本工程合同项下的合格支付。</w:t>
            </w:r>
          </w:p>
          <w:p w14:paraId="194997CD">
            <w:pPr>
              <w:pStyle w:val="71"/>
              <w:spacing w:line="360" w:lineRule="auto"/>
              <w:rPr>
                <w:rFonts w:hAnsi="宋体" w:cs="宋体"/>
                <w:color w:val="auto"/>
                <w:spacing w:val="2"/>
                <w:sz w:val="24"/>
                <w:szCs w:val="24"/>
                <w:highlight w:val="none"/>
              </w:rPr>
            </w:pPr>
            <w:r>
              <w:rPr>
                <w:rFonts w:hint="eastAsia" w:hAnsi="宋体" w:cs="宋体"/>
                <w:color w:val="auto"/>
                <w:spacing w:val="2"/>
                <w:sz w:val="24"/>
                <w:szCs w:val="24"/>
                <w:highlight w:val="none"/>
              </w:rPr>
              <w:t>本项目采购预算控制价:</w:t>
            </w:r>
            <w:r>
              <w:rPr>
                <w:rFonts w:hint="eastAsia" w:hAnsi="宋体" w:cs="宋体"/>
                <w:color w:val="auto"/>
                <w:spacing w:val="2"/>
                <w:sz w:val="24"/>
                <w:szCs w:val="24"/>
                <w:highlight w:val="none"/>
                <w:lang w:eastAsia="zh-CN"/>
              </w:rPr>
              <w:t>921180.54</w:t>
            </w:r>
            <w:r>
              <w:rPr>
                <w:rFonts w:hint="eastAsia" w:hAnsi="宋体" w:cs="宋体"/>
                <w:color w:val="auto"/>
                <w:spacing w:val="2"/>
                <w:sz w:val="24"/>
                <w:szCs w:val="24"/>
                <w:highlight w:val="none"/>
                <w:lang w:val="en-US" w:eastAsia="zh-CN"/>
              </w:rPr>
              <w:t>元</w:t>
            </w:r>
            <w:r>
              <w:rPr>
                <w:rFonts w:hint="eastAsia" w:hAnsi="宋体" w:cs="宋体"/>
                <w:color w:val="auto"/>
                <w:spacing w:val="2"/>
                <w:sz w:val="24"/>
                <w:szCs w:val="24"/>
                <w:highlight w:val="none"/>
              </w:rPr>
              <w:t xml:space="preserve">  </w:t>
            </w:r>
          </w:p>
        </w:tc>
      </w:tr>
      <w:tr w14:paraId="5149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2B8F837D">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284" w:type="dxa"/>
            <w:vAlign w:val="center"/>
          </w:tcPr>
          <w:p w14:paraId="475554B0">
            <w:pPr>
              <w:pStyle w:val="97"/>
              <w:ind w:firstLine="0"/>
              <w:jc w:val="center"/>
              <w:rPr>
                <w:color w:val="auto"/>
                <w:highlight w:val="none"/>
              </w:rPr>
            </w:pPr>
            <w:r>
              <w:rPr>
                <w:rFonts w:hint="eastAsia"/>
                <w:color w:val="auto"/>
                <w:highlight w:val="none"/>
              </w:rPr>
              <w:t>采购标的及其对应的中小企业划分标准所属行业</w:t>
            </w:r>
          </w:p>
        </w:tc>
        <w:tc>
          <w:tcPr>
            <w:tcW w:w="8781" w:type="dxa"/>
            <w:vAlign w:val="center"/>
          </w:tcPr>
          <w:p w14:paraId="3BB91AAF">
            <w:pPr>
              <w:pStyle w:val="97"/>
              <w:rPr>
                <w:color w:val="auto"/>
                <w:highlight w:val="none"/>
              </w:rPr>
            </w:pPr>
            <w:r>
              <w:rPr>
                <w:rFonts w:hint="eastAsia"/>
                <w:color w:val="auto"/>
                <w:highlight w:val="none"/>
              </w:rPr>
              <w:t>标的：</w:t>
            </w:r>
            <w:r>
              <w:rPr>
                <w:rFonts w:hint="eastAsia"/>
                <w:color w:val="auto"/>
                <w:highlight w:val="none"/>
                <w:u w:val="single"/>
              </w:rPr>
              <w:t xml:space="preserve"> </w:t>
            </w:r>
            <w:r>
              <w:rPr>
                <w:rFonts w:hint="eastAsia"/>
                <w:color w:val="auto"/>
                <w:highlight w:val="none"/>
                <w:u w:val="single"/>
                <w:lang w:eastAsia="zh-CN"/>
              </w:rPr>
              <w:t>银滩镇禾沟村委后背岭种植园区产业路项目</w:t>
            </w:r>
            <w:r>
              <w:rPr>
                <w:rFonts w:hint="eastAsia"/>
                <w:color w:val="auto"/>
                <w:highlight w:val="none"/>
                <w:u w:val="single"/>
              </w:rPr>
              <w:t xml:space="preserve"> </w:t>
            </w:r>
            <w:r>
              <w:rPr>
                <w:rFonts w:hint="eastAsia"/>
                <w:color w:val="auto"/>
                <w:highlight w:val="none"/>
              </w:rPr>
              <w:t>，属于</w:t>
            </w:r>
            <w:r>
              <w:rPr>
                <w:rFonts w:hint="eastAsia"/>
                <w:color w:val="auto"/>
                <w:highlight w:val="none"/>
                <w:u w:val="single"/>
              </w:rPr>
              <w:t xml:space="preserve"> 建筑业 </w:t>
            </w:r>
            <w:r>
              <w:rPr>
                <w:rFonts w:hint="eastAsia"/>
                <w:color w:val="auto"/>
                <w:highlight w:val="none"/>
              </w:rPr>
              <w:t>行业；</w:t>
            </w:r>
          </w:p>
        </w:tc>
      </w:tr>
      <w:tr w14:paraId="76DC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637" w:type="dxa"/>
            <w:vAlign w:val="center"/>
          </w:tcPr>
          <w:p w14:paraId="625C1823">
            <w:pPr>
              <w:pStyle w:val="71"/>
              <w:spacing w:line="360" w:lineRule="auto"/>
              <w:jc w:val="center"/>
              <w:rPr>
                <w:rFonts w:hAnsi="宋体"/>
                <w:color w:val="auto"/>
                <w:sz w:val="24"/>
                <w:szCs w:val="24"/>
                <w:highlight w:val="none"/>
              </w:rPr>
            </w:pPr>
            <w:r>
              <w:rPr>
                <w:rFonts w:hint="eastAsia" w:hAnsi="宋体"/>
                <w:color w:val="auto"/>
                <w:sz w:val="24"/>
                <w:szCs w:val="24"/>
                <w:highlight w:val="none"/>
              </w:rPr>
              <w:t>4</w:t>
            </w:r>
          </w:p>
        </w:tc>
        <w:tc>
          <w:tcPr>
            <w:tcW w:w="1284" w:type="dxa"/>
            <w:vAlign w:val="center"/>
          </w:tcPr>
          <w:p w14:paraId="0A0F7F77">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磋商供应商资格</w:t>
            </w:r>
          </w:p>
        </w:tc>
        <w:tc>
          <w:tcPr>
            <w:tcW w:w="8781" w:type="dxa"/>
            <w:vAlign w:val="center"/>
          </w:tcPr>
          <w:p w14:paraId="70781C5B">
            <w:pPr>
              <w:widowControl/>
              <w:adjustRightInd w:val="0"/>
              <w:snapToGrid w:val="0"/>
              <w:spacing w:line="360" w:lineRule="auto"/>
              <w:rPr>
                <w:rFonts w:ascii="宋体" w:hAnsi="宋体"/>
                <w:color w:val="auto"/>
                <w:sz w:val="24"/>
                <w:highlight w:val="none"/>
              </w:rPr>
            </w:pPr>
            <w:r>
              <w:rPr>
                <w:rFonts w:hint="eastAsia" w:ascii="宋体" w:hAnsi="宋体"/>
                <w:color w:val="auto"/>
                <w:sz w:val="24"/>
                <w:highlight w:val="none"/>
              </w:rPr>
              <w:t>磋商供应商资格要求：</w:t>
            </w:r>
          </w:p>
          <w:p w14:paraId="4A6E9A1B">
            <w:pPr>
              <w:adjustRightInd w:val="0"/>
              <w:spacing w:line="360" w:lineRule="auto"/>
              <w:rPr>
                <w:rFonts w:ascii="宋体" w:hAnsi="宋体" w:cs="宋体"/>
                <w:snapToGrid w:val="0"/>
                <w:color w:val="auto"/>
                <w:kern w:val="28"/>
                <w:sz w:val="24"/>
                <w:highlight w:val="none"/>
              </w:rPr>
            </w:pPr>
            <w:r>
              <w:rPr>
                <w:rFonts w:hint="eastAsia" w:ascii="宋体" w:hAnsi="宋体" w:cs="宋体"/>
                <w:snapToGrid w:val="0"/>
                <w:color w:val="auto"/>
                <w:kern w:val="28"/>
                <w:sz w:val="24"/>
                <w:highlight w:val="none"/>
              </w:rPr>
              <w:t>1.满足《中华人民共和国政府采购法》第二十二条规定；</w:t>
            </w:r>
          </w:p>
          <w:p w14:paraId="64EED604">
            <w:pPr>
              <w:adjustRightInd w:val="0"/>
              <w:spacing w:line="360" w:lineRule="auto"/>
              <w:rPr>
                <w:rFonts w:hint="eastAsia" w:ascii="宋体" w:hAnsi="宋体" w:eastAsia="宋体" w:cs="宋体"/>
                <w:color w:val="auto"/>
                <w:sz w:val="24"/>
                <w:highlight w:val="none"/>
                <w:lang w:eastAsia="zh-CN"/>
              </w:rPr>
            </w:pPr>
            <w:r>
              <w:rPr>
                <w:rFonts w:ascii="宋体" w:hAnsi="宋体" w:cs="宋体"/>
                <w:snapToGrid w:val="0"/>
                <w:color w:val="auto"/>
                <w:kern w:val="28"/>
                <w:sz w:val="24"/>
                <w:highlight w:val="none"/>
              </w:rPr>
              <w:t>3</w:t>
            </w:r>
            <w:r>
              <w:rPr>
                <w:rFonts w:hint="eastAsia" w:ascii="宋体" w:hAnsi="宋体" w:cs="宋体"/>
                <w:snapToGrid w:val="0"/>
                <w:color w:val="auto"/>
                <w:kern w:val="28"/>
                <w:sz w:val="24"/>
                <w:highlight w:val="none"/>
              </w:rPr>
              <w:t>.落实政府采购政策需满足的资格要求：</w:t>
            </w:r>
            <w:r>
              <w:rPr>
                <w:rFonts w:hint="eastAsia" w:ascii="宋体" w:hAnsi="宋体" w:cs="宋体"/>
                <w:color w:val="auto"/>
                <w:kern w:val="0"/>
                <w:sz w:val="24"/>
                <w:highlight w:val="none"/>
              </w:rPr>
              <w:t>专</w:t>
            </w:r>
            <w:r>
              <w:rPr>
                <w:rFonts w:hint="eastAsia" w:ascii="宋体" w:hAnsi="宋体" w:cs="宋体"/>
                <w:color w:val="auto"/>
                <w:sz w:val="24"/>
                <w:highlight w:val="none"/>
              </w:rPr>
              <w:t>门面向</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r>
              <w:rPr>
                <w:rFonts w:hint="eastAsia" w:ascii="宋体" w:hAnsi="宋体" w:cs="宋体"/>
                <w:color w:val="auto"/>
                <w:sz w:val="24"/>
                <w:highlight w:val="none"/>
                <w:lang w:eastAsia="zh-CN"/>
              </w:rPr>
              <w:t>，</w:t>
            </w:r>
            <w:r>
              <w:rPr>
                <w:rFonts w:hint="eastAsia" w:ascii="MS Mincho" w:hAnsi="MS Mincho" w:cs="MS Mincho"/>
                <w:color w:val="auto"/>
                <w:sz w:val="24"/>
                <w:highlight w:val="none"/>
                <w:lang w:val="en-US" w:eastAsia="zh-CN"/>
              </w:rPr>
              <w:t>工程</w:t>
            </w:r>
            <w:r>
              <w:rPr>
                <w:rFonts w:hint="eastAsia" w:ascii="宋体" w:hAnsi="宋体" w:cs="宋体"/>
                <w:color w:val="auto"/>
                <w:sz w:val="24"/>
                <w:highlight w:val="none"/>
              </w:rPr>
              <w:t>全部由符合政策要求的</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企业承接</w:t>
            </w:r>
            <w:r>
              <w:rPr>
                <w:rFonts w:hint="eastAsia" w:ascii="宋体" w:hAnsi="宋体" w:cs="宋体"/>
                <w:color w:val="auto"/>
                <w:sz w:val="24"/>
                <w:highlight w:val="none"/>
                <w:lang w:eastAsia="zh-CN"/>
              </w:rPr>
              <w:t>；</w:t>
            </w:r>
          </w:p>
          <w:p w14:paraId="786CAE52">
            <w:pPr>
              <w:spacing w:line="360" w:lineRule="auto"/>
              <w:jc w:val="left"/>
              <w:rPr>
                <w:rFonts w:hint="eastAsia" w:ascii="宋体" w:hAnsi="宋体" w:eastAsia="宋体" w:cs="宋体"/>
                <w:color w:val="auto"/>
                <w:sz w:val="24"/>
                <w:highlight w:val="none"/>
                <w:lang w:eastAsia="zh-CN"/>
              </w:rPr>
            </w:pPr>
            <w:r>
              <w:rPr>
                <w:rFonts w:ascii="宋体" w:hAnsi="宋体" w:cs="宋体"/>
                <w:color w:val="auto"/>
                <w:sz w:val="24"/>
                <w:highlight w:val="none"/>
              </w:rPr>
              <w:t>4</w:t>
            </w:r>
            <w:r>
              <w:rPr>
                <w:rFonts w:hint="eastAsia" w:ascii="宋体" w:hAnsi="宋体" w:cs="宋体"/>
                <w:color w:val="auto"/>
                <w:sz w:val="24"/>
                <w:highlight w:val="none"/>
              </w:rPr>
              <w:t>.本项目的特定资格要求：供应商须具备</w:t>
            </w:r>
            <w:r>
              <w:rPr>
                <w:rFonts w:hint="eastAsia" w:ascii="宋体" w:hAnsi="宋体" w:cs="宋体"/>
                <w:color w:val="auto"/>
                <w:sz w:val="24"/>
                <w:highlight w:val="none"/>
                <w:lang w:val="en-US" w:eastAsia="zh-CN"/>
              </w:rPr>
              <w:t>市政公用工程施工</w:t>
            </w:r>
            <w:r>
              <w:rPr>
                <w:rFonts w:hint="eastAsia" w:ascii="宋体" w:hAnsi="宋体" w:cs="宋体"/>
                <w:color w:val="auto"/>
                <w:sz w:val="24"/>
                <w:highlight w:val="none"/>
                <w:lang w:eastAsia="zh-CN"/>
              </w:rPr>
              <w:t>总承包贰级</w:t>
            </w:r>
            <w:r>
              <w:rPr>
                <w:rFonts w:hint="eastAsia" w:ascii="宋体" w:hAnsi="宋体" w:cs="宋体"/>
                <w:color w:val="auto"/>
                <w:sz w:val="24"/>
                <w:highlight w:val="none"/>
              </w:rPr>
              <w:t>（含）以上资质，并持有有效的安全生产许可证，并在人员、设备、资金等方面具备相应的施工能力</w:t>
            </w:r>
            <w:r>
              <w:rPr>
                <w:rFonts w:hint="eastAsia" w:ascii="宋体" w:hAnsi="宋体" w:cs="宋体"/>
                <w:color w:val="auto"/>
                <w:sz w:val="24"/>
                <w:highlight w:val="none"/>
                <w:lang w:eastAsia="zh-CN"/>
              </w:rPr>
              <w:t>。</w:t>
            </w:r>
          </w:p>
        </w:tc>
      </w:tr>
      <w:tr w14:paraId="7C78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6DBCE93F">
            <w:pPr>
              <w:pStyle w:val="71"/>
              <w:spacing w:line="360" w:lineRule="auto"/>
              <w:jc w:val="center"/>
              <w:rPr>
                <w:rFonts w:hAnsi="宋体"/>
                <w:color w:val="auto"/>
                <w:sz w:val="24"/>
                <w:szCs w:val="24"/>
                <w:highlight w:val="none"/>
              </w:rPr>
            </w:pPr>
            <w:r>
              <w:rPr>
                <w:rFonts w:hint="eastAsia" w:hAnsi="宋体"/>
                <w:color w:val="auto"/>
                <w:sz w:val="24"/>
                <w:szCs w:val="24"/>
                <w:highlight w:val="none"/>
              </w:rPr>
              <w:t>5</w:t>
            </w:r>
          </w:p>
        </w:tc>
        <w:tc>
          <w:tcPr>
            <w:tcW w:w="1284" w:type="dxa"/>
            <w:vAlign w:val="center"/>
          </w:tcPr>
          <w:p w14:paraId="19E284E3">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磋商保证金</w:t>
            </w:r>
          </w:p>
        </w:tc>
        <w:tc>
          <w:tcPr>
            <w:tcW w:w="8781" w:type="dxa"/>
            <w:tcBorders>
              <w:top w:val="single" w:color="auto" w:sz="4" w:space="0"/>
              <w:left w:val="single" w:color="auto" w:sz="4" w:space="0"/>
              <w:bottom w:val="single" w:color="auto" w:sz="4" w:space="0"/>
              <w:right w:val="single" w:color="auto" w:sz="4" w:space="0"/>
            </w:tcBorders>
            <w:vAlign w:val="center"/>
          </w:tcPr>
          <w:p w14:paraId="4808D156">
            <w:pPr>
              <w:snapToGrid w:val="0"/>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本项目不收取磋商保证金</w:t>
            </w:r>
          </w:p>
        </w:tc>
      </w:tr>
      <w:tr w14:paraId="7A33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78355B3F">
            <w:pPr>
              <w:pStyle w:val="71"/>
              <w:spacing w:line="360" w:lineRule="auto"/>
              <w:jc w:val="center"/>
              <w:rPr>
                <w:rFonts w:hAnsi="宋体"/>
                <w:color w:val="auto"/>
                <w:sz w:val="24"/>
                <w:szCs w:val="24"/>
                <w:highlight w:val="none"/>
              </w:rPr>
            </w:pPr>
            <w:r>
              <w:rPr>
                <w:rFonts w:hint="eastAsia" w:hAnsi="宋体"/>
                <w:color w:val="auto"/>
                <w:sz w:val="24"/>
                <w:szCs w:val="24"/>
                <w:highlight w:val="none"/>
              </w:rPr>
              <w:t>6</w:t>
            </w:r>
          </w:p>
        </w:tc>
        <w:tc>
          <w:tcPr>
            <w:tcW w:w="1284" w:type="dxa"/>
            <w:vAlign w:val="center"/>
          </w:tcPr>
          <w:p w14:paraId="49C9E1AA">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分包</w:t>
            </w:r>
          </w:p>
        </w:tc>
        <w:tc>
          <w:tcPr>
            <w:tcW w:w="8781" w:type="dxa"/>
            <w:tcBorders>
              <w:top w:val="single" w:color="auto" w:sz="4" w:space="0"/>
              <w:left w:val="single" w:color="auto" w:sz="4" w:space="0"/>
              <w:bottom w:val="single" w:color="auto" w:sz="4" w:space="0"/>
              <w:right w:val="single" w:color="auto" w:sz="4" w:space="0"/>
            </w:tcBorders>
            <w:vAlign w:val="center"/>
          </w:tcPr>
          <w:p w14:paraId="20BC4064">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A8"/>
            </w:r>
            <w:r>
              <w:rPr>
                <w:rFonts w:hint="eastAsia" w:ascii="宋体" w:hAnsi="宋体" w:cs="宋体"/>
                <w:color w:val="auto"/>
                <w:sz w:val="24"/>
                <w:highlight w:val="none"/>
              </w:rPr>
              <w:t>同意将非主体、非关键性的工作分包。</w:t>
            </w:r>
          </w:p>
          <w:p w14:paraId="70B1EDD2">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FE"/>
            </w:r>
            <w:r>
              <w:rPr>
                <w:rFonts w:hint="eastAsia" w:ascii="宋体" w:hAnsi="宋体" w:cs="宋体"/>
                <w:color w:val="auto"/>
                <w:sz w:val="24"/>
                <w:highlight w:val="none"/>
              </w:rPr>
              <w:t>不同意分包。</w:t>
            </w:r>
          </w:p>
        </w:tc>
      </w:tr>
      <w:tr w14:paraId="6C54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2D712E43">
            <w:pPr>
              <w:pStyle w:val="71"/>
              <w:spacing w:line="360" w:lineRule="auto"/>
              <w:jc w:val="center"/>
              <w:rPr>
                <w:rFonts w:hAnsi="宋体"/>
                <w:color w:val="auto"/>
                <w:sz w:val="24"/>
                <w:szCs w:val="24"/>
                <w:highlight w:val="none"/>
              </w:rPr>
            </w:pPr>
            <w:r>
              <w:rPr>
                <w:rFonts w:hint="eastAsia" w:hAnsi="宋体"/>
                <w:color w:val="auto"/>
                <w:sz w:val="24"/>
                <w:szCs w:val="24"/>
                <w:highlight w:val="none"/>
              </w:rPr>
              <w:t>7</w:t>
            </w:r>
          </w:p>
        </w:tc>
        <w:tc>
          <w:tcPr>
            <w:tcW w:w="1284" w:type="dxa"/>
            <w:vAlign w:val="center"/>
          </w:tcPr>
          <w:p w14:paraId="6B48DC66">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报价要求</w:t>
            </w:r>
          </w:p>
        </w:tc>
        <w:tc>
          <w:tcPr>
            <w:tcW w:w="8781" w:type="dxa"/>
            <w:vAlign w:val="center"/>
          </w:tcPr>
          <w:p w14:paraId="6C581B67">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rPr>
              <w:t>供应商应就《采购需求》中所有的服务内容作完整唯一报价。</w:t>
            </w:r>
          </w:p>
        </w:tc>
      </w:tr>
      <w:tr w14:paraId="3F4A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637" w:type="dxa"/>
            <w:vAlign w:val="center"/>
          </w:tcPr>
          <w:p w14:paraId="2B52870D">
            <w:pPr>
              <w:pStyle w:val="71"/>
              <w:spacing w:line="360" w:lineRule="auto"/>
              <w:jc w:val="center"/>
              <w:rPr>
                <w:rFonts w:hAnsi="宋体"/>
                <w:color w:val="auto"/>
                <w:sz w:val="24"/>
                <w:szCs w:val="24"/>
                <w:highlight w:val="none"/>
              </w:rPr>
            </w:pPr>
            <w:r>
              <w:rPr>
                <w:rFonts w:hint="eastAsia" w:hAnsi="宋体"/>
                <w:color w:val="auto"/>
                <w:sz w:val="24"/>
                <w:szCs w:val="24"/>
                <w:highlight w:val="none"/>
              </w:rPr>
              <w:t>8</w:t>
            </w:r>
          </w:p>
        </w:tc>
        <w:tc>
          <w:tcPr>
            <w:tcW w:w="1284" w:type="dxa"/>
            <w:vAlign w:val="center"/>
          </w:tcPr>
          <w:p w14:paraId="006D87A1">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磋商前准备</w:t>
            </w:r>
          </w:p>
        </w:tc>
        <w:tc>
          <w:tcPr>
            <w:tcW w:w="8781" w:type="dxa"/>
            <w:vAlign w:val="center"/>
          </w:tcPr>
          <w:p w14:paraId="7509B2BD">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1.</w:t>
            </w:r>
            <w:r>
              <w:rPr>
                <w:rFonts w:ascii="宋体" w:hAnsi="宋体"/>
                <w:color w:val="auto"/>
                <w:kern w:val="0"/>
                <w:sz w:val="24"/>
                <w:highlight w:val="none"/>
              </w:rPr>
              <w:t>本项目实行网上</w:t>
            </w:r>
            <w:r>
              <w:rPr>
                <w:rFonts w:hint="eastAsia" w:ascii="宋体" w:hAnsi="宋体"/>
                <w:color w:val="auto"/>
                <w:kern w:val="0"/>
                <w:sz w:val="24"/>
                <w:highlight w:val="none"/>
              </w:rPr>
              <w:t>磋商</w:t>
            </w:r>
            <w:r>
              <w:rPr>
                <w:rFonts w:ascii="宋体" w:hAnsi="宋体"/>
                <w:color w:val="auto"/>
                <w:kern w:val="0"/>
                <w:sz w:val="24"/>
                <w:highlight w:val="none"/>
              </w:rPr>
              <w:t>，采用电子</w:t>
            </w:r>
            <w:r>
              <w:rPr>
                <w:rFonts w:hint="eastAsia" w:ascii="宋体" w:hAnsi="宋体"/>
                <w:color w:val="auto"/>
                <w:kern w:val="0"/>
                <w:sz w:val="24"/>
                <w:highlight w:val="none"/>
              </w:rPr>
              <w:t>磋商响应</w:t>
            </w:r>
            <w:r>
              <w:rPr>
                <w:rFonts w:ascii="宋体" w:hAnsi="宋体"/>
                <w:color w:val="auto"/>
                <w:kern w:val="0"/>
                <w:sz w:val="24"/>
                <w:highlight w:val="none"/>
              </w:rPr>
              <w:t>文件。若供应商参与</w:t>
            </w:r>
            <w:r>
              <w:rPr>
                <w:rFonts w:hint="eastAsia" w:ascii="宋体" w:hAnsi="宋体"/>
                <w:color w:val="auto"/>
                <w:kern w:val="0"/>
                <w:sz w:val="24"/>
                <w:highlight w:val="none"/>
              </w:rPr>
              <w:t>磋商</w:t>
            </w:r>
            <w:r>
              <w:rPr>
                <w:rFonts w:ascii="宋体" w:hAnsi="宋体"/>
                <w:color w:val="auto"/>
                <w:kern w:val="0"/>
                <w:sz w:val="24"/>
                <w:highlight w:val="none"/>
              </w:rPr>
              <w:t>，自行承担</w:t>
            </w:r>
            <w:r>
              <w:rPr>
                <w:rFonts w:hint="eastAsia" w:ascii="宋体" w:hAnsi="宋体"/>
                <w:color w:val="auto"/>
                <w:kern w:val="0"/>
                <w:sz w:val="24"/>
                <w:highlight w:val="none"/>
              </w:rPr>
              <w:t>磋商</w:t>
            </w:r>
            <w:r>
              <w:rPr>
                <w:rFonts w:ascii="宋体" w:hAnsi="宋体"/>
                <w:color w:val="auto"/>
                <w:kern w:val="0"/>
                <w:sz w:val="24"/>
                <w:highlight w:val="none"/>
              </w:rPr>
              <w:t>一切费用</w:t>
            </w:r>
            <w:r>
              <w:rPr>
                <w:rFonts w:hint="eastAsia" w:ascii="宋体" w:hAnsi="宋体"/>
                <w:color w:val="auto"/>
                <w:kern w:val="0"/>
                <w:sz w:val="24"/>
                <w:highlight w:val="none"/>
              </w:rPr>
              <w:t>。</w:t>
            </w:r>
          </w:p>
          <w:p w14:paraId="01DE1713">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各供应商应在</w:t>
            </w:r>
            <w:r>
              <w:rPr>
                <w:rFonts w:hint="eastAsia" w:ascii="宋体" w:hAnsi="宋体"/>
                <w:color w:val="auto"/>
                <w:kern w:val="0"/>
                <w:sz w:val="24"/>
                <w:highlight w:val="none"/>
              </w:rPr>
              <w:t>截</w:t>
            </w:r>
            <w:r>
              <w:rPr>
                <w:rFonts w:ascii="宋体" w:hAnsi="宋体"/>
                <w:color w:val="auto"/>
                <w:kern w:val="0"/>
                <w:sz w:val="24"/>
                <w:highlight w:val="none"/>
              </w:rPr>
              <w:t>标前应确保成为</w:t>
            </w:r>
            <w:r>
              <w:rPr>
                <w:rFonts w:hint="eastAsia" w:ascii="宋体" w:hAnsi="宋体"/>
                <w:color w:val="auto"/>
                <w:kern w:val="0"/>
                <w:sz w:val="24"/>
                <w:highlight w:val="none"/>
              </w:rPr>
              <w:t>“广西政府采购云平台”</w:t>
            </w:r>
            <w:r>
              <w:rPr>
                <w:rFonts w:ascii="宋体" w:hAnsi="宋体"/>
                <w:color w:val="auto"/>
                <w:kern w:val="0"/>
                <w:sz w:val="24"/>
                <w:highlight w:val="none"/>
              </w:rPr>
              <w:t>正式注册入库供应商，并完成CA数字证书</w:t>
            </w:r>
            <w:r>
              <w:rPr>
                <w:rFonts w:hint="eastAsia" w:ascii="宋体" w:hAnsi="宋体"/>
                <w:color w:val="auto"/>
                <w:kern w:val="0"/>
                <w:sz w:val="24"/>
                <w:highlight w:val="none"/>
              </w:rPr>
              <w:t>申领</w:t>
            </w:r>
            <w:r>
              <w:rPr>
                <w:rFonts w:ascii="宋体" w:hAnsi="宋体"/>
                <w:color w:val="auto"/>
                <w:kern w:val="0"/>
                <w:sz w:val="24"/>
                <w:highlight w:val="none"/>
              </w:rPr>
              <w:t>。因未注册入库、未办理CA数字证书等原因造成无法</w:t>
            </w:r>
            <w:r>
              <w:rPr>
                <w:rFonts w:hint="eastAsia" w:ascii="宋体" w:hAnsi="宋体"/>
                <w:color w:val="auto"/>
                <w:kern w:val="0"/>
                <w:sz w:val="24"/>
                <w:highlight w:val="none"/>
              </w:rPr>
              <w:t>磋商</w:t>
            </w:r>
            <w:r>
              <w:rPr>
                <w:rFonts w:ascii="宋体" w:hAnsi="宋体"/>
                <w:color w:val="auto"/>
                <w:kern w:val="0"/>
                <w:sz w:val="24"/>
                <w:highlight w:val="none"/>
              </w:rPr>
              <w:t>或</w:t>
            </w:r>
            <w:r>
              <w:rPr>
                <w:rFonts w:hint="eastAsia" w:ascii="宋体" w:hAnsi="宋体"/>
                <w:color w:val="auto"/>
                <w:kern w:val="0"/>
                <w:sz w:val="24"/>
                <w:highlight w:val="none"/>
              </w:rPr>
              <w:t>磋商</w:t>
            </w:r>
            <w:r>
              <w:rPr>
                <w:rFonts w:ascii="宋体" w:hAnsi="宋体"/>
                <w:color w:val="auto"/>
                <w:kern w:val="0"/>
                <w:sz w:val="24"/>
                <w:highlight w:val="none"/>
              </w:rPr>
              <w:t>失败等后果由供应商自行承担。</w:t>
            </w:r>
          </w:p>
          <w:p w14:paraId="56A83B0D">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3.</w:t>
            </w:r>
            <w:r>
              <w:rPr>
                <w:rFonts w:ascii="宋体" w:hAnsi="宋体"/>
                <w:color w:val="auto"/>
                <w:kern w:val="0"/>
                <w:sz w:val="24"/>
                <w:highlight w:val="none"/>
              </w:rPr>
              <w:t>供应商将</w:t>
            </w:r>
            <w:r>
              <w:rPr>
                <w:rFonts w:hint="eastAsia" w:ascii="宋体" w:hAnsi="宋体"/>
                <w:color w:val="auto"/>
                <w:kern w:val="0"/>
                <w:sz w:val="24"/>
                <w:highlight w:val="none"/>
              </w:rPr>
              <w:t>广西政府采购云平台</w:t>
            </w:r>
            <w:r>
              <w:rPr>
                <w:rFonts w:ascii="宋体" w:hAnsi="宋体"/>
                <w:color w:val="auto"/>
                <w:kern w:val="0"/>
                <w:sz w:val="24"/>
                <w:highlight w:val="none"/>
              </w:rPr>
              <w:t>电子交易客户端下载、安装完成后，可通过账号密码或CA登录客户端进行</w:t>
            </w:r>
            <w:r>
              <w:rPr>
                <w:rFonts w:hint="eastAsia" w:ascii="宋体" w:hAnsi="宋体"/>
                <w:color w:val="auto"/>
                <w:kern w:val="0"/>
                <w:sz w:val="24"/>
                <w:highlight w:val="none"/>
              </w:rPr>
              <w:t>磋商响应</w:t>
            </w:r>
            <w:r>
              <w:rPr>
                <w:rFonts w:ascii="宋体" w:hAnsi="宋体"/>
                <w:color w:val="auto"/>
                <w:kern w:val="0"/>
                <w:sz w:val="24"/>
                <w:highlight w:val="none"/>
              </w:rPr>
              <w:t>文件制作。</w:t>
            </w:r>
            <w:r>
              <w:rPr>
                <w:rFonts w:hint="eastAsia" w:ascii="宋体" w:hAnsi="宋体"/>
                <w:color w:val="auto"/>
                <w:kern w:val="0"/>
                <w:sz w:val="24"/>
                <w:highlight w:val="none"/>
              </w:rPr>
              <w:t>新版客户端下载路径：广西政府采购网（http://zfcg.gxzf.gov.cn/）—办事服务—下载专区—广西政府采购云平台新版客户端。原在广西政府采购云平台注册的临时供应商需在新平台启用后重新注册登记。如有问题可拨打广西政府采购云平台客户服务热线</w:t>
            </w:r>
            <w:r>
              <w:rPr>
                <w:rFonts w:ascii="宋体" w:hAnsi="宋体"/>
                <w:color w:val="auto"/>
                <w:kern w:val="0"/>
                <w:sz w:val="24"/>
                <w:highlight w:val="none"/>
              </w:rPr>
              <w:t>95763</w:t>
            </w:r>
            <w:r>
              <w:rPr>
                <w:rFonts w:hint="eastAsia" w:ascii="宋体" w:hAnsi="宋体"/>
                <w:color w:val="auto"/>
                <w:kern w:val="0"/>
                <w:sz w:val="24"/>
                <w:highlight w:val="none"/>
              </w:rPr>
              <w:t>进行咨询。</w:t>
            </w:r>
          </w:p>
          <w:p w14:paraId="4F285187">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4.通过“广西政府采购云平台”上传递交的“电子加密磋商响应文件”无法按时解密，视为磋商响应文件撤回，磋商无效。</w:t>
            </w:r>
          </w:p>
        </w:tc>
      </w:tr>
      <w:tr w14:paraId="009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637" w:type="dxa"/>
            <w:vAlign w:val="center"/>
          </w:tcPr>
          <w:p w14:paraId="442F31C2">
            <w:pPr>
              <w:pStyle w:val="71"/>
              <w:spacing w:line="360" w:lineRule="auto"/>
              <w:jc w:val="center"/>
              <w:rPr>
                <w:rFonts w:hAnsi="宋体"/>
                <w:color w:val="auto"/>
                <w:sz w:val="24"/>
                <w:szCs w:val="24"/>
                <w:highlight w:val="none"/>
              </w:rPr>
            </w:pPr>
            <w:r>
              <w:rPr>
                <w:rFonts w:hint="eastAsia" w:hAnsi="宋体"/>
                <w:color w:val="auto"/>
                <w:sz w:val="24"/>
                <w:szCs w:val="24"/>
                <w:highlight w:val="none"/>
              </w:rPr>
              <w:t>9</w:t>
            </w:r>
          </w:p>
        </w:tc>
        <w:tc>
          <w:tcPr>
            <w:tcW w:w="1284" w:type="dxa"/>
            <w:vAlign w:val="center"/>
          </w:tcPr>
          <w:p w14:paraId="0C488036">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响应文件递交截止时间</w:t>
            </w:r>
          </w:p>
        </w:tc>
        <w:tc>
          <w:tcPr>
            <w:tcW w:w="8781" w:type="dxa"/>
            <w:vAlign w:val="center"/>
          </w:tcPr>
          <w:p w14:paraId="1B8B0B03">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 xml:space="preserve">响应文件递交截止时间： </w:t>
            </w:r>
            <w:r>
              <w:rPr>
                <w:rFonts w:hint="eastAsia" w:ascii="宋体" w:hAnsi="宋体"/>
                <w:color w:val="auto"/>
                <w:sz w:val="24"/>
                <w:highlight w:val="none"/>
                <w:u w:val="single"/>
              </w:rPr>
              <w:t>202</w:t>
            </w:r>
            <w:r>
              <w:rPr>
                <w:rFonts w:hint="eastAsia" w:ascii="宋体" w:hAnsi="宋体"/>
                <w:color w:val="auto"/>
                <w:sz w:val="24"/>
                <w:highlight w:val="none"/>
                <w:u w:val="single"/>
                <w:lang w:val="en-US" w:eastAsia="zh-CN"/>
              </w:rPr>
              <w:t>6</w:t>
            </w:r>
            <w:r>
              <w:rPr>
                <w:rFonts w:hint="eastAsia" w:ascii="宋体" w:hAnsi="宋体"/>
                <w:bCs/>
                <w:color w:val="auto"/>
                <w:sz w:val="24"/>
                <w:highlight w:val="none"/>
                <w:u w:val="single"/>
              </w:rPr>
              <w:t>年</w:t>
            </w:r>
            <w:r>
              <w:rPr>
                <w:rFonts w:hint="eastAsia" w:ascii="宋体" w:hAnsi="宋体"/>
                <w:bCs/>
                <w:color w:val="auto"/>
                <w:sz w:val="24"/>
                <w:highlight w:val="none"/>
                <w:u w:val="single"/>
                <w:lang w:val="en-US" w:eastAsia="zh-CN"/>
              </w:rPr>
              <w:t>10月8日9时00分</w:t>
            </w:r>
            <w:r>
              <w:rPr>
                <w:rFonts w:hint="eastAsia" w:ascii="宋体" w:hAnsi="宋体"/>
                <w:bCs/>
                <w:color w:val="auto"/>
                <w:sz w:val="24"/>
                <w:highlight w:val="none"/>
                <w:u w:val="single"/>
              </w:rPr>
              <w:t>00秒</w:t>
            </w:r>
            <w:r>
              <w:rPr>
                <w:rFonts w:hint="eastAsia" w:ascii="宋体" w:hAnsi="宋体"/>
                <w:color w:val="auto"/>
                <w:kern w:val="0"/>
                <w:sz w:val="24"/>
                <w:highlight w:val="none"/>
              </w:rPr>
              <w:t>之前将电子磋商响应文件上传到广西政府采购云平台。应按照本项目磋商文件和广西政府采购云平台的要求编制、加密传输磋商响应文件。供应商在使用系统进行评审的过程中遇到涉及平台使用的任何问题，可致电广西政府采购云平台技术支持热线咨询，联系方式：</w:t>
            </w:r>
            <w:r>
              <w:rPr>
                <w:rFonts w:ascii="宋体" w:hAnsi="宋体"/>
                <w:color w:val="auto"/>
                <w:kern w:val="0"/>
                <w:sz w:val="24"/>
                <w:highlight w:val="none"/>
              </w:rPr>
              <w:t>95763</w:t>
            </w:r>
            <w:r>
              <w:rPr>
                <w:rFonts w:hint="eastAsia" w:ascii="宋体" w:hAnsi="宋体"/>
                <w:color w:val="auto"/>
                <w:kern w:val="0"/>
                <w:sz w:val="24"/>
                <w:highlight w:val="none"/>
              </w:rPr>
              <w:t>。</w:t>
            </w:r>
          </w:p>
        </w:tc>
      </w:tr>
      <w:tr w14:paraId="7CE5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37" w:type="dxa"/>
            <w:vAlign w:val="center"/>
          </w:tcPr>
          <w:p w14:paraId="5CC30642">
            <w:pPr>
              <w:pStyle w:val="71"/>
              <w:spacing w:line="360" w:lineRule="auto"/>
              <w:jc w:val="center"/>
              <w:rPr>
                <w:rFonts w:hAnsi="宋体"/>
                <w:color w:val="auto"/>
                <w:sz w:val="24"/>
                <w:szCs w:val="24"/>
                <w:highlight w:val="none"/>
              </w:rPr>
            </w:pPr>
            <w:r>
              <w:rPr>
                <w:rFonts w:hint="eastAsia" w:hAnsi="宋体"/>
                <w:color w:val="auto"/>
                <w:sz w:val="24"/>
                <w:szCs w:val="24"/>
                <w:highlight w:val="none"/>
              </w:rPr>
              <w:t>10</w:t>
            </w:r>
          </w:p>
        </w:tc>
        <w:tc>
          <w:tcPr>
            <w:tcW w:w="1284" w:type="dxa"/>
            <w:vAlign w:val="center"/>
          </w:tcPr>
          <w:p w14:paraId="1CEE745A">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有效期</w:t>
            </w:r>
          </w:p>
        </w:tc>
        <w:tc>
          <w:tcPr>
            <w:tcW w:w="8781" w:type="dxa"/>
            <w:vAlign w:val="center"/>
          </w:tcPr>
          <w:p w14:paraId="3DEE5CAE">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rPr>
              <w:t>响应文件有效期：响应文件递交截止日期后六十日。</w:t>
            </w:r>
          </w:p>
        </w:tc>
      </w:tr>
      <w:tr w14:paraId="53C7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3CB8651C">
            <w:pPr>
              <w:pStyle w:val="71"/>
              <w:spacing w:line="360" w:lineRule="auto"/>
              <w:jc w:val="center"/>
              <w:rPr>
                <w:rFonts w:hAnsi="宋体"/>
                <w:color w:val="auto"/>
                <w:sz w:val="24"/>
                <w:szCs w:val="24"/>
                <w:highlight w:val="none"/>
              </w:rPr>
            </w:pPr>
            <w:r>
              <w:rPr>
                <w:rFonts w:hint="eastAsia" w:hAnsi="宋体"/>
                <w:color w:val="auto"/>
                <w:sz w:val="24"/>
                <w:szCs w:val="24"/>
                <w:highlight w:val="none"/>
              </w:rPr>
              <w:t>11</w:t>
            </w:r>
          </w:p>
        </w:tc>
        <w:tc>
          <w:tcPr>
            <w:tcW w:w="1284" w:type="dxa"/>
            <w:vAlign w:val="center"/>
          </w:tcPr>
          <w:p w14:paraId="6705C9E7">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磋商响应文件解密时间</w:t>
            </w:r>
          </w:p>
        </w:tc>
        <w:tc>
          <w:tcPr>
            <w:tcW w:w="8781" w:type="dxa"/>
            <w:vAlign w:val="center"/>
          </w:tcPr>
          <w:p w14:paraId="6E405D6A">
            <w:pPr>
              <w:widowControl/>
              <w:adjustRightInd w:val="0"/>
              <w:snapToGrid w:val="0"/>
              <w:spacing w:line="360" w:lineRule="auto"/>
              <w:rPr>
                <w:rFonts w:ascii="宋体" w:hAnsi="宋体" w:cs="Courier New"/>
                <w:color w:val="auto"/>
                <w:sz w:val="24"/>
                <w:highlight w:val="none"/>
              </w:rPr>
            </w:pPr>
            <w:r>
              <w:rPr>
                <w:rFonts w:hint="eastAsia" w:ascii="宋体" w:hAnsi="宋体"/>
                <w:color w:val="auto"/>
                <w:kern w:val="0"/>
                <w:sz w:val="24"/>
                <w:highlight w:val="none"/>
              </w:rPr>
              <w:t>截标时间后30分钟内磋商供应商可以登录广西政府采购云平台，用“项目采购-开标评标”功能进行解密磋商文件。若磋商供应商在规定时间内无法解密或解密失败，视为磋商响应文件撤回，磋商无效。</w:t>
            </w:r>
          </w:p>
        </w:tc>
      </w:tr>
      <w:tr w14:paraId="1372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75068C2A">
            <w:pPr>
              <w:pStyle w:val="71"/>
              <w:spacing w:line="360" w:lineRule="auto"/>
              <w:jc w:val="center"/>
              <w:rPr>
                <w:rFonts w:hAnsi="宋体"/>
                <w:color w:val="auto"/>
                <w:sz w:val="24"/>
                <w:szCs w:val="24"/>
                <w:highlight w:val="none"/>
              </w:rPr>
            </w:pPr>
            <w:r>
              <w:rPr>
                <w:rFonts w:hint="eastAsia" w:hAnsi="宋体"/>
                <w:color w:val="auto"/>
                <w:sz w:val="24"/>
                <w:szCs w:val="24"/>
                <w:highlight w:val="none"/>
              </w:rPr>
              <w:t>12</w:t>
            </w:r>
          </w:p>
        </w:tc>
        <w:tc>
          <w:tcPr>
            <w:tcW w:w="1284" w:type="dxa"/>
            <w:vAlign w:val="center"/>
          </w:tcPr>
          <w:p w14:paraId="4C88C048">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评审方法</w:t>
            </w:r>
          </w:p>
        </w:tc>
        <w:tc>
          <w:tcPr>
            <w:tcW w:w="8781" w:type="dxa"/>
            <w:vAlign w:val="center"/>
          </w:tcPr>
          <w:p w14:paraId="12D747FE">
            <w:pPr>
              <w:pStyle w:val="71"/>
              <w:spacing w:line="360" w:lineRule="auto"/>
              <w:rPr>
                <w:rFonts w:hAnsi="宋体"/>
                <w:color w:val="auto"/>
                <w:sz w:val="24"/>
                <w:szCs w:val="24"/>
                <w:highlight w:val="none"/>
              </w:rPr>
            </w:pPr>
            <w:r>
              <w:rPr>
                <w:rFonts w:hint="eastAsia" w:hAnsi="宋体"/>
                <w:color w:val="auto"/>
                <w:sz w:val="24"/>
                <w:szCs w:val="24"/>
                <w:highlight w:val="none"/>
              </w:rPr>
              <w:t>评审方法：综合评分法（详细见第六章）</w:t>
            </w:r>
          </w:p>
        </w:tc>
      </w:tr>
      <w:tr w14:paraId="71FC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96989A7">
            <w:pPr>
              <w:pStyle w:val="71"/>
              <w:spacing w:line="360" w:lineRule="auto"/>
              <w:jc w:val="center"/>
              <w:rPr>
                <w:rFonts w:hAnsi="宋体"/>
                <w:color w:val="auto"/>
                <w:sz w:val="24"/>
                <w:szCs w:val="24"/>
                <w:highlight w:val="none"/>
              </w:rPr>
            </w:pPr>
            <w:r>
              <w:rPr>
                <w:rFonts w:hint="eastAsia" w:hAnsi="宋体"/>
                <w:color w:val="auto"/>
                <w:sz w:val="24"/>
                <w:szCs w:val="24"/>
                <w:highlight w:val="none"/>
              </w:rPr>
              <w:t>13</w:t>
            </w:r>
          </w:p>
        </w:tc>
        <w:tc>
          <w:tcPr>
            <w:tcW w:w="1284" w:type="dxa"/>
            <w:vAlign w:val="center"/>
          </w:tcPr>
          <w:p w14:paraId="714EC963">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成交结果</w:t>
            </w:r>
          </w:p>
        </w:tc>
        <w:tc>
          <w:tcPr>
            <w:tcW w:w="8781" w:type="dxa"/>
            <w:tcBorders>
              <w:top w:val="single" w:color="auto" w:sz="4" w:space="0"/>
              <w:left w:val="single" w:color="auto" w:sz="4" w:space="0"/>
              <w:bottom w:val="single" w:color="auto" w:sz="4" w:space="0"/>
              <w:right w:val="single" w:color="auto" w:sz="4" w:space="0"/>
            </w:tcBorders>
            <w:vAlign w:val="center"/>
          </w:tcPr>
          <w:p w14:paraId="7A06D168">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成交通知书及成交公告：</w:t>
            </w:r>
            <w:r>
              <w:rPr>
                <w:rFonts w:hint="eastAsia" w:ascii="宋体" w:hAnsi="宋体" w:cs="宋体"/>
                <w:color w:val="auto"/>
                <w:sz w:val="24"/>
                <w:highlight w:val="none"/>
              </w:rPr>
              <w:t>采购代理机构在采购人依法确定成交人之日起2个工作日内发出成交通知书，并在http://www.ccgp.gov.cn/（中国政府采购网）、http://zfcg.gxzf.gov.cn/（广西政府采购网）发布成交公告。</w:t>
            </w:r>
          </w:p>
          <w:p w14:paraId="5AB0A4C1">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中小企业信用融资：</w:t>
            </w:r>
            <w:r>
              <w:rPr>
                <w:rFonts w:hint="eastAsia" w:ascii="宋体" w:hAnsi="宋体" w:cs="宋体"/>
                <w:color w:val="auto"/>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采购人/采购代理机构网站自助查询。</w:t>
            </w:r>
          </w:p>
          <w:p w14:paraId="48AB5B65">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供应商成交后也可在“广西政府采购云平台”申请政采贷：操作路径：登录广西政府采购云平台-金融服务中心-【融资服务】，可在热门申请中选择产品直接申请。</w:t>
            </w:r>
          </w:p>
        </w:tc>
      </w:tr>
      <w:tr w14:paraId="44C7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37" w:type="dxa"/>
            <w:vAlign w:val="center"/>
          </w:tcPr>
          <w:p w14:paraId="0612B969">
            <w:pPr>
              <w:pStyle w:val="71"/>
              <w:spacing w:line="360" w:lineRule="auto"/>
              <w:jc w:val="center"/>
              <w:rPr>
                <w:rFonts w:hAnsi="宋体"/>
                <w:color w:val="auto"/>
                <w:sz w:val="24"/>
                <w:szCs w:val="24"/>
                <w:highlight w:val="none"/>
              </w:rPr>
            </w:pPr>
            <w:r>
              <w:rPr>
                <w:rFonts w:hint="eastAsia" w:hAnsi="宋体"/>
                <w:color w:val="auto"/>
                <w:sz w:val="24"/>
                <w:szCs w:val="24"/>
                <w:highlight w:val="none"/>
              </w:rPr>
              <w:t>14</w:t>
            </w:r>
          </w:p>
        </w:tc>
        <w:tc>
          <w:tcPr>
            <w:tcW w:w="1284" w:type="dxa"/>
            <w:vAlign w:val="center"/>
          </w:tcPr>
          <w:p w14:paraId="1F55AB88">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签订合同</w:t>
            </w:r>
          </w:p>
        </w:tc>
        <w:tc>
          <w:tcPr>
            <w:tcW w:w="8781" w:type="dxa"/>
            <w:tcBorders>
              <w:top w:val="single" w:color="auto" w:sz="4" w:space="0"/>
              <w:left w:val="single" w:color="auto" w:sz="4" w:space="0"/>
              <w:bottom w:val="single" w:color="auto" w:sz="4" w:space="0"/>
              <w:right w:val="single" w:color="auto" w:sz="4" w:space="0"/>
            </w:tcBorders>
            <w:vAlign w:val="center"/>
          </w:tcPr>
          <w:p w14:paraId="37B19C8F">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自成交通知书发出之日起，原则上要求</w:t>
            </w:r>
            <w:r>
              <w:rPr>
                <w:rFonts w:ascii="宋体" w:hAnsi="宋体" w:cs="宋体"/>
                <w:color w:val="auto"/>
                <w:sz w:val="24"/>
                <w:highlight w:val="none"/>
              </w:rPr>
              <w:t>25</w:t>
            </w:r>
            <w:r>
              <w:rPr>
                <w:rFonts w:hint="eastAsia" w:ascii="宋体" w:hAnsi="宋体" w:cs="宋体"/>
                <w:color w:val="auto"/>
                <w:sz w:val="24"/>
                <w:highlight w:val="none"/>
              </w:rPr>
              <w:t>日内签订（项目实施过程中出现质疑或投诉的情形除外）。</w:t>
            </w:r>
          </w:p>
        </w:tc>
      </w:tr>
      <w:tr w14:paraId="361B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E54A2A6">
            <w:pPr>
              <w:pStyle w:val="71"/>
              <w:spacing w:line="360" w:lineRule="auto"/>
              <w:jc w:val="center"/>
              <w:rPr>
                <w:rFonts w:hAnsi="宋体"/>
                <w:color w:val="auto"/>
                <w:sz w:val="24"/>
                <w:szCs w:val="24"/>
                <w:highlight w:val="none"/>
              </w:rPr>
            </w:pPr>
            <w:r>
              <w:rPr>
                <w:rFonts w:hint="eastAsia" w:hAnsi="宋体"/>
                <w:color w:val="auto"/>
                <w:sz w:val="24"/>
                <w:szCs w:val="24"/>
                <w:highlight w:val="none"/>
              </w:rPr>
              <w:t>15</w:t>
            </w:r>
          </w:p>
        </w:tc>
        <w:tc>
          <w:tcPr>
            <w:tcW w:w="1284" w:type="dxa"/>
            <w:vAlign w:val="center"/>
          </w:tcPr>
          <w:p w14:paraId="65FC41E8">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电子签名</w:t>
            </w:r>
          </w:p>
        </w:tc>
        <w:tc>
          <w:tcPr>
            <w:tcW w:w="8781" w:type="dxa"/>
            <w:vAlign w:val="center"/>
          </w:tcPr>
          <w:p w14:paraId="17A61C2B">
            <w:pPr>
              <w:pStyle w:val="25"/>
              <w:adjustRightInd w:val="0"/>
              <w:snapToGrid w:val="0"/>
              <w:spacing w:line="360" w:lineRule="auto"/>
              <w:rPr>
                <w:rFonts w:hAnsi="宋体" w:cs="宋体"/>
                <w:b/>
                <w:color w:val="auto"/>
                <w:sz w:val="24"/>
                <w:szCs w:val="24"/>
                <w:highlight w:val="none"/>
              </w:rPr>
            </w:pPr>
            <w:r>
              <w:rPr>
                <w:rFonts w:hint="eastAsia" w:hAnsi="宋体" w:cs="宋体"/>
                <w:b/>
                <w:color w:val="auto"/>
                <w:sz w:val="24"/>
                <w:szCs w:val="24"/>
                <w:highlight w:val="none"/>
                <w:lang w:val="en-US" w:eastAsia="zh-CN"/>
              </w:rPr>
              <w:t>1.</w:t>
            </w:r>
            <w:r>
              <w:rPr>
                <w:rFonts w:hint="eastAsia" w:hAnsi="宋体" w:cs="宋体"/>
                <w:b/>
                <w:color w:val="auto"/>
                <w:sz w:val="24"/>
                <w:szCs w:val="24"/>
                <w:highlight w:val="none"/>
              </w:rPr>
              <w:t>“电子签名”系指数据电文中以电子形式所含、所附用于识别签名人身份并表明签名人认可其中内容的数据；“公章”系指单位法定名称章。磋商文件对响应文件签字、盖章的要求适用于电子签名。</w:t>
            </w:r>
          </w:p>
          <w:p w14:paraId="145132AE">
            <w:pPr>
              <w:pStyle w:val="25"/>
              <w:adjustRightInd w:val="0"/>
              <w:snapToGrid w:val="0"/>
              <w:spacing w:line="360" w:lineRule="auto"/>
              <w:rPr>
                <w:rFonts w:hAnsi="宋体"/>
                <w:bCs/>
                <w:color w:val="auto"/>
                <w:sz w:val="24"/>
                <w:szCs w:val="24"/>
                <w:highlight w:val="none"/>
              </w:rPr>
            </w:pPr>
            <w:r>
              <w:rPr>
                <w:rFonts w:hint="eastAsia" w:hAnsi="宋体" w:cs="宋体"/>
                <w:b/>
                <w:color w:val="auto"/>
                <w:sz w:val="24"/>
                <w:szCs w:val="24"/>
                <w:highlight w:val="none"/>
                <w:lang w:val="en-US" w:eastAsia="zh-CN"/>
              </w:rPr>
              <w:t>2.</w:t>
            </w:r>
            <w:r>
              <w:rPr>
                <w:rFonts w:hint="eastAsia" w:hAnsi="宋体" w:cs="宋体"/>
                <w:b/>
                <w:color w:val="auto"/>
                <w:sz w:val="24"/>
                <w:szCs w:val="24"/>
                <w:highlight w:val="none"/>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tc>
      </w:tr>
      <w:tr w14:paraId="01A0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3FF5A448">
            <w:pPr>
              <w:pStyle w:val="71"/>
              <w:spacing w:line="360" w:lineRule="auto"/>
              <w:jc w:val="center"/>
              <w:rPr>
                <w:rFonts w:hAnsi="宋体"/>
                <w:color w:val="auto"/>
                <w:sz w:val="24"/>
                <w:szCs w:val="24"/>
                <w:highlight w:val="none"/>
              </w:rPr>
            </w:pPr>
            <w:r>
              <w:rPr>
                <w:rFonts w:hint="eastAsia" w:hAnsi="宋体"/>
                <w:color w:val="auto"/>
                <w:sz w:val="24"/>
                <w:szCs w:val="24"/>
                <w:highlight w:val="none"/>
              </w:rPr>
              <w:t>16</w:t>
            </w:r>
          </w:p>
        </w:tc>
        <w:tc>
          <w:tcPr>
            <w:tcW w:w="1284" w:type="dxa"/>
            <w:vAlign w:val="center"/>
          </w:tcPr>
          <w:p w14:paraId="66CA2E7A">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质疑及投诉联系方式</w:t>
            </w:r>
          </w:p>
        </w:tc>
        <w:tc>
          <w:tcPr>
            <w:tcW w:w="8781" w:type="dxa"/>
            <w:vAlign w:val="center"/>
          </w:tcPr>
          <w:p w14:paraId="7809EAAC">
            <w:pPr>
              <w:pStyle w:val="25"/>
              <w:adjustRightInd w:val="0"/>
              <w:snapToGrid w:val="0"/>
              <w:spacing w:line="360" w:lineRule="auto"/>
              <w:rPr>
                <w:rFonts w:hAnsi="宋体"/>
                <w:bCs/>
                <w:color w:val="auto"/>
                <w:sz w:val="24"/>
                <w:szCs w:val="24"/>
                <w:highlight w:val="none"/>
              </w:rPr>
            </w:pPr>
            <w:r>
              <w:rPr>
                <w:rFonts w:hint="eastAsia" w:hAnsi="宋体"/>
                <w:bCs/>
                <w:color w:val="auto"/>
                <w:sz w:val="24"/>
                <w:szCs w:val="24"/>
                <w:highlight w:val="none"/>
              </w:rPr>
              <w:t>质疑联系部门及电话为：</w:t>
            </w:r>
            <w:r>
              <w:rPr>
                <w:rFonts w:hint="eastAsia" w:hAnsi="宋体"/>
                <w:bCs/>
                <w:color w:val="auto"/>
                <w:sz w:val="24"/>
                <w:szCs w:val="24"/>
                <w:highlight w:val="none"/>
                <w:u w:val="single"/>
              </w:rPr>
              <w:t xml:space="preserve"> </w:t>
            </w:r>
            <w:r>
              <w:rPr>
                <w:rFonts w:hint="eastAsia" w:hAnsi="宋体"/>
                <w:bCs/>
                <w:color w:val="auto"/>
                <w:sz w:val="24"/>
                <w:szCs w:val="24"/>
                <w:highlight w:val="none"/>
                <w:u w:val="single"/>
                <w:lang w:val="en-US" w:eastAsia="zh-CN"/>
              </w:rPr>
              <w:t>广西科联招标中心有限公司</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联系电话：</w:t>
            </w:r>
            <w:r>
              <w:rPr>
                <w:rFonts w:hint="eastAsia" w:hAnsi="宋体"/>
                <w:bCs/>
                <w:color w:val="auto"/>
                <w:sz w:val="24"/>
                <w:szCs w:val="24"/>
                <w:highlight w:val="none"/>
                <w:u w:val="single"/>
              </w:rPr>
              <w:t xml:space="preserve"> </w:t>
            </w:r>
            <w:r>
              <w:rPr>
                <w:rFonts w:hint="eastAsia" w:hAnsi="宋体"/>
                <w:bCs/>
                <w:color w:val="auto"/>
                <w:sz w:val="24"/>
                <w:szCs w:val="24"/>
                <w:highlight w:val="none"/>
                <w:u w:val="single"/>
                <w:lang w:val="en-US" w:eastAsia="zh-CN"/>
              </w:rPr>
              <w:t>0779-3832133</w:t>
            </w:r>
            <w:r>
              <w:rPr>
                <w:rFonts w:hint="eastAsia" w:hAnsi="宋体"/>
                <w:bCs/>
                <w:color w:val="auto"/>
                <w:sz w:val="24"/>
                <w:szCs w:val="24"/>
                <w:highlight w:val="none"/>
                <w:u w:val="single"/>
              </w:rPr>
              <w:t xml:space="preserve">      </w:t>
            </w:r>
          </w:p>
          <w:p w14:paraId="2D6EABA8">
            <w:pPr>
              <w:pStyle w:val="25"/>
              <w:adjustRightInd w:val="0"/>
              <w:snapToGrid w:val="0"/>
              <w:spacing w:line="360" w:lineRule="auto"/>
              <w:rPr>
                <w:rFonts w:hAnsi="宋体"/>
                <w:bCs/>
                <w:color w:val="auto"/>
                <w:sz w:val="24"/>
                <w:szCs w:val="24"/>
                <w:highlight w:val="none"/>
              </w:rPr>
            </w:pPr>
            <w:r>
              <w:rPr>
                <w:rFonts w:hint="eastAsia" w:hAnsi="宋体"/>
                <w:bCs/>
                <w:color w:val="auto"/>
                <w:sz w:val="24"/>
                <w:szCs w:val="24"/>
                <w:highlight w:val="none"/>
              </w:rPr>
              <w:t>投诉联系部门及电话为：</w:t>
            </w:r>
            <w:r>
              <w:rPr>
                <w:rFonts w:hint="eastAsia" w:hAnsi="宋体"/>
                <w:bCs/>
                <w:color w:val="auto"/>
                <w:sz w:val="24"/>
                <w:szCs w:val="24"/>
                <w:highlight w:val="none"/>
                <w:u w:val="single"/>
              </w:rPr>
              <w:t xml:space="preserve"> </w:t>
            </w:r>
            <w:r>
              <w:rPr>
                <w:rFonts w:hint="eastAsia" w:hAnsi="宋体"/>
                <w:bCs/>
                <w:color w:val="auto"/>
                <w:sz w:val="24"/>
                <w:szCs w:val="24"/>
                <w:highlight w:val="none"/>
                <w:u w:val="single"/>
                <w:lang w:val="en-US" w:eastAsia="zh-CN"/>
              </w:rPr>
              <w:t>北海市银海区财政局</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联系电话：</w:t>
            </w:r>
            <w:r>
              <w:rPr>
                <w:rFonts w:hint="eastAsia" w:hAnsi="宋体"/>
                <w:bCs/>
                <w:color w:val="auto"/>
                <w:sz w:val="24"/>
                <w:szCs w:val="24"/>
                <w:highlight w:val="none"/>
                <w:u w:val="single"/>
              </w:rPr>
              <w:t xml:space="preserve"> </w:t>
            </w:r>
            <w:r>
              <w:rPr>
                <w:rFonts w:hint="eastAsia" w:hAnsi="宋体"/>
                <w:bCs/>
                <w:color w:val="auto"/>
                <w:sz w:val="24"/>
                <w:szCs w:val="24"/>
                <w:highlight w:val="none"/>
                <w:u w:val="single"/>
                <w:lang w:val="en-US" w:eastAsia="zh-CN"/>
              </w:rPr>
              <w:t>0779-3220087</w:t>
            </w:r>
            <w:r>
              <w:rPr>
                <w:rFonts w:hint="eastAsia" w:hAnsi="宋体"/>
                <w:bCs/>
                <w:color w:val="auto"/>
                <w:sz w:val="24"/>
                <w:szCs w:val="24"/>
                <w:highlight w:val="none"/>
                <w:u w:val="single"/>
              </w:rPr>
              <w:t xml:space="preserve"> </w:t>
            </w:r>
          </w:p>
        </w:tc>
      </w:tr>
      <w:tr w14:paraId="6C23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5E991FE4">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1284" w:type="dxa"/>
            <w:vAlign w:val="center"/>
          </w:tcPr>
          <w:p w14:paraId="03A3D07E">
            <w:pPr>
              <w:pStyle w:val="71"/>
              <w:spacing w:line="360" w:lineRule="auto"/>
              <w:jc w:val="center"/>
              <w:rPr>
                <w:rFonts w:hint="eastAsia" w:hAnsi="宋体"/>
                <w:color w:val="auto"/>
                <w:sz w:val="24"/>
                <w:szCs w:val="24"/>
                <w:highlight w:val="none"/>
              </w:rPr>
            </w:pPr>
            <w:r>
              <w:rPr>
                <w:rFonts w:hint="eastAsia" w:hAnsi="宋体"/>
                <w:color w:val="auto"/>
                <w:sz w:val="24"/>
                <w:szCs w:val="24"/>
                <w:highlight w:val="none"/>
              </w:rPr>
              <w:t>解释权</w:t>
            </w:r>
          </w:p>
        </w:tc>
        <w:tc>
          <w:tcPr>
            <w:tcW w:w="8781" w:type="dxa"/>
            <w:vAlign w:val="center"/>
          </w:tcPr>
          <w:p w14:paraId="3F5C6083">
            <w:pPr>
              <w:spacing w:line="360" w:lineRule="auto"/>
              <w:rPr>
                <w:rFonts w:cs="Arial" w:asciiTheme="minorEastAsia" w:hAnsiTheme="minorEastAsia" w:eastAsiaTheme="minorEastAsia"/>
                <w:color w:val="auto"/>
                <w:kern w:val="0"/>
                <w:sz w:val="24"/>
                <w:highlight w:val="none"/>
              </w:rPr>
            </w:pPr>
            <w:r>
              <w:rPr>
                <w:rFonts w:hint="eastAsia" w:cs="Arial" w:asciiTheme="minorEastAsia" w:hAnsiTheme="minorEastAsia" w:eastAsiaTheme="minorEastAsia"/>
                <w:color w:val="auto"/>
                <w:kern w:val="0"/>
                <w:sz w:val="24"/>
                <w:highlight w:val="none"/>
              </w:rPr>
              <w:t>本磋商文件解释权属</w:t>
            </w:r>
            <w:r>
              <w:rPr>
                <w:rFonts w:hint="eastAsia" w:cs="Arial" w:asciiTheme="minorEastAsia" w:hAnsiTheme="minorEastAsia" w:eastAsiaTheme="minorEastAsia"/>
                <w:color w:val="auto"/>
                <w:kern w:val="0"/>
                <w:sz w:val="24"/>
                <w:highlight w:val="none"/>
                <w:lang w:val="en-US" w:eastAsia="zh-CN"/>
              </w:rPr>
              <w:t>于</w:t>
            </w:r>
            <w:r>
              <w:rPr>
                <w:rFonts w:hint="eastAsia" w:cs="Arial" w:asciiTheme="minorEastAsia" w:hAnsiTheme="minorEastAsia" w:eastAsiaTheme="minorEastAsia"/>
                <w:color w:val="auto"/>
                <w:kern w:val="0"/>
                <w:sz w:val="24"/>
                <w:highlight w:val="none"/>
              </w:rPr>
              <w:t>采购人及代理机构。</w:t>
            </w:r>
          </w:p>
        </w:tc>
      </w:tr>
    </w:tbl>
    <w:p w14:paraId="574DA632">
      <w:pPr>
        <w:spacing w:line="360" w:lineRule="auto"/>
        <w:ind w:firstLine="482" w:firstLineChars="200"/>
        <w:jc w:val="center"/>
        <w:rPr>
          <w:rFonts w:ascii="宋体" w:hAnsi="宋体"/>
          <w:b/>
          <w:color w:val="auto"/>
          <w:sz w:val="24"/>
          <w:highlight w:val="none"/>
        </w:rPr>
      </w:pPr>
    </w:p>
    <w:p w14:paraId="6DD75E96">
      <w:pPr>
        <w:rPr>
          <w:rFonts w:hint="eastAsia" w:ascii="宋体" w:hAnsi="宋体"/>
          <w:b/>
          <w:color w:val="auto"/>
          <w:sz w:val="24"/>
          <w:highlight w:val="none"/>
        </w:rPr>
      </w:pPr>
      <w:r>
        <w:rPr>
          <w:rFonts w:hint="eastAsia" w:ascii="宋体" w:hAnsi="宋体"/>
          <w:b/>
          <w:color w:val="auto"/>
          <w:sz w:val="24"/>
          <w:highlight w:val="none"/>
        </w:rPr>
        <w:br w:type="page"/>
      </w:r>
    </w:p>
    <w:p w14:paraId="5F66B130">
      <w:pPr>
        <w:spacing w:line="360" w:lineRule="auto"/>
        <w:ind w:firstLine="482" w:firstLineChars="200"/>
        <w:jc w:val="center"/>
        <w:rPr>
          <w:rFonts w:ascii="宋体" w:hAnsi="宋体"/>
          <w:b/>
          <w:color w:val="auto"/>
          <w:sz w:val="24"/>
          <w:highlight w:val="none"/>
        </w:rPr>
      </w:pPr>
      <w:r>
        <w:rPr>
          <w:rFonts w:hint="eastAsia" w:ascii="宋体" w:hAnsi="宋体"/>
          <w:b/>
          <w:color w:val="auto"/>
          <w:sz w:val="24"/>
          <w:highlight w:val="none"/>
        </w:rPr>
        <w:t>磋商</w:t>
      </w:r>
      <w:r>
        <w:rPr>
          <w:rFonts w:ascii="宋体" w:hAnsi="宋体"/>
          <w:b/>
          <w:color w:val="auto"/>
          <w:sz w:val="24"/>
          <w:highlight w:val="none"/>
        </w:rPr>
        <w:t>供应商须知</w:t>
      </w:r>
    </w:p>
    <w:p w14:paraId="5593B127">
      <w:pPr>
        <w:spacing w:line="360" w:lineRule="auto"/>
        <w:ind w:firstLine="480" w:firstLineChars="200"/>
        <w:rPr>
          <w:rFonts w:ascii="宋体" w:hAnsi="宋体"/>
          <w:color w:val="auto"/>
          <w:sz w:val="24"/>
          <w:highlight w:val="none"/>
        </w:rPr>
      </w:pPr>
    </w:p>
    <w:p w14:paraId="2D6D3E24">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一、总　则</w:t>
      </w:r>
    </w:p>
    <w:p w14:paraId="2636F766">
      <w:pPr>
        <w:snapToGrid w:val="0"/>
        <w:spacing w:line="360" w:lineRule="auto"/>
        <w:ind w:firstLine="482" w:firstLineChars="200"/>
        <w:jc w:val="left"/>
        <w:rPr>
          <w:rFonts w:ascii="宋体" w:hAnsi="宋体" w:cs="宋体"/>
          <w:b/>
          <w:color w:val="auto"/>
          <w:sz w:val="24"/>
          <w:highlight w:val="none"/>
        </w:rPr>
      </w:pPr>
      <w:bookmarkStart w:id="25" w:name="_Toc254970668"/>
      <w:bookmarkStart w:id="26" w:name="_Toc254970527"/>
      <w:r>
        <w:rPr>
          <w:rFonts w:hint="eastAsia" w:ascii="宋体" w:hAnsi="宋体" w:cs="宋体"/>
          <w:b/>
          <w:color w:val="auto"/>
          <w:sz w:val="24"/>
          <w:highlight w:val="none"/>
        </w:rPr>
        <w:t>1.适用范围</w:t>
      </w:r>
      <w:bookmarkEnd w:id="25"/>
      <w:bookmarkEnd w:id="26"/>
    </w:p>
    <w:p w14:paraId="00556600">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本磋商文件适用于本项目的磋商、响应、评审、定标、验收、合同履约、付款等行为（法律、法规另有规定的，从其规定）。</w:t>
      </w:r>
    </w:p>
    <w:p w14:paraId="68D918AB">
      <w:pPr>
        <w:snapToGrid w:val="0"/>
        <w:spacing w:line="360" w:lineRule="auto"/>
        <w:ind w:firstLine="482" w:firstLineChars="200"/>
        <w:jc w:val="left"/>
        <w:rPr>
          <w:rFonts w:ascii="宋体" w:hAnsi="宋体" w:cs="宋体"/>
          <w:b/>
          <w:color w:val="auto"/>
          <w:sz w:val="24"/>
          <w:highlight w:val="none"/>
        </w:rPr>
      </w:pPr>
      <w:bookmarkStart w:id="27" w:name="_Toc254970528"/>
      <w:bookmarkStart w:id="28" w:name="_Toc254970669"/>
      <w:r>
        <w:rPr>
          <w:rFonts w:hint="eastAsia" w:ascii="宋体" w:hAnsi="宋体" w:cs="宋体"/>
          <w:b/>
          <w:color w:val="auto"/>
          <w:sz w:val="24"/>
          <w:highlight w:val="none"/>
        </w:rPr>
        <w:t>2.定义</w:t>
      </w:r>
      <w:bookmarkEnd w:id="27"/>
      <w:bookmarkEnd w:id="28"/>
    </w:p>
    <w:p w14:paraId="2873E510">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1“采购人”系指组织本次磋商的采购单位。</w:t>
      </w:r>
    </w:p>
    <w:p w14:paraId="21472CF4">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ascii="宋体" w:hAnsi="宋体" w:cs="宋体"/>
          <w:color w:val="auto"/>
          <w:sz w:val="24"/>
          <w:highlight w:val="none"/>
        </w:rPr>
        <w:t>2</w:t>
      </w:r>
      <w:r>
        <w:rPr>
          <w:rFonts w:hint="eastAsia" w:ascii="宋体" w:hAnsi="宋体" w:cs="宋体"/>
          <w:color w:val="auto"/>
          <w:sz w:val="24"/>
          <w:highlight w:val="none"/>
        </w:rPr>
        <w:t>“采购代理机构”系指组织本次磋商的采购代理机构（以下简称“</w:t>
      </w:r>
      <w:r>
        <w:rPr>
          <w:rFonts w:hint="eastAsia" w:ascii="宋体" w:hAnsi="宋体"/>
          <w:color w:val="auto"/>
          <w:sz w:val="24"/>
          <w:highlight w:val="none"/>
        </w:rPr>
        <w:t>本代理机构</w:t>
      </w:r>
      <w:r>
        <w:rPr>
          <w:rFonts w:hint="eastAsia" w:ascii="宋体" w:hAnsi="宋体" w:cs="宋体"/>
          <w:color w:val="auto"/>
          <w:sz w:val="24"/>
          <w:highlight w:val="none"/>
        </w:rPr>
        <w:t>”）。</w:t>
      </w:r>
    </w:p>
    <w:p w14:paraId="6CB368E4">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“磋商供应商”系指响应磋商、参加磋商竞争的法人、其他组织或者自然人。</w:t>
      </w:r>
    </w:p>
    <w:p w14:paraId="7C2CA685">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4“工程”是指建设工程，包括建筑物和构筑物的新建、改建、扩建、装修、拆除、修缮等。</w:t>
      </w:r>
    </w:p>
    <w:p w14:paraId="436FBBA5">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5“项目”系指磋商供应商按竞争性磋商文件规定向采购人提供的产品和服务。</w:t>
      </w:r>
    </w:p>
    <w:p w14:paraId="22FE1048">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2.6“书面形式”包括信函、传真、电报等。</w:t>
      </w:r>
    </w:p>
    <w:p w14:paraId="1D9DC2A0">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2.7“▲”系指实质性要求条款。</w:t>
      </w:r>
    </w:p>
    <w:p w14:paraId="1028D3A7">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 供应商的基本条件</w:t>
      </w:r>
    </w:p>
    <w:p w14:paraId="5651B29A">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3.1满足《中华人民共和国政府采购法》第二十二条规定；</w:t>
      </w:r>
    </w:p>
    <w:p w14:paraId="497B9866">
      <w:pPr>
        <w:adjustRightInd w:val="0"/>
        <w:spacing w:line="360" w:lineRule="auto"/>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 xml:space="preserve">    3.</w:t>
      </w:r>
      <w:r>
        <w:rPr>
          <w:rFonts w:ascii="宋体" w:hAnsi="宋体" w:cs="宋体"/>
          <w:snapToGrid w:val="0"/>
          <w:color w:val="auto"/>
          <w:kern w:val="28"/>
          <w:sz w:val="24"/>
          <w:szCs w:val="20"/>
          <w:highlight w:val="none"/>
        </w:rPr>
        <w:t>2</w:t>
      </w:r>
      <w:r>
        <w:rPr>
          <w:rFonts w:hint="eastAsia" w:ascii="宋体" w:hAnsi="宋体" w:cs="宋体"/>
          <w:snapToGrid w:val="0"/>
          <w:color w:val="auto"/>
          <w:kern w:val="28"/>
          <w:sz w:val="24"/>
          <w:szCs w:val="20"/>
          <w:highlight w:val="none"/>
        </w:rPr>
        <w:t>以联合体形式响应的，提供联合协议(本项目不接受联合体响应或者供应商不以联合体形式响应的，则不需要提供) ；</w:t>
      </w:r>
    </w:p>
    <w:p w14:paraId="4E58878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snapToGrid w:val="0"/>
          <w:color w:val="auto"/>
          <w:kern w:val="28"/>
          <w:sz w:val="24"/>
          <w:szCs w:val="20"/>
          <w:highlight w:val="none"/>
        </w:rPr>
        <w:t>3.</w:t>
      </w:r>
      <w:r>
        <w:rPr>
          <w:rFonts w:ascii="宋体" w:hAnsi="宋体" w:cs="宋体"/>
          <w:snapToGrid w:val="0"/>
          <w:color w:val="auto"/>
          <w:kern w:val="28"/>
          <w:sz w:val="24"/>
          <w:szCs w:val="20"/>
          <w:highlight w:val="none"/>
        </w:rPr>
        <w:t>3</w:t>
      </w:r>
      <w:r>
        <w:rPr>
          <w:rFonts w:hint="eastAsia" w:ascii="宋体" w:hAnsi="宋体" w:cs="宋体"/>
          <w:snapToGrid w:val="0"/>
          <w:color w:val="auto"/>
          <w:kern w:val="28"/>
          <w:sz w:val="24"/>
          <w:szCs w:val="20"/>
          <w:highlight w:val="none"/>
        </w:rPr>
        <w:t>落实政府采购政策需满足的资格要求：专门面向小微企业，工程全部由符合政策要求的小微企业承接</w:t>
      </w:r>
      <w:r>
        <w:rPr>
          <w:rFonts w:hint="eastAsia" w:ascii="宋体" w:hAnsi="宋体" w:cs="宋体"/>
          <w:snapToGrid w:val="0"/>
          <w:color w:val="auto"/>
          <w:kern w:val="28"/>
          <w:sz w:val="24"/>
          <w:szCs w:val="20"/>
          <w:highlight w:val="none"/>
          <w:lang w:eastAsia="zh-CN"/>
        </w:rPr>
        <w:t>；</w:t>
      </w:r>
    </w:p>
    <w:p w14:paraId="5F673A96">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w:t>
      </w:r>
      <w:r>
        <w:rPr>
          <w:rFonts w:ascii="宋体" w:hAnsi="宋体" w:cs="宋体"/>
          <w:color w:val="auto"/>
          <w:sz w:val="24"/>
          <w:highlight w:val="none"/>
        </w:rPr>
        <w:t>4</w:t>
      </w:r>
      <w:r>
        <w:rPr>
          <w:rFonts w:hint="eastAsia" w:ascii="宋体" w:hAnsi="宋体" w:cs="宋体"/>
          <w:color w:val="auto"/>
          <w:sz w:val="24"/>
          <w:highlight w:val="none"/>
        </w:rPr>
        <w:t>本项目的特定资格要求：供应商须具备</w:t>
      </w:r>
      <w:r>
        <w:rPr>
          <w:rFonts w:hint="eastAsia" w:ascii="宋体" w:hAnsi="宋体" w:cs="宋体"/>
          <w:color w:val="auto"/>
          <w:sz w:val="24"/>
          <w:highlight w:val="none"/>
          <w:lang w:eastAsia="zh-CN"/>
        </w:rPr>
        <w:t>市政公用工程</w:t>
      </w:r>
      <w:r>
        <w:rPr>
          <w:rFonts w:hint="eastAsia" w:ascii="宋体" w:hAnsi="宋体" w:cs="宋体"/>
          <w:color w:val="auto"/>
          <w:sz w:val="24"/>
          <w:highlight w:val="none"/>
        </w:rPr>
        <w:t>施工</w:t>
      </w:r>
      <w:r>
        <w:rPr>
          <w:rFonts w:hint="eastAsia" w:ascii="宋体" w:hAnsi="宋体" w:cs="宋体"/>
          <w:color w:val="auto"/>
          <w:sz w:val="24"/>
          <w:highlight w:val="none"/>
          <w:lang w:eastAsia="zh-CN"/>
        </w:rPr>
        <w:t>总承包贰级</w:t>
      </w:r>
      <w:r>
        <w:rPr>
          <w:rFonts w:hint="eastAsia" w:ascii="宋体" w:hAnsi="宋体" w:cs="宋体"/>
          <w:color w:val="auto"/>
          <w:sz w:val="24"/>
          <w:highlight w:val="none"/>
        </w:rPr>
        <w:t>（含）以上资质，并持有有效的安全生产许可证，并在人员、设备、资金等方面具备相应的施工能力。</w:t>
      </w:r>
    </w:p>
    <w:p w14:paraId="342148C3">
      <w:pPr>
        <w:pStyle w:val="25"/>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3.5 未被“信用中国”（www.creditchina.gov.cn)、中国政府采购网（www.ccgp.gov.cn）</w:t>
      </w:r>
      <w:r>
        <w:rPr>
          <w:rFonts w:hint="eastAsia" w:hAnsi="宋体" w:cs="宋体"/>
          <w:color w:val="auto"/>
          <w:sz w:val="24"/>
          <w:highlight w:val="none"/>
          <w:lang w:eastAsia="zh-CN"/>
        </w:rPr>
        <w:t>、</w:t>
      </w:r>
      <w:r>
        <w:rPr>
          <w:rFonts w:hint="eastAsia" w:hAnsi="宋体" w:cs="宋体"/>
          <w:color w:val="auto"/>
          <w:sz w:val="24"/>
          <w:highlight w:val="none"/>
        </w:rPr>
        <w:t>中国执行信息公开网（https://zxgk.court.gov.cn/）列入失信被执行人、</w:t>
      </w:r>
      <w:r>
        <w:rPr>
          <w:rFonts w:hint="eastAsia" w:hAnsi="宋体" w:cs="宋体"/>
          <w:color w:val="auto"/>
          <w:sz w:val="24"/>
          <w:highlight w:val="none"/>
          <w:lang w:eastAsia="zh-CN"/>
        </w:rPr>
        <w:t>重大税收违法失信主体</w:t>
      </w:r>
      <w:r>
        <w:rPr>
          <w:rFonts w:hint="eastAsia" w:hAnsi="宋体" w:cs="宋体"/>
          <w:color w:val="auto"/>
          <w:sz w:val="24"/>
          <w:highlight w:val="none"/>
        </w:rPr>
        <w:t>、政府采购严重违法失信行为记录名单；</w:t>
      </w:r>
    </w:p>
    <w:p w14:paraId="5B80DE77">
      <w:pPr>
        <w:pStyle w:val="25"/>
        <w:adjustRightInd w:val="0"/>
        <w:snapToGrid w:val="0"/>
        <w:spacing w:line="360" w:lineRule="auto"/>
        <w:ind w:firstLine="480" w:firstLineChars="200"/>
        <w:rPr>
          <w:rFonts w:hAnsi="宋体" w:cs="宋体"/>
          <w:color w:val="auto"/>
          <w:sz w:val="24"/>
          <w:szCs w:val="24"/>
          <w:highlight w:val="none"/>
        </w:rPr>
      </w:pPr>
      <w:r>
        <w:rPr>
          <w:rFonts w:hint="eastAsia" w:hAnsi="宋体" w:cs="宋体"/>
          <w:color w:val="auto"/>
          <w:sz w:val="24"/>
          <w:highlight w:val="none"/>
        </w:rPr>
        <w:t>3.6 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2795AD7A">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4.需要落实的政府采购政策</w:t>
      </w:r>
    </w:p>
    <w:p w14:paraId="3A837A60">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4.1是否允许采购进口产品要求</w:t>
      </w:r>
    </w:p>
    <w:p w14:paraId="1AF58F4A">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color w:val="auto"/>
          <w:sz w:val="24"/>
          <w:szCs w:val="20"/>
          <w:highlight w:val="none"/>
        </w:rPr>
        <w:t>；</w:t>
      </w:r>
      <w:r>
        <w:rPr>
          <w:rFonts w:hint="eastAsia" w:ascii="宋体" w:hAnsi="宋体" w:cs="宋体"/>
          <w:color w:val="auto"/>
          <w:kern w:val="0"/>
          <w:sz w:val="24"/>
          <w:szCs w:val="20"/>
          <w:highlight w:val="none"/>
        </w:rPr>
        <w:t>优先采购向我国企业转让技术、与我国企业签订消化吸收再创新方案的供应商的进口产品</w:t>
      </w:r>
      <w:r>
        <w:rPr>
          <w:rFonts w:hint="eastAsia" w:ascii="宋体" w:hAnsi="宋体"/>
          <w:color w:val="auto"/>
          <w:sz w:val="24"/>
          <w:szCs w:val="20"/>
          <w:highlight w:val="none"/>
        </w:rPr>
        <w:t>。</w:t>
      </w:r>
    </w:p>
    <w:p w14:paraId="433C88E0">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4.2支持绿色发展</w:t>
      </w:r>
    </w:p>
    <w:p w14:paraId="4A7B52B7">
      <w:pPr>
        <w:adjustRightIn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4.2.1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磋商文件要求提供相关产品认证证书。</w:t>
      </w:r>
      <w:r>
        <w:rPr>
          <w:rFonts w:hint="eastAsia" w:ascii="宋体" w:hAnsi="宋体" w:cs="宋体"/>
          <w:b/>
          <w:color w:val="auto"/>
          <w:sz w:val="24"/>
          <w:highlight w:val="none"/>
        </w:rPr>
        <w:t>▲采购人拟采购的产品属于政府强制采购的节能产品品目清单范围的，供应商相应的响应产品未获得国家确定的认证机构出具的、处于有效期之内的节能产品认证证书的，响应无效。</w:t>
      </w:r>
    </w:p>
    <w:p w14:paraId="235643F8">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4.2.2纳入政府采购管理的修缮、装修类项目采购建材的，鼓励采购单位将绿色建材性能、指标等作为实质性条件纳入采购文件和合同，具体性能指标要求参考相关绿色建材政府采购需求标准。</w:t>
      </w:r>
    </w:p>
    <w:p w14:paraId="29021734">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4.2.3为助力打好污染防治攻坚战，推广使用绿色包装，政府采购货物、工程和服务项目中涉及商品包装和快递包装的，供应商提供</w:t>
      </w:r>
      <w:r>
        <w:rPr>
          <w:rFonts w:hint="eastAsia" w:ascii="宋体" w:hAnsi="宋体" w:cs="宋体"/>
          <w:color w:val="auto"/>
          <w:sz w:val="24"/>
          <w:highlight w:val="none"/>
          <w:lang w:val="en-US" w:eastAsia="zh-CN"/>
        </w:rPr>
        <w:t>的</w:t>
      </w:r>
      <w:r>
        <w:rPr>
          <w:rFonts w:hint="eastAsia" w:ascii="宋体" w:hAnsi="宋体" w:cs="宋体"/>
          <w:color w:val="auto"/>
          <w:sz w:val="24"/>
          <w:highlight w:val="none"/>
        </w:rPr>
        <w:t>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26B31658">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ascii="宋体" w:hAnsi="宋体" w:cs="宋体"/>
          <w:color w:val="auto"/>
          <w:sz w:val="24"/>
          <w:highlight w:val="none"/>
        </w:rPr>
        <w:t xml:space="preserve">2.4 </w:t>
      </w:r>
      <w:r>
        <w:rPr>
          <w:rFonts w:hint="eastAsia" w:ascii="宋体" w:hAnsi="宋体" w:cs="宋体"/>
          <w:color w:val="auto"/>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2FCBEAD0">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4.3支持中小企业发展。</w:t>
      </w:r>
    </w:p>
    <w:p w14:paraId="0ADDA1BA">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4.3.1中小企业，是指在中华人民共和国境内依法设立，依据国务院批准的中小企业划分标准确定的中型企业、小型企业和微型企业，但与大企业的负责人为同一人，或者与大企业存在直接控股、管理关系的除外。</w:t>
      </w:r>
    </w:p>
    <w:p w14:paraId="4211024D">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符合中小企业划分标准的个体工商户，在政府采购活动中视同中小企业。</w:t>
      </w:r>
    </w:p>
    <w:p w14:paraId="2B8019A3">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bCs/>
          <w:color w:val="auto"/>
          <w:sz w:val="24"/>
          <w:highlight w:val="none"/>
        </w:rPr>
        <w:t>4.</w:t>
      </w:r>
      <w:r>
        <w:rPr>
          <w:rFonts w:ascii="宋体" w:hAnsi="宋体" w:cs="宋体"/>
          <w:bCs/>
          <w:color w:val="auto"/>
          <w:sz w:val="24"/>
          <w:highlight w:val="none"/>
        </w:rPr>
        <w:t>3.2</w:t>
      </w:r>
      <w:r>
        <w:rPr>
          <w:rFonts w:hint="eastAsia" w:ascii="宋体" w:hAnsi="宋体" w:cs="宋体"/>
          <w:color w:val="auto"/>
          <w:kern w:val="0"/>
          <w:sz w:val="24"/>
          <w:highlight w:val="none"/>
        </w:rPr>
        <w:t>在政府采购活动中，服务类项目采购，服务由中小企业承接，即提供服务的人员为中小企业依照《中华人民共和国劳动合同法》订立劳动合同的从业人员，享受中小企业扶持政策。</w:t>
      </w:r>
    </w:p>
    <w:p w14:paraId="588D422E">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14:paraId="15DB87F2">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4.3.3对于未预留份额专门面向中小企业采购的政府采购工程项目，以及预留份额政府采购工程项目中的非预留部分标项，对小型和微型企业的最后报价给予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14:paraId="0AF22430">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4.3.4符合《关于促进残疾人就业政府采购政策的通知》（财库〔2017〕141号）规定的条件并提供《残疾人福利性单位声明函》（附件</w:t>
      </w:r>
      <w:r>
        <w:rPr>
          <w:rFonts w:ascii="宋体" w:hAnsi="宋体" w:cs="宋体"/>
          <w:color w:val="auto"/>
          <w:sz w:val="24"/>
          <w:highlight w:val="none"/>
        </w:rPr>
        <w:t>3</w:t>
      </w:r>
      <w:r>
        <w:rPr>
          <w:rFonts w:hint="eastAsia" w:ascii="宋体" w:hAnsi="宋体" w:cs="宋体"/>
          <w:color w:val="auto"/>
          <w:sz w:val="24"/>
          <w:highlight w:val="none"/>
        </w:rPr>
        <w:t>）的残疾人福利性单位视同小型、微型企业；</w:t>
      </w:r>
    </w:p>
    <w:p w14:paraId="07A2025C">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4.3.5符合《关于政府采购支持监狱企业发展有关问题的通知》（财库〔2014〕68号）规定的监狱企业并提供由省级以上监狱管理局、戒毒管理局（含新疆生产建设兵团）出具的属于监狱企业证明文件的，视同为小型、微型企业。</w:t>
      </w:r>
    </w:p>
    <w:p w14:paraId="4E4EADAC">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4.3.6可享受中小企业扶持政策的供应商应按照磋商文件格式要求提供《中小企业声明函》，供应商提供的《中小企业声明函》与实际情况不符的，不享受中小企业扶持政策。声明内容不实的，属于提供虚假材料谋取中标、成交的，依法承担法律责任。</w:t>
      </w:r>
    </w:p>
    <w:p w14:paraId="25F11D55">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4.3.7中小企业享受扶持政策获得政府采购合同的，小微企业不得将合同分包给大中型企业，中型企业不得将合同分包给大型企业。</w:t>
      </w:r>
    </w:p>
    <w:p w14:paraId="28D60ECE">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4.5</w:t>
      </w:r>
      <w:r>
        <w:rPr>
          <w:rFonts w:hint="eastAsia" w:ascii="宋体" w:hAnsi="宋体" w:cs="宋体"/>
          <w:b/>
          <w:bCs/>
          <w:color w:val="auto"/>
          <w:sz w:val="24"/>
          <w:highlight w:val="none"/>
        </w:rPr>
        <w:t>支持创新发展</w:t>
      </w:r>
    </w:p>
    <w:p w14:paraId="5C7B131C">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4.5.1 采购人优先采购被认定为首台套产品和“制造精品”的自主创新产品。</w:t>
      </w:r>
    </w:p>
    <w:p w14:paraId="11161E05">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75C6C1E8">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4.6平等对待内外资企业</w:t>
      </w:r>
    </w:p>
    <w:p w14:paraId="31C24C29">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09E9CD48">
      <w:pPr>
        <w:adjustRightInd w:val="0"/>
        <w:snapToGrid w:val="0"/>
        <w:spacing w:line="360" w:lineRule="auto"/>
        <w:ind w:firstLine="482" w:firstLineChars="200"/>
        <w:jc w:val="left"/>
        <w:rPr>
          <w:rFonts w:ascii="宋体" w:hAnsi="宋体"/>
          <w:b/>
          <w:bCs/>
          <w:color w:val="auto"/>
          <w:kern w:val="0"/>
          <w:sz w:val="24"/>
          <w:szCs w:val="20"/>
          <w:highlight w:val="none"/>
        </w:rPr>
      </w:pPr>
      <w:r>
        <w:rPr>
          <w:rFonts w:hint="eastAsia" w:ascii="宋体" w:hAnsi="宋体" w:cs="宋体"/>
          <w:b/>
          <w:color w:val="auto"/>
          <w:kern w:val="0"/>
          <w:sz w:val="24"/>
          <w:szCs w:val="20"/>
          <w:highlight w:val="none"/>
        </w:rPr>
        <w:t>4.7</w:t>
      </w:r>
      <w:r>
        <w:rPr>
          <w:rFonts w:hint="eastAsia" w:ascii="宋体" w:hAnsi="宋体"/>
          <w:b/>
          <w:color w:val="auto"/>
          <w:kern w:val="0"/>
          <w:sz w:val="24"/>
          <w:szCs w:val="20"/>
          <w:highlight w:val="none"/>
        </w:rPr>
        <w:t>平等对待符合条件的破产重整企业</w:t>
      </w:r>
    </w:p>
    <w:p w14:paraId="1B1282AA">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s="宋体"/>
          <w:color w:val="auto"/>
          <w:kern w:val="0"/>
          <w:sz w:val="24"/>
          <w:szCs w:val="20"/>
          <w:highlight w:val="none"/>
        </w:rPr>
        <w:t>平等对待符合条件的破产重整企业，切实保障企业公平竞争，平等维护企业的合法利益。</w:t>
      </w:r>
    </w:p>
    <w:p w14:paraId="55481F5E">
      <w:pPr>
        <w:widowControl/>
        <w:adjustRightInd w:val="0"/>
        <w:snapToGrid w:val="0"/>
        <w:spacing w:line="360" w:lineRule="auto"/>
        <w:ind w:firstLine="482" w:firstLineChars="200"/>
        <w:jc w:val="left"/>
        <w:rPr>
          <w:rFonts w:ascii="宋体" w:hAnsi="宋体"/>
          <w:b/>
          <w:color w:val="auto"/>
          <w:sz w:val="24"/>
          <w:highlight w:val="none"/>
        </w:rPr>
      </w:pPr>
      <w:r>
        <w:rPr>
          <w:rFonts w:hint="eastAsia" w:ascii="宋体" w:hAnsi="宋体"/>
          <w:b/>
          <w:color w:val="auto"/>
          <w:sz w:val="24"/>
          <w:highlight w:val="none"/>
        </w:rPr>
        <w:t>5.联合体磋商</w:t>
      </w:r>
    </w:p>
    <w:p w14:paraId="74F8220E">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w:t>
      </w:r>
      <w:r>
        <w:rPr>
          <w:rFonts w:ascii="宋体" w:hAnsi="宋体" w:cs="宋体"/>
          <w:color w:val="auto"/>
          <w:kern w:val="0"/>
          <w:sz w:val="24"/>
          <w:highlight w:val="none"/>
        </w:rPr>
        <w:t>.</w:t>
      </w:r>
      <w:r>
        <w:rPr>
          <w:rFonts w:hint="eastAsia" w:ascii="宋体" w:hAnsi="宋体" w:cs="宋体"/>
          <w:color w:val="auto"/>
          <w:kern w:val="0"/>
          <w:sz w:val="24"/>
          <w:highlight w:val="none"/>
        </w:rPr>
        <w:t>1联合体磋商要求:</w:t>
      </w:r>
    </w:p>
    <w:p w14:paraId="1B876DDC">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（1）两个以上供应商可以组成一个磋商联合体，以一个供应商的身份磋商。</w:t>
      </w:r>
    </w:p>
    <w:p w14:paraId="596E45F5">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（2）以联合体形式参加磋商的，联合体各方均应当符合“具有独立承担民事责任的能力”的条件。本项目有特殊要求规定供应商特定条件的，联合体各方中至少应当有一方符合磋商文件规定的特定条件。</w:t>
      </w:r>
    </w:p>
    <w:p w14:paraId="285BDB9D">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（3）联合体各方之间应当签订</w:t>
      </w:r>
      <w:r>
        <w:rPr>
          <w:rFonts w:hint="eastAsia" w:ascii="宋体" w:hAnsi="宋体" w:cs="宋体"/>
          <w:b/>
          <w:color w:val="auto"/>
          <w:kern w:val="0"/>
          <w:sz w:val="24"/>
          <w:highlight w:val="none"/>
        </w:rPr>
        <w:t>联合协议</w:t>
      </w:r>
      <w:r>
        <w:rPr>
          <w:rFonts w:hint="eastAsia" w:ascii="宋体" w:hAnsi="宋体" w:cs="宋体"/>
          <w:color w:val="auto"/>
          <w:kern w:val="0"/>
          <w:sz w:val="24"/>
          <w:highlight w:val="none"/>
        </w:rPr>
        <w:t>，明确约定联合体各方承担的工作和响应的责任，并将联合协议连同磋商响应文件一并提交本采购代理机构。联合体各方签订联合协议后，不得再以自己名义单独在同一项目中参与</w:t>
      </w:r>
      <w:r>
        <w:rPr>
          <w:rFonts w:ascii="宋体" w:hAnsi="宋体" w:cs="宋体"/>
          <w:color w:val="auto"/>
          <w:kern w:val="0"/>
          <w:sz w:val="24"/>
          <w:highlight w:val="none"/>
        </w:rPr>
        <w:t>磋商</w:t>
      </w:r>
      <w:r>
        <w:rPr>
          <w:rFonts w:hint="eastAsia" w:ascii="宋体" w:hAnsi="宋体" w:cs="宋体"/>
          <w:color w:val="auto"/>
          <w:kern w:val="0"/>
          <w:sz w:val="24"/>
          <w:highlight w:val="none"/>
        </w:rPr>
        <w:t>，也不得组成新的联合体参加同一项目磋商。否则，与之相关的响应文件作废。</w:t>
      </w:r>
    </w:p>
    <w:p w14:paraId="1EAFB41B">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（4）磋商联合体的业绩和信誉按联合体主体方（或牵头方）计算。</w:t>
      </w:r>
    </w:p>
    <w:p w14:paraId="68045F8F">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联合体各方中至少有一方符合本文件规定的特定资质条件。联合体磋商的，须提供《联合协议》（格式见附件）。</w:t>
      </w:r>
    </w:p>
    <w:p w14:paraId="34E42046">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w:t>
      </w:r>
      <w:r>
        <w:rPr>
          <w:rFonts w:ascii="宋体" w:hAnsi="宋体" w:cs="宋体"/>
          <w:color w:val="auto"/>
          <w:sz w:val="24"/>
          <w:highlight w:val="none"/>
        </w:rPr>
        <w:t>.</w:t>
      </w:r>
      <w:r>
        <w:rPr>
          <w:rFonts w:hint="eastAsia" w:ascii="宋体" w:hAnsi="宋体" w:cs="宋体"/>
          <w:color w:val="auto"/>
          <w:sz w:val="24"/>
          <w:highlight w:val="none"/>
        </w:rPr>
        <w:t>2大中型企业与小微企业组成联合体或者大中型企业向小微企业分包的，对其报价给予</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%的扣除，用扣除后的价格参加评审。</w:t>
      </w:r>
    </w:p>
    <w:p w14:paraId="7FE5F485">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6. 磋商费用、竞争性磋商公告、竞争性磋商文件的澄清和修改</w:t>
      </w:r>
    </w:p>
    <w:p w14:paraId="50D24CB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6.1磋商费用：供应商应自行承担所有与编写和提交竞争性磋商响应文件有关的费用，不论磋商结果如何，采购人和本代理机构在任何情况下无义务和责任承担此类费用。</w:t>
      </w:r>
    </w:p>
    <w:p w14:paraId="358BF687">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6.2竞争性磋商公告：见</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int="eastAsia" w:hAnsi="宋体"/>
          <w:b/>
          <w:color w:val="auto"/>
          <w:sz w:val="24"/>
          <w:szCs w:val="24"/>
          <w:highlight w:val="none"/>
          <w:u w:val="single"/>
        </w:rPr>
        <w:t>年</w:t>
      </w:r>
      <w:r>
        <w:rPr>
          <w:rFonts w:hint="eastAsia" w:hAnsi="宋体"/>
          <w:b/>
          <w:color w:val="auto"/>
          <w:sz w:val="24"/>
          <w:szCs w:val="24"/>
          <w:highlight w:val="none"/>
          <w:u w:val="single"/>
          <w:lang w:val="en-US" w:eastAsia="zh-CN"/>
        </w:rPr>
        <w:t>9月22日</w:t>
      </w:r>
      <w:r>
        <w:rPr>
          <w:rFonts w:hint="eastAsia" w:hAnsi="宋体" w:cs="宋体"/>
          <w:color w:val="auto"/>
          <w:sz w:val="24"/>
          <w:szCs w:val="24"/>
          <w:highlight w:val="none"/>
        </w:rPr>
        <w:t>http://www.ccgp.gov.cn/（中国政府采购网）、http://zfcg.gxzf.gov.cn/（广西政府采购网）。</w:t>
      </w:r>
    </w:p>
    <w:p w14:paraId="5B47979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6.3竞争性磋商文件的澄清和修改：</w:t>
      </w:r>
    </w:p>
    <w:p w14:paraId="16F734F9">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6.3.1</w:t>
      </w:r>
      <w:r>
        <w:rPr>
          <w:rFonts w:hint="eastAsia" w:hAnsi="宋体"/>
          <w:bCs/>
          <w:color w:val="auto"/>
          <w:sz w:val="24"/>
          <w:szCs w:val="24"/>
          <w:highlight w:val="none"/>
        </w:rPr>
        <w:t>供应商应认真审核《采购需求》中的服务要求，如发现采购需求中服务要求有误或要求不合理的，供应商必须在规定的时间前要求澄清，否则，由此产生的后果由供应商负责。</w:t>
      </w:r>
    </w:p>
    <w:p w14:paraId="102630C1">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6.3.2任何要求澄清竞争性磋商文件的供应商，均应在响应文件递交截止日期三日前的正常工作时间以传真等书面形式通知本代理机构，同时认定其他澄清方式为无效。本代理机构将以书面形式予以答复。</w:t>
      </w:r>
    </w:p>
    <w:p w14:paraId="4849A0F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6.3.3本代理机构对已发出的磋商文件进行必要澄清或者修改的，在竞争性磋商文件要求提交竞争性磋商响应文件截止时间五日前（不足五日顺延），在</w:t>
      </w:r>
      <w:r>
        <w:rPr>
          <w:rFonts w:hint="eastAsia" w:ascii="宋体" w:hAnsi="宋体" w:cs="宋体"/>
          <w:color w:val="auto"/>
          <w:sz w:val="24"/>
          <w:highlight w:val="none"/>
        </w:rPr>
        <w:t>http://www.ccgp.gov.cn/（中国政府采购网）、http://zfcg.gxzf.gov.cn/（广西政府采购网）</w:t>
      </w:r>
      <w:r>
        <w:rPr>
          <w:rFonts w:hint="eastAsia" w:ascii="宋体" w:hAnsi="宋体"/>
          <w:color w:val="auto"/>
          <w:sz w:val="24"/>
          <w:highlight w:val="none"/>
        </w:rPr>
        <w:t>上发布更正公告，并以书面形式通知所有竞争性磋商文件收受人。该澄清或者修改的内容为竞争性磋商文件的组成部分。</w:t>
      </w:r>
    </w:p>
    <w:p w14:paraId="27FDD30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6.3.4本代理机构可视具体情况，延长响应文件递交截止时间和开标时间。本代理机构至少在竞争性磋商文件要求提交竞争性磋商响应文件的截止时间一日前，将变更时间书面通知所有竞争性磋商文件收受人，并在</w:t>
      </w:r>
      <w:r>
        <w:rPr>
          <w:rFonts w:hint="eastAsia" w:ascii="宋体" w:hAnsi="宋体" w:cs="宋体"/>
          <w:color w:val="auto"/>
          <w:sz w:val="24"/>
          <w:highlight w:val="none"/>
        </w:rPr>
        <w:t>http://www.ccgp.gov.cn/（中国政府采购网）、http://zfcg.gxzf.gov.cn/（广西政府采购网）</w:t>
      </w:r>
      <w:r>
        <w:rPr>
          <w:rFonts w:hint="eastAsia" w:ascii="宋体" w:hAnsi="宋体"/>
          <w:color w:val="auto"/>
          <w:sz w:val="24"/>
          <w:highlight w:val="none"/>
        </w:rPr>
        <w:t>上发布变更公告。</w:t>
      </w:r>
    </w:p>
    <w:p w14:paraId="7F0A58D3">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二、竞争性磋商响应文件的编制</w:t>
      </w:r>
    </w:p>
    <w:p w14:paraId="379275E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 竞争性磋商响应文件编制基本要求</w:t>
      </w:r>
    </w:p>
    <w:p w14:paraId="6746D9AF">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w:t>
      </w:r>
      <w:r>
        <w:rPr>
          <w:rFonts w:ascii="宋体" w:hAnsi="宋体"/>
          <w:color w:val="auto"/>
          <w:sz w:val="24"/>
          <w:highlight w:val="none"/>
        </w:rPr>
        <w:t>本项目实行电子</w:t>
      </w:r>
      <w:r>
        <w:rPr>
          <w:rFonts w:hint="eastAsia" w:ascii="宋体" w:hAnsi="宋体"/>
          <w:color w:val="auto"/>
          <w:sz w:val="24"/>
          <w:highlight w:val="none"/>
        </w:rPr>
        <w:t>磋商</w:t>
      </w:r>
      <w:r>
        <w:rPr>
          <w:rFonts w:ascii="宋体" w:hAnsi="宋体"/>
          <w:color w:val="auto"/>
          <w:sz w:val="24"/>
          <w:highlight w:val="none"/>
        </w:rPr>
        <w:t>，供应商应准备电子</w:t>
      </w:r>
      <w:r>
        <w:rPr>
          <w:rFonts w:hint="eastAsia" w:ascii="宋体" w:hAnsi="宋体"/>
          <w:color w:val="auto"/>
          <w:sz w:val="24"/>
          <w:highlight w:val="none"/>
        </w:rPr>
        <w:t>磋商</w:t>
      </w:r>
      <w:r>
        <w:rPr>
          <w:rFonts w:ascii="宋体" w:hAnsi="宋体"/>
          <w:color w:val="auto"/>
          <w:sz w:val="24"/>
          <w:highlight w:val="none"/>
        </w:rPr>
        <w:t>响应文件：</w:t>
      </w:r>
    </w:p>
    <w:p w14:paraId="4C24B7A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7.1.1</w:t>
      </w:r>
      <w:r>
        <w:rPr>
          <w:rFonts w:ascii="宋体" w:hAnsi="宋体"/>
          <w:color w:val="auto"/>
          <w:sz w:val="24"/>
          <w:highlight w:val="none"/>
        </w:rPr>
        <w:t>电子响应文件按广西政府采购云平台</w:t>
      </w:r>
      <w:r>
        <w:rPr>
          <w:rFonts w:hint="eastAsia" w:ascii="宋体" w:hAnsi="宋体"/>
          <w:color w:val="auto"/>
          <w:sz w:val="24"/>
          <w:highlight w:val="none"/>
        </w:rPr>
        <w:t>要求</w:t>
      </w:r>
      <w:r>
        <w:rPr>
          <w:rFonts w:ascii="宋体" w:hAnsi="宋体"/>
          <w:color w:val="auto"/>
          <w:sz w:val="24"/>
          <w:highlight w:val="none"/>
        </w:rPr>
        <w:t>及本磋商文件要求制作、加密并递交。具体操作流程</w:t>
      </w:r>
      <w:r>
        <w:rPr>
          <w:rFonts w:hint="eastAsia" w:ascii="宋体" w:hAnsi="宋体"/>
          <w:color w:val="auto"/>
          <w:sz w:val="24"/>
          <w:highlight w:val="none"/>
        </w:rPr>
        <w:t>可参考</w:t>
      </w:r>
      <w:r>
        <w:rPr>
          <w:rFonts w:ascii="宋体" w:hAnsi="宋体"/>
          <w:color w:val="auto"/>
          <w:sz w:val="24"/>
          <w:highlight w:val="none"/>
        </w:rPr>
        <w:t>《</w:t>
      </w:r>
      <w:r>
        <w:rPr>
          <w:rFonts w:hint="eastAsia" w:ascii="宋体" w:hAnsi="宋体"/>
          <w:color w:val="auto"/>
          <w:sz w:val="24"/>
          <w:highlight w:val="none"/>
        </w:rPr>
        <w:t>政府采购</w:t>
      </w:r>
      <w:r>
        <w:rPr>
          <w:rFonts w:ascii="宋体" w:hAnsi="宋体"/>
          <w:color w:val="auto"/>
          <w:sz w:val="24"/>
          <w:highlight w:val="none"/>
        </w:rPr>
        <w:t>项目电子交易管理操作指南</w:t>
      </w:r>
      <w:r>
        <w:rPr>
          <w:rFonts w:hint="eastAsia" w:ascii="宋体" w:hAnsi="宋体"/>
          <w:color w:val="auto"/>
          <w:sz w:val="24"/>
          <w:highlight w:val="none"/>
        </w:rPr>
        <w:t>-</w:t>
      </w:r>
      <w:r>
        <w:rPr>
          <w:rFonts w:ascii="宋体" w:hAnsi="宋体"/>
          <w:color w:val="auto"/>
          <w:sz w:val="24"/>
          <w:highlight w:val="none"/>
        </w:rPr>
        <w:t>供应商》</w:t>
      </w:r>
      <w:r>
        <w:rPr>
          <w:rFonts w:hint="eastAsia" w:ascii="宋体" w:hAnsi="宋体"/>
          <w:color w:val="auto"/>
          <w:sz w:val="24"/>
          <w:highlight w:val="none"/>
        </w:rPr>
        <w:t>，</w:t>
      </w:r>
      <w:r>
        <w:rPr>
          <w:rFonts w:ascii="宋体" w:hAnsi="宋体"/>
          <w:color w:val="auto"/>
          <w:sz w:val="24"/>
          <w:highlight w:val="none"/>
        </w:rPr>
        <w:t>指南可在</w:t>
      </w:r>
      <w:r>
        <w:rPr>
          <w:rFonts w:hint="eastAsia" w:ascii="宋体" w:hAnsi="宋体"/>
          <w:color w:val="auto"/>
          <w:sz w:val="24"/>
          <w:highlight w:val="none"/>
        </w:rPr>
        <w:t>广西政府采购网进行查阅。</w:t>
      </w:r>
    </w:p>
    <w:p w14:paraId="245EDF7B">
      <w:pPr>
        <w:adjustRightInd w:val="0"/>
        <w:snapToGrid w:val="0"/>
        <w:spacing w:line="360" w:lineRule="auto"/>
        <w:ind w:firstLine="480" w:firstLineChars="200"/>
        <w:rPr>
          <w:rFonts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7.1.3磋商响应</w:t>
      </w:r>
      <w:r>
        <w:rPr>
          <w:rFonts w:ascii="宋体" w:hAnsi="宋体"/>
          <w:color w:val="auto"/>
          <w:sz w:val="24"/>
          <w:highlight w:val="none"/>
        </w:rPr>
        <w:t>文件</w:t>
      </w:r>
      <w:r>
        <w:rPr>
          <w:rFonts w:hint="eastAsia" w:ascii="宋体" w:hAnsi="宋体"/>
          <w:color w:val="auto"/>
          <w:sz w:val="24"/>
          <w:highlight w:val="none"/>
        </w:rPr>
        <w:t>解密</w:t>
      </w:r>
      <w:r>
        <w:rPr>
          <w:rFonts w:ascii="宋体" w:hAnsi="宋体"/>
          <w:color w:val="auto"/>
          <w:sz w:val="24"/>
          <w:highlight w:val="none"/>
        </w:rPr>
        <w:t>：</w:t>
      </w:r>
      <w:r>
        <w:rPr>
          <w:rFonts w:hint="eastAsia" w:ascii="宋体" w:hAnsi="宋体"/>
          <w:color w:val="auto"/>
          <w:sz w:val="24"/>
          <w:highlight w:val="none"/>
        </w:rPr>
        <w:t>若磋商供应商在规定时间内无法解密或解密失败，视为磋商响应文件撤回，磋商无效。</w:t>
      </w:r>
    </w:p>
    <w:p w14:paraId="7755FC1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7.2供应商提交的竞争性磋商响应文件以及供应商与</w:t>
      </w:r>
      <w:r>
        <w:rPr>
          <w:rFonts w:hint="eastAsia" w:ascii="宋体" w:hAnsi="宋体"/>
          <w:color w:val="auto"/>
          <w:sz w:val="24"/>
          <w:highlight w:val="none"/>
          <w:lang w:eastAsia="zh-CN"/>
        </w:rPr>
        <w:t>广西科联招标中心有限公司</w:t>
      </w:r>
      <w:r>
        <w:rPr>
          <w:rFonts w:hint="eastAsia" w:ascii="宋体" w:hAnsi="宋体"/>
          <w:color w:val="auto"/>
          <w:sz w:val="24"/>
          <w:highlight w:val="none"/>
        </w:rPr>
        <w:t>和采购人就有关磋商的所有来往函电均应使用中文。供应商提交的支持文件和印刷的文献可以使用别的语言，但其相应内容必须附有中文翻译文本，在解释竞争性磋商响应文件时以翻译文本为主。</w:t>
      </w:r>
    </w:p>
    <w:p w14:paraId="07482CE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7.3供应商应认真阅读、并充分理解本文件的全部内容（包括所有的澄清、更改、补充、答疑等内容），承诺并履行本文件中各项条款规定及要求。</w:t>
      </w:r>
    </w:p>
    <w:p w14:paraId="7162F27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7.4竞争性磋商响应文件必须按本文件的全部内容，包括所有的澄清、更改、补充、答疑等内容及附件进行编制。</w:t>
      </w:r>
    </w:p>
    <w:p w14:paraId="610554D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7.5如因供应商只填写和提供了本文件要求的部分内容和附件，而给磋商小组评审造成困难，其可能导致的结果和责任由供应商自行承担。</w:t>
      </w:r>
    </w:p>
    <w:p w14:paraId="6600BCF7">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7.6全面实行全流程电子化采购后进一步精简评标事项和环节，梳理采购流程，取消原件审查、核对等环节。资格条件证明材料、业绩证明、授权书等材料均以电子采购文件为评审依据，供应商须对所提供材料的真实性和一致性负责。</w:t>
      </w:r>
    </w:p>
    <w:p w14:paraId="59BB037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7.7竞争性磋商响应文件的组成：竞争性磋商响应文件应分为资格文件、价格文件和商务技术文件组成。</w:t>
      </w:r>
      <w:r>
        <w:rPr>
          <w:rFonts w:ascii="宋体" w:hAnsi="宋体"/>
          <w:color w:val="auto"/>
          <w:sz w:val="24"/>
          <w:highlight w:val="none"/>
        </w:rPr>
        <w:t>供应商应仔细阅读磋商采购文件的所有内容，按磋商采购文件的要求，详细编制磋商响应文件。</w:t>
      </w:r>
    </w:p>
    <w:p w14:paraId="37B2A31B">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7.7.1资格文件</w:t>
      </w:r>
    </w:p>
    <w:p w14:paraId="10FA6225">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▲（1）具有独立承担民事责任的能力（磋商供应商为法人或者其他组织的具有有效的营业执照或者事业单位法人证书或者执业许可证；供应商为自然人的具有有效身份证）；</w:t>
      </w:r>
    </w:p>
    <w:p w14:paraId="6D52581D">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▲（2）具有良好的商业信誉和健全的财务会计制度（磋商供应商具有</w:t>
      </w:r>
      <w:r>
        <w:rPr>
          <w:rFonts w:hint="eastAsia" w:ascii="宋体" w:hAnsi="宋体"/>
          <w:b w:val="0"/>
          <w:bCs w:val="0"/>
          <w:color w:val="auto"/>
          <w:sz w:val="24"/>
          <w:highlight w:val="none"/>
          <w:lang w:val="en-US" w:eastAsia="zh-CN"/>
        </w:rPr>
        <w:t>2025年</w:t>
      </w:r>
      <w:r>
        <w:rPr>
          <w:rFonts w:hint="eastAsia" w:ascii="宋体" w:hAnsi="宋体"/>
          <w:b w:val="0"/>
          <w:bCs w:val="0"/>
          <w:color w:val="auto"/>
          <w:sz w:val="24"/>
          <w:highlight w:val="none"/>
        </w:rPr>
        <w:t>年度经审计的财务报告或者截标时间前半年内至少一个月能反映财务状况的报表或者截标时间前半年内至少一个月的财务情况说明）；</w:t>
      </w:r>
    </w:p>
    <w:p w14:paraId="2392A6A4">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▲（3）具有履行合同所必需的设备和专业技术能力的证明材料；</w:t>
      </w:r>
    </w:p>
    <w:p w14:paraId="0DA09614">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▲（4）具有依法缴纳税收的良好记录（磋商供应商具有税款所属时期为</w:t>
      </w:r>
      <w:r>
        <w:rPr>
          <w:rFonts w:hint="eastAsia" w:ascii="宋体" w:hAnsi="宋体"/>
          <w:b w:val="0"/>
          <w:bCs w:val="0"/>
          <w:color w:val="auto"/>
          <w:sz w:val="24"/>
          <w:highlight w:val="none"/>
          <w:lang w:eastAsia="zh-CN"/>
        </w:rPr>
        <w:t>202</w:t>
      </w:r>
      <w:r>
        <w:rPr>
          <w:rFonts w:hint="eastAsia" w:ascii="宋体" w:hAnsi="宋体"/>
          <w:b w:val="0"/>
          <w:bCs w:val="0"/>
          <w:color w:val="auto"/>
          <w:sz w:val="24"/>
          <w:highlight w:val="none"/>
          <w:lang w:val="en-US" w:eastAsia="zh-CN"/>
        </w:rPr>
        <w:t>6</w:t>
      </w:r>
      <w:r>
        <w:rPr>
          <w:rFonts w:hint="eastAsia" w:ascii="宋体" w:hAnsi="宋体"/>
          <w:b w:val="0"/>
          <w:bCs w:val="0"/>
          <w:color w:val="auto"/>
          <w:sz w:val="24"/>
          <w:highlight w:val="none"/>
          <w:lang w:eastAsia="zh-CN"/>
        </w:rPr>
        <w:t>年</w:t>
      </w:r>
      <w:r>
        <w:rPr>
          <w:rFonts w:hint="eastAsia" w:ascii="宋体" w:hAnsi="宋体"/>
          <w:b w:val="0"/>
          <w:bCs w:val="0"/>
          <w:color w:val="auto"/>
          <w:sz w:val="24"/>
          <w:highlight w:val="none"/>
          <w:lang w:val="en-US" w:eastAsia="zh-CN"/>
        </w:rPr>
        <w:t>2</w:t>
      </w:r>
      <w:r>
        <w:rPr>
          <w:rFonts w:hint="eastAsia" w:ascii="宋体" w:hAnsi="宋体"/>
          <w:b w:val="0"/>
          <w:bCs w:val="0"/>
          <w:color w:val="auto"/>
          <w:sz w:val="24"/>
          <w:highlight w:val="none"/>
          <w:lang w:eastAsia="zh-CN"/>
        </w:rPr>
        <w:t>月</w:t>
      </w:r>
      <w:r>
        <w:rPr>
          <w:rFonts w:hint="eastAsia" w:ascii="宋体" w:hAnsi="宋体"/>
          <w:b w:val="0"/>
          <w:bCs w:val="0"/>
          <w:color w:val="auto"/>
          <w:sz w:val="24"/>
          <w:highlight w:val="none"/>
        </w:rPr>
        <w:t>至首次响应文件提交截止时间止，任意三个月依法缴纳税费记录或依法免缴税费的记录）【从取得营业执照时间起到首次响应文件提交截止时间为止不足要求月数的，至少具有从取得营业执照起任意一个月依法缴纳税收的良好记录】）；</w:t>
      </w:r>
    </w:p>
    <w:p w14:paraId="7B6BC0C3">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▲（5）具有社会保障资金的良好记录（磋商供应商具有社保所属时期或缴费起始时间为</w:t>
      </w:r>
      <w:r>
        <w:rPr>
          <w:rFonts w:hint="eastAsia" w:ascii="宋体" w:hAnsi="宋体"/>
          <w:b w:val="0"/>
          <w:bCs w:val="0"/>
          <w:color w:val="auto"/>
          <w:sz w:val="24"/>
          <w:highlight w:val="none"/>
          <w:lang w:eastAsia="zh-CN"/>
        </w:rPr>
        <w:t>202</w:t>
      </w:r>
      <w:r>
        <w:rPr>
          <w:rFonts w:hint="eastAsia" w:ascii="宋体" w:hAnsi="宋体"/>
          <w:b w:val="0"/>
          <w:bCs w:val="0"/>
          <w:color w:val="auto"/>
          <w:sz w:val="24"/>
          <w:highlight w:val="none"/>
          <w:lang w:val="en-US" w:eastAsia="zh-CN"/>
        </w:rPr>
        <w:t>6</w:t>
      </w:r>
      <w:r>
        <w:rPr>
          <w:rFonts w:hint="eastAsia" w:ascii="宋体" w:hAnsi="宋体"/>
          <w:b w:val="0"/>
          <w:bCs w:val="0"/>
          <w:color w:val="auto"/>
          <w:sz w:val="24"/>
          <w:highlight w:val="none"/>
          <w:lang w:eastAsia="zh-CN"/>
        </w:rPr>
        <w:t>年</w:t>
      </w:r>
      <w:r>
        <w:rPr>
          <w:rFonts w:hint="eastAsia" w:ascii="宋体" w:hAnsi="宋体"/>
          <w:b w:val="0"/>
          <w:bCs w:val="0"/>
          <w:color w:val="auto"/>
          <w:sz w:val="24"/>
          <w:highlight w:val="none"/>
          <w:lang w:val="en-US" w:eastAsia="zh-CN"/>
        </w:rPr>
        <w:t>2</w:t>
      </w:r>
      <w:r>
        <w:rPr>
          <w:rFonts w:hint="eastAsia" w:ascii="宋体" w:hAnsi="宋体"/>
          <w:b w:val="0"/>
          <w:bCs w:val="0"/>
          <w:color w:val="auto"/>
          <w:sz w:val="24"/>
          <w:highlight w:val="none"/>
          <w:lang w:eastAsia="zh-CN"/>
        </w:rPr>
        <w:t>月</w:t>
      </w:r>
      <w:r>
        <w:rPr>
          <w:rFonts w:hint="eastAsia" w:ascii="宋体" w:hAnsi="宋体"/>
          <w:b w:val="0"/>
          <w:bCs w:val="0"/>
          <w:color w:val="auto"/>
          <w:sz w:val="24"/>
          <w:highlight w:val="none"/>
        </w:rPr>
        <w:t>至首次响应文件提交截止时间止，任意三个月依法缴纳社保费记录或依法免缴社保费的记录【从取得营业执照时间起到首次响应文件提交截止时间为止不足要求月数的，至少具有从取得营业执照起任意一个月依法缴纳社会保障资金的良好记录】）；</w:t>
      </w:r>
    </w:p>
    <w:p w14:paraId="303AB434">
      <w:pPr>
        <w:adjustRightInd w:val="0"/>
        <w:snapToGrid w:val="0"/>
        <w:spacing w:line="360" w:lineRule="auto"/>
        <w:ind w:firstLine="480" w:firstLineChars="200"/>
        <w:rPr>
          <w:rFonts w:hint="eastAsia" w:ascii="宋体" w:hAnsi="宋体"/>
          <w:b w:val="0"/>
          <w:bCs w:val="0"/>
          <w:color w:val="auto"/>
          <w:sz w:val="24"/>
          <w:highlight w:val="none"/>
        </w:rPr>
      </w:pPr>
      <w:r>
        <w:rPr>
          <w:rFonts w:hint="eastAsia" w:ascii="宋体" w:hAnsi="宋体"/>
          <w:b w:val="0"/>
          <w:bCs w:val="0"/>
          <w:color w:val="auto"/>
          <w:sz w:val="24"/>
          <w:highlight w:val="none"/>
        </w:rPr>
        <w:t>▲（6）参加政府采购活动前三年内，在经营活动中没有重大违法记录；</w:t>
      </w:r>
    </w:p>
    <w:p w14:paraId="2176F425">
      <w:pPr>
        <w:adjustRightInd w:val="0"/>
        <w:snapToGrid w:val="0"/>
        <w:spacing w:line="360" w:lineRule="auto"/>
        <w:ind w:firstLine="480" w:firstLineChars="200"/>
        <w:rPr>
          <w:rFonts w:hint="eastAsia" w:ascii="宋体" w:hAnsi="宋体" w:eastAsia="宋体"/>
          <w:b/>
          <w:bCs/>
          <w:color w:val="auto"/>
          <w:sz w:val="24"/>
          <w:highlight w:val="none"/>
          <w:lang w:eastAsia="zh-CN"/>
        </w:rPr>
      </w:pPr>
      <w:r>
        <w:rPr>
          <w:rFonts w:hint="eastAsia" w:ascii="宋体" w:hAnsi="宋体"/>
          <w:b w:val="0"/>
          <w:bCs w:val="0"/>
          <w:color w:val="auto"/>
          <w:sz w:val="24"/>
          <w:highlight w:val="none"/>
        </w:rPr>
        <w:t>▲（7）磋商供应商具备满足资格要求的资质：提供有效的</w:t>
      </w:r>
      <w:r>
        <w:rPr>
          <w:rFonts w:hint="eastAsia" w:ascii="宋体" w:hAnsi="宋体" w:cs="宋体"/>
          <w:color w:val="auto"/>
          <w:sz w:val="24"/>
          <w:highlight w:val="none"/>
          <w:lang w:val="en-US" w:eastAsia="zh-CN"/>
        </w:rPr>
        <w:t>市政公用工程施工总承包贰级</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含</w:t>
      </w:r>
      <w:r>
        <w:rPr>
          <w:rFonts w:hint="eastAsia" w:ascii="宋体" w:hAnsi="宋体" w:cs="宋体"/>
          <w:color w:val="auto"/>
          <w:sz w:val="24"/>
          <w:highlight w:val="none"/>
          <w:lang w:eastAsia="zh-CN"/>
        </w:rPr>
        <w:t>）</w:t>
      </w:r>
      <w:r>
        <w:rPr>
          <w:rFonts w:hint="eastAsia" w:ascii="宋体" w:hAnsi="宋体" w:cs="宋体"/>
          <w:color w:val="auto"/>
          <w:sz w:val="24"/>
          <w:highlight w:val="none"/>
        </w:rPr>
        <w:t>以上资质证书复印件、供应商有效的安全生产许可证复印件</w:t>
      </w:r>
      <w:r>
        <w:rPr>
          <w:rFonts w:hint="eastAsia" w:ascii="宋体" w:hAnsi="宋体"/>
          <w:b/>
          <w:bCs/>
          <w:color w:val="auto"/>
          <w:sz w:val="24"/>
          <w:highlight w:val="none"/>
        </w:rPr>
        <w:t>（必须提供）</w:t>
      </w:r>
      <w:r>
        <w:rPr>
          <w:rFonts w:hint="eastAsia" w:ascii="宋体" w:hAnsi="宋体"/>
          <w:b/>
          <w:bCs/>
          <w:color w:val="auto"/>
          <w:sz w:val="24"/>
          <w:highlight w:val="none"/>
          <w:lang w:eastAsia="zh-CN"/>
        </w:rPr>
        <w:t>；</w:t>
      </w:r>
    </w:p>
    <w:p w14:paraId="00C1D347">
      <w:pPr>
        <w:adjustRightInd w:val="0"/>
        <w:snapToGrid w:val="0"/>
        <w:spacing w:line="360" w:lineRule="auto"/>
        <w:ind w:firstLine="482" w:firstLineChars="200"/>
        <w:rPr>
          <w:rFonts w:hint="eastAsia" w:ascii="宋体" w:hAnsi="宋体" w:eastAsia="宋体"/>
          <w:color w:val="auto"/>
          <w:sz w:val="24"/>
          <w:highlight w:val="none"/>
          <w:lang w:eastAsia="zh-CN"/>
        </w:rPr>
      </w:pPr>
      <w:r>
        <w:rPr>
          <w:rFonts w:hint="eastAsia" w:ascii="宋体" w:hAnsi="宋体"/>
          <w:b/>
          <w:bCs/>
          <w:color w:val="auto"/>
          <w:sz w:val="24"/>
          <w:highlight w:val="none"/>
        </w:rPr>
        <w:t>▲</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w:t>
      </w:r>
      <w:r>
        <w:rPr>
          <w:rFonts w:hint="eastAsia" w:ascii="宋体" w:hAnsi="宋体"/>
          <w:color w:val="auto"/>
          <w:sz w:val="24"/>
          <w:highlight w:val="none"/>
        </w:rPr>
        <w:t>中小企业声明函或者残疾人福利性单位声明函或者磋商供应商属于监狱企业的证明材料（格式见第三章）</w:t>
      </w:r>
      <w:r>
        <w:rPr>
          <w:rFonts w:hint="eastAsia" w:ascii="宋体" w:hAnsi="宋体" w:cs="宋体"/>
          <w:b/>
          <w:bCs/>
          <w:color w:val="auto"/>
          <w:sz w:val="24"/>
          <w:highlight w:val="none"/>
        </w:rPr>
        <w:t>（必须提供）</w:t>
      </w:r>
      <w:r>
        <w:rPr>
          <w:rFonts w:hint="eastAsia" w:ascii="宋体" w:hAnsi="宋体" w:cs="宋体"/>
          <w:b/>
          <w:bCs/>
          <w:color w:val="auto"/>
          <w:sz w:val="24"/>
          <w:highlight w:val="none"/>
          <w:lang w:eastAsia="zh-CN"/>
        </w:rPr>
        <w:t>。</w:t>
      </w:r>
    </w:p>
    <w:p w14:paraId="17125A3A">
      <w:pPr>
        <w:pStyle w:val="25"/>
        <w:spacing w:line="360" w:lineRule="auto"/>
        <w:ind w:firstLine="482" w:firstLineChars="200"/>
        <w:outlineLvl w:val="9"/>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特别说明：1.（1）-（6）项材料，磋商供应商制作响应文件时资格证明文件可以书面信用承诺函（格式见第三章）的形式进行响应或提供符合采购文件要求的证明材料；以承诺函形式进行响应的，无需提供证明材料。磋商供应商若提供证明材料，提供的所有复印件必须加盖电子公章，否则磋商无效。磋商供应商未按要求提供材料或提供的证明材料不齐全或提供的承诺函不符合采购文件要求的或不如实填写承诺函的，磋商无效。（7）-（8）项材料按要求提供证明材料并加盖电子公章，第三章提供了格式要求的，必须按格式内容进行填写、签章，不提供或者不按要求填写、签章的，磋商无效。</w:t>
      </w:r>
    </w:p>
    <w:p w14:paraId="630914F1">
      <w:pPr>
        <w:adjustRightInd w:val="0"/>
        <w:snapToGrid w:val="0"/>
        <w:spacing w:line="360" w:lineRule="auto"/>
        <w:ind w:firstLine="482" w:firstLineChars="200"/>
        <w:rPr>
          <w:rFonts w:hint="eastAsia" w:ascii="宋体" w:hAnsi="宋体"/>
          <w:b/>
          <w:bCs/>
          <w:color w:val="auto"/>
          <w:sz w:val="24"/>
          <w:highlight w:val="none"/>
        </w:rPr>
      </w:pPr>
      <w:r>
        <w:rPr>
          <w:rFonts w:hint="eastAsia" w:asciiTheme="minorEastAsia" w:hAnsiTheme="minorEastAsia" w:eastAsiaTheme="minorEastAsia"/>
          <w:b/>
          <w:bCs/>
          <w:color w:val="auto"/>
          <w:sz w:val="24"/>
          <w:highlight w:val="none"/>
          <w:lang w:val="en-US" w:eastAsia="zh-CN"/>
        </w:rPr>
        <w:t>2.磋商供应商应当遵守诚实信用原则，如实承诺，否则属于提供虚假材料谋取中标（成交），将上报财政监管部门，按照《中华人民共和国政府采购法》第七十七条相关规定进行处罚。</w:t>
      </w:r>
    </w:p>
    <w:p w14:paraId="3D99289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7.7.2价格文件</w:t>
      </w:r>
    </w:p>
    <w:p w14:paraId="57131874">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▲（1）竞标函及竞标函附录</w:t>
      </w:r>
      <w:r>
        <w:rPr>
          <w:rFonts w:hint="eastAsia" w:ascii="宋体" w:hAnsi="宋体"/>
          <w:b/>
          <w:bCs/>
          <w:color w:val="auto"/>
          <w:sz w:val="24"/>
          <w:highlight w:val="none"/>
        </w:rPr>
        <w:t>（必须提供，格式见第三章）。</w:t>
      </w:r>
    </w:p>
    <w:p w14:paraId="62F35329">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▲（2）竞标报价表</w:t>
      </w:r>
      <w:r>
        <w:rPr>
          <w:rFonts w:hint="eastAsia" w:ascii="宋体" w:hAnsi="宋体"/>
          <w:b/>
          <w:color w:val="auto"/>
          <w:sz w:val="24"/>
          <w:highlight w:val="none"/>
        </w:rPr>
        <w:t>（必须提供，格式见第三章）。</w:t>
      </w:r>
    </w:p>
    <w:p w14:paraId="67F67EE8">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▲（3）已标价工程量清单</w:t>
      </w:r>
      <w:r>
        <w:rPr>
          <w:rFonts w:hint="eastAsia" w:ascii="宋体" w:hAnsi="宋体"/>
          <w:b/>
          <w:color w:val="auto"/>
          <w:sz w:val="24"/>
          <w:highlight w:val="none"/>
        </w:rPr>
        <w:t>（必须提供，格式见第三章）。</w:t>
      </w:r>
    </w:p>
    <w:p w14:paraId="2109810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（4）供应商认为需要提供的其他有关资料。</w:t>
      </w:r>
    </w:p>
    <w:p w14:paraId="7B48C3E4">
      <w:pPr>
        <w:adjustRightInd w:val="0"/>
        <w:snapToGrid w:val="0"/>
        <w:spacing w:line="360" w:lineRule="auto"/>
        <w:ind w:firstLine="482" w:firstLineChars="200"/>
        <w:rPr>
          <w:rFonts w:ascii="宋体" w:hAnsi="宋体"/>
          <w:color w:val="auto"/>
          <w:sz w:val="24"/>
          <w:highlight w:val="none"/>
        </w:rPr>
      </w:pPr>
      <w:r>
        <w:rPr>
          <w:rFonts w:hint="eastAsia" w:ascii="宋体" w:hAnsi="宋体"/>
          <w:b/>
          <w:color w:val="auto"/>
          <w:sz w:val="24"/>
          <w:highlight w:val="none"/>
        </w:rPr>
        <w:t>7.7.3 商务技术文件</w:t>
      </w:r>
      <w:r>
        <w:rPr>
          <w:rFonts w:hint="eastAsia" w:ascii="宋体" w:hAnsi="宋体"/>
          <w:color w:val="auto"/>
          <w:sz w:val="24"/>
          <w:highlight w:val="none"/>
        </w:rPr>
        <w:t>（应该有的必须提供,如未提供,磋商小组有权拒绝其磋商响应文件）。</w:t>
      </w:r>
    </w:p>
    <w:p w14:paraId="5DD4CB9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▲（1）磋商书</w:t>
      </w:r>
      <w:r>
        <w:rPr>
          <w:rFonts w:hint="eastAsia" w:ascii="宋体" w:hAnsi="宋体"/>
          <w:b/>
          <w:color w:val="auto"/>
          <w:sz w:val="24"/>
          <w:highlight w:val="none"/>
        </w:rPr>
        <w:t xml:space="preserve"> （必须提供，格式见第三章）；</w:t>
      </w:r>
    </w:p>
    <w:p w14:paraId="47B25983">
      <w:pPr>
        <w:adjustRightInd w:val="0"/>
        <w:snapToGrid w:val="0"/>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▲（2）法定代表人（负责人）身份证明书</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附营业执照及法人身份证</w:t>
      </w:r>
      <w:r>
        <w:rPr>
          <w:rFonts w:hint="eastAsia" w:ascii="宋体" w:hAnsi="宋体"/>
          <w:color w:val="auto"/>
          <w:sz w:val="24"/>
          <w:highlight w:val="none"/>
          <w:lang w:eastAsia="zh-CN"/>
        </w:rPr>
        <w:t>）</w:t>
      </w:r>
      <w:r>
        <w:rPr>
          <w:rFonts w:hint="eastAsia" w:ascii="宋体" w:hAnsi="宋体"/>
          <w:b/>
          <w:bCs/>
          <w:color w:val="auto"/>
          <w:sz w:val="24"/>
          <w:highlight w:val="none"/>
        </w:rPr>
        <w:t>（</w:t>
      </w:r>
      <w:r>
        <w:rPr>
          <w:rFonts w:hint="eastAsia" w:ascii="宋体" w:hAnsi="宋体"/>
          <w:b/>
          <w:color w:val="auto"/>
          <w:sz w:val="24"/>
          <w:highlight w:val="none"/>
        </w:rPr>
        <w:t>格式见第三章,</w:t>
      </w:r>
      <w:r>
        <w:rPr>
          <w:rFonts w:hint="eastAsia" w:ascii="宋体" w:hAnsi="宋体"/>
          <w:b/>
          <w:bCs/>
          <w:color w:val="auto"/>
          <w:sz w:val="24"/>
          <w:highlight w:val="none"/>
        </w:rPr>
        <w:t>必须提供）</w:t>
      </w:r>
      <w:r>
        <w:rPr>
          <w:rFonts w:hint="eastAsia" w:ascii="宋体" w:hAnsi="宋体"/>
          <w:b/>
          <w:bCs/>
          <w:color w:val="auto"/>
          <w:sz w:val="24"/>
          <w:highlight w:val="none"/>
          <w:lang w:eastAsia="zh-CN"/>
        </w:rPr>
        <w:t>；</w:t>
      </w:r>
    </w:p>
    <w:p w14:paraId="1CE653D3">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3</w:t>
      </w:r>
      <w:r>
        <w:rPr>
          <w:rFonts w:hint="eastAsia" w:ascii="宋体" w:hAnsi="宋体"/>
          <w:color w:val="auto"/>
          <w:sz w:val="24"/>
          <w:highlight w:val="none"/>
          <w:lang w:eastAsia="zh-CN"/>
        </w:rPr>
        <w:t>）</w:t>
      </w:r>
      <w:r>
        <w:rPr>
          <w:rFonts w:hint="eastAsia" w:ascii="宋体" w:hAnsi="宋体"/>
          <w:color w:val="auto"/>
          <w:sz w:val="24"/>
          <w:highlight w:val="none"/>
        </w:rPr>
        <w:t>法定代表人（负责人）授权委托书和委托代理人身份证复印件</w:t>
      </w:r>
      <w:r>
        <w:rPr>
          <w:rFonts w:hint="eastAsia" w:ascii="宋体" w:hAnsi="宋体"/>
          <w:b/>
          <w:bCs/>
          <w:color w:val="auto"/>
          <w:sz w:val="24"/>
          <w:highlight w:val="none"/>
        </w:rPr>
        <w:t>（委托代理时必须提供</w:t>
      </w:r>
      <w:r>
        <w:rPr>
          <w:rFonts w:hint="eastAsia" w:ascii="宋体" w:hAnsi="宋体"/>
          <w:b/>
          <w:bCs/>
          <w:color w:val="auto"/>
          <w:sz w:val="24"/>
          <w:highlight w:val="none"/>
          <w:lang w:eastAsia="zh-CN"/>
        </w:rPr>
        <w:t>，</w:t>
      </w:r>
      <w:r>
        <w:rPr>
          <w:rFonts w:hint="eastAsia" w:ascii="宋体" w:hAnsi="宋体"/>
          <w:b/>
          <w:color w:val="auto"/>
          <w:sz w:val="24"/>
          <w:highlight w:val="none"/>
        </w:rPr>
        <w:t>格式见第三章</w:t>
      </w:r>
      <w:r>
        <w:rPr>
          <w:rFonts w:hint="eastAsia" w:ascii="宋体" w:hAnsi="宋体"/>
          <w:b/>
          <w:bCs/>
          <w:color w:val="auto"/>
          <w:sz w:val="24"/>
          <w:highlight w:val="none"/>
        </w:rPr>
        <w:t>）</w:t>
      </w:r>
      <w:r>
        <w:rPr>
          <w:rFonts w:hint="eastAsia" w:ascii="宋体" w:hAnsi="宋体"/>
          <w:color w:val="auto"/>
          <w:sz w:val="24"/>
          <w:highlight w:val="none"/>
        </w:rPr>
        <w:t>；</w:t>
      </w:r>
    </w:p>
    <w:p w14:paraId="332D39D5">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4</w:t>
      </w:r>
      <w:r>
        <w:rPr>
          <w:rFonts w:hint="eastAsia" w:ascii="宋体" w:hAnsi="宋体"/>
          <w:color w:val="auto"/>
          <w:sz w:val="24"/>
          <w:highlight w:val="none"/>
        </w:rPr>
        <w:t>）承诺函</w:t>
      </w:r>
      <w:r>
        <w:rPr>
          <w:rFonts w:hint="eastAsia" w:ascii="宋体" w:hAnsi="宋体"/>
          <w:b/>
          <w:color w:val="auto"/>
          <w:sz w:val="24"/>
          <w:highlight w:val="none"/>
        </w:rPr>
        <w:t>（必须提供，格式见第三章）；</w:t>
      </w:r>
      <w:r>
        <w:rPr>
          <w:rFonts w:hint="eastAsia" w:ascii="宋体" w:hAnsi="宋体"/>
          <w:color w:val="auto"/>
          <w:sz w:val="24"/>
          <w:highlight w:val="none"/>
        </w:rPr>
        <w:t xml:space="preserve"> </w:t>
      </w:r>
    </w:p>
    <w:p w14:paraId="660A64D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w:t>
      </w:r>
      <w:r>
        <w:rPr>
          <w:rFonts w:hint="eastAsia" w:ascii="宋体" w:hAnsi="宋体" w:cs="宋体"/>
          <w:snapToGrid w:val="0"/>
          <w:color w:val="auto"/>
          <w:spacing w:val="-1"/>
          <w:kern w:val="0"/>
          <w:sz w:val="24"/>
          <w:highlight w:val="none"/>
        </w:rPr>
        <w:t>施工组织设计</w:t>
      </w:r>
      <w:r>
        <w:rPr>
          <w:rFonts w:hint="eastAsia" w:ascii="宋体" w:hAnsi="宋体" w:cs="宋体"/>
          <w:b/>
          <w:bCs/>
          <w:snapToGrid w:val="0"/>
          <w:color w:val="auto"/>
          <w:spacing w:val="-1"/>
          <w:kern w:val="0"/>
          <w:sz w:val="24"/>
          <w:highlight w:val="none"/>
        </w:rPr>
        <w:t>(</w:t>
      </w:r>
      <w:r>
        <w:rPr>
          <w:rFonts w:hint="eastAsia" w:ascii="宋体" w:hAnsi="宋体"/>
          <w:b/>
          <w:color w:val="auto"/>
          <w:sz w:val="24"/>
          <w:highlight w:val="none"/>
        </w:rPr>
        <w:t>必须提供，格式</w:t>
      </w:r>
      <w:r>
        <w:rPr>
          <w:rFonts w:hint="eastAsia" w:ascii="宋体" w:hAnsi="宋体"/>
          <w:b/>
          <w:bCs/>
          <w:color w:val="auto"/>
          <w:sz w:val="24"/>
          <w:highlight w:val="none"/>
        </w:rPr>
        <w:t>自拟</w:t>
      </w:r>
      <w:r>
        <w:rPr>
          <w:rFonts w:hint="eastAsia" w:ascii="宋体" w:hAnsi="宋体"/>
          <w:color w:val="auto"/>
          <w:sz w:val="24"/>
          <w:highlight w:val="none"/>
        </w:rPr>
        <w:t>）；</w:t>
      </w:r>
    </w:p>
    <w:p w14:paraId="0BAE1718">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6</w:t>
      </w:r>
      <w:r>
        <w:rPr>
          <w:rFonts w:hint="eastAsia" w:ascii="宋体" w:hAnsi="宋体"/>
          <w:color w:val="auto"/>
          <w:sz w:val="24"/>
          <w:highlight w:val="none"/>
        </w:rPr>
        <w:t>）项目管理机构配备情况表及主要人员简历表</w:t>
      </w:r>
      <w:r>
        <w:rPr>
          <w:rFonts w:hint="eastAsia" w:ascii="宋体" w:hAnsi="宋体"/>
          <w:color w:val="auto"/>
          <w:sz w:val="24"/>
          <w:highlight w:val="none"/>
          <w:lang w:eastAsia="zh-CN"/>
        </w:rPr>
        <w:t>，</w:t>
      </w:r>
      <w:r>
        <w:rPr>
          <w:rFonts w:hint="eastAsia" w:ascii="宋体" w:hAnsi="宋体" w:cs="宋体"/>
          <w:color w:val="auto"/>
          <w:sz w:val="24"/>
          <w:highlight w:val="none"/>
        </w:rPr>
        <w:t>同时提供拟投入本项目的项目经理无在建、已中标（成交）未开工或已列为其他项目中标（成交）候选人第一名的情况的承诺函（格式自拟）</w:t>
      </w:r>
      <w:r>
        <w:rPr>
          <w:rFonts w:hint="eastAsia" w:ascii="宋体" w:hAnsi="宋体"/>
          <w:b/>
          <w:color w:val="auto"/>
          <w:sz w:val="24"/>
          <w:highlight w:val="none"/>
        </w:rPr>
        <w:t>（根据采购需求相关要求提供，格式自拟，必须提供）</w:t>
      </w:r>
      <w:r>
        <w:rPr>
          <w:rFonts w:hint="eastAsia" w:ascii="宋体" w:hAnsi="宋体"/>
          <w:color w:val="auto"/>
          <w:sz w:val="24"/>
          <w:highlight w:val="none"/>
        </w:rPr>
        <w:t>；</w:t>
      </w:r>
    </w:p>
    <w:p w14:paraId="5D848B7C">
      <w:pPr>
        <w:numPr>
          <w:ilvl w:val="0"/>
          <w:numId w:val="0"/>
        </w:numPr>
        <w:adjustRightInd w:val="0"/>
        <w:snapToGrid w:val="0"/>
        <w:spacing w:line="360" w:lineRule="auto"/>
        <w:ind w:firstLine="480" w:firstLineChars="200"/>
        <w:rPr>
          <w:rFonts w:ascii="宋体" w:hAnsi="宋体"/>
          <w:color w:val="auto"/>
          <w:sz w:val="24"/>
          <w:highlight w:val="none"/>
        </w:rPr>
      </w:pPr>
      <w:r>
        <w:rPr>
          <w:rFonts w:ascii="宋体" w:hAnsi="宋体" w:eastAsia="宋体" w:cs="Times New Roman"/>
          <w:color w:val="auto"/>
          <w:kern w:val="2"/>
          <w:sz w:val="24"/>
          <w:szCs w:val="24"/>
          <w:lang w:val="en-US" w:eastAsia="zh-CN" w:bidi="ar-SA"/>
        </w:rPr>
        <w:t>（</w:t>
      </w:r>
      <w:r>
        <w:rPr>
          <w:rFonts w:hint="eastAsia" w:ascii="宋体" w:hAnsi="宋体" w:cs="Times New Roman"/>
          <w:color w:val="auto"/>
          <w:kern w:val="2"/>
          <w:sz w:val="24"/>
          <w:szCs w:val="24"/>
          <w:lang w:val="en-US" w:eastAsia="zh-CN" w:bidi="ar-SA"/>
        </w:rPr>
        <w:t>7</w:t>
      </w:r>
      <w:r>
        <w:rPr>
          <w:rFonts w:ascii="宋体" w:hAnsi="宋体" w:eastAsia="宋体" w:cs="Times New Roman"/>
          <w:color w:val="auto"/>
          <w:kern w:val="2"/>
          <w:sz w:val="24"/>
          <w:szCs w:val="24"/>
          <w:lang w:val="en-US" w:eastAsia="zh-CN" w:bidi="ar-SA"/>
        </w:rPr>
        <w:t>）</w:t>
      </w:r>
      <w:r>
        <w:rPr>
          <w:rFonts w:hint="eastAsia" w:ascii="宋体" w:hAnsi="宋体" w:cs="宋体"/>
          <w:snapToGrid w:val="0"/>
          <w:color w:val="auto"/>
          <w:spacing w:val="-1"/>
          <w:kern w:val="0"/>
          <w:sz w:val="24"/>
          <w:highlight w:val="none"/>
        </w:rPr>
        <w:t>拟分包项目情况表（格式见第三章）；（如有）</w:t>
      </w:r>
    </w:p>
    <w:p w14:paraId="6765D650">
      <w:pPr>
        <w:adjustRightInd w:val="0"/>
        <w:snapToGri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w:t>
      </w:r>
      <w:r>
        <w:rPr>
          <w:rFonts w:hint="eastAsia" w:ascii="宋体" w:hAnsi="宋体"/>
          <w:color w:val="auto"/>
          <w:sz w:val="24"/>
          <w:highlight w:val="none"/>
          <w:lang w:val="en-US" w:eastAsia="zh-CN"/>
        </w:rPr>
        <w:t>8</w:t>
      </w:r>
      <w:r>
        <w:rPr>
          <w:rFonts w:hint="eastAsia" w:ascii="宋体" w:hAnsi="宋体"/>
          <w:color w:val="auto"/>
          <w:sz w:val="24"/>
          <w:highlight w:val="none"/>
        </w:rPr>
        <w:t>）建设工程项目管理承诺书</w:t>
      </w:r>
      <w:r>
        <w:rPr>
          <w:rFonts w:hint="eastAsia" w:ascii="宋体" w:hAnsi="宋体"/>
          <w:b/>
          <w:color w:val="auto"/>
          <w:sz w:val="24"/>
          <w:highlight w:val="none"/>
        </w:rPr>
        <w:t>（必须提供，格式见第三章）</w:t>
      </w:r>
      <w:r>
        <w:rPr>
          <w:rFonts w:hint="eastAsia" w:ascii="宋体" w:hAnsi="宋体"/>
          <w:b/>
          <w:color w:val="auto"/>
          <w:sz w:val="24"/>
          <w:highlight w:val="none"/>
          <w:lang w:eastAsia="zh-CN"/>
        </w:rPr>
        <w:t>；</w:t>
      </w:r>
    </w:p>
    <w:p w14:paraId="4E48ED2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9</w:t>
      </w:r>
      <w:r>
        <w:rPr>
          <w:rFonts w:hint="eastAsia" w:ascii="宋体" w:hAnsi="宋体"/>
          <w:color w:val="auto"/>
          <w:sz w:val="24"/>
          <w:highlight w:val="none"/>
        </w:rPr>
        <w:t>）供应商负责过与本项目相类似的成功案例和经验（如有，需提供合同复印件）；</w:t>
      </w:r>
    </w:p>
    <w:p w14:paraId="075BDB41">
      <w:pPr>
        <w:adjustRightInd w:val="0"/>
        <w:snapToGri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w:t>
      </w:r>
      <w:r>
        <w:rPr>
          <w:rFonts w:hint="eastAsia" w:ascii="宋体" w:hAnsi="宋体"/>
          <w:color w:val="auto"/>
          <w:sz w:val="24"/>
          <w:highlight w:val="none"/>
          <w:lang w:val="en-US" w:eastAsia="zh-CN"/>
        </w:rPr>
        <w:t>10</w:t>
      </w:r>
      <w:r>
        <w:rPr>
          <w:rFonts w:hint="eastAsia" w:ascii="宋体" w:hAnsi="宋体"/>
          <w:color w:val="auto"/>
          <w:sz w:val="24"/>
          <w:highlight w:val="none"/>
        </w:rPr>
        <w:t>）采购需求要求提供的材料</w:t>
      </w:r>
      <w:r>
        <w:rPr>
          <w:rFonts w:hint="eastAsia" w:ascii="宋体" w:hAnsi="宋体"/>
          <w:b/>
          <w:bCs/>
          <w:color w:val="auto"/>
          <w:sz w:val="24"/>
          <w:highlight w:val="none"/>
        </w:rPr>
        <w:t>（格式自拟，如有要求则提供）</w:t>
      </w:r>
      <w:r>
        <w:rPr>
          <w:rFonts w:hint="eastAsia" w:ascii="宋体" w:hAnsi="宋体"/>
          <w:b/>
          <w:bCs/>
          <w:color w:val="auto"/>
          <w:sz w:val="24"/>
          <w:highlight w:val="none"/>
          <w:lang w:eastAsia="zh-CN"/>
        </w:rPr>
        <w:t>；</w:t>
      </w:r>
    </w:p>
    <w:p w14:paraId="7DA70339">
      <w:pPr>
        <w:adjustRightInd w:val="0"/>
        <w:snapToGrid w:val="0"/>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1</w:t>
      </w:r>
      <w:r>
        <w:rPr>
          <w:rFonts w:hint="eastAsia" w:ascii="宋体" w:hAnsi="宋体"/>
          <w:color w:val="auto"/>
          <w:sz w:val="24"/>
          <w:highlight w:val="none"/>
        </w:rPr>
        <w:t>）具备履行合同所必需的设备和专业技术能力的证明材料</w:t>
      </w:r>
      <w:r>
        <w:rPr>
          <w:rFonts w:hint="eastAsia" w:ascii="宋体" w:hAnsi="宋体"/>
          <w:b/>
          <w:color w:val="auto"/>
          <w:sz w:val="24"/>
          <w:highlight w:val="none"/>
        </w:rPr>
        <w:t>；</w:t>
      </w:r>
    </w:p>
    <w:p w14:paraId="5E98EB3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2</w:t>
      </w:r>
      <w:r>
        <w:rPr>
          <w:rFonts w:hint="eastAsia" w:ascii="宋体" w:hAnsi="宋体"/>
          <w:color w:val="auto"/>
          <w:sz w:val="24"/>
          <w:highlight w:val="none"/>
        </w:rPr>
        <w:t>）磋商供应商认为需要提供的有关资料。</w:t>
      </w:r>
    </w:p>
    <w:p w14:paraId="42E50DB6">
      <w:pPr>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▲特别说明：</w:t>
      </w:r>
      <w:r>
        <w:rPr>
          <w:rFonts w:hint="eastAsia" w:ascii="宋体" w:hAnsi="宋体"/>
          <w:b/>
          <w:color w:val="auto"/>
          <w:sz w:val="24"/>
          <w:highlight w:val="none"/>
        </w:rPr>
        <w:t>（1）</w:t>
      </w:r>
      <w:r>
        <w:rPr>
          <w:rFonts w:ascii="宋体" w:hAnsi="宋体"/>
          <w:b/>
          <w:color w:val="auto"/>
          <w:sz w:val="24"/>
          <w:highlight w:val="none"/>
        </w:rPr>
        <w:t>若磋商文件中有专门标注的某关联点</w:t>
      </w:r>
      <w:r>
        <w:rPr>
          <w:rFonts w:hint="eastAsia" w:ascii="宋体" w:hAnsi="宋体"/>
          <w:b/>
          <w:color w:val="auto"/>
          <w:sz w:val="24"/>
          <w:highlight w:val="none"/>
        </w:rPr>
        <w:t>，</w:t>
      </w:r>
      <w:r>
        <w:rPr>
          <w:rFonts w:ascii="宋体" w:hAnsi="宋体"/>
          <w:b/>
          <w:color w:val="auto"/>
          <w:sz w:val="24"/>
          <w:highlight w:val="none"/>
        </w:rPr>
        <w:t>并要求供应商在电子投标系统中作出磋商响应的，如供应商未对关联点进行响应或者在响应文件其它内容进行描述，造成电子评审不能查询的责任由供应商自行承担。</w:t>
      </w:r>
    </w:p>
    <w:p w14:paraId="73F95655">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2</w:t>
      </w:r>
      <w:r>
        <w:rPr>
          <w:rFonts w:hint="eastAsia" w:ascii="宋体" w:hAnsi="宋体"/>
          <w:b/>
          <w:color w:val="auto"/>
          <w:sz w:val="24"/>
          <w:highlight w:val="none"/>
        </w:rPr>
        <w:t>）磋商文件要求提供的各种复印件，必须加盖磋商供应商CA签章，否则其磋商无效。</w:t>
      </w:r>
    </w:p>
    <w:p w14:paraId="146165FA">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3</w:t>
      </w:r>
      <w:r>
        <w:rPr>
          <w:rFonts w:hint="eastAsia" w:ascii="宋体" w:hAnsi="宋体"/>
          <w:b/>
          <w:color w:val="auto"/>
          <w:sz w:val="24"/>
          <w:highlight w:val="none"/>
        </w:rPr>
        <w:t>）磋商文件要求“必须提供”的证明等材料，磋商供应商必须全部提供，缺一不可，否则磋商无效。</w:t>
      </w:r>
    </w:p>
    <w:p w14:paraId="086C045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 计量单位</w:t>
      </w:r>
    </w:p>
    <w:p w14:paraId="5489294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8.1除技术要求中另有规定外，本文件所要求使用的计量单位均应采用国家法定计量单位。</w:t>
      </w:r>
    </w:p>
    <w:p w14:paraId="271554CC">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三、报价要求</w:t>
      </w:r>
    </w:p>
    <w:p w14:paraId="1E91FF3F">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9.1对于本文件中未列明，而供应商认为必需的费用也需列入总报价。在合同实施时，采购人将不予支付成交供应商没有列入的项目费用，并认为此项目的费用已包括在总报价中。</w:t>
      </w:r>
    </w:p>
    <w:p w14:paraId="24869CE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9.2成交供应商负责本项目所需服务及售后服务等全部工作。</w:t>
      </w:r>
    </w:p>
    <w:p w14:paraId="546FEB8C">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9.3供应商应用大写和小写分别详细填写基础指标报价表。大写和小写不一致的，以大写为准；对不同文字文本竞争性磋商响应文件的解释发生异议的，以中文文本为准。除上述原因以外，如果因供应商原因引起的报价失误，并在磋商时被接受，其后果由供应商自负。</w:t>
      </w:r>
    </w:p>
    <w:p w14:paraId="2396313A">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9.4报价：供应商应就《采购项目需求》中所有的服务内容作完整唯一报价。</w:t>
      </w:r>
    </w:p>
    <w:p w14:paraId="4D82D1E1">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四、竞争性磋商响应文件的封装和递交</w:t>
      </w:r>
    </w:p>
    <w:p w14:paraId="70CCABE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10. 竞争性磋商响应文件的封装</w:t>
      </w:r>
    </w:p>
    <w:p w14:paraId="1270047F">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10.1</w:t>
      </w:r>
      <w:r>
        <w:rPr>
          <w:rFonts w:hAnsi="宋体"/>
          <w:color w:val="auto"/>
          <w:sz w:val="24"/>
          <w:szCs w:val="24"/>
          <w:highlight w:val="none"/>
        </w:rPr>
        <w:t>电子</w:t>
      </w:r>
      <w:r>
        <w:rPr>
          <w:rFonts w:hint="eastAsia" w:hAnsi="宋体"/>
          <w:color w:val="auto"/>
          <w:sz w:val="24"/>
          <w:szCs w:val="24"/>
          <w:highlight w:val="none"/>
        </w:rPr>
        <w:t>磋商</w:t>
      </w:r>
      <w:r>
        <w:rPr>
          <w:rFonts w:hAnsi="宋体"/>
          <w:color w:val="auto"/>
          <w:sz w:val="24"/>
          <w:szCs w:val="24"/>
          <w:highlight w:val="none"/>
        </w:rPr>
        <w:t>响应文件中须加盖供应商公章部分均采用 CA 签章，并根据“政府采购项目电子交易管理操作指南-供应商” 及本</w:t>
      </w:r>
      <w:r>
        <w:rPr>
          <w:rFonts w:hint="eastAsia" w:hAnsi="宋体"/>
          <w:color w:val="auto"/>
          <w:sz w:val="24"/>
          <w:szCs w:val="24"/>
          <w:highlight w:val="none"/>
        </w:rPr>
        <w:t>磋商</w:t>
      </w:r>
      <w:r>
        <w:rPr>
          <w:rFonts w:hAnsi="宋体"/>
          <w:color w:val="auto"/>
          <w:sz w:val="24"/>
          <w:szCs w:val="24"/>
          <w:highlight w:val="none"/>
        </w:rPr>
        <w:t>文件规定的格式和顺序编制电子</w:t>
      </w:r>
      <w:r>
        <w:rPr>
          <w:rFonts w:hint="eastAsia" w:hAnsi="宋体"/>
          <w:color w:val="auto"/>
          <w:sz w:val="24"/>
          <w:szCs w:val="24"/>
          <w:highlight w:val="none"/>
        </w:rPr>
        <w:t>磋商</w:t>
      </w:r>
      <w:r>
        <w:rPr>
          <w:rFonts w:hAnsi="宋体"/>
          <w:color w:val="auto"/>
          <w:sz w:val="24"/>
          <w:szCs w:val="24"/>
          <w:highlight w:val="none"/>
        </w:rPr>
        <w:t>响应文件并进行关联定位，以便</w:t>
      </w:r>
      <w:r>
        <w:rPr>
          <w:rFonts w:hint="eastAsia" w:hAnsi="宋体"/>
          <w:color w:val="auto"/>
          <w:sz w:val="24"/>
          <w:szCs w:val="24"/>
          <w:highlight w:val="none"/>
        </w:rPr>
        <w:t>磋商小组</w:t>
      </w:r>
      <w:r>
        <w:rPr>
          <w:rFonts w:hAnsi="宋体"/>
          <w:color w:val="auto"/>
          <w:sz w:val="24"/>
          <w:szCs w:val="24"/>
          <w:highlight w:val="none"/>
        </w:rPr>
        <w:t>在评</w:t>
      </w:r>
      <w:r>
        <w:rPr>
          <w:rFonts w:hint="eastAsia" w:hAnsi="宋体"/>
          <w:color w:val="auto"/>
          <w:sz w:val="24"/>
          <w:szCs w:val="24"/>
          <w:highlight w:val="none"/>
          <w:lang w:val="en-US" w:eastAsia="zh-CN"/>
        </w:rPr>
        <w:t>审</w:t>
      </w:r>
      <w:r>
        <w:rPr>
          <w:rFonts w:hAnsi="宋体"/>
          <w:color w:val="auto"/>
          <w:sz w:val="24"/>
          <w:szCs w:val="24"/>
          <w:highlight w:val="none"/>
        </w:rPr>
        <w:t>时，点击评分项可直接定位到该评分项内容。如对</w:t>
      </w:r>
      <w:r>
        <w:rPr>
          <w:rFonts w:hint="eastAsia" w:hAnsi="宋体"/>
          <w:color w:val="auto"/>
          <w:sz w:val="24"/>
          <w:szCs w:val="24"/>
          <w:highlight w:val="none"/>
        </w:rPr>
        <w:t>磋商</w:t>
      </w:r>
      <w:r>
        <w:rPr>
          <w:rFonts w:hAnsi="宋体"/>
          <w:color w:val="auto"/>
          <w:sz w:val="24"/>
          <w:szCs w:val="24"/>
          <w:highlight w:val="none"/>
        </w:rPr>
        <w:t>文件的某项要求，供应商的电子</w:t>
      </w:r>
      <w:r>
        <w:rPr>
          <w:rFonts w:hint="eastAsia" w:hAnsi="宋体"/>
          <w:color w:val="auto"/>
          <w:sz w:val="24"/>
          <w:szCs w:val="24"/>
          <w:highlight w:val="none"/>
        </w:rPr>
        <w:t>磋商</w:t>
      </w:r>
      <w:r>
        <w:rPr>
          <w:rFonts w:hAnsi="宋体"/>
          <w:color w:val="auto"/>
          <w:sz w:val="24"/>
          <w:szCs w:val="24"/>
          <w:highlight w:val="none"/>
        </w:rPr>
        <w:t>响应文件未能关联定位提供相应的内容与其对应，则</w:t>
      </w:r>
      <w:r>
        <w:rPr>
          <w:rFonts w:hint="eastAsia" w:hAnsi="宋体"/>
          <w:color w:val="auto"/>
          <w:sz w:val="24"/>
          <w:szCs w:val="24"/>
          <w:highlight w:val="none"/>
        </w:rPr>
        <w:t>磋商小组</w:t>
      </w:r>
      <w:r>
        <w:rPr>
          <w:rFonts w:hAnsi="宋体"/>
          <w:color w:val="auto"/>
          <w:sz w:val="24"/>
          <w:szCs w:val="24"/>
          <w:highlight w:val="none"/>
        </w:rPr>
        <w:t>在评审时如做出对供应商不利的评审由供应商自行承担。电子</w:t>
      </w:r>
      <w:r>
        <w:rPr>
          <w:rFonts w:hint="eastAsia" w:hAnsi="宋体"/>
          <w:color w:val="auto"/>
          <w:sz w:val="24"/>
          <w:szCs w:val="24"/>
          <w:highlight w:val="none"/>
        </w:rPr>
        <w:t>磋商</w:t>
      </w:r>
      <w:r>
        <w:rPr>
          <w:rFonts w:hAnsi="宋体"/>
          <w:color w:val="auto"/>
          <w:sz w:val="24"/>
          <w:szCs w:val="24"/>
          <w:highlight w:val="none"/>
        </w:rPr>
        <w:t>响应文件如内容不完整</w:t>
      </w:r>
      <w:r>
        <w:rPr>
          <w:rFonts w:hint="eastAsia" w:hAnsi="宋体"/>
          <w:color w:val="auto"/>
          <w:sz w:val="24"/>
          <w:szCs w:val="24"/>
          <w:highlight w:val="none"/>
        </w:rPr>
        <w:t>、</w:t>
      </w:r>
      <w:r>
        <w:rPr>
          <w:rFonts w:hAnsi="宋体"/>
          <w:color w:val="auto"/>
          <w:sz w:val="24"/>
          <w:szCs w:val="24"/>
          <w:highlight w:val="none"/>
        </w:rPr>
        <w:t>编排混乱导致磋商响应文件被误读、 漏读，或者在按采购文件规定的部位查找不到相关内容的，由供应商自行承担。</w:t>
      </w:r>
    </w:p>
    <w:p w14:paraId="405D0F34">
      <w:pPr>
        <w:pStyle w:val="25"/>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10.2</w:t>
      </w:r>
      <w:r>
        <w:rPr>
          <w:rFonts w:hAnsi="宋体"/>
          <w:color w:val="auto"/>
          <w:sz w:val="24"/>
          <w:szCs w:val="24"/>
          <w:highlight w:val="none"/>
        </w:rPr>
        <w:t>磋商响应文件不得涂改，若有修改错漏处，须法定代表人</w:t>
      </w:r>
      <w:r>
        <w:rPr>
          <w:rFonts w:hint="eastAsia" w:hAnsi="宋体"/>
          <w:color w:val="auto"/>
          <w:sz w:val="24"/>
          <w:szCs w:val="24"/>
          <w:highlight w:val="none"/>
        </w:rPr>
        <w:t>（负责人）</w:t>
      </w:r>
      <w:r>
        <w:rPr>
          <w:rFonts w:hAnsi="宋体"/>
          <w:color w:val="auto"/>
          <w:sz w:val="24"/>
          <w:szCs w:val="24"/>
          <w:highlight w:val="none"/>
        </w:rPr>
        <w:t>或授权委托人签字</w:t>
      </w:r>
      <w:r>
        <w:rPr>
          <w:rFonts w:hint="eastAsia" w:hAnsi="宋体"/>
          <w:color w:val="auto"/>
          <w:sz w:val="24"/>
          <w:szCs w:val="24"/>
          <w:highlight w:val="none"/>
        </w:rPr>
        <w:t>。</w:t>
      </w:r>
      <w:r>
        <w:rPr>
          <w:rFonts w:hAnsi="宋体"/>
          <w:color w:val="auto"/>
          <w:sz w:val="24"/>
          <w:szCs w:val="24"/>
          <w:highlight w:val="none"/>
        </w:rPr>
        <w:t>磋商响应文件因字迹潦草或表达不清所引起的后果由供应商负责。</w:t>
      </w:r>
    </w:p>
    <w:p w14:paraId="74652DF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 竞争性磋商响应文件的递交</w:t>
      </w:r>
    </w:p>
    <w:p w14:paraId="314BD92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11.1所有竞争性磋商响应文件应于竞争性磋商文件中规定的时间前</w:t>
      </w:r>
      <w:r>
        <w:rPr>
          <w:rFonts w:ascii="宋体" w:hAnsi="宋体"/>
          <w:color w:val="auto"/>
          <w:sz w:val="24"/>
          <w:highlight w:val="none"/>
        </w:rPr>
        <w:t>上传递交至广西政府采购云平台。</w:t>
      </w:r>
    </w:p>
    <w:p w14:paraId="6EF98164">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电子</w:t>
      </w:r>
      <w:r>
        <w:rPr>
          <w:rFonts w:hint="eastAsia" w:ascii="宋体" w:hAnsi="宋体"/>
          <w:b/>
          <w:color w:val="auto"/>
          <w:sz w:val="24"/>
          <w:highlight w:val="none"/>
        </w:rPr>
        <w:t>磋商</w:t>
      </w:r>
      <w:r>
        <w:rPr>
          <w:rFonts w:ascii="宋体" w:hAnsi="宋体"/>
          <w:b/>
          <w:color w:val="auto"/>
          <w:sz w:val="24"/>
          <w:highlight w:val="none"/>
        </w:rPr>
        <w:t>文件的相关说明</w:t>
      </w:r>
    </w:p>
    <w:p w14:paraId="1813B58C">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（1）供应商进行电子</w:t>
      </w:r>
      <w:r>
        <w:rPr>
          <w:rFonts w:hint="eastAsia" w:ascii="宋体" w:hAnsi="宋体"/>
          <w:b/>
          <w:color w:val="auto"/>
          <w:sz w:val="24"/>
          <w:highlight w:val="none"/>
        </w:rPr>
        <w:t>磋商</w:t>
      </w:r>
      <w:r>
        <w:rPr>
          <w:rFonts w:ascii="宋体" w:hAnsi="宋体"/>
          <w:b/>
          <w:color w:val="auto"/>
          <w:sz w:val="24"/>
          <w:highlight w:val="none"/>
        </w:rPr>
        <w:t>应安装客户端软件，并按照采购文件和电子交易平台的要求编制并加密磋商响应文件。供应商未按规定加密的磋商响应文件，电子交易平台将拒收。供应商应当在磋商截止时间前完成磋商响应文件的传输递交，并可以补充、修改或者撤回磋商响应文件。补充或者修改磋商响应文件的，应当先行撤回原文件</w:t>
      </w:r>
      <w:r>
        <w:rPr>
          <w:rFonts w:hint="eastAsia" w:ascii="宋体" w:hAnsi="宋体"/>
          <w:b/>
          <w:color w:val="auto"/>
          <w:sz w:val="24"/>
          <w:highlight w:val="none"/>
        </w:rPr>
        <w:t>，</w:t>
      </w:r>
      <w:r>
        <w:rPr>
          <w:rFonts w:ascii="宋体" w:hAnsi="宋体"/>
          <w:b/>
          <w:color w:val="auto"/>
          <w:sz w:val="24"/>
          <w:highlight w:val="none"/>
        </w:rPr>
        <w:t>补充、修改后重新传输递交。磋商截止时间前未完成传输的，视为撤回磋商响应文件。磋商截止时间后递交的磋商响应文件，电子交易平台将拒收。</w:t>
      </w:r>
    </w:p>
    <w:p w14:paraId="0CADCE4E">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w:t>
      </w:r>
      <w:r>
        <w:rPr>
          <w:rFonts w:hint="eastAsia" w:ascii="宋体" w:hAnsi="宋体"/>
          <w:b/>
          <w:color w:val="auto"/>
          <w:sz w:val="24"/>
          <w:highlight w:val="none"/>
        </w:rPr>
        <w:t>2</w:t>
      </w:r>
      <w:r>
        <w:rPr>
          <w:rFonts w:ascii="宋体" w:hAnsi="宋体"/>
          <w:b/>
          <w:color w:val="auto"/>
          <w:sz w:val="24"/>
          <w:highlight w:val="none"/>
        </w:rPr>
        <w:t>）如有特殊情况，采购代理机构延长截止时间和开标时间，采购代理机构和供应商的权利和义务将受到新的截止时间和开标时间的约束。</w:t>
      </w:r>
    </w:p>
    <w:p w14:paraId="7CA0188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11.2竞争性磋商响应文件从响应文件递交截止日期后六十日内有效。</w:t>
      </w:r>
    </w:p>
    <w:p w14:paraId="1D62DCBF">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12.迟交的竞争性磋商响应文件</w:t>
      </w:r>
    </w:p>
    <w:p w14:paraId="0E60F04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12.1在本文件要求竞争性磋商响应文件递交截止时间后送达的竞争性磋商响应文件为无效文件，本代理机构将拒收。</w:t>
      </w:r>
    </w:p>
    <w:p w14:paraId="70DB5543">
      <w:pPr>
        <w:spacing w:line="360" w:lineRule="auto"/>
        <w:ind w:firstLine="480" w:firstLineChars="200"/>
        <w:rPr>
          <w:rFonts w:ascii="宋体" w:hAnsi="宋体" w:cs="宋体"/>
          <w:b/>
          <w:snapToGrid w:val="0"/>
          <w:color w:val="auto"/>
          <w:highlight w:val="none"/>
        </w:rPr>
      </w:pPr>
      <w:r>
        <w:rPr>
          <w:rFonts w:hint="eastAsia" w:ascii="宋体" w:hAnsi="宋体"/>
          <w:color w:val="auto"/>
          <w:sz w:val="24"/>
          <w:highlight w:val="none"/>
        </w:rPr>
        <w:t>13.</w:t>
      </w:r>
      <w:r>
        <w:rPr>
          <w:rFonts w:hint="eastAsia" w:ascii="宋体" w:hAnsi="宋体" w:cs="宋体"/>
          <w:b/>
          <w:snapToGrid w:val="0"/>
          <w:color w:val="auto"/>
          <w:kern w:val="28"/>
          <w:sz w:val="24"/>
          <w:highlight w:val="none"/>
        </w:rPr>
        <w:t xml:space="preserve"> 磋商保证金</w:t>
      </w:r>
    </w:p>
    <w:p w14:paraId="09B47A4E">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13.1</w:t>
      </w:r>
      <w:r>
        <w:rPr>
          <w:rFonts w:hint="eastAsia" w:hAnsi="宋体" w:cs="宋体"/>
          <w:color w:val="auto"/>
          <w:sz w:val="24"/>
          <w:highlight w:val="none"/>
        </w:rPr>
        <w:t>采购人在采购文件中要求提交</w:t>
      </w:r>
      <w:r>
        <w:rPr>
          <w:rFonts w:hint="eastAsia" w:ascii="宋体" w:hAnsi="宋体" w:cs="宋体"/>
          <w:color w:val="auto"/>
          <w:sz w:val="24"/>
          <w:highlight w:val="none"/>
        </w:rPr>
        <w:t>磋商</w:t>
      </w:r>
      <w:r>
        <w:rPr>
          <w:rFonts w:hint="eastAsia" w:hAnsi="宋体" w:cs="宋体"/>
          <w:color w:val="auto"/>
          <w:sz w:val="24"/>
          <w:highlight w:val="none"/>
        </w:rPr>
        <w:t>保证金的，</w:t>
      </w:r>
      <w:r>
        <w:rPr>
          <w:rFonts w:hint="eastAsia" w:ascii="宋体" w:hAnsi="宋体" w:cs="宋体"/>
          <w:color w:val="auto"/>
          <w:sz w:val="24"/>
          <w:highlight w:val="none"/>
        </w:rPr>
        <w:t>磋商</w:t>
      </w:r>
      <w:r>
        <w:rPr>
          <w:rFonts w:hint="eastAsia" w:hAnsi="宋体" w:cs="宋体"/>
          <w:color w:val="auto"/>
          <w:sz w:val="24"/>
          <w:highlight w:val="none"/>
        </w:rPr>
        <w:t>保证金的数额不得超过采购项目预算金额的1%，鼓励对诚信记录良好的供应商免收或者减少收取</w:t>
      </w:r>
      <w:r>
        <w:rPr>
          <w:rFonts w:hint="eastAsia" w:ascii="宋体" w:hAnsi="宋体" w:cs="宋体"/>
          <w:color w:val="auto"/>
          <w:sz w:val="24"/>
          <w:highlight w:val="none"/>
        </w:rPr>
        <w:t>磋商</w:t>
      </w:r>
      <w:r>
        <w:rPr>
          <w:rFonts w:hint="eastAsia" w:hAnsi="宋体" w:cs="宋体"/>
          <w:color w:val="auto"/>
          <w:sz w:val="24"/>
          <w:highlight w:val="none"/>
        </w:rPr>
        <w:t>保证金，对于需要收取保证金的政府采购项目，政府采购信用白名单供应商可以免于缴纳保证金，降低信用白名单供应商参与政府采购活动成本。</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保证金应当以支票、汇票、本票或者金融机构、担保机构出具的保函等非现金形式提交。</w:t>
      </w:r>
    </w:p>
    <w:p w14:paraId="3052CBA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磋商保证金收取银行账户</w:t>
      </w:r>
    </w:p>
    <w:p w14:paraId="2CBD218C">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开户名称： </w:t>
      </w:r>
    </w:p>
    <w:p w14:paraId="68DC6A89">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开户银行： </w:t>
      </w:r>
    </w:p>
    <w:p w14:paraId="507F618F">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银行账号：</w:t>
      </w:r>
    </w:p>
    <w:p w14:paraId="0779FA5A">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13.2</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在响应文件提交截止时间前撤回已提交的响应文件的，采购人或者采购代理机构应当自收到</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书面撤回通知之日起５个工作日内，退还已收取的</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保证金，但因</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自身原因导致无法及时退还的除外。</w:t>
      </w:r>
    </w:p>
    <w:p w14:paraId="319B417C">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采购人或者采购代理机构应当自成交通知书发出之日起5个工作日内退还未成交供应商的磋商保证金，自采购合同签订之日起5个工作日内退还成交供应商的磋商保证金或者转为成交供应商的履约保证金。</w:t>
      </w:r>
    </w:p>
    <w:p w14:paraId="0F1D9A11">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逾期退还磋商保证金的，除应当退还磋商保证金本金外，还应当按中国人民银行同期贷款基准利率上浮20％后的利率支付超期资金占用费，但因磋商供应商自身原因导致无法及时退还的除外。</w:t>
      </w:r>
    </w:p>
    <w:p w14:paraId="5F80264E">
      <w:pPr>
        <w:adjustRightInd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snapToGrid w:val="0"/>
          <w:color w:val="auto"/>
          <w:kern w:val="28"/>
          <w:sz w:val="24"/>
          <w:szCs w:val="20"/>
          <w:highlight w:val="none"/>
        </w:rPr>
        <w:t>13.3有下列情形之一的，磋商保证金不予退还：（一）供应商在提交响应文件截止时间后撤回响应文件的，但在提交最后报价之前退出磋商的情况除</w:t>
      </w:r>
      <w:r>
        <w:rPr>
          <w:rFonts w:hint="eastAsia" w:ascii="宋体" w:hAnsi="宋体" w:cs="宋体"/>
          <w:snapToGrid w:val="0"/>
          <w:color w:val="auto"/>
          <w:kern w:val="28"/>
          <w:sz w:val="24"/>
          <w:szCs w:val="20"/>
          <w:highlight w:val="none"/>
          <w:lang w:val="en-US" w:eastAsia="zh-CN"/>
        </w:rPr>
        <w:t>外</w:t>
      </w:r>
      <w:r>
        <w:rPr>
          <w:rFonts w:hint="eastAsia" w:ascii="宋体" w:hAnsi="宋体" w:cs="宋体"/>
          <w:snapToGrid w:val="0"/>
          <w:color w:val="auto"/>
          <w:kern w:val="28"/>
          <w:sz w:val="24"/>
          <w:szCs w:val="20"/>
          <w:highlight w:val="none"/>
        </w:rPr>
        <w:t>；（二）供应商在响应文件中提供虚假材料的；（三）除因不可抗力或磋商文件认可的情形以外，成交供应商不与采购人签订合同的；（四）供应商与采购人、其他供应商或者采购代理机构恶意串通的；（五）磋商文件规定的其他情形。</w:t>
      </w:r>
    </w:p>
    <w:p w14:paraId="2D1D63D3">
      <w:pPr>
        <w:adjustRightInd w:val="0"/>
        <w:snapToGrid w:val="0"/>
        <w:spacing w:line="360" w:lineRule="auto"/>
        <w:ind w:firstLine="482" w:firstLineChars="200"/>
        <w:rPr>
          <w:rFonts w:ascii="宋体" w:hAnsi="宋体"/>
          <w:b/>
          <w:color w:val="auto"/>
          <w:sz w:val="24"/>
          <w:highlight w:val="none"/>
        </w:rPr>
      </w:pPr>
      <w:r>
        <w:rPr>
          <w:rFonts w:hint="eastAsia" w:ascii="宋体" w:hAnsi="宋体"/>
          <w:b/>
          <w:bCs/>
          <w:color w:val="auto"/>
          <w:sz w:val="24"/>
          <w:highlight w:val="none"/>
        </w:rPr>
        <w:t>五、</w:t>
      </w:r>
      <w:r>
        <w:rPr>
          <w:rFonts w:hint="eastAsia" w:ascii="宋体" w:hAnsi="宋体"/>
          <w:b/>
          <w:color w:val="auto"/>
          <w:sz w:val="24"/>
          <w:highlight w:val="none"/>
        </w:rPr>
        <w:t>磋</w:t>
      </w:r>
      <w:r>
        <w:rPr>
          <w:rFonts w:hint="eastAsia" w:ascii="宋体" w:hAnsi="宋体"/>
          <w:b/>
          <w:bCs/>
          <w:color w:val="auto"/>
          <w:sz w:val="24"/>
          <w:highlight w:val="none"/>
        </w:rPr>
        <w:t>商程序及评审方法</w:t>
      </w:r>
    </w:p>
    <w:p w14:paraId="7FE6012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14．磋商程序</w:t>
      </w:r>
    </w:p>
    <w:p w14:paraId="33C0510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14.1磋商截止时间后，主持人宣布磋商开始。</w:t>
      </w:r>
    </w:p>
    <w:p w14:paraId="2982027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14.2供应商登录广西政府采购云平台，用“项目采购-开标评标”功能对电子磋商响应文件进行在线解密。在线解密电子磋商响应文件时间为开标时间起半小时内。</w:t>
      </w:r>
    </w:p>
    <w:p w14:paraId="089E2BD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14.3磋商小组对磋商响应文件进行评估和比较。</w:t>
      </w:r>
    </w:p>
    <w:p w14:paraId="67C1B1E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14.4以广西政府采购云平台中“项目采购”应用模块获取磋商文件顺序确定各供应商磋商、顺序。</w:t>
      </w:r>
    </w:p>
    <w:p w14:paraId="44489049">
      <w:pPr>
        <w:pStyle w:val="25"/>
        <w:adjustRightInd w:val="0"/>
        <w:snapToGrid w:val="0"/>
        <w:spacing w:line="360" w:lineRule="auto"/>
        <w:ind w:firstLine="480" w:firstLineChars="200"/>
        <w:rPr>
          <w:rFonts w:hint="eastAsia" w:hAnsi="宋体" w:eastAsia="宋体" w:cs="Times New Roman"/>
          <w:color w:val="auto"/>
          <w:sz w:val="24"/>
          <w:szCs w:val="24"/>
          <w:highlight w:val="none"/>
          <w:lang w:eastAsia="zh-CN"/>
        </w:rPr>
      </w:pPr>
      <w:r>
        <w:rPr>
          <w:rFonts w:hint="eastAsia" w:hAnsi="宋体" w:cs="Times New Roman"/>
          <w:color w:val="auto"/>
          <w:sz w:val="24"/>
          <w:szCs w:val="24"/>
          <w:highlight w:val="none"/>
        </w:rPr>
        <w:t>14.5磋商小组与单一供应商分别进行磋商。（磋商时供应商的技术资料、价格和其他信息在评审、磋商过程中保密）</w:t>
      </w:r>
      <w:r>
        <w:rPr>
          <w:rFonts w:hint="eastAsia" w:hAnsi="宋体" w:cs="Times New Roman"/>
          <w:color w:val="auto"/>
          <w:sz w:val="24"/>
          <w:szCs w:val="24"/>
          <w:highlight w:val="none"/>
          <w:lang w:eastAsia="zh-CN"/>
        </w:rPr>
        <w:t>。</w:t>
      </w:r>
    </w:p>
    <w:p w14:paraId="29E6F08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14.6磋商小组要求所有实质性响应的供应商在规定时间内提交最后报价（只公开最后报价，最后报价不得高于初次报价）。</w:t>
      </w:r>
    </w:p>
    <w:p w14:paraId="6304B2B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14.7由磋商小组采用综合评分法对提交最后报价的供应商的响应文件和最后报价进行综合评审，在符合采购需求、质量和服务要求的前提下，按评审得分从高到低顺序推荐确定成交候选供应商。</w:t>
      </w:r>
    </w:p>
    <w:p w14:paraId="3DBC30F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特别说明：广西政府采购云平台如对电子化磋商及评审程序有调整的，按调整后的程序操作。</w:t>
      </w:r>
    </w:p>
    <w:p w14:paraId="6CE6E2FE">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15.采购过程中出现以下情形，导致电子交易平台无法正常运行，或者无法保证电子交易的公平、公正和安全时，采购组织机构可中止电子交易活动：</w:t>
      </w:r>
    </w:p>
    <w:p w14:paraId="380852B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15.1电子交易平台发生故障而无法登录访问的； </w:t>
      </w:r>
    </w:p>
    <w:p w14:paraId="2C46791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15.2电子交易平台应用或数据库出现错误，不能进行正常操作的；</w:t>
      </w:r>
    </w:p>
    <w:p w14:paraId="119F7334">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15.3电子交易平台发现严重安全漏洞，有潜在泄密危险的；</w:t>
      </w:r>
    </w:p>
    <w:p w14:paraId="4C75750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15.4病毒发作导致不能进行正常操作的； </w:t>
      </w:r>
    </w:p>
    <w:p w14:paraId="5410264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15.5其他无法保证电子交易的公平、公正和安全的情况。</w:t>
      </w:r>
    </w:p>
    <w:p w14:paraId="5D7AA0E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7588CFB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16．磋商内容</w:t>
      </w:r>
    </w:p>
    <w:p w14:paraId="66192E7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16.1本次磋商内容为在磋商文件范围内就供应商的磋商响应文件，磋商小组与供应商在技术、价格、服务、合同等问题进行磋商，最终确定成交与否。</w:t>
      </w:r>
    </w:p>
    <w:p w14:paraId="3135DCB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16.2磋商应作书面记录，供应商并就磋商内容作出书面承诺，并由供应商法定代表人或其授权委托人签字后生效，作为磋商响应文件的一部分。</w:t>
      </w:r>
    </w:p>
    <w:p w14:paraId="0017DCA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16.3磋商文件有实质性变动的，磋商小组以书面形式通知所有参加磋商的供应商。</w:t>
      </w:r>
    </w:p>
    <w:p w14:paraId="7FAF139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17．磋商</w:t>
      </w:r>
    </w:p>
    <w:p w14:paraId="36C9101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17.1磋商小组由采购人、集中采购机构依法组建，负责评审活动。磋商小组遵循公开、公平、公正、科学合理、竞争择优的原则。</w:t>
      </w:r>
    </w:p>
    <w:p w14:paraId="3DCAD43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17.2磋商小组由采购人代表和有关方面专家组成，成员人数为3人以上单数。</w:t>
      </w:r>
    </w:p>
    <w:p w14:paraId="0420552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17.3磋商小组负责对供应商资格的最终审定。</w:t>
      </w:r>
    </w:p>
    <w:p w14:paraId="1A35163E">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17.4磋商小组可以要求供应商对其磋商响应文件中含义不明确的内容作必要的澄清或者说明，但澄清或者说明不得超过磋商响应文件的范围或者改变磋商响应文件的实质性内容。</w:t>
      </w:r>
    </w:p>
    <w:p w14:paraId="1313600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17.5磋商小组对磋商响应文件的判定，只依据磋商响应文件和磋商文件内容本身，不依据任何外来证明。</w:t>
      </w:r>
    </w:p>
    <w:p w14:paraId="6C4B1631">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17.6磋商小组不向落标方解释落标的原因，不退还磋商响应文件。</w:t>
      </w:r>
    </w:p>
    <w:p w14:paraId="5A9A0CD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18．磋商响应文件的初审鉴定</w:t>
      </w:r>
    </w:p>
    <w:p w14:paraId="165D3D2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18.1资格性审查</w:t>
      </w:r>
    </w:p>
    <w:p w14:paraId="49571A1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18.1.1依据法律、法规和磋商文件规定，对磋商响应文件提供的资格证明及通过“信用中国”网站（www.creditchina.gov.cn）</w:t>
      </w:r>
      <w:r>
        <w:rPr>
          <w:rFonts w:hint="eastAsia" w:hAnsi="宋体" w:cs="Times New Roman"/>
          <w:color w:val="auto"/>
          <w:sz w:val="24"/>
          <w:szCs w:val="24"/>
          <w:highlight w:val="none"/>
          <w:lang w:eastAsia="zh-CN"/>
        </w:rPr>
        <w:t>、</w:t>
      </w:r>
      <w:r>
        <w:rPr>
          <w:rFonts w:hint="eastAsia" w:hAnsi="宋体" w:cs="Times New Roman"/>
          <w:color w:val="auto"/>
          <w:sz w:val="24"/>
          <w:szCs w:val="24"/>
          <w:highlight w:val="none"/>
        </w:rPr>
        <w:t>中国政府采购网（www.ccgp.gov.cn）和中国执行信息公开网（https://zxgk.court.gov.cn/）查询的相关供应商主体信用记录（查询截止时点为磋商当日）等进行审查，以确定供应商是否具备磋商资格。</w:t>
      </w:r>
    </w:p>
    <w:p w14:paraId="54C94BA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18.2符合性审查</w:t>
      </w:r>
    </w:p>
    <w:p w14:paraId="43FDB24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18.2.1磋商时，磋商小组将首先评定每份磋商响应文件是否在实质上响应了磋商文件要求。所谓实质上的响应，是指磋商响应文件与磋商文件的所有实质性条款、条件和要求相符，无显著差异或保留，或者对合同中约定的采购人的权利和供应商的义务方面造成重大的限制，纠正这些显著差异或保留将会对其他实质上响应磋商文件要求的供应商的竞争地位产生不公正的影响。</w:t>
      </w:r>
    </w:p>
    <w:p w14:paraId="137FFCD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18.3如果磋商响应文件实质不响应磋商文件的各项要求，磋商小组将予以拒绝，并且不允许供应商通过修改或撤销其不符合要求的差异或保留，使之成为具有响应性的磋商。</w:t>
      </w:r>
    </w:p>
    <w:p w14:paraId="576689B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 对明显的文字和计算错误的修正原则</w:t>
      </w:r>
    </w:p>
    <w:p w14:paraId="49E8CA0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19.1磋商响应文件中报价一览表（报价表）内容与磋商响应文件中相应内容不一致的，以报价一览表（报价表）为准；</w:t>
      </w:r>
    </w:p>
    <w:p w14:paraId="3CD9AC5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19.2大写金额和小写金额不一致的，以大写金额为准；</w:t>
      </w:r>
    </w:p>
    <w:p w14:paraId="36752EB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19.3单价金额小数点或者百分比有明显错位的，以开标一览表的总价为准，并修改单价；</w:t>
      </w:r>
    </w:p>
    <w:p w14:paraId="715253C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19.4总价金额与按单价汇总金额不一致的，以单价金额计算结果为准。</w:t>
      </w:r>
    </w:p>
    <w:p w14:paraId="4370E035">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同时出现两种以上不一致的，按照前款规定的顺序修正。修正后的报价经磋商响应人确认后产生约束力，磋商响应人不确认的，其磋商无效。</w:t>
      </w:r>
    </w:p>
    <w:p w14:paraId="40D513F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20.磋商响应文件的评审、比较和否决</w:t>
      </w:r>
    </w:p>
    <w:p w14:paraId="5561012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20.1磋商小组将对在实质上响应磋商文件要求的磋商响应文件进行评估和比较。</w:t>
      </w:r>
    </w:p>
    <w:p w14:paraId="4E0BA66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20.2在评审过程中，磋商小组可以书面形式要求供应商就磋商响应文件含义不明确的内容进行书面说明并提供相关材料。</w:t>
      </w:r>
    </w:p>
    <w:p w14:paraId="14CF52C6">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20.3在磋商过程中，如发现与磋商文件要求相偏离的，磋商小组应对其偏离情形进行必要的书面核实。</w:t>
      </w:r>
    </w:p>
    <w:p w14:paraId="4769C83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20.4在评审过程中，如属于实质性偏离或符合无效响应条件的，应当询问相关供应商，并允许其进行陈述申辩，但不允许对偏离条款撤回。</w:t>
      </w:r>
    </w:p>
    <w:p w14:paraId="13C40336">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20.5比较与评价。磋商小组依据磋商文件规定的评审标准和方法，对磋商响应文件进行商务和技术评估，综合比较与评价。</w:t>
      </w:r>
    </w:p>
    <w:p w14:paraId="5A56227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20.6汇总（商务技术得分情况）。磋商小组各成员应当独立对每个供应商的磋商响应文件进行评价，并汇总商务技术得分情况。</w:t>
      </w:r>
    </w:p>
    <w:p w14:paraId="6FA166F4">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20.7 报价评审 </w:t>
      </w:r>
    </w:p>
    <w:p w14:paraId="2863FE1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20.7.1根据财政部发布的《政府采购促进中小企业发展管理办法》规定，对于非专门面向中小企业的项目，对小型和微型企业产品的价格给予一定的扣除，用扣除后的价格参与评审。</w:t>
      </w:r>
    </w:p>
    <w:p w14:paraId="1B7D3434">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20.7.2采购评审中出现下列情形之一的，磋商小组应当启动异常低价响应审查程序：</w:t>
      </w:r>
    </w:p>
    <w:p w14:paraId="243B49DE">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（1）最后报价低于全部通过符合性审查供应商最后报价平均值50%的，即最后报价&lt;全部通过符合性审查供应商最后报价平均值×50%；</w:t>
      </w:r>
    </w:p>
    <w:p w14:paraId="393FF195">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 xml:space="preserve">（2）最后报价低于通过符合性审查且报价次低供应商最后报价50%的，即最后报价&lt;通过符合性审查且报价次低供应商最后报价×50%； </w:t>
      </w:r>
    </w:p>
    <w:p w14:paraId="3FEE1329">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（3）最后报价低于采购项目最高限价45%的，即最后报价&lt;采购项目最高限价×45%；</w:t>
      </w:r>
    </w:p>
    <w:p w14:paraId="1873956A">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（4）磋商小组基于专业判断，认为供应商报价过低，有可能影响产品质量或者不能诚信履约的其他情形。</w:t>
      </w:r>
    </w:p>
    <w:p w14:paraId="0980E886">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相关法律法规对供应商报价有规定的，从其规定。</w:t>
      </w:r>
    </w:p>
    <w:p w14:paraId="0ACAD79F">
      <w:pPr>
        <w:pStyle w:val="25"/>
        <w:adjustRightInd w:val="0"/>
        <w:snapToGrid w:val="0"/>
        <w:spacing w:line="360" w:lineRule="auto"/>
        <w:ind w:firstLine="482" w:firstLineChars="200"/>
        <w:rPr>
          <w:rFonts w:hint="eastAsia" w:hAnsi="宋体" w:cs="Times New Roman"/>
          <w:b/>
          <w:bCs/>
          <w:color w:val="auto"/>
          <w:sz w:val="24"/>
          <w:szCs w:val="24"/>
          <w:highlight w:val="none"/>
          <w:lang w:val="en-US" w:eastAsia="zh-CN"/>
        </w:rPr>
      </w:pPr>
      <w:r>
        <w:rPr>
          <w:rFonts w:hint="eastAsia" w:hAnsi="宋体" w:cs="Times New Roman"/>
          <w:b/>
          <w:bCs/>
          <w:color w:val="auto"/>
          <w:sz w:val="24"/>
          <w:szCs w:val="24"/>
          <w:highlight w:val="none"/>
          <w:lang w:val="en-US" w:eastAsia="zh-CN"/>
        </w:rPr>
        <w:t>磋商小组启动异常低价响应审查后，属于上述（1）项至（4）项情形的，应当要求相关供应商在评审现场合理的时间内对响应价格作出解释，提供项目具体成本测算等与报价合理性相关的书面说明及必要的证明材料，包括但不限于书面说明及必要的证明材料，对最后价格作出解释。书面说明、证明材料主要是项目具体成本测算等与报价合理性相关的说明、材料等，给予相关供应商的合理时间一般不少于30分钟。其中，属于上述（3）项情形，供应商已随响应文件一并提交相关书面说明及必要的证明材料的，在评审现场可不再重复提交。</w:t>
      </w:r>
    </w:p>
    <w:p w14:paraId="1A7FB6A4">
      <w:pPr>
        <w:pStyle w:val="25"/>
        <w:adjustRightInd w:val="0"/>
        <w:snapToGrid w:val="0"/>
        <w:spacing w:line="360" w:lineRule="auto"/>
        <w:ind w:firstLine="482" w:firstLineChars="200"/>
        <w:rPr>
          <w:rFonts w:hint="default" w:hAnsi="宋体" w:eastAsia="宋体" w:cs="Times New Roman"/>
          <w:color w:val="auto"/>
          <w:sz w:val="24"/>
          <w:szCs w:val="24"/>
          <w:highlight w:val="none"/>
          <w:lang w:val="en-US" w:eastAsia="zh-CN"/>
        </w:rPr>
      </w:pPr>
      <w:r>
        <w:rPr>
          <w:rFonts w:hint="eastAsia" w:hAnsi="宋体" w:cs="Times New Roman"/>
          <w:b/>
          <w:bCs/>
          <w:color w:val="auto"/>
          <w:sz w:val="24"/>
          <w:szCs w:val="24"/>
          <w:highlight w:val="none"/>
          <w:lang w:val="en-US" w:eastAsia="zh-CN"/>
        </w:rPr>
        <w:t>磋商小组依据专业经验，参考同类项目中标（成交）价格、类似产品市场价格水平、行业人工费用标准、国家有关部门指导行业协会发布的行业平均成本等情况，对报价合理性进行判断。对异常低价存在争议的，按照少数服从多数的原则作出结论。供应商不能提供书面说明、证明材料，或者提供的书面说明、证明材料不能证明其报价合理性的，磋商小组应当将其作为无效响应处理。</w:t>
      </w:r>
    </w:p>
    <w:p w14:paraId="59C0900D">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w:t>
      </w:r>
      <w:r>
        <w:rPr>
          <w:rFonts w:hint="eastAsia" w:hAnsi="宋体" w:cs="Times New Roman"/>
          <w:color w:val="auto"/>
          <w:sz w:val="24"/>
          <w:szCs w:val="24"/>
          <w:highlight w:val="none"/>
          <w:lang w:val="en-US" w:eastAsia="zh-CN"/>
        </w:rPr>
        <w:t>3</w:t>
      </w:r>
      <w:r>
        <w:rPr>
          <w:rFonts w:hint="eastAsia" w:hAnsi="宋体" w:cs="Times New Roman"/>
          <w:color w:val="auto"/>
          <w:sz w:val="24"/>
          <w:szCs w:val="24"/>
          <w:highlight w:val="none"/>
        </w:rPr>
        <w:t>供应商存在以下报价情形的，磋商无效</w:t>
      </w:r>
    </w:p>
    <w:p w14:paraId="1A817F7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 响应文件未提供“供应商须知前附表” 报价文件中规定的“竞标报价表”的； </w:t>
      </w:r>
    </w:p>
    <w:p w14:paraId="50AC8B6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2）未采用人民币报价或者未按照磋商文件标明的币种报价的； </w:t>
      </w:r>
    </w:p>
    <w:p w14:paraId="0187DE6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 </w:t>
      </w:r>
    </w:p>
    <w:p w14:paraId="59EE5715">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4）竞标报价（包含首次报价、最后报价）超过所竞标分标规定的采购预算金额或者最高限价的（如本项目公布了最高限价）；竞标报价（包含首次报价、最后报价）超过磋商文件分项采购预算金额或者最高限价的（如本项目有要求并公布了分项采购预算金额或者最高限价）； </w:t>
      </w:r>
    </w:p>
    <w:p w14:paraId="1950AB03">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 </w:t>
      </w:r>
    </w:p>
    <w:p w14:paraId="4F5FE144">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6）在单价合同工程中供应商采用总价优惠或以总价百分比优惠的方式进行竞标报价的； </w:t>
      </w:r>
    </w:p>
    <w:p w14:paraId="1285DE6E">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7）竞标总报价与已标价工程量清单汇总表不一致的； </w:t>
      </w:r>
    </w:p>
    <w:p w14:paraId="6622852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8）安全文明施工费和规费、增值税不按广西区费用定额及造价管理相关文件规定报价的（园林绿化及仿古建筑工程除外）（适用于房屋建筑和市政工程项目）； </w:t>
      </w:r>
    </w:p>
    <w:p w14:paraId="0733C5B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9）供应商已标价工程量清单的项目编码（12位）、计量单位、工程量任何一处与工程量清单不一致的； </w:t>
      </w:r>
    </w:p>
    <w:p w14:paraId="7AD480C2">
      <w:pPr>
        <w:pStyle w:val="25"/>
        <w:adjustRightInd w:val="0"/>
        <w:snapToGrid w:val="0"/>
        <w:spacing w:line="360" w:lineRule="auto"/>
        <w:ind w:firstLine="480" w:firstLineChars="200"/>
        <w:rPr>
          <w:rFonts w:hint="eastAsia" w:hAnsi="宋体" w:eastAsia="宋体" w:cs="Times New Roman"/>
          <w:color w:val="auto"/>
          <w:sz w:val="24"/>
          <w:szCs w:val="24"/>
          <w:highlight w:val="none"/>
          <w:lang w:eastAsia="zh-CN"/>
        </w:rPr>
      </w:pPr>
      <w:r>
        <w:rPr>
          <w:rFonts w:hint="eastAsia" w:hAnsi="宋体" w:cs="Times New Roman"/>
          <w:color w:val="auto"/>
          <w:sz w:val="24"/>
          <w:szCs w:val="24"/>
          <w:highlight w:val="none"/>
        </w:rPr>
        <w:t>10）供应商已标价工程量清单的项目名称或项目特征与工程量清单不一致，磋商小组要求澄清、说明或补正，但供应商拒绝澄清、说明或补正的（适用于房屋建筑和市政工程项目）</w:t>
      </w:r>
      <w:r>
        <w:rPr>
          <w:rFonts w:hint="eastAsia" w:hAnsi="宋体" w:cs="Times New Roman"/>
          <w:color w:val="auto"/>
          <w:sz w:val="24"/>
          <w:szCs w:val="24"/>
          <w:highlight w:val="none"/>
          <w:lang w:eastAsia="zh-CN"/>
        </w:rPr>
        <w:t>；</w:t>
      </w:r>
    </w:p>
    <w:p w14:paraId="6A7896F1">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11）设有暂估价、暂列金额的，竞标时未按工程量清单给出的暂估价总价、暂列金额总价计入竞标总报价中的； </w:t>
      </w:r>
    </w:p>
    <w:p w14:paraId="352DBF3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12）供应商对工程量清单内容进行增减或对竞标范围进行调整的； </w:t>
      </w:r>
    </w:p>
    <w:p w14:paraId="2D508144">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13）响应文件响应的标的数量及单位与竞争性磋商采购文件要求实质性不一致的； </w:t>
      </w:r>
    </w:p>
    <w:p w14:paraId="4DA2AE6D">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w:t>
      </w:r>
      <w:r>
        <w:rPr>
          <w:rFonts w:hint="eastAsia" w:hAnsi="宋体" w:cs="Times New Roman"/>
          <w:color w:val="auto"/>
          <w:sz w:val="24"/>
          <w:szCs w:val="24"/>
          <w:highlight w:val="none"/>
          <w:lang w:val="en-US" w:eastAsia="zh-CN"/>
        </w:rPr>
        <w:t>报价总价封面竞标供应商未盖章或者法定代表人（或其授权人）未签字（或盖章）或者编制人员未签字或未盖专用章的；</w:t>
      </w:r>
      <w:r>
        <w:rPr>
          <w:rFonts w:hint="eastAsia" w:hAnsi="宋体" w:cs="Times New Roman"/>
          <w:color w:val="auto"/>
          <w:sz w:val="24"/>
          <w:szCs w:val="24"/>
          <w:highlight w:val="none"/>
        </w:rPr>
        <w:t xml:space="preserve"> </w:t>
      </w:r>
    </w:p>
    <w:p w14:paraId="2D7F7D90">
      <w:pPr>
        <w:pStyle w:val="25"/>
        <w:adjustRightInd w:val="0"/>
        <w:snapToGrid w:val="0"/>
        <w:spacing w:line="360" w:lineRule="auto"/>
        <w:ind w:firstLine="480" w:firstLineChars="200"/>
        <w:rPr>
          <w:rFonts w:hint="default" w:hAnsi="宋体" w:eastAsia="宋体" w:cs="Times New Roman"/>
          <w:color w:val="auto"/>
          <w:sz w:val="24"/>
          <w:szCs w:val="24"/>
          <w:highlight w:val="none"/>
          <w:lang w:val="en-US" w:eastAsia="zh-CN"/>
        </w:rPr>
      </w:pPr>
      <w:r>
        <w:rPr>
          <w:rFonts w:hint="eastAsia" w:hAnsi="宋体" w:cs="Times New Roman"/>
          <w:color w:val="auto"/>
          <w:sz w:val="24"/>
          <w:szCs w:val="24"/>
          <w:highlight w:val="none"/>
          <w:lang w:val="en-US" w:eastAsia="zh-CN"/>
        </w:rPr>
        <w:t>15）</w:t>
      </w:r>
      <w:r>
        <w:rPr>
          <w:rFonts w:hint="eastAsia" w:hAnsi="宋体" w:cs="Times New Roman"/>
          <w:color w:val="auto"/>
          <w:sz w:val="24"/>
          <w:szCs w:val="24"/>
          <w:highlight w:val="none"/>
        </w:rPr>
        <w:t>未响应磋商文件实质性要求的。</w:t>
      </w:r>
    </w:p>
    <w:p w14:paraId="5D8F2B6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lang w:val="en-US" w:eastAsia="zh-CN"/>
        </w:rPr>
        <w:t>20</w:t>
      </w:r>
      <w:r>
        <w:rPr>
          <w:rFonts w:hint="eastAsia" w:hAnsi="宋体" w:cs="Times New Roman"/>
          <w:color w:val="auto"/>
          <w:sz w:val="24"/>
          <w:szCs w:val="24"/>
          <w:highlight w:val="none"/>
        </w:rPr>
        <w:t>.8评标委员会依据磋商文件规定的评审标准和方法，对磋商响应文件进行评审和比较后，向</w:t>
      </w:r>
      <w:r>
        <w:rPr>
          <w:rFonts w:hint="eastAsia" w:hAnsi="宋体" w:cs="Times New Roman"/>
          <w:color w:val="auto"/>
          <w:sz w:val="24"/>
          <w:szCs w:val="24"/>
          <w:highlight w:val="none"/>
          <w:lang w:eastAsia="zh-CN"/>
        </w:rPr>
        <w:t>广西科联招标中心有限公司</w:t>
      </w:r>
      <w:r>
        <w:rPr>
          <w:rFonts w:hint="eastAsia" w:hAnsi="宋体" w:cs="Times New Roman"/>
          <w:color w:val="auto"/>
          <w:sz w:val="24"/>
          <w:szCs w:val="24"/>
          <w:highlight w:val="none"/>
        </w:rPr>
        <w:t>提供书面磋商报告，并按得分高低排序推荐成交候选供应商。</w:t>
      </w:r>
    </w:p>
    <w:p w14:paraId="07F4210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lang w:val="en-US" w:eastAsia="zh-CN"/>
        </w:rPr>
        <w:t>20.9</w:t>
      </w:r>
      <w:r>
        <w:rPr>
          <w:rFonts w:hint="eastAsia" w:hAnsi="宋体" w:cs="Times New Roman"/>
          <w:color w:val="auto"/>
          <w:sz w:val="24"/>
          <w:szCs w:val="24"/>
          <w:highlight w:val="none"/>
        </w:rPr>
        <w:t>磋商响应文件的澄清</w:t>
      </w:r>
    </w:p>
    <w:p w14:paraId="0D97FA0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为有利于对磋商响应文件的比较和评议，磋商小组可要求供应商对磋商响应文件进行澄清，必要时磋商小组可要求供应商对澄清的问题作出书面答复。</w:t>
      </w:r>
    </w:p>
    <w:p w14:paraId="7984D7A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评审中需要供应商对磋商响应文件作出澄清、说明或者补正的，磋商小组和供应商应当通过广西政府采购云平台交换数据电文。给予供应商提交澄清说明或补正的时间不少于半小时，供应商已经明确表示澄清说明或补正完毕的除外。</w:t>
      </w:r>
    </w:p>
    <w:p w14:paraId="2AE7A2A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供应商通过广西政府采购云平台交换的数据电文必须进行电子签章。</w:t>
      </w:r>
    </w:p>
    <w:p w14:paraId="3BCB031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21．无效磋商的情形</w:t>
      </w:r>
    </w:p>
    <w:p w14:paraId="4D7FEC25">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磋商响应文件有下列情形之一的作无效磋商响应处理：</w:t>
      </w:r>
    </w:p>
    <w:p w14:paraId="1EFCFD84">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21.1未按照磋商文件规定要求签署、盖章的；</w:t>
      </w:r>
    </w:p>
    <w:p w14:paraId="14EC3A8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21.2单位负责人为同一人或者存在直接控股、管理关系的不同供应商参加同一合同项下的政府采购活动的（均无效）；</w:t>
      </w:r>
    </w:p>
    <w:p w14:paraId="06AC051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21.3为采购项目提供整体设计、规范编制或者项目管理、监理、检测等服务的供应商参加该采购项目的其他采购活动的； </w:t>
      </w:r>
    </w:p>
    <w:p w14:paraId="4DE75C4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21.4供应商不具备磋商文件中规定的资格要求的（供应商未提供有效的资格证明文件的，视为其不具备磋商文件中规定的资格要求）；</w:t>
      </w:r>
    </w:p>
    <w:p w14:paraId="24640A33">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w:t>
      </w:r>
      <w:r>
        <w:rPr>
          <w:rFonts w:hAnsi="宋体" w:cs="Times New Roman"/>
          <w:color w:val="auto"/>
          <w:sz w:val="24"/>
          <w:szCs w:val="24"/>
          <w:highlight w:val="none"/>
        </w:rPr>
        <w:t xml:space="preserve">.5 </w:t>
      </w:r>
      <w:r>
        <w:rPr>
          <w:rFonts w:hint="eastAsia" w:hAnsi="宋体" w:cs="Times New Roman"/>
          <w:color w:val="auto"/>
          <w:sz w:val="24"/>
          <w:szCs w:val="24"/>
          <w:highlight w:val="none"/>
        </w:rPr>
        <w:t>《法定代表人身份证明书》与提供的身份证复印件信息不符的；《法定代表人授权委托书》与提供的身份证复印件信息不符的；</w:t>
      </w:r>
    </w:p>
    <w:p w14:paraId="486A004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21.6《法定代表人授权委托书》或《法定代表人身份证明书》填写不全、错误、未加盖公章(《法定代表人授权委托书》要求“盖章”和“签字”缺一不可）的；</w:t>
      </w:r>
    </w:p>
    <w:p w14:paraId="7879C4C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21.7磋商响应文件中的磋商响应函未加盖供应商的企业公章或填写不全的；</w:t>
      </w:r>
    </w:p>
    <w:p w14:paraId="4B25560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21.8报价一经涂改，未在涂改处加盖磋商响应单位公章或者未经法定代表人或授权代表签字或盖章的；</w:t>
      </w:r>
    </w:p>
    <w:p w14:paraId="5E1F9DA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21.9磋商响应文件中未按磋商文件规定的格式填写，或未详细应答磋商服务（或技术或产品等要求），经磋商后仍无法详细应答或应答不完整有缺失，致使磋商小组无法评审的；</w:t>
      </w:r>
    </w:p>
    <w:p w14:paraId="51B5838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21.10出现同一标的物或本次磋商产品(服务)内的主要产品(重要组成部分)出现商务技术（资信）文件资料、报价文件资料描述不一致或前后描述不一致，经磋商小组认定后为无法评审的；</w:t>
      </w:r>
    </w:p>
    <w:p w14:paraId="0D2E4363">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21.11《技术偏离说明表》不真实填写或弄虚作假的；</w:t>
      </w:r>
    </w:p>
    <w:p w14:paraId="5F267B5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21.12磋商响应文件有采购人不能接受的条件；</w:t>
      </w:r>
    </w:p>
    <w:p w14:paraId="496825EC">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21.13最后报价超过预算金额或上限价的；</w:t>
      </w:r>
    </w:p>
    <w:p w14:paraId="70CE831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21.14磋商小组认定有重大偏差或实质性不响应磋商文件要求的；</w:t>
      </w:r>
    </w:p>
    <w:p w14:paraId="4EF02050">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21.15采购人拟采购的产品属于政府强制采购的节能产品品目清单范围的，供应商未按磋商文件要求提供国家确定的认证机构出具的、处于有效期之内的节能产品认证证书的；</w:t>
      </w:r>
    </w:p>
    <w:p w14:paraId="1245AE73">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21.16《报价一览表》填写不完整或字迹不能辨认或有漏项的；</w:t>
      </w:r>
    </w:p>
    <w:p w14:paraId="725C474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21.17供应商对根据修正原则修正后的报价不确认的；</w:t>
      </w:r>
    </w:p>
    <w:p w14:paraId="0AD1017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21.18供应商提供虚假材料磋商的（包括但不限于以下情节）；</w:t>
      </w:r>
    </w:p>
    <w:p w14:paraId="0449E18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21.18.1使用伪造、变造的许可证件；</w:t>
      </w:r>
    </w:p>
    <w:p w14:paraId="16A99F55">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21.18.2提供虚假的财务状况或者业绩；</w:t>
      </w:r>
    </w:p>
    <w:p w14:paraId="5C020DA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21.18.3提供虚假的项目负责人或者主要技术人员简历、劳动关系证明；</w:t>
      </w:r>
    </w:p>
    <w:p w14:paraId="7852DF5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21.18.4提供虚假的信用状况；</w:t>
      </w:r>
    </w:p>
    <w:p w14:paraId="1B830A4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21.18.5其他弄虚作假的行为。</w:t>
      </w:r>
    </w:p>
    <w:p w14:paraId="2CDAADF9">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21.19有下列情形之一的，视为供应商串通磋商，其磋商无效：</w:t>
      </w:r>
    </w:p>
    <w:p w14:paraId="04A8C01D">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21.19.1不同供应商的磋商响应文件由同一单位或者个人编制；</w:t>
      </w:r>
    </w:p>
    <w:p w14:paraId="6E8681EF">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21.19.2不同供应商委托同一单位或者个人办理磋商事宜；</w:t>
      </w:r>
    </w:p>
    <w:p w14:paraId="7C77A7E7">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21.19.3不同供应商的磋商响应文件载明的项目管理成员或者联系人员为同一人；</w:t>
      </w:r>
    </w:p>
    <w:p w14:paraId="75FDEF6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21.19.4不同供应商的磋商响应文件异常一致或者磋商报价呈规律性差异；</w:t>
      </w:r>
    </w:p>
    <w:p w14:paraId="20BD2E12">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21.19.5不同供应商的磋商响应文件相互混装；</w:t>
      </w:r>
    </w:p>
    <w:p w14:paraId="771F676A">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21.20有下列情形之一的，属于恶意串通，其磋商无效：</w:t>
      </w:r>
    </w:p>
    <w:p w14:paraId="39DDCF5E">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21.20.1供应商直接或者间接从采购人或者采购机构处获得其他供应商的相关情况并修改其磋商文件或者响应文件；</w:t>
      </w:r>
    </w:p>
    <w:p w14:paraId="40B53F15">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21.20.2供应商按照采购人或者采购机构的授意撤换、修改磋商文件或者响应文件；</w:t>
      </w:r>
    </w:p>
    <w:p w14:paraId="2733C186">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21.20.3供应商之间协商报价、技术方案等磋商文件或者响应文件的实质性内容；</w:t>
      </w:r>
    </w:p>
    <w:p w14:paraId="24932978">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21.20.4属于同一集团、协会、商会等组织成员的供应商按照该组织要求协同参加政府采购活动；</w:t>
      </w:r>
    </w:p>
    <w:p w14:paraId="3976331D">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21.20.5供应商之间事先约定由某一特定供应商成交；</w:t>
      </w:r>
    </w:p>
    <w:p w14:paraId="00B7E98B">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21.20.6供应商之间商定部分供应商放弃参加政府采购活动或者放弃成交；</w:t>
      </w:r>
    </w:p>
    <w:p w14:paraId="4E848FC3">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21.20.7供应商与采购人或者采购机构之间、供应商相互之间，为谋求特定供应商成交或者排斥其他供应商的其他串通行为。</w:t>
      </w:r>
    </w:p>
    <w:p w14:paraId="6FF01216">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21.21其他违反法律、法规的情形。</w:t>
      </w:r>
    </w:p>
    <w:p w14:paraId="654F63E6">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 磋商过程保密</w:t>
      </w:r>
    </w:p>
    <w:p w14:paraId="4F79352D">
      <w:pPr>
        <w:pStyle w:val="25"/>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22.1磋商活动在严格保密的情况下进行。磋商过程中凡是与磋商响应文件评审和比较、成交供应商推荐等磋商有关的情况和评审文件的，以及涉及国家秘密和商业秘密等信息，磋商小组成员、采购人和采购机构工作人员、相关监督人员等与评审有关的人员应当予以保密。</w:t>
      </w:r>
    </w:p>
    <w:p w14:paraId="334DBDFF">
      <w:pPr>
        <w:pStyle w:val="25"/>
        <w:adjustRightInd w:val="0"/>
        <w:snapToGrid w:val="0"/>
        <w:spacing w:line="360" w:lineRule="auto"/>
        <w:ind w:firstLine="480" w:firstLineChars="200"/>
        <w:rPr>
          <w:rFonts w:hAnsi="宋体"/>
          <w:color w:val="auto"/>
          <w:sz w:val="24"/>
          <w:szCs w:val="24"/>
          <w:highlight w:val="none"/>
        </w:rPr>
      </w:pPr>
      <w:r>
        <w:rPr>
          <w:rFonts w:hint="eastAsia" w:hAnsi="宋体" w:cs="Times New Roman"/>
          <w:color w:val="auto"/>
          <w:sz w:val="24"/>
          <w:szCs w:val="24"/>
          <w:highlight w:val="none"/>
        </w:rPr>
        <w:t>22.2 在磋商期间，供应商企图影响采购人、集中采购机构或磋商小组的任何活动，都将导致磋商被拒绝，并由其承担相应的法律责任。</w:t>
      </w:r>
    </w:p>
    <w:p w14:paraId="4696D993">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六、确定成交供应商办法</w:t>
      </w:r>
    </w:p>
    <w:p w14:paraId="0F71DF62">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23.1根据以下原则确定成交供应商：</w:t>
      </w:r>
      <w:r>
        <w:rPr>
          <w:rFonts w:ascii="宋体" w:hAnsi="宋体" w:cs="宋体"/>
          <w:color w:val="auto"/>
          <w:sz w:val="24"/>
          <w:highlight w:val="none"/>
        </w:rPr>
        <w:t>确定成交供应商。采购代理机构应当在评审结束后2个工作日内将评审报告送采购人确认。采购人应当在收到评审报告后</w:t>
      </w:r>
      <w:r>
        <w:rPr>
          <w:rFonts w:hint="eastAsia" w:ascii="宋体" w:hAnsi="宋体" w:cs="宋体"/>
          <w:color w:val="auto"/>
          <w:sz w:val="24"/>
          <w:highlight w:val="none"/>
        </w:rPr>
        <w:t>2</w:t>
      </w:r>
      <w:r>
        <w:rPr>
          <w:rFonts w:ascii="宋体" w:hAnsi="宋体" w:cs="宋体"/>
          <w:color w:val="auto"/>
          <w:sz w:val="24"/>
          <w:highlight w:val="none"/>
        </w:rPr>
        <w:t>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56A35BB">
      <w:pPr>
        <w:pStyle w:val="25"/>
        <w:adjustRightInd w:val="0"/>
        <w:snapToGrid w:val="0"/>
        <w:spacing w:line="360" w:lineRule="auto"/>
        <w:ind w:firstLine="482" w:firstLineChars="200"/>
        <w:rPr>
          <w:rFonts w:hAnsi="宋体"/>
          <w:b/>
          <w:color w:val="auto"/>
          <w:sz w:val="24"/>
          <w:szCs w:val="24"/>
          <w:highlight w:val="none"/>
        </w:rPr>
      </w:pPr>
      <w:r>
        <w:rPr>
          <w:rFonts w:hint="eastAsia" w:hAnsi="宋体"/>
          <w:b/>
          <w:color w:val="auto"/>
          <w:sz w:val="24"/>
          <w:szCs w:val="24"/>
          <w:highlight w:val="none"/>
        </w:rPr>
        <w:t>七、成交结果公告</w:t>
      </w:r>
    </w:p>
    <w:p w14:paraId="0B0B4657">
      <w:pPr>
        <w:adjustRightInd w:val="0"/>
        <w:spacing w:line="360" w:lineRule="auto"/>
        <w:ind w:firstLine="480" w:firstLineChars="200"/>
        <w:rPr>
          <w:rFonts w:ascii="宋体" w:hAnsi="宋体" w:cs="宋体"/>
          <w:color w:val="auto"/>
          <w:sz w:val="24"/>
          <w:highlight w:val="none"/>
        </w:rPr>
      </w:pPr>
      <w:r>
        <w:rPr>
          <w:rFonts w:hint="eastAsia" w:ascii="宋体" w:hAnsi="宋体"/>
          <w:color w:val="auto"/>
          <w:sz w:val="24"/>
          <w:szCs w:val="21"/>
          <w:highlight w:val="none"/>
        </w:rPr>
        <w:t>24.1自成交人确定之日起2个工作日内，采购代理机构发布采购成交结果公告，同时通过电子交易平台向成交人发出成交通知书。</w:t>
      </w:r>
    </w:p>
    <w:p w14:paraId="55452D25">
      <w:pPr>
        <w:adjustRightInd w:val="0"/>
        <w:spacing w:line="360" w:lineRule="auto"/>
        <w:ind w:firstLine="480" w:firstLineChars="200"/>
        <w:rPr>
          <w:rFonts w:ascii="宋体" w:hAnsi="宋体"/>
          <w:color w:val="auto"/>
          <w:sz w:val="24"/>
          <w:szCs w:val="21"/>
          <w:highlight w:val="none"/>
        </w:rPr>
      </w:pPr>
      <w:r>
        <w:rPr>
          <w:rFonts w:hint="eastAsia" w:ascii="宋体" w:hAnsi="宋体" w:cs="宋体"/>
          <w:color w:val="auto"/>
          <w:sz w:val="24"/>
          <w:highlight w:val="none"/>
        </w:rPr>
        <w:t>24.2</w:t>
      </w:r>
      <w:r>
        <w:rPr>
          <w:rFonts w:hint="eastAsia" w:ascii="宋体" w:hAnsi="宋体"/>
          <w:color w:val="auto"/>
          <w:sz w:val="24"/>
          <w:szCs w:val="21"/>
          <w:highlight w:val="none"/>
        </w:rPr>
        <w:t>成交</w:t>
      </w:r>
      <w:r>
        <w:rPr>
          <w:rFonts w:hint="eastAsia" w:ascii="宋体" w:hAnsi="宋体" w:cs="仿宋_GB2312"/>
          <w:color w:val="auto"/>
          <w:sz w:val="24"/>
          <w:highlight w:val="none"/>
        </w:rPr>
        <w:t>结果公告内容包括</w:t>
      </w:r>
      <w:r>
        <w:rPr>
          <w:rFonts w:hint="eastAsia" w:ascii="宋体" w:hAnsi="宋体" w:cs="宋体"/>
          <w:color w:val="auto"/>
          <w:sz w:val="24"/>
          <w:highlight w:val="none"/>
        </w:rPr>
        <w:t>采购人及其委托的采购代理机构的名称、地址、联系方式，项目名称和项目编号，成交人名称、地址和成交金额，主要成交标的的名称、规格型号、数量、单价、服务要求，</w:t>
      </w:r>
      <w:bookmarkStart w:id="29" w:name="_Hlk101184471"/>
      <w:r>
        <w:rPr>
          <w:rFonts w:hint="eastAsia" w:ascii="宋体" w:hAnsi="宋体" w:cs="宋体"/>
          <w:color w:val="auto"/>
          <w:sz w:val="24"/>
          <w:highlight w:val="none"/>
        </w:rPr>
        <w:t>评审专家抽取规则、</w:t>
      </w:r>
      <w:bookmarkEnd w:id="29"/>
      <w:r>
        <w:rPr>
          <w:rFonts w:hint="eastAsia" w:ascii="宋体" w:hAnsi="宋体" w:cs="宋体"/>
          <w:color w:val="auto"/>
          <w:sz w:val="24"/>
          <w:highlight w:val="none"/>
        </w:rPr>
        <w:t>未成交情况说明、成交公告期限以及评审专家名单、成交供应商和未成交供应商的评审总得分及排名。</w:t>
      </w:r>
    </w:p>
    <w:p w14:paraId="50C9F5FE">
      <w:pPr>
        <w:adjustRightInd w:val="0"/>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24.3公告期限为1个工作日。</w:t>
      </w:r>
    </w:p>
    <w:p w14:paraId="5EFEE788">
      <w:pPr>
        <w:pStyle w:val="25"/>
        <w:adjustRightInd w:val="0"/>
        <w:snapToGrid w:val="0"/>
        <w:spacing w:line="360" w:lineRule="auto"/>
        <w:ind w:firstLine="482" w:firstLineChars="200"/>
        <w:rPr>
          <w:rFonts w:hAnsi="宋体"/>
          <w:b/>
          <w:color w:val="auto"/>
          <w:sz w:val="24"/>
          <w:szCs w:val="24"/>
          <w:highlight w:val="none"/>
        </w:rPr>
      </w:pPr>
      <w:r>
        <w:rPr>
          <w:rFonts w:hint="eastAsia" w:hAnsi="宋体"/>
          <w:b/>
          <w:color w:val="auto"/>
          <w:sz w:val="24"/>
          <w:szCs w:val="24"/>
          <w:highlight w:val="none"/>
        </w:rPr>
        <w:t>八、履约保证金</w:t>
      </w:r>
    </w:p>
    <w:p w14:paraId="350660E6">
      <w:pPr>
        <w:tabs>
          <w:tab w:val="left" w:pos="0"/>
        </w:tabs>
        <w:spacing w:line="360" w:lineRule="auto"/>
        <w:ind w:firstLine="482"/>
        <w:rPr>
          <w:rFonts w:ascii="宋体" w:hAnsi="宋体" w:cs="宋体"/>
          <w:color w:val="auto"/>
          <w:sz w:val="24"/>
          <w:highlight w:val="none"/>
        </w:rPr>
      </w:pPr>
      <w:r>
        <w:rPr>
          <w:rFonts w:hint="eastAsia" w:ascii="宋体" w:hAnsi="宋体"/>
          <w:color w:val="auto"/>
          <w:sz w:val="24"/>
          <w:highlight w:val="none"/>
        </w:rPr>
        <w:t>25.1</w:t>
      </w:r>
      <w:r>
        <w:rPr>
          <w:rFonts w:hint="eastAsia" w:ascii="宋体" w:hAnsi="宋体" w:cs="宋体"/>
          <w:color w:val="auto"/>
          <w:kern w:val="0"/>
          <w:sz w:val="24"/>
          <w:highlight w:val="none"/>
        </w:rPr>
        <w:t>拟签订的合同文本要求成交供应商提交履约保证金的，供应商应当以支票、汇票、本票或者金融机构、担保机构出具的保函等非现金形式提交</w:t>
      </w:r>
      <w:r>
        <w:rPr>
          <w:rFonts w:hint="eastAsia" w:ascii="宋体" w:hAnsi="宋体" w:cs="宋体"/>
          <w:color w:val="auto"/>
          <w:sz w:val="24"/>
          <w:highlight w:val="none"/>
        </w:rPr>
        <w:t>。履约保证金数额不得超过政府采购合同金额的5%；加大对中小企业发展的扶持力度，对中小企业收取的履约保证金数额不得超过政府采购合同金额的2%。</w:t>
      </w:r>
      <w:r>
        <w:rPr>
          <w:rFonts w:hint="eastAsia" w:ascii="宋体" w:hAnsi="宋体" w:cs="宋体"/>
          <w:color w:val="auto"/>
          <w:kern w:val="0"/>
          <w:sz w:val="24"/>
          <w:highlight w:val="none"/>
        </w:rPr>
        <w:t>成交</w:t>
      </w:r>
      <w:r>
        <w:rPr>
          <w:rFonts w:hint="eastAsia" w:ascii="宋体" w:hAnsi="宋体" w:cs="宋体"/>
          <w:color w:val="auto"/>
          <w:sz w:val="24"/>
          <w:highlight w:val="none"/>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auto"/>
          <w:sz w:val="24"/>
          <w:highlight w:val="none"/>
        </w:rPr>
        <w:t>延迟退还的，应当按照合同约定和法律规定承担相应的赔偿责任</w:t>
      </w:r>
      <w:r>
        <w:rPr>
          <w:rFonts w:hint="eastAsia" w:ascii="宋体" w:hAnsi="宋体" w:cs="宋体"/>
          <w:color w:val="auto"/>
          <w:sz w:val="24"/>
          <w:highlight w:val="none"/>
        </w:rPr>
        <w:t>。</w:t>
      </w:r>
    </w:p>
    <w:p w14:paraId="3B0B8482">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szCs w:val="20"/>
          <w:highlight w:val="none"/>
        </w:rPr>
        <w:t>履约保证金</w:t>
      </w:r>
      <w:r>
        <w:rPr>
          <w:rFonts w:hint="eastAsia" w:ascii="宋体" w:hAnsi="宋体" w:cs="宋体"/>
          <w:color w:val="auto"/>
          <w:sz w:val="24"/>
          <w:highlight w:val="none"/>
        </w:rPr>
        <w:t>收取银行账户</w:t>
      </w:r>
    </w:p>
    <w:p w14:paraId="4A3CC71B">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开户名称： </w:t>
      </w:r>
    </w:p>
    <w:p w14:paraId="7CBD891B">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开户银行： </w:t>
      </w:r>
    </w:p>
    <w:p w14:paraId="284C8473">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银行账号：</w:t>
      </w:r>
    </w:p>
    <w:p w14:paraId="28D47980">
      <w:pPr>
        <w:adjustRightInd w:val="0"/>
        <w:snapToGrid w:val="0"/>
        <w:spacing w:line="360" w:lineRule="auto"/>
        <w:ind w:firstLine="480" w:firstLineChars="200"/>
        <w:jc w:val="left"/>
        <w:rPr>
          <w:rFonts w:ascii="宋体" w:hAnsi="宋体"/>
          <w:snapToGrid w:val="0"/>
          <w:color w:val="auto"/>
          <w:kern w:val="0"/>
          <w:sz w:val="24"/>
          <w:szCs w:val="20"/>
          <w:highlight w:val="none"/>
        </w:rPr>
      </w:pPr>
      <w:r>
        <w:rPr>
          <w:rFonts w:hint="eastAsia" w:ascii="宋体" w:hAnsi="宋体"/>
          <w:snapToGrid w:val="0"/>
          <w:color w:val="auto"/>
          <w:kern w:val="0"/>
          <w:sz w:val="24"/>
          <w:szCs w:val="20"/>
          <w:highlight w:val="none"/>
        </w:rPr>
        <w:t>25.2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62947954">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25.3履约保证金的退还。验收合格的政府采购项目，采购人应当按照合同约定的退还方式，在5个工作日内办理履约保证金退还手续。</w:t>
      </w:r>
    </w:p>
    <w:p w14:paraId="48944DC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九、签订合同</w:t>
      </w:r>
    </w:p>
    <w:p w14:paraId="4FE3176C">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26.1成交通知书发出后，采购人不得违法改变成交结果，成交供应商无正当理由不得放弃成交，否则，按政府</w:t>
      </w:r>
      <w:r>
        <w:rPr>
          <w:rFonts w:hint="eastAsia" w:ascii="宋体" w:hAnsi="宋体" w:cs="Courier New"/>
          <w:bCs/>
          <w:color w:val="auto"/>
          <w:sz w:val="24"/>
          <w:highlight w:val="none"/>
          <w:lang w:eastAsia="zh-CN"/>
        </w:rPr>
        <w:t>采购</w:t>
      </w:r>
      <w:r>
        <w:rPr>
          <w:rFonts w:hint="eastAsia" w:ascii="宋体" w:hAnsi="宋体" w:cs="Courier New"/>
          <w:bCs/>
          <w:color w:val="auto"/>
          <w:sz w:val="24"/>
          <w:highlight w:val="none"/>
        </w:rPr>
        <w:t>相关规定处理。</w:t>
      </w:r>
    </w:p>
    <w:p w14:paraId="20DA9B06">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26.2成交供应商拒绝与采购人签订合同或因不可抗力或者自身原因不能履行采购合同的，采购人可以与成交供应商之后排名第一的成交候选供应商签订采购合同，以此类推,也可以重新采购。成交供应商放弃成交项目，拒绝与采购人签订合同的，给采购人造成损失的，应当赔偿损失，并作为不良行为记录在案。</w:t>
      </w:r>
    </w:p>
    <w:p w14:paraId="2D12C7CE">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26.3采购人应当自成交通知书发出之日起25日内，按照磋商采购文件和成交供应商磋商响应文件的规定，与成交供应商签订书面合同。所签订的合同不得对磋商采购文件确定的事项和成交供应商磋商响应文件作实质性修改。采购人不得向成交供应商提出任何不合理的要求作为签订合同的条件。</w:t>
      </w:r>
    </w:p>
    <w:p w14:paraId="14E2690E">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26.4政府采购合同应当包括采购人与成交供应商的名称和住所、标的、数量、质量、价款或者报酬、履行期限及地点和方式、验收要求、违约责任、解决争议的方法等内容。政府采购合同签订当日，将政府采购合同送本代理机构备案。</w:t>
      </w:r>
    </w:p>
    <w:p w14:paraId="7B84AF15">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26.5采购人与成交供应商应当根据合同的约定依法履行合同义务。政府采购合同的履行、违约责任和解决争议的方法等适用《中华人民共和国民法典》。</w:t>
      </w:r>
    </w:p>
    <w:p w14:paraId="7D40031A">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26.6采购人应当及时对采购项目进行验收。采购人可以邀请参加本项目的其他供应商或者第三方机构参与验收。参与验收的供应商或者第三方机构的意见作为验收书的参考资料一并存档。</w:t>
      </w:r>
    </w:p>
    <w:p w14:paraId="57884C00">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26.7采购人应当加强对成交供应商的履约管理，并按照采购合同约定，及时向成交供应商支付采购资金。对于成交供应商违反采购合同约定的行为，采购人应当及时处理，依法追究其违约责任。</w:t>
      </w:r>
    </w:p>
    <w:p w14:paraId="5165235C">
      <w:pPr>
        <w:pStyle w:val="92"/>
        <w:snapToGrid w:val="0"/>
        <w:spacing w:before="0"/>
        <w:ind w:firstLine="480"/>
        <w:rPr>
          <w:rFonts w:ascii="宋体" w:hAnsi="宋体" w:cs="宋体"/>
          <w:color w:val="auto"/>
          <w:highlight w:val="none"/>
        </w:rPr>
      </w:pPr>
      <w:r>
        <w:rPr>
          <w:rFonts w:hint="eastAsia" w:ascii="宋体" w:hAnsi="宋体"/>
          <w:bCs/>
          <w:color w:val="auto"/>
          <w:szCs w:val="24"/>
          <w:highlight w:val="none"/>
        </w:rPr>
        <w:t>26.</w:t>
      </w:r>
      <w:r>
        <w:rPr>
          <w:rFonts w:hint="eastAsia" w:ascii="宋体" w:hAnsi="宋体" w:cs="宋体"/>
          <w:color w:val="auto"/>
          <w:szCs w:val="24"/>
          <w:highlight w:val="none"/>
        </w:rPr>
        <w:t>8</w:t>
      </w:r>
      <w:r>
        <w:rPr>
          <w:rFonts w:hint="eastAsia" w:ascii="宋体" w:hAnsi="宋体" w:cs="宋体"/>
          <w:color w:val="auto"/>
          <w:highlight w:val="none"/>
        </w:rPr>
        <w:t>政采贷</w:t>
      </w:r>
    </w:p>
    <w:p w14:paraId="73BE4A4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0E6D4656">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7A897F9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3FF8E129">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7748386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（四）贷款发放。贷款金融机构根据贷款协议向供应商发放贷款。</w:t>
      </w:r>
    </w:p>
    <w:p w14:paraId="2C60A0F1">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23A6793B">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（六）业务终止。贷款偿清后，贷款金融机构或北海市小微企业融资担保有限公司及时办理应收账款质押注销登记，业务终止。</w:t>
      </w:r>
    </w:p>
    <w:p w14:paraId="64A64F28">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注：相关合作银行的具体操作流程详见北海市政府采购中心首页“政采贷”板块。</w:t>
      </w:r>
    </w:p>
    <w:p w14:paraId="4391C53D">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111B91D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供应商成交后可在“广西政府采购云”平台申请政采贷：操作路径：登录广西政府采购云平台-金融服务中心-【融资服务】，可在热门申请中选择产品直接申请。详见如下：</w:t>
      </w:r>
    </w:p>
    <w:p w14:paraId="4297FFC4">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1.有贷款需求的供应商可以访问“广西政府采购云平台-金融服务-融资服务”栏目办理有关业务（链接：</w:t>
      </w:r>
      <w:r>
        <w:rPr>
          <w:color w:val="auto"/>
          <w:highlight w:val="none"/>
        </w:rPr>
        <w:fldChar w:fldCharType="begin"/>
      </w:r>
      <w:r>
        <w:rPr>
          <w:color w:val="auto"/>
          <w:highlight w:val="none"/>
        </w:rPr>
        <w:instrText xml:space="preserve"> HYPERLINK "https://jinrong.gcy.zfcg.gxzf.gov.cn/finance/loan/gx" </w:instrText>
      </w:r>
      <w:r>
        <w:rPr>
          <w:color w:val="auto"/>
          <w:highlight w:val="none"/>
        </w:rPr>
        <w:fldChar w:fldCharType="separate"/>
      </w:r>
      <w:r>
        <w:rPr>
          <w:rFonts w:ascii="宋体" w:hAnsi="宋体"/>
          <w:color w:val="auto"/>
          <w:kern w:val="0"/>
          <w:sz w:val="24"/>
          <w:szCs w:val="20"/>
          <w:highlight w:val="none"/>
        </w:rPr>
        <w:t>https://jinrong.gcy.zfcg.gxzf.gov.cn/finance/loan/gx</w:t>
      </w:r>
      <w:r>
        <w:rPr>
          <w:rFonts w:ascii="宋体" w:hAnsi="宋体"/>
          <w:color w:val="auto"/>
          <w:kern w:val="0"/>
          <w:sz w:val="24"/>
          <w:szCs w:val="20"/>
          <w:highlight w:val="none"/>
        </w:rPr>
        <w:fldChar w:fldCharType="end"/>
      </w:r>
      <w:r>
        <w:rPr>
          <w:rFonts w:hint="eastAsia" w:ascii="宋体" w:hAnsi="宋体"/>
          <w:color w:val="auto"/>
          <w:kern w:val="0"/>
          <w:sz w:val="24"/>
          <w:szCs w:val="20"/>
          <w:highlight w:val="none"/>
        </w:rPr>
        <w:t>）</w:t>
      </w:r>
    </w:p>
    <w:p w14:paraId="29B46045">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2.合作银行咨询办理</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7181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16665922">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银行名称</w:t>
            </w:r>
          </w:p>
        </w:tc>
        <w:tc>
          <w:tcPr>
            <w:tcW w:w="1134" w:type="dxa"/>
            <w:shd w:val="clear" w:color="auto" w:fill="auto"/>
            <w:vAlign w:val="center"/>
          </w:tcPr>
          <w:p w14:paraId="25DE90E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联系电话</w:t>
            </w:r>
          </w:p>
        </w:tc>
        <w:tc>
          <w:tcPr>
            <w:tcW w:w="1701" w:type="dxa"/>
            <w:shd w:val="clear" w:color="auto" w:fill="auto"/>
            <w:vAlign w:val="center"/>
          </w:tcPr>
          <w:p w14:paraId="41E2344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最高授信金额</w:t>
            </w:r>
          </w:p>
        </w:tc>
        <w:tc>
          <w:tcPr>
            <w:tcW w:w="993" w:type="dxa"/>
            <w:shd w:val="clear" w:color="auto" w:fill="auto"/>
            <w:vAlign w:val="center"/>
          </w:tcPr>
          <w:p w14:paraId="2A1D86F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最长授信期限</w:t>
            </w:r>
          </w:p>
        </w:tc>
        <w:tc>
          <w:tcPr>
            <w:tcW w:w="850" w:type="dxa"/>
            <w:shd w:val="clear" w:color="auto" w:fill="auto"/>
            <w:vAlign w:val="center"/>
          </w:tcPr>
          <w:p w14:paraId="7F487C3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最低利率</w:t>
            </w:r>
          </w:p>
        </w:tc>
        <w:tc>
          <w:tcPr>
            <w:tcW w:w="3366" w:type="dxa"/>
            <w:shd w:val="clear" w:color="auto" w:fill="auto"/>
            <w:vAlign w:val="center"/>
          </w:tcPr>
          <w:p w14:paraId="636EAE1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流程简介</w:t>
            </w:r>
          </w:p>
        </w:tc>
      </w:tr>
      <w:tr w14:paraId="6F43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04226D2">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建设银行</w:t>
            </w:r>
          </w:p>
        </w:tc>
        <w:tc>
          <w:tcPr>
            <w:tcW w:w="1134" w:type="dxa"/>
            <w:shd w:val="clear" w:color="auto" w:fill="auto"/>
            <w:vAlign w:val="center"/>
          </w:tcPr>
          <w:p w14:paraId="770F892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13077729988</w:t>
            </w:r>
          </w:p>
        </w:tc>
        <w:tc>
          <w:tcPr>
            <w:tcW w:w="1701" w:type="dxa"/>
            <w:shd w:val="clear" w:color="auto" w:fill="auto"/>
            <w:vAlign w:val="center"/>
          </w:tcPr>
          <w:p w14:paraId="50FAD58F">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最高3千万</w:t>
            </w:r>
          </w:p>
        </w:tc>
        <w:tc>
          <w:tcPr>
            <w:tcW w:w="993" w:type="dxa"/>
            <w:shd w:val="clear" w:color="auto" w:fill="auto"/>
            <w:vAlign w:val="center"/>
          </w:tcPr>
          <w:p w14:paraId="4622FEA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1AE3BAD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4%</w:t>
            </w:r>
          </w:p>
        </w:tc>
        <w:tc>
          <w:tcPr>
            <w:tcW w:w="3366" w:type="dxa"/>
            <w:shd w:val="clear" w:color="auto" w:fill="auto"/>
            <w:vAlign w:val="center"/>
          </w:tcPr>
          <w:p w14:paraId="6B542DB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开设账号，线下提供申请材料，进入贷款审批流程，贷款审批通过后可自主用款，银行官方网银可自主还款。</w:t>
            </w:r>
          </w:p>
        </w:tc>
      </w:tr>
      <w:tr w14:paraId="28ED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5F3375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中国银行</w:t>
            </w:r>
          </w:p>
        </w:tc>
        <w:tc>
          <w:tcPr>
            <w:tcW w:w="1134" w:type="dxa"/>
            <w:shd w:val="clear" w:color="auto" w:fill="auto"/>
            <w:vAlign w:val="center"/>
          </w:tcPr>
          <w:p w14:paraId="23676A0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0779-3997084</w:t>
            </w:r>
          </w:p>
        </w:tc>
        <w:tc>
          <w:tcPr>
            <w:tcW w:w="1701" w:type="dxa"/>
            <w:shd w:val="clear" w:color="auto" w:fill="auto"/>
            <w:vAlign w:val="center"/>
          </w:tcPr>
          <w:p w14:paraId="439BFE1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70B1C415">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3年</w:t>
            </w:r>
          </w:p>
        </w:tc>
        <w:tc>
          <w:tcPr>
            <w:tcW w:w="850" w:type="dxa"/>
            <w:shd w:val="clear" w:color="auto" w:fill="auto"/>
            <w:vAlign w:val="center"/>
          </w:tcPr>
          <w:p w14:paraId="3E5345FD">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1.93%</w:t>
            </w:r>
          </w:p>
        </w:tc>
        <w:tc>
          <w:tcPr>
            <w:tcW w:w="3366" w:type="dxa"/>
            <w:shd w:val="clear" w:color="auto" w:fill="auto"/>
            <w:vAlign w:val="center"/>
          </w:tcPr>
          <w:p w14:paraId="4C41753B">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在银行开户，线上申请，上传所需材料，等待审批，审批通过后可直接在手机银行提款。</w:t>
            </w:r>
          </w:p>
        </w:tc>
      </w:tr>
      <w:tr w14:paraId="160F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5D42DA85">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兴业银行</w:t>
            </w:r>
          </w:p>
        </w:tc>
        <w:tc>
          <w:tcPr>
            <w:tcW w:w="1134" w:type="dxa"/>
            <w:shd w:val="clear" w:color="auto" w:fill="auto"/>
            <w:vAlign w:val="center"/>
          </w:tcPr>
          <w:p w14:paraId="5D3D76C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0779-3158330</w:t>
            </w:r>
          </w:p>
        </w:tc>
        <w:tc>
          <w:tcPr>
            <w:tcW w:w="1701" w:type="dxa"/>
            <w:shd w:val="clear" w:color="auto" w:fill="auto"/>
            <w:vAlign w:val="center"/>
          </w:tcPr>
          <w:p w14:paraId="33CB6E24">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最高1千万（单笔提款金额达合同金额70%）</w:t>
            </w:r>
          </w:p>
        </w:tc>
        <w:tc>
          <w:tcPr>
            <w:tcW w:w="993" w:type="dxa"/>
            <w:shd w:val="clear" w:color="auto" w:fill="auto"/>
            <w:vAlign w:val="center"/>
          </w:tcPr>
          <w:p w14:paraId="726E1A16">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641B4FE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3.70%</w:t>
            </w:r>
          </w:p>
        </w:tc>
        <w:tc>
          <w:tcPr>
            <w:tcW w:w="3366" w:type="dxa"/>
            <w:shd w:val="clear" w:color="auto" w:fill="auto"/>
            <w:vAlign w:val="center"/>
          </w:tcPr>
          <w:p w14:paraId="6B68C936">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全流程线上，初次申请开立账户，提供营业执照、采购合同、信用材料等，申请复审，签订合同，提交单笔贷款使用需求，贷款到账后受托使用。</w:t>
            </w:r>
          </w:p>
        </w:tc>
      </w:tr>
      <w:tr w14:paraId="4010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091F0F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工商银行</w:t>
            </w:r>
          </w:p>
        </w:tc>
        <w:tc>
          <w:tcPr>
            <w:tcW w:w="1134" w:type="dxa"/>
            <w:shd w:val="clear" w:color="auto" w:fill="auto"/>
            <w:vAlign w:val="center"/>
          </w:tcPr>
          <w:p w14:paraId="1F2147A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0779-3050645</w:t>
            </w:r>
          </w:p>
        </w:tc>
        <w:tc>
          <w:tcPr>
            <w:tcW w:w="1701" w:type="dxa"/>
            <w:shd w:val="clear" w:color="auto" w:fill="auto"/>
            <w:vAlign w:val="center"/>
          </w:tcPr>
          <w:p w14:paraId="1D408FD7">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最高1千万且不超过合同金额70%</w:t>
            </w:r>
          </w:p>
        </w:tc>
        <w:tc>
          <w:tcPr>
            <w:tcW w:w="993" w:type="dxa"/>
            <w:shd w:val="clear" w:color="auto" w:fill="auto"/>
            <w:vAlign w:val="center"/>
          </w:tcPr>
          <w:p w14:paraId="69C34A05">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货物类1年</w:t>
            </w:r>
          </w:p>
          <w:p w14:paraId="2F1FB7F9">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服务类3年</w:t>
            </w:r>
          </w:p>
          <w:p w14:paraId="16D6C35D">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工程类5年</w:t>
            </w:r>
          </w:p>
        </w:tc>
        <w:tc>
          <w:tcPr>
            <w:tcW w:w="850" w:type="dxa"/>
            <w:shd w:val="clear" w:color="auto" w:fill="auto"/>
            <w:vAlign w:val="center"/>
          </w:tcPr>
          <w:p w14:paraId="6609914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5046E369">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为中征系统白名单企业，提供相关要求材料，内部审批后放款自主借还。</w:t>
            </w:r>
          </w:p>
        </w:tc>
      </w:tr>
      <w:tr w14:paraId="3235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59F61C0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国民村镇银行</w:t>
            </w:r>
          </w:p>
        </w:tc>
        <w:tc>
          <w:tcPr>
            <w:tcW w:w="1134" w:type="dxa"/>
            <w:shd w:val="clear" w:color="auto" w:fill="auto"/>
            <w:vAlign w:val="center"/>
          </w:tcPr>
          <w:p w14:paraId="6352064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0779-2668801</w:t>
            </w:r>
          </w:p>
        </w:tc>
        <w:tc>
          <w:tcPr>
            <w:tcW w:w="1701" w:type="dxa"/>
            <w:shd w:val="clear" w:color="auto" w:fill="auto"/>
            <w:vAlign w:val="center"/>
          </w:tcPr>
          <w:p w14:paraId="671A5CEE">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最高500万</w:t>
            </w:r>
          </w:p>
        </w:tc>
        <w:tc>
          <w:tcPr>
            <w:tcW w:w="993" w:type="dxa"/>
            <w:shd w:val="clear" w:color="auto" w:fill="auto"/>
            <w:vAlign w:val="center"/>
          </w:tcPr>
          <w:p w14:paraId="7DCF3E7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5年</w:t>
            </w:r>
          </w:p>
        </w:tc>
        <w:tc>
          <w:tcPr>
            <w:tcW w:w="850" w:type="dxa"/>
            <w:shd w:val="clear" w:color="auto" w:fill="auto"/>
            <w:vAlign w:val="center"/>
          </w:tcPr>
          <w:p w14:paraId="49E4E6F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2.80%</w:t>
            </w:r>
          </w:p>
        </w:tc>
        <w:tc>
          <w:tcPr>
            <w:tcW w:w="3366" w:type="dxa"/>
            <w:shd w:val="clear" w:color="auto" w:fill="auto"/>
            <w:vAlign w:val="center"/>
          </w:tcPr>
          <w:p w14:paraId="11D92F98">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银行开户，线下申请并提供材料，信用良好企业最快1天获批即可提款</w:t>
            </w:r>
          </w:p>
        </w:tc>
      </w:tr>
      <w:tr w14:paraId="78EB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562EDEA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桂林银行</w:t>
            </w:r>
          </w:p>
        </w:tc>
        <w:tc>
          <w:tcPr>
            <w:tcW w:w="1134" w:type="dxa"/>
            <w:shd w:val="clear" w:color="auto" w:fill="auto"/>
            <w:vAlign w:val="center"/>
          </w:tcPr>
          <w:p w14:paraId="42B07F2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18577993959</w:t>
            </w:r>
          </w:p>
        </w:tc>
        <w:tc>
          <w:tcPr>
            <w:tcW w:w="1701" w:type="dxa"/>
            <w:shd w:val="clear" w:color="auto" w:fill="auto"/>
            <w:vAlign w:val="center"/>
          </w:tcPr>
          <w:p w14:paraId="1C521E0A">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42DDC955">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02DA7FF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1FEF4CEB">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线下申请，材料齐全最快1周内即可放款。</w:t>
            </w:r>
          </w:p>
        </w:tc>
      </w:tr>
      <w:tr w14:paraId="213D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132BE0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中小微商务服务公司</w:t>
            </w:r>
          </w:p>
        </w:tc>
        <w:tc>
          <w:tcPr>
            <w:tcW w:w="1134" w:type="dxa"/>
            <w:shd w:val="clear" w:color="auto" w:fill="auto"/>
            <w:vAlign w:val="center"/>
          </w:tcPr>
          <w:p w14:paraId="1BCC41A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19907799988</w:t>
            </w:r>
          </w:p>
        </w:tc>
        <w:tc>
          <w:tcPr>
            <w:tcW w:w="1701" w:type="dxa"/>
            <w:shd w:val="clear" w:color="auto" w:fill="auto"/>
            <w:vAlign w:val="center"/>
          </w:tcPr>
          <w:p w14:paraId="7268EBD4">
            <w:pPr>
              <w:adjustRightInd w:val="0"/>
              <w:snapToGrid w:val="0"/>
              <w:spacing w:line="360" w:lineRule="auto"/>
              <w:jc w:val="left"/>
              <w:rPr>
                <w:rFonts w:ascii="宋体" w:hAnsi="宋体"/>
                <w:color w:val="auto"/>
                <w:kern w:val="0"/>
                <w:sz w:val="24"/>
                <w:szCs w:val="20"/>
                <w:highlight w:val="none"/>
              </w:rPr>
            </w:pPr>
          </w:p>
        </w:tc>
        <w:tc>
          <w:tcPr>
            <w:tcW w:w="993" w:type="dxa"/>
            <w:shd w:val="clear" w:color="auto" w:fill="auto"/>
            <w:vAlign w:val="center"/>
          </w:tcPr>
          <w:p w14:paraId="1EC4CE01">
            <w:pPr>
              <w:adjustRightInd w:val="0"/>
              <w:snapToGrid w:val="0"/>
              <w:spacing w:line="360" w:lineRule="auto"/>
              <w:jc w:val="center"/>
              <w:rPr>
                <w:rFonts w:ascii="宋体" w:hAnsi="宋体"/>
                <w:color w:val="auto"/>
                <w:kern w:val="0"/>
                <w:sz w:val="24"/>
                <w:szCs w:val="20"/>
                <w:highlight w:val="none"/>
              </w:rPr>
            </w:pPr>
          </w:p>
        </w:tc>
        <w:tc>
          <w:tcPr>
            <w:tcW w:w="850" w:type="dxa"/>
            <w:shd w:val="clear" w:color="auto" w:fill="auto"/>
            <w:vAlign w:val="center"/>
          </w:tcPr>
          <w:p w14:paraId="429E53E4">
            <w:pPr>
              <w:adjustRightInd w:val="0"/>
              <w:snapToGrid w:val="0"/>
              <w:spacing w:line="360" w:lineRule="auto"/>
              <w:jc w:val="center"/>
              <w:rPr>
                <w:rFonts w:ascii="宋体" w:hAnsi="宋体"/>
                <w:color w:val="auto"/>
                <w:kern w:val="0"/>
                <w:sz w:val="24"/>
                <w:szCs w:val="20"/>
                <w:highlight w:val="none"/>
              </w:rPr>
            </w:pPr>
          </w:p>
        </w:tc>
        <w:tc>
          <w:tcPr>
            <w:tcW w:w="3366" w:type="dxa"/>
            <w:shd w:val="clear" w:color="auto" w:fill="auto"/>
            <w:vAlign w:val="center"/>
          </w:tcPr>
          <w:p w14:paraId="50866BBD">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具体业务可电话咨询。</w:t>
            </w:r>
          </w:p>
        </w:tc>
      </w:tr>
    </w:tbl>
    <w:p w14:paraId="2838AB0A">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注：表中联系电话\授信金额、授信期限、最低利率等信息可能动态更新，仅供参考，具体以办理时相关银行公布的为准。</w:t>
      </w:r>
    </w:p>
    <w:p w14:paraId="3C057370">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26.9预付款</w:t>
      </w:r>
    </w:p>
    <w:p w14:paraId="1A5946E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采购单位应当在政府采购合同中约定预付款，对中小企业合同预付款比例原则上不低于合同金额的3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0%；项目分年安排预算的，每年预付款比例</w:t>
      </w:r>
      <w:r>
        <w:rPr>
          <w:rFonts w:hint="eastAsia" w:ascii="宋体" w:hAnsi="宋体"/>
          <w:color w:val="auto"/>
          <w:sz w:val="24"/>
          <w:highlight w:val="none"/>
        </w:rPr>
        <w:t>不低于</w:t>
      </w:r>
      <w:r>
        <w:rPr>
          <w:rFonts w:ascii="宋体" w:hAnsi="宋体"/>
          <w:color w:val="auto"/>
          <w:sz w:val="24"/>
          <w:highlight w:val="none"/>
        </w:rPr>
        <w:t>项目年度计划支付资金额的</w:t>
      </w:r>
      <w:r>
        <w:rPr>
          <w:rFonts w:hint="eastAsia" w:ascii="宋体" w:hAnsi="宋体"/>
          <w:color w:val="auto"/>
          <w:sz w:val="24"/>
          <w:highlight w:val="none"/>
        </w:rPr>
        <w:t>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0%；采购项目实施以人工投入为主的，</w:t>
      </w:r>
      <w:r>
        <w:rPr>
          <w:rFonts w:hint="eastAsia" w:ascii="宋体" w:hAnsi="宋体"/>
          <w:color w:val="auto"/>
          <w:sz w:val="24"/>
          <w:highlight w:val="none"/>
        </w:rPr>
        <w:t>可适当降低预付款比例，但不得低于1</w:t>
      </w:r>
      <w:r>
        <w:rPr>
          <w:rFonts w:ascii="宋体" w:hAnsi="宋体"/>
          <w:color w:val="auto"/>
          <w:sz w:val="24"/>
          <w:highlight w:val="none"/>
        </w:rPr>
        <w:t>0%。对供应商为大型企业的项目或者以人工投入为主且实行按月定期结算支付款项的项目，预付款可低于上述比例或者不约定预付款。在签订合同时，</w:t>
      </w:r>
      <w:r>
        <w:rPr>
          <w:rFonts w:hint="eastAsia" w:ascii="宋体" w:hAnsi="宋体"/>
          <w:color w:val="auto"/>
          <w:sz w:val="24"/>
          <w:highlight w:val="none"/>
        </w:rPr>
        <w:t>供应商</w:t>
      </w:r>
      <w:r>
        <w:rPr>
          <w:rFonts w:ascii="宋体" w:hAnsi="宋体"/>
          <w:color w:val="auto"/>
          <w:sz w:val="24"/>
          <w:highlight w:val="none"/>
        </w:rPr>
        <w:t>明确表示无需预付款或者主动要求降低预付款比例的，</w:t>
      </w:r>
      <w:r>
        <w:rPr>
          <w:rFonts w:hint="eastAsia" w:ascii="宋体" w:hAnsi="宋体"/>
          <w:color w:val="auto"/>
          <w:sz w:val="24"/>
          <w:highlight w:val="none"/>
        </w:rPr>
        <w:t>采购单位</w:t>
      </w:r>
      <w:r>
        <w:rPr>
          <w:rFonts w:ascii="宋体" w:hAnsi="宋体"/>
          <w:color w:val="auto"/>
          <w:sz w:val="24"/>
          <w:highlight w:val="none"/>
        </w:rPr>
        <w:t>可不适用前述规定。</w:t>
      </w:r>
      <w:r>
        <w:rPr>
          <w:rFonts w:hint="eastAsia" w:ascii="宋体" w:hAnsi="宋体"/>
          <w:color w:val="auto"/>
          <w:sz w:val="24"/>
          <w:highlight w:val="none"/>
        </w:rPr>
        <w:t>采购单位</w:t>
      </w:r>
      <w:r>
        <w:rPr>
          <w:rFonts w:ascii="宋体" w:hAnsi="宋体"/>
          <w:color w:val="auto"/>
          <w:sz w:val="24"/>
          <w:highlight w:val="none"/>
        </w:rPr>
        <w:t>根据项目特点、供应商诚信等因素，可以要求</w:t>
      </w:r>
      <w:r>
        <w:rPr>
          <w:rFonts w:hint="eastAsia" w:ascii="宋体" w:hAnsi="宋体"/>
          <w:color w:val="auto"/>
          <w:sz w:val="24"/>
          <w:highlight w:val="none"/>
        </w:rPr>
        <w:t>供应商</w:t>
      </w:r>
      <w:r>
        <w:rPr>
          <w:rFonts w:ascii="宋体" w:hAnsi="宋体"/>
          <w:color w:val="auto"/>
          <w:sz w:val="24"/>
          <w:highlight w:val="none"/>
        </w:rPr>
        <w:t>提交银行、保险公司等金融机构出具的预付款保函或其他担保措施。政府采购预付款应在合同生效以及具备实施条件后</w:t>
      </w:r>
      <w:r>
        <w:rPr>
          <w:rFonts w:hint="eastAsia" w:ascii="宋体" w:hAnsi="宋体"/>
          <w:color w:val="auto"/>
          <w:sz w:val="24"/>
          <w:highlight w:val="none"/>
        </w:rPr>
        <w:t>5</w:t>
      </w:r>
      <w:r>
        <w:rPr>
          <w:rFonts w:ascii="宋体" w:hAnsi="宋体"/>
          <w:color w:val="auto"/>
          <w:sz w:val="24"/>
          <w:highlight w:val="none"/>
        </w:rPr>
        <w:t>个工作日内支付。</w:t>
      </w:r>
      <w:r>
        <w:rPr>
          <w:rFonts w:hint="eastAsia" w:ascii="宋体" w:hAnsi="宋体"/>
          <w:color w:val="auto"/>
          <w:sz w:val="24"/>
          <w:highlight w:val="none"/>
        </w:rPr>
        <w:t>政府采购工程以及与工程建设有关的货物、服务，采用招标方式采购的，预付款从其相关规定。</w:t>
      </w:r>
    </w:p>
    <w:p w14:paraId="039AA723">
      <w:pPr>
        <w:tabs>
          <w:tab w:val="left" w:pos="0"/>
        </w:tabs>
        <w:adjustRightInd w:val="0"/>
        <w:spacing w:line="360" w:lineRule="auto"/>
        <w:ind w:firstLine="480" w:firstLineChars="200"/>
        <w:rPr>
          <w:rFonts w:ascii="宋体" w:hAnsi="宋体" w:cs="宋体"/>
          <w:snapToGrid w:val="0"/>
          <w:color w:val="auto"/>
          <w:kern w:val="28"/>
          <w:sz w:val="24"/>
          <w:highlight w:val="none"/>
        </w:rPr>
      </w:pPr>
      <w:r>
        <w:rPr>
          <w:rFonts w:hint="eastAsia" w:ascii="宋体" w:hAnsi="宋体"/>
          <w:color w:val="auto"/>
          <w:sz w:val="24"/>
          <w:highlight w:val="none"/>
        </w:rPr>
        <w:t>供应商可登录广西政府采购云平台前台大厅选择金融服务</w:t>
      </w:r>
      <w:r>
        <w:rPr>
          <w:rFonts w:ascii="宋体" w:hAnsi="宋体"/>
          <w:color w:val="auto"/>
          <w:sz w:val="24"/>
          <w:highlight w:val="none"/>
        </w:rPr>
        <w:t xml:space="preserve"> - </w:t>
      </w:r>
      <w:r>
        <w:rPr>
          <w:rFonts w:hint="eastAsia" w:ascii="宋体" w:hAnsi="宋体"/>
          <w:color w:val="auto"/>
          <w:sz w:val="24"/>
          <w:highlight w:val="none"/>
        </w:rPr>
        <w:t>【保函保险服务】出具预付款保函，具体步骤：选择产品—填写供应商信息—选择中标项目—确认信息—等待保险</w:t>
      </w:r>
      <w:r>
        <w:rPr>
          <w:rFonts w:ascii="宋体" w:hAnsi="宋体"/>
          <w:color w:val="auto"/>
          <w:sz w:val="24"/>
          <w:highlight w:val="none"/>
        </w:rPr>
        <w:t>/保函受理—确认保单—支付保费—成功出单。广西政府采购云平台</w:t>
      </w:r>
      <w:r>
        <w:rPr>
          <w:rFonts w:hint="eastAsia" w:ascii="宋体" w:hAnsi="宋体"/>
          <w:color w:val="auto"/>
          <w:sz w:val="24"/>
          <w:highlight w:val="none"/>
        </w:rPr>
        <w:t>金融专线</w:t>
      </w:r>
      <w:r>
        <w:rPr>
          <w:rFonts w:ascii="宋体" w:hAnsi="宋体"/>
          <w:color w:val="auto"/>
          <w:sz w:val="24"/>
          <w:highlight w:val="none"/>
        </w:rPr>
        <w:t>400-903-9583。</w:t>
      </w:r>
    </w:p>
    <w:p w14:paraId="11675D4E">
      <w:pPr>
        <w:numPr>
          <w:ilvl w:val="0"/>
          <w:numId w:val="3"/>
        </w:num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转包与分包</w:t>
      </w:r>
    </w:p>
    <w:p w14:paraId="0650FED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27.1本项目不允许转包。</w:t>
      </w:r>
    </w:p>
    <w:p w14:paraId="41721A2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27.2本项目是否允许分包详见“供应商须知前附表”，本项目不允许违法分包。允许分包的非主体、非关键性工作，根据法律法规规定承担该工作需要资质或者行政许可的，如该工作由供 应商自行承担，供应商应具备相应的资质或者行政许可，如供应商不具备相应的资质或者行政许可必须采用分包的方式，但分包供应商应具备相应资质或者行政许可。</w:t>
      </w:r>
    </w:p>
    <w:p w14:paraId="732A1D97">
      <w:pPr>
        <w:widowControl/>
        <w:kinsoku w:val="0"/>
        <w:autoSpaceDE w:val="0"/>
        <w:autoSpaceDN w:val="0"/>
        <w:adjustRightInd w:val="0"/>
        <w:snapToGrid w:val="0"/>
        <w:spacing w:line="360" w:lineRule="auto"/>
        <w:ind w:firstLine="480" w:firstLineChars="200"/>
        <w:textAlignment w:val="baseline"/>
        <w:rPr>
          <w:rFonts w:ascii="宋体" w:hAnsi="宋体"/>
          <w:color w:val="auto"/>
          <w:sz w:val="24"/>
          <w:highlight w:val="none"/>
        </w:rPr>
      </w:pPr>
      <w:r>
        <w:rPr>
          <w:rFonts w:hint="eastAsia" w:ascii="宋体" w:hAnsi="宋体" w:cs="宋体"/>
          <w:color w:val="auto"/>
          <w:sz w:val="24"/>
          <w:highlight w:val="none"/>
        </w:rPr>
        <w:t>27.3供应商根据磋商文件的规定和采购项目的实际情况，拟在成交后将成交项目的非主体、非关键性工作分包的，应当在响应文件中载明分包承担主体，分包承担主体应当具备相应资质条件且不得再次分包。</w:t>
      </w:r>
    </w:p>
    <w:p w14:paraId="25A676C1">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十一、补充合同</w:t>
      </w:r>
    </w:p>
    <w:p w14:paraId="5F17E4FE">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28.1政府</w:t>
      </w:r>
      <w:r>
        <w:rPr>
          <w:rFonts w:hint="eastAsia" w:ascii="宋体" w:hAnsi="宋体" w:cs="Courier New"/>
          <w:bCs/>
          <w:color w:val="auto"/>
          <w:sz w:val="24"/>
          <w:highlight w:val="none"/>
          <w:lang w:eastAsia="zh-CN"/>
        </w:rPr>
        <w:t>采购</w:t>
      </w:r>
      <w:r>
        <w:rPr>
          <w:rFonts w:hint="eastAsia" w:ascii="宋体" w:hAnsi="宋体" w:cs="Courier New"/>
          <w:bCs/>
          <w:color w:val="auto"/>
          <w:sz w:val="24"/>
          <w:highlight w:val="none"/>
        </w:rPr>
        <w:t>合同履行过程中，采购人需要追加与合同标的相同的货物或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称、价格、履约方式、验收标准等必须与原政府采购合同一致。</w:t>
      </w:r>
    </w:p>
    <w:p w14:paraId="1C3FB5D5">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十二、合同公告</w:t>
      </w:r>
    </w:p>
    <w:p w14:paraId="52837253">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29.1采购人应当自政府采购合同签订（双方当事人均已签字盖章）之日起1个工作日内，将政府采购合同在省级以上人民政府财政部门指定的媒体上公告（广西政府采购网），但政府采购合同中涉及国家秘密、商业秘密的内容除外。</w:t>
      </w:r>
    </w:p>
    <w:p w14:paraId="0969797E">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十三、适用法律</w:t>
      </w:r>
    </w:p>
    <w:p w14:paraId="48CAEAF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30.1采购当事人的一切活动均适用于《中华人民共和国政府采购法》及相关规定。最终磋商结束后，磋商小组不得再与供应商进行任何形式的磋商。</w:t>
      </w:r>
    </w:p>
    <w:p w14:paraId="2CB89B52">
      <w:pPr>
        <w:pStyle w:val="25"/>
        <w:snapToGrid w:val="0"/>
        <w:spacing w:line="360" w:lineRule="auto"/>
        <w:ind w:firstLine="482" w:firstLineChars="200"/>
        <w:rPr>
          <w:rFonts w:hAnsi="宋体" w:cs="宋体"/>
          <w:b/>
          <w:bCs/>
          <w:color w:val="auto"/>
          <w:kern w:val="0"/>
          <w:sz w:val="24"/>
          <w:szCs w:val="24"/>
          <w:highlight w:val="none"/>
        </w:rPr>
      </w:pPr>
      <w:r>
        <w:rPr>
          <w:rFonts w:hAnsi="宋体"/>
          <w:b/>
          <w:color w:val="auto"/>
          <w:kern w:val="0"/>
          <w:sz w:val="24"/>
          <w:szCs w:val="24"/>
          <w:highlight w:val="none"/>
        </w:rPr>
        <w:t>十</w:t>
      </w:r>
      <w:r>
        <w:rPr>
          <w:rFonts w:hint="eastAsia" w:hAnsi="宋体"/>
          <w:b/>
          <w:color w:val="auto"/>
          <w:kern w:val="0"/>
          <w:sz w:val="24"/>
          <w:szCs w:val="24"/>
          <w:highlight w:val="none"/>
        </w:rPr>
        <w:t>四</w:t>
      </w:r>
      <w:r>
        <w:rPr>
          <w:rFonts w:hAnsi="宋体"/>
          <w:b/>
          <w:color w:val="auto"/>
          <w:kern w:val="0"/>
          <w:sz w:val="24"/>
          <w:szCs w:val="24"/>
          <w:highlight w:val="none"/>
        </w:rPr>
        <w:t>、</w:t>
      </w:r>
      <w:r>
        <w:rPr>
          <w:rFonts w:hint="eastAsia" w:hAnsi="宋体" w:cs="宋体"/>
          <w:b/>
          <w:color w:val="auto"/>
          <w:kern w:val="0"/>
          <w:sz w:val="24"/>
          <w:szCs w:val="24"/>
          <w:highlight w:val="none"/>
        </w:rPr>
        <w:t>询问、质疑和投诉</w:t>
      </w:r>
    </w:p>
    <w:p w14:paraId="50A79F7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.1</w:t>
      </w:r>
      <w:r>
        <w:rPr>
          <w:rFonts w:hint="eastAsia" w:ascii="宋体" w:hAnsi="宋体"/>
          <w:color w:val="auto"/>
          <w:sz w:val="24"/>
          <w:highlight w:val="none"/>
        </w:rPr>
        <w:t>供应商</w:t>
      </w:r>
      <w:r>
        <w:rPr>
          <w:rFonts w:hint="eastAsia" w:ascii="宋体" w:hAnsi="宋体" w:cs="宋体"/>
          <w:color w:val="auto"/>
          <w:kern w:val="0"/>
          <w:sz w:val="24"/>
          <w:highlight w:val="none"/>
        </w:rPr>
        <w:t>对政府采购活动事项有疑问的，可以向采购人、采购代理机构提出询问。</w:t>
      </w:r>
    </w:p>
    <w:p w14:paraId="3742EEE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2供应商认为采购文件、采购过程或成交结果使自己的合法权益受到损害的，应当在知道或者应知其权益受到损害之日起七个工作日内，以书面形式向采购人、采购代理机构提出质疑。具体计算时间如下：</w:t>
      </w:r>
    </w:p>
    <w:p w14:paraId="695EDA29">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（1）对可以质疑的采购文件提出质疑的，为收到采购文件之日；</w:t>
      </w:r>
    </w:p>
    <w:p w14:paraId="32FC8866">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（2）对采购过程提出质疑的，为各采购程序环节结束之日；</w:t>
      </w:r>
    </w:p>
    <w:p w14:paraId="4894471A">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（3）对成交结果提出质疑的，为成交结果公告期限届满之日。供应商对采购单位的质疑答复不满意或者采购单位未在规定时间内作出答复的，可以在答复期满后十五个工作日内向同级采购监管部门投诉。</w:t>
      </w:r>
    </w:p>
    <w:p w14:paraId="076F2DF2">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3质疑、投诉应当采用书面形式，质疑书、投诉书均应明确阐述采购文件、采购过程、成交结果中使自己合法权益受到损害的实质性内容，提供相关事实、明确的请求、必要的证明材料，便于有关单位调查、答复和处理。</w:t>
      </w:r>
    </w:p>
    <w:p w14:paraId="258F6406">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31.4对同一采购程序环节的质疑，供应商须一次性提出。</w:t>
      </w:r>
    </w:p>
    <w:p w14:paraId="185B371B">
      <w:pPr>
        <w:adjustRightInd w:val="0"/>
        <w:spacing w:line="360" w:lineRule="auto"/>
        <w:ind w:firstLine="482" w:firstLineChars="200"/>
        <w:rPr>
          <w:rFonts w:ascii="宋体" w:hAnsi="宋体"/>
          <w:color w:val="auto"/>
          <w:sz w:val="24"/>
          <w:szCs w:val="20"/>
          <w:highlight w:val="none"/>
        </w:rPr>
      </w:pPr>
      <w:r>
        <w:rPr>
          <w:rFonts w:hint="eastAsia" w:ascii="宋体" w:hAnsi="宋体"/>
          <w:b/>
          <w:color w:val="auto"/>
          <w:sz w:val="24"/>
          <w:szCs w:val="20"/>
          <w:highlight w:val="none"/>
        </w:rPr>
        <w:t>31.5质疑答复</w:t>
      </w:r>
    </w:p>
    <w:p w14:paraId="6B1578FD">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31.5.1根据采购人与采购代理机构签订采购委托协议的规定，质疑答复责任主体如下：</w:t>
      </w:r>
    </w:p>
    <w:p w14:paraId="382D5E6E">
      <w:pPr>
        <w:widowControl/>
        <w:jc w:val="center"/>
        <w:rPr>
          <w:rFonts w:ascii="宋体" w:hAnsi="宋体"/>
          <w:b/>
          <w:color w:val="auto"/>
          <w:sz w:val="28"/>
          <w:szCs w:val="28"/>
          <w:highlight w:val="none"/>
        </w:rPr>
      </w:pPr>
      <w:r>
        <w:rPr>
          <w:rFonts w:hint="eastAsia" w:ascii="宋体" w:hAnsi="宋体"/>
          <w:b/>
          <w:color w:val="auto"/>
          <w:sz w:val="28"/>
          <w:szCs w:val="28"/>
          <w:highlight w:val="none"/>
        </w:rPr>
        <w:t>质疑答复责任主体一览表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1B87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shd w:val="clear" w:color="auto" w:fill="auto"/>
            <w:vAlign w:val="center"/>
          </w:tcPr>
          <w:p w14:paraId="4836DC0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质疑内容</w:t>
            </w:r>
          </w:p>
        </w:tc>
        <w:tc>
          <w:tcPr>
            <w:tcW w:w="2232" w:type="dxa"/>
            <w:shd w:val="clear" w:color="auto" w:fill="auto"/>
            <w:vAlign w:val="center"/>
          </w:tcPr>
          <w:p w14:paraId="1CF1630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质疑答复责任主体</w:t>
            </w:r>
          </w:p>
        </w:tc>
      </w:tr>
      <w:tr w14:paraId="57B2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3F9A104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对采购文件提出质疑</w:t>
            </w:r>
          </w:p>
        </w:tc>
        <w:tc>
          <w:tcPr>
            <w:tcW w:w="4536" w:type="dxa"/>
            <w:shd w:val="clear" w:color="auto" w:fill="auto"/>
            <w:vAlign w:val="center"/>
          </w:tcPr>
          <w:p w14:paraId="7BD22006">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对采购文件中特定资格条件、采购需求、评审办法、评审标准提出的质疑</w:t>
            </w:r>
          </w:p>
        </w:tc>
        <w:tc>
          <w:tcPr>
            <w:tcW w:w="2232" w:type="dxa"/>
            <w:shd w:val="clear" w:color="auto" w:fill="auto"/>
            <w:vAlign w:val="center"/>
          </w:tcPr>
          <w:p w14:paraId="211B5AB1">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4EA8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008AAE94">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2297F640">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对采购文件中其他内容提出的质疑</w:t>
            </w:r>
          </w:p>
        </w:tc>
        <w:tc>
          <w:tcPr>
            <w:tcW w:w="2232" w:type="dxa"/>
            <w:shd w:val="clear" w:color="auto" w:fill="auto"/>
            <w:vAlign w:val="center"/>
          </w:tcPr>
          <w:p w14:paraId="7470F2D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0357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4AC345AF">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对采购过程提出质疑</w:t>
            </w:r>
          </w:p>
        </w:tc>
        <w:tc>
          <w:tcPr>
            <w:tcW w:w="4536" w:type="dxa"/>
            <w:shd w:val="clear" w:color="auto" w:fill="auto"/>
            <w:vAlign w:val="center"/>
          </w:tcPr>
          <w:p w14:paraId="56625838">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有关现场考察或开启响应文件前答疑会事项提出的质疑</w:t>
            </w:r>
          </w:p>
        </w:tc>
        <w:tc>
          <w:tcPr>
            <w:tcW w:w="2232" w:type="dxa"/>
            <w:shd w:val="clear" w:color="auto" w:fill="auto"/>
            <w:vAlign w:val="center"/>
          </w:tcPr>
          <w:p w14:paraId="7FCE04F9">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23D2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68AFF2B6">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59694366">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对采购过程中其它事项提出的质疑</w:t>
            </w:r>
          </w:p>
        </w:tc>
        <w:tc>
          <w:tcPr>
            <w:tcW w:w="2232" w:type="dxa"/>
            <w:shd w:val="clear" w:color="auto" w:fill="auto"/>
            <w:vAlign w:val="center"/>
          </w:tcPr>
          <w:p w14:paraId="1B501851">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52D4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12F9FA4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对采购结果提出质疑</w:t>
            </w:r>
          </w:p>
        </w:tc>
        <w:tc>
          <w:tcPr>
            <w:tcW w:w="4536" w:type="dxa"/>
            <w:shd w:val="clear" w:color="auto" w:fill="auto"/>
            <w:vAlign w:val="center"/>
          </w:tcPr>
          <w:p w14:paraId="384BBC21">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对采购结果提出的质疑</w:t>
            </w:r>
          </w:p>
        </w:tc>
        <w:tc>
          <w:tcPr>
            <w:tcW w:w="2232" w:type="dxa"/>
            <w:shd w:val="clear" w:color="auto" w:fill="auto"/>
            <w:vAlign w:val="center"/>
          </w:tcPr>
          <w:p w14:paraId="362C5543">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bl>
    <w:p w14:paraId="18EDBC0D">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注：采购人或代理机构应当协助质疑答复责任主体及时答复供应商的书面质疑。</w:t>
      </w:r>
    </w:p>
    <w:p w14:paraId="137DD207">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31.5.2采购人或者采购代理机构应当在收到供应商的书面质疑后七个工作日内作出答复，并以书面形式通知质疑供应商和其他与质疑处理结果有利害关系的政府采购当事人，但答复的内容不得涉及商业秘密。</w:t>
      </w:r>
    </w:p>
    <w:p w14:paraId="6058A5BE">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31.5.3询问或者质疑事项可能影响采购结果的，采购人应当暂停签订合同，已经签订合同的，应当中止履行合同。</w:t>
      </w:r>
    </w:p>
    <w:p w14:paraId="4AF18372">
      <w:pPr>
        <w:spacing w:line="360" w:lineRule="auto"/>
        <w:ind w:firstLine="480" w:firstLineChars="200"/>
        <w:rPr>
          <w:rFonts w:ascii="宋体" w:hAnsi="宋体"/>
          <w:color w:val="auto"/>
          <w:sz w:val="24"/>
          <w:highlight w:val="none"/>
          <w:lang w:val="zh-CN"/>
        </w:rPr>
      </w:pPr>
      <w:r>
        <w:rPr>
          <w:rFonts w:hint="eastAsia" w:ascii="宋体" w:hAnsi="宋体"/>
          <w:color w:val="auto"/>
          <w:sz w:val="24"/>
          <w:szCs w:val="20"/>
          <w:highlight w:val="none"/>
        </w:rPr>
        <w:t>31.5.4</w:t>
      </w:r>
      <w:r>
        <w:rPr>
          <w:rFonts w:hint="eastAsia" w:ascii="宋体" w:hAnsi="宋体"/>
          <w:color w:val="auto"/>
          <w:sz w:val="24"/>
          <w:highlight w:val="none"/>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65EEAC92">
      <w:pPr>
        <w:pStyle w:val="97"/>
        <w:rPr>
          <w:rFonts w:hint="eastAsia"/>
          <w:color w:val="auto"/>
          <w:highlight w:val="none"/>
        </w:rPr>
      </w:pPr>
      <w:r>
        <w:rPr>
          <w:rFonts w:hint="eastAsia"/>
          <w:color w:val="auto"/>
          <w:highlight w:val="none"/>
        </w:rPr>
        <w:t>询问联系部门：</w:t>
      </w:r>
      <w:r>
        <w:rPr>
          <w:rFonts w:hint="eastAsia"/>
          <w:color w:val="auto"/>
          <w:highlight w:val="none"/>
          <w:lang w:val="en-US" w:eastAsia="zh-CN"/>
        </w:rPr>
        <w:t>广西科联招标中心有限公司</w:t>
      </w:r>
      <w:r>
        <w:rPr>
          <w:rFonts w:hint="eastAsia"/>
          <w:color w:val="auto"/>
          <w:highlight w:val="none"/>
        </w:rPr>
        <w:t xml:space="preserve"> 联系电话：</w:t>
      </w:r>
      <w:r>
        <w:rPr>
          <w:rFonts w:hint="eastAsia"/>
          <w:color w:val="auto"/>
          <w:highlight w:val="none"/>
          <w:lang w:val="en-US" w:eastAsia="zh-CN"/>
        </w:rPr>
        <w:t>0779-3832133</w:t>
      </w:r>
      <w:r>
        <w:rPr>
          <w:rFonts w:hint="eastAsia"/>
          <w:color w:val="auto"/>
          <w:highlight w:val="none"/>
        </w:rPr>
        <w:t xml:space="preserve">  </w:t>
      </w:r>
    </w:p>
    <w:p w14:paraId="6E5EF30D">
      <w:pPr>
        <w:pStyle w:val="97"/>
        <w:rPr>
          <w:rFonts w:hint="default" w:eastAsia="宋体"/>
          <w:color w:val="auto"/>
          <w:highlight w:val="none"/>
          <w:lang w:val="en-US" w:eastAsia="zh-CN"/>
        </w:rPr>
      </w:pPr>
      <w:r>
        <w:rPr>
          <w:rFonts w:hint="eastAsia"/>
          <w:color w:val="auto"/>
          <w:highlight w:val="none"/>
        </w:rPr>
        <w:t>联系人：</w:t>
      </w:r>
      <w:r>
        <w:rPr>
          <w:rFonts w:hint="eastAsia"/>
          <w:color w:val="auto"/>
          <w:highlight w:val="none"/>
          <w:lang w:val="en-US" w:eastAsia="zh-CN"/>
        </w:rPr>
        <w:t>简良</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地址：</w:t>
      </w:r>
      <w:r>
        <w:rPr>
          <w:rFonts w:hint="eastAsia"/>
          <w:color w:val="auto"/>
          <w:highlight w:val="none"/>
          <w:lang w:val="en-US" w:eastAsia="zh-CN"/>
        </w:rPr>
        <w:t>北海市北海大道科技大厦三楼</w:t>
      </w:r>
    </w:p>
    <w:p w14:paraId="4AF8B70D">
      <w:pPr>
        <w:pStyle w:val="97"/>
        <w:rPr>
          <w:rFonts w:hint="eastAsia"/>
          <w:color w:val="auto"/>
          <w:highlight w:val="none"/>
        </w:rPr>
      </w:pPr>
      <w:r>
        <w:rPr>
          <w:rFonts w:hint="eastAsia"/>
          <w:color w:val="auto"/>
          <w:highlight w:val="none"/>
        </w:rPr>
        <w:t>质疑联系部门：</w:t>
      </w:r>
      <w:r>
        <w:rPr>
          <w:rFonts w:hint="eastAsia"/>
          <w:color w:val="auto"/>
          <w:highlight w:val="none"/>
          <w:lang w:val="en-US" w:eastAsia="zh-CN"/>
        </w:rPr>
        <w:t>广西科联招标中心有限公司</w:t>
      </w:r>
      <w:r>
        <w:rPr>
          <w:rFonts w:hint="eastAsia"/>
          <w:color w:val="auto"/>
          <w:highlight w:val="none"/>
        </w:rPr>
        <w:t xml:space="preserve"> 联系电话：</w:t>
      </w:r>
      <w:r>
        <w:rPr>
          <w:rFonts w:hint="eastAsia"/>
          <w:color w:val="auto"/>
          <w:highlight w:val="none"/>
          <w:lang w:val="en-US" w:eastAsia="zh-CN"/>
        </w:rPr>
        <w:t>0779-3832133</w:t>
      </w:r>
      <w:r>
        <w:rPr>
          <w:rFonts w:hint="eastAsia"/>
          <w:color w:val="auto"/>
          <w:highlight w:val="none"/>
        </w:rPr>
        <w:t xml:space="preserve">  </w:t>
      </w:r>
    </w:p>
    <w:p w14:paraId="1A496D1B">
      <w:pPr>
        <w:pStyle w:val="97"/>
        <w:ind w:firstLine="480" w:firstLineChars="200"/>
        <w:rPr>
          <w:color w:val="auto"/>
          <w:highlight w:val="none"/>
        </w:rPr>
      </w:pPr>
      <w:r>
        <w:rPr>
          <w:rFonts w:hint="eastAsia"/>
          <w:color w:val="auto"/>
          <w:highlight w:val="none"/>
        </w:rPr>
        <w:t>联系人：</w:t>
      </w:r>
      <w:r>
        <w:rPr>
          <w:rFonts w:hint="eastAsia"/>
          <w:color w:val="auto"/>
          <w:highlight w:val="none"/>
          <w:lang w:val="en-US" w:eastAsia="zh-CN"/>
        </w:rPr>
        <w:t>简良</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地址：</w:t>
      </w:r>
      <w:r>
        <w:rPr>
          <w:rFonts w:hint="eastAsia"/>
          <w:color w:val="auto"/>
          <w:highlight w:val="none"/>
          <w:lang w:val="en-US" w:eastAsia="zh-CN"/>
        </w:rPr>
        <w:t>北海市北海大道科技大厦三楼</w:t>
      </w:r>
    </w:p>
    <w:p w14:paraId="40B19C9E">
      <w:pPr>
        <w:pStyle w:val="97"/>
        <w:rPr>
          <w:rFonts w:hint="eastAsia"/>
          <w:color w:val="auto"/>
          <w:highlight w:val="none"/>
        </w:rPr>
      </w:pPr>
      <w:r>
        <w:rPr>
          <w:rFonts w:hint="eastAsia"/>
          <w:color w:val="auto"/>
          <w:highlight w:val="none"/>
        </w:rPr>
        <w:t>投诉联系部门：</w:t>
      </w:r>
      <w:r>
        <w:rPr>
          <w:rFonts w:hint="eastAsia"/>
          <w:color w:val="auto"/>
          <w:highlight w:val="none"/>
          <w:lang w:val="en-US" w:eastAsia="zh-CN"/>
        </w:rPr>
        <w:t>北海市银海区财政局</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联系电话：0779-3220087 </w:t>
      </w:r>
    </w:p>
    <w:p w14:paraId="5A672851">
      <w:pPr>
        <w:pStyle w:val="97"/>
        <w:rPr>
          <w:rFonts w:hint="default" w:eastAsia="宋体"/>
          <w:color w:val="auto"/>
          <w:highlight w:val="none"/>
          <w:lang w:val="en-US" w:eastAsia="zh-CN"/>
        </w:rPr>
      </w:pPr>
      <w:r>
        <w:rPr>
          <w:rFonts w:hint="eastAsia"/>
          <w:color w:val="auto"/>
          <w:highlight w:val="none"/>
        </w:rPr>
        <w:t>联系人：</w:t>
      </w:r>
      <w:r>
        <w:rPr>
          <w:rFonts w:hint="eastAsia"/>
          <w:color w:val="auto"/>
          <w:highlight w:val="none"/>
          <w:lang w:val="en-US" w:eastAsia="zh-CN"/>
        </w:rPr>
        <w:t>罗工</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地址：</w:t>
      </w:r>
      <w:r>
        <w:rPr>
          <w:rFonts w:hint="eastAsia"/>
          <w:color w:val="auto"/>
          <w:highlight w:val="none"/>
          <w:lang w:val="en-US" w:eastAsia="zh-CN"/>
        </w:rPr>
        <w:t>北海市银海区政府大院内</w:t>
      </w:r>
    </w:p>
    <w:p w14:paraId="7BCADB0E">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十五、其他事项</w:t>
      </w:r>
    </w:p>
    <w:p w14:paraId="381B0EBB">
      <w:pPr>
        <w:spacing w:line="360" w:lineRule="auto"/>
        <w:ind w:firstLine="482" w:firstLineChars="200"/>
        <w:rPr>
          <w:rFonts w:ascii="宋体" w:hAnsi="宋体" w:cs="宋体"/>
          <w:b/>
          <w:color w:val="auto"/>
          <w:sz w:val="24"/>
          <w:highlight w:val="none"/>
        </w:rPr>
      </w:pPr>
      <w:r>
        <w:rPr>
          <w:rFonts w:hint="eastAsia" w:ascii="宋体" w:hAnsi="宋体"/>
          <w:b/>
          <w:color w:val="auto"/>
          <w:sz w:val="24"/>
          <w:highlight w:val="none"/>
        </w:rPr>
        <w:t>32</w:t>
      </w:r>
      <w:r>
        <w:rPr>
          <w:rFonts w:hint="eastAsia" w:ascii="宋体" w:hAnsi="宋体" w:cs="宋体"/>
          <w:b/>
          <w:color w:val="auto"/>
          <w:sz w:val="24"/>
          <w:highlight w:val="none"/>
        </w:rPr>
        <w:t>代理费用的收取标准和方式（适用于有权收取代理费用的采购代理机构）</w:t>
      </w:r>
    </w:p>
    <w:p w14:paraId="362B6D77">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32.1采购代理费支付方式：</w:t>
      </w:r>
    </w:p>
    <w:p w14:paraId="1B766F7C">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本项目代理服务费由成交供应商一次性向采购代理机构支付。</w:t>
      </w:r>
    </w:p>
    <w:p w14:paraId="438F92DB">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采购人支付。</w:t>
      </w:r>
    </w:p>
    <w:p w14:paraId="2018AB49">
      <w:pPr>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cs="宋体"/>
          <w:color w:val="auto"/>
          <w:sz w:val="24"/>
          <w:highlight w:val="none"/>
        </w:rPr>
        <w:t>32.2采购代理费收取标准：</w:t>
      </w:r>
      <w:r>
        <w:rPr>
          <w:rFonts w:hint="eastAsia" w:ascii="宋体" w:hAnsi="宋体" w:cs="宋体"/>
          <w:bCs/>
          <w:color w:val="auto"/>
          <w:sz w:val="24"/>
          <w:highlight w:val="none"/>
        </w:rPr>
        <w:t>根据《银海区政府投资项目建设其他费用计取指导意见》参考《自治区住房城乡建设厅关于颁布2018 年&lt;广西壮族自治区工程建设其他费用定额&gt;的通知》（桂建标〔2018〕37号）标准的60%计费。</w:t>
      </w:r>
    </w:p>
    <w:tbl>
      <w:tblPr>
        <w:tblStyle w:val="41"/>
        <w:tblW w:w="8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4"/>
        <w:gridCol w:w="2103"/>
        <w:gridCol w:w="1861"/>
        <w:gridCol w:w="2076"/>
      </w:tblGrid>
      <w:tr w14:paraId="60C7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34" w:type="dxa"/>
            <w:vMerge w:val="restart"/>
            <w:noWrap w:val="0"/>
            <w:vAlign w:val="center"/>
          </w:tcPr>
          <w:p w14:paraId="478656E1">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
                <w:bCs/>
                <w:color w:val="auto"/>
                <w:spacing w:val="0"/>
                <w:kern w:val="2"/>
                <w:sz w:val="24"/>
                <w:szCs w:val="24"/>
                <w:highlight w:val="none"/>
                <w:lang w:val="en-US" w:eastAsia="zh-CN" w:bidi="ar-SA"/>
              </w:rPr>
            </w:pPr>
            <w:r>
              <w:rPr>
                <w:rFonts w:hint="eastAsia" w:ascii="宋体" w:hAnsi="宋体" w:eastAsia="宋体" w:cs="宋体"/>
                <w:b/>
                <w:bCs/>
                <w:color w:val="auto"/>
                <w:spacing w:val="0"/>
                <w:kern w:val="2"/>
                <w:sz w:val="24"/>
                <w:szCs w:val="24"/>
                <w:highlight w:val="none"/>
                <w:lang w:val="en-US" w:eastAsia="zh-CN" w:bidi="ar-SA"/>
              </w:rPr>
              <w:t>费用（万元）</w:t>
            </w:r>
          </w:p>
        </w:tc>
        <w:tc>
          <w:tcPr>
            <w:tcW w:w="6040" w:type="dxa"/>
            <w:gridSpan w:val="3"/>
            <w:noWrap w:val="0"/>
            <w:vAlign w:val="center"/>
          </w:tcPr>
          <w:p w14:paraId="71499EEE">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482" w:firstLineChars="200"/>
              <w:jc w:val="center"/>
              <w:textAlignment w:val="auto"/>
              <w:rPr>
                <w:rFonts w:hint="eastAsia" w:ascii="宋体" w:hAnsi="宋体" w:eastAsia="宋体" w:cs="宋体"/>
                <w:b/>
                <w:bCs/>
                <w:color w:val="auto"/>
                <w:spacing w:val="0"/>
                <w:kern w:val="2"/>
                <w:sz w:val="24"/>
                <w:szCs w:val="24"/>
                <w:highlight w:val="none"/>
                <w:lang w:val="en-US" w:eastAsia="zh-CN" w:bidi="ar-SA"/>
              </w:rPr>
            </w:pPr>
            <w:r>
              <w:rPr>
                <w:rFonts w:hint="eastAsia" w:ascii="宋体" w:hAnsi="宋体" w:eastAsia="宋体" w:cs="宋体"/>
                <w:b/>
                <w:bCs/>
                <w:color w:val="auto"/>
                <w:spacing w:val="0"/>
                <w:kern w:val="2"/>
                <w:sz w:val="24"/>
                <w:szCs w:val="24"/>
                <w:highlight w:val="none"/>
                <w:lang w:val="en-US" w:eastAsia="zh-CN" w:bidi="ar-SA"/>
              </w:rPr>
              <w:t>服务类型费率（‰）</w:t>
            </w:r>
          </w:p>
        </w:tc>
      </w:tr>
      <w:tr w14:paraId="029D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34" w:type="dxa"/>
            <w:vMerge w:val="continue"/>
            <w:noWrap w:val="0"/>
            <w:vAlign w:val="center"/>
          </w:tcPr>
          <w:p w14:paraId="4A6402CF">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482" w:firstLineChars="200"/>
              <w:jc w:val="center"/>
              <w:textAlignment w:val="auto"/>
              <w:rPr>
                <w:rFonts w:hint="eastAsia" w:ascii="宋体" w:hAnsi="宋体" w:eastAsia="宋体" w:cs="宋体"/>
                <w:b/>
                <w:bCs/>
                <w:color w:val="auto"/>
                <w:spacing w:val="0"/>
                <w:kern w:val="2"/>
                <w:sz w:val="24"/>
                <w:szCs w:val="24"/>
                <w:highlight w:val="none"/>
                <w:lang w:val="en-US" w:eastAsia="zh-CN" w:bidi="ar-SA"/>
              </w:rPr>
            </w:pPr>
          </w:p>
        </w:tc>
        <w:tc>
          <w:tcPr>
            <w:tcW w:w="2103" w:type="dxa"/>
            <w:noWrap w:val="0"/>
            <w:vAlign w:val="center"/>
          </w:tcPr>
          <w:p w14:paraId="431A7085">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
                <w:bCs/>
                <w:color w:val="auto"/>
                <w:spacing w:val="0"/>
                <w:kern w:val="2"/>
                <w:sz w:val="24"/>
                <w:szCs w:val="24"/>
                <w:highlight w:val="none"/>
                <w:lang w:val="en-US" w:eastAsia="zh-CN" w:bidi="ar-SA"/>
              </w:rPr>
            </w:pPr>
            <w:r>
              <w:rPr>
                <w:rFonts w:hint="eastAsia" w:ascii="宋体" w:hAnsi="宋体" w:eastAsia="宋体" w:cs="宋体"/>
                <w:b/>
                <w:bCs/>
                <w:color w:val="auto"/>
                <w:spacing w:val="0"/>
                <w:kern w:val="2"/>
                <w:sz w:val="24"/>
                <w:szCs w:val="24"/>
                <w:highlight w:val="none"/>
                <w:lang w:val="en-US" w:eastAsia="zh-CN" w:bidi="ar-SA"/>
              </w:rPr>
              <w:t>工程招标</w:t>
            </w:r>
          </w:p>
        </w:tc>
        <w:tc>
          <w:tcPr>
            <w:tcW w:w="1861" w:type="dxa"/>
            <w:noWrap w:val="0"/>
            <w:vAlign w:val="center"/>
          </w:tcPr>
          <w:p w14:paraId="08EB59A2">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
                <w:bCs/>
                <w:color w:val="auto"/>
                <w:spacing w:val="0"/>
                <w:kern w:val="2"/>
                <w:sz w:val="24"/>
                <w:szCs w:val="24"/>
                <w:highlight w:val="none"/>
                <w:lang w:val="en-US" w:eastAsia="zh-CN" w:bidi="ar-SA"/>
              </w:rPr>
            </w:pPr>
            <w:r>
              <w:rPr>
                <w:rFonts w:hint="eastAsia" w:ascii="宋体" w:hAnsi="宋体" w:eastAsia="宋体" w:cs="宋体"/>
                <w:b/>
                <w:bCs/>
                <w:color w:val="auto"/>
                <w:spacing w:val="0"/>
                <w:kern w:val="2"/>
                <w:sz w:val="24"/>
                <w:szCs w:val="24"/>
                <w:highlight w:val="none"/>
                <w:lang w:val="en-US" w:eastAsia="zh-CN" w:bidi="ar-SA"/>
              </w:rPr>
              <w:t>货物招标</w:t>
            </w:r>
          </w:p>
        </w:tc>
        <w:tc>
          <w:tcPr>
            <w:tcW w:w="2076" w:type="dxa"/>
            <w:noWrap w:val="0"/>
            <w:vAlign w:val="center"/>
          </w:tcPr>
          <w:p w14:paraId="738AD3E0">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
                <w:bCs/>
                <w:color w:val="auto"/>
                <w:spacing w:val="0"/>
                <w:kern w:val="2"/>
                <w:sz w:val="24"/>
                <w:szCs w:val="24"/>
                <w:highlight w:val="none"/>
                <w:lang w:val="en-US" w:eastAsia="zh-CN" w:bidi="ar-SA"/>
              </w:rPr>
            </w:pPr>
            <w:r>
              <w:rPr>
                <w:rFonts w:hint="eastAsia" w:ascii="宋体" w:hAnsi="宋体" w:eastAsia="宋体" w:cs="宋体"/>
                <w:b/>
                <w:bCs/>
                <w:color w:val="auto"/>
                <w:spacing w:val="0"/>
                <w:kern w:val="2"/>
                <w:sz w:val="24"/>
                <w:szCs w:val="24"/>
                <w:highlight w:val="none"/>
                <w:lang w:val="en-US" w:eastAsia="zh-CN" w:bidi="ar-SA"/>
              </w:rPr>
              <w:t>服务招标</w:t>
            </w:r>
          </w:p>
        </w:tc>
      </w:tr>
      <w:tr w14:paraId="470C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34" w:type="dxa"/>
            <w:noWrap w:val="0"/>
            <w:vAlign w:val="center"/>
          </w:tcPr>
          <w:p w14:paraId="4C723754">
            <w:pPr>
              <w:keepNext w:val="0"/>
              <w:keepLines w:val="0"/>
              <w:pageBreakBefore w:val="0"/>
              <w:widowControl w:val="0"/>
              <w:kinsoku/>
              <w:wordWrap/>
              <w:overflowPunct/>
              <w:topLinePunct w:val="0"/>
              <w:autoSpaceDE/>
              <w:autoSpaceDN/>
              <w:bidi w:val="0"/>
              <w:adjustRightInd/>
              <w:snapToGrid/>
              <w:spacing w:before="63" w:beforeLines="20" w:line="288" w:lineRule="auto"/>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100以下</w:t>
            </w:r>
          </w:p>
        </w:tc>
        <w:tc>
          <w:tcPr>
            <w:tcW w:w="2103" w:type="dxa"/>
            <w:noWrap w:val="0"/>
            <w:vAlign w:val="center"/>
          </w:tcPr>
          <w:p w14:paraId="74E1F201">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6.300</w:t>
            </w:r>
          </w:p>
        </w:tc>
        <w:tc>
          <w:tcPr>
            <w:tcW w:w="1861" w:type="dxa"/>
            <w:noWrap w:val="0"/>
            <w:vAlign w:val="center"/>
          </w:tcPr>
          <w:p w14:paraId="26F97457">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9.450</w:t>
            </w:r>
          </w:p>
        </w:tc>
        <w:tc>
          <w:tcPr>
            <w:tcW w:w="2076" w:type="dxa"/>
            <w:noWrap w:val="0"/>
            <w:vAlign w:val="center"/>
          </w:tcPr>
          <w:p w14:paraId="4ABD2290">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9.450</w:t>
            </w:r>
          </w:p>
        </w:tc>
      </w:tr>
      <w:tr w14:paraId="2849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34" w:type="dxa"/>
            <w:noWrap w:val="0"/>
            <w:vAlign w:val="center"/>
          </w:tcPr>
          <w:p w14:paraId="1B43511A">
            <w:pPr>
              <w:keepNext w:val="0"/>
              <w:keepLines w:val="0"/>
              <w:pageBreakBefore w:val="0"/>
              <w:widowControl w:val="0"/>
              <w:kinsoku/>
              <w:wordWrap/>
              <w:overflowPunct/>
              <w:topLinePunct w:val="0"/>
              <w:autoSpaceDE/>
              <w:autoSpaceDN/>
              <w:bidi w:val="0"/>
              <w:adjustRightInd/>
              <w:snapToGrid/>
              <w:spacing w:before="63" w:beforeLines="20" w:line="288" w:lineRule="auto"/>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100～500</w:t>
            </w:r>
          </w:p>
        </w:tc>
        <w:tc>
          <w:tcPr>
            <w:tcW w:w="2103" w:type="dxa"/>
            <w:noWrap w:val="0"/>
            <w:vAlign w:val="center"/>
          </w:tcPr>
          <w:p w14:paraId="511D00D8">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4.410</w:t>
            </w:r>
          </w:p>
        </w:tc>
        <w:tc>
          <w:tcPr>
            <w:tcW w:w="1861" w:type="dxa"/>
            <w:noWrap w:val="0"/>
            <w:vAlign w:val="center"/>
          </w:tcPr>
          <w:p w14:paraId="71DA1785">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6.930</w:t>
            </w:r>
          </w:p>
        </w:tc>
        <w:tc>
          <w:tcPr>
            <w:tcW w:w="2076" w:type="dxa"/>
            <w:noWrap w:val="0"/>
            <w:vAlign w:val="center"/>
          </w:tcPr>
          <w:p w14:paraId="7DE112A8">
            <w:pPr>
              <w:pStyle w:val="91"/>
              <w:keepNext w:val="0"/>
              <w:keepLines w:val="0"/>
              <w:pageBreakBefore w:val="0"/>
              <w:widowControl w:val="0"/>
              <w:kinsoku/>
              <w:wordWrap/>
              <w:overflowPunct/>
              <w:topLinePunct w:val="0"/>
              <w:autoSpaceDE/>
              <w:autoSpaceDN/>
              <w:bidi w:val="0"/>
              <w:adjustRightInd/>
              <w:snapToGrid/>
              <w:spacing w:before="63" w:beforeLines="20" w:line="288" w:lineRule="auto"/>
              <w:ind w:left="0" w:leftChars="0" w:firstLine="0" w:firstLineChars="0"/>
              <w:jc w:val="center"/>
              <w:textAlignment w:val="auto"/>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5.040</w:t>
            </w:r>
          </w:p>
        </w:tc>
      </w:tr>
    </w:tbl>
    <w:p w14:paraId="6A6AF3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 xml:space="preserve"> </w:t>
      </w:r>
    </w:p>
    <w:p w14:paraId="34CBF4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（1）按本表费率计算的收费为采购代理的收费基准价格；</w:t>
      </w:r>
    </w:p>
    <w:p w14:paraId="6589289C">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szCs w:val="24"/>
          <w:highlight w:val="none"/>
        </w:rPr>
        <w:t>（2）采购代理收费按差额定率累进法计算。</w:t>
      </w:r>
    </w:p>
    <w:p w14:paraId="1AE38B46">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32.3采购代理费收取银行账户</w:t>
      </w:r>
    </w:p>
    <w:p w14:paraId="751A0EA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开户名称：广西科联招标中心有限公司北海分公司 </w:t>
      </w:r>
    </w:p>
    <w:p w14:paraId="545FD928">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开户银行：中国建设银行股份有限公司北海北部湾东路支行 </w:t>
      </w:r>
    </w:p>
    <w:p w14:paraId="44BA021B">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银行账号：45050165510109188888</w:t>
      </w:r>
    </w:p>
    <w:p w14:paraId="333F67D5">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33</w:t>
      </w:r>
      <w:r>
        <w:rPr>
          <w:rFonts w:ascii="宋体" w:hAnsi="宋体"/>
          <w:b/>
          <w:color w:val="auto"/>
          <w:sz w:val="24"/>
          <w:highlight w:val="none"/>
        </w:rPr>
        <w:t>解释权</w:t>
      </w:r>
    </w:p>
    <w:p w14:paraId="156B1867">
      <w:pPr>
        <w:pStyle w:val="25"/>
        <w:adjustRightInd w:val="0"/>
        <w:snapToGrid w:val="0"/>
        <w:spacing w:line="360" w:lineRule="auto"/>
        <w:ind w:firstLine="464" w:firstLineChars="200"/>
        <w:rPr>
          <w:rFonts w:hAnsi="宋体"/>
          <w:color w:val="auto"/>
          <w:spacing w:val="-4"/>
          <w:sz w:val="24"/>
          <w:szCs w:val="24"/>
          <w:highlight w:val="none"/>
        </w:rPr>
      </w:pPr>
      <w:r>
        <w:rPr>
          <w:rFonts w:hint="eastAsia" w:hAnsi="宋体"/>
          <w:color w:val="auto"/>
          <w:spacing w:val="-4"/>
          <w:sz w:val="24"/>
          <w:szCs w:val="24"/>
          <w:highlight w:val="none"/>
        </w:rPr>
        <w:t>本竞争性磋商文件解释权属</w:t>
      </w:r>
      <w:r>
        <w:rPr>
          <w:rFonts w:hint="eastAsia" w:hAnsi="宋体"/>
          <w:color w:val="auto"/>
          <w:spacing w:val="-4"/>
          <w:sz w:val="24"/>
          <w:szCs w:val="24"/>
          <w:highlight w:val="none"/>
          <w:lang w:val="en-US" w:eastAsia="zh-CN"/>
        </w:rPr>
        <w:t>于</w:t>
      </w:r>
      <w:r>
        <w:rPr>
          <w:rFonts w:hint="eastAsia" w:hAnsi="宋体"/>
          <w:color w:val="auto"/>
          <w:spacing w:val="-4"/>
          <w:sz w:val="24"/>
          <w:szCs w:val="24"/>
          <w:highlight w:val="none"/>
        </w:rPr>
        <w:t>采购人及本代理机构。</w:t>
      </w:r>
    </w:p>
    <w:p w14:paraId="16CB37F1">
      <w:pPr>
        <w:pStyle w:val="25"/>
        <w:spacing w:line="360" w:lineRule="auto"/>
        <w:ind w:firstLine="482" w:firstLineChars="200"/>
        <w:rPr>
          <w:rFonts w:hAnsi="宋体" w:cs="Times New Roman"/>
          <w:b/>
          <w:color w:val="auto"/>
          <w:sz w:val="24"/>
          <w:szCs w:val="24"/>
          <w:highlight w:val="none"/>
        </w:rPr>
      </w:pPr>
      <w:r>
        <w:rPr>
          <w:rFonts w:hint="eastAsia" w:hAnsi="宋体" w:cs="Times New Roman"/>
          <w:b/>
          <w:color w:val="auto"/>
          <w:sz w:val="24"/>
          <w:szCs w:val="24"/>
          <w:highlight w:val="none"/>
        </w:rPr>
        <w:t>34</w:t>
      </w:r>
      <w:r>
        <w:rPr>
          <w:rFonts w:hAnsi="宋体" w:cs="Times New Roman"/>
          <w:b/>
          <w:color w:val="auto"/>
          <w:sz w:val="24"/>
          <w:szCs w:val="24"/>
          <w:highlight w:val="none"/>
        </w:rPr>
        <w:t>有关事宜</w:t>
      </w:r>
    </w:p>
    <w:p w14:paraId="3F6DA410">
      <w:pPr>
        <w:pStyle w:val="25"/>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所有与本</w:t>
      </w:r>
      <w:r>
        <w:rPr>
          <w:rFonts w:hint="eastAsia" w:hAnsi="宋体" w:cs="Times New Roman"/>
          <w:color w:val="auto"/>
          <w:kern w:val="0"/>
          <w:sz w:val="24"/>
          <w:szCs w:val="24"/>
          <w:highlight w:val="none"/>
        </w:rPr>
        <w:t>磋商</w:t>
      </w:r>
      <w:r>
        <w:rPr>
          <w:rFonts w:hAnsi="宋体" w:cs="Times New Roman"/>
          <w:color w:val="auto"/>
          <w:kern w:val="0"/>
          <w:sz w:val="24"/>
          <w:szCs w:val="24"/>
          <w:highlight w:val="none"/>
        </w:rPr>
        <w:t>文件有关的函件请按下列通讯地址联系：</w:t>
      </w:r>
    </w:p>
    <w:p w14:paraId="2043CCD2">
      <w:pPr>
        <w:pStyle w:val="25"/>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单位全称：</w:t>
      </w:r>
      <w:r>
        <w:rPr>
          <w:rFonts w:hint="eastAsia" w:hAnsi="宋体" w:cs="Times New Roman"/>
          <w:color w:val="auto"/>
          <w:kern w:val="0"/>
          <w:sz w:val="24"/>
          <w:szCs w:val="24"/>
          <w:highlight w:val="none"/>
        </w:rPr>
        <w:t>广西科联招标中心有限公司</w:t>
      </w:r>
    </w:p>
    <w:p w14:paraId="52D5FB5F">
      <w:pPr>
        <w:pStyle w:val="25"/>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通讯地址：</w:t>
      </w:r>
      <w:r>
        <w:rPr>
          <w:rFonts w:hint="eastAsia" w:ascii="宋体" w:hAnsi="宋体" w:eastAsia="宋体" w:cs="宋体"/>
          <w:color w:val="auto"/>
          <w:sz w:val="24"/>
          <w:highlight w:val="none"/>
        </w:rPr>
        <w:t>北海市北海大道科技大厦三楼</w:t>
      </w:r>
    </w:p>
    <w:p w14:paraId="5E462A80">
      <w:pPr>
        <w:pStyle w:val="25"/>
        <w:spacing w:line="360" w:lineRule="auto"/>
        <w:ind w:firstLine="480" w:firstLineChars="200"/>
        <w:rPr>
          <w:rFonts w:hAnsi="宋体"/>
          <w:color w:val="auto"/>
          <w:sz w:val="24"/>
          <w:szCs w:val="24"/>
          <w:highlight w:val="none"/>
        </w:rPr>
      </w:pPr>
      <w:r>
        <w:rPr>
          <w:rFonts w:hAnsi="宋体" w:cs="Times New Roman"/>
          <w:color w:val="auto"/>
          <w:kern w:val="0"/>
          <w:sz w:val="24"/>
          <w:szCs w:val="24"/>
          <w:highlight w:val="none"/>
        </w:rPr>
        <w:t>电    话：</w:t>
      </w:r>
      <w:r>
        <w:rPr>
          <w:rFonts w:hint="eastAsia" w:hAnsi="宋体" w:cs="Times New Roman"/>
          <w:color w:val="auto"/>
          <w:kern w:val="0"/>
          <w:sz w:val="24"/>
          <w:szCs w:val="24"/>
          <w:highlight w:val="none"/>
        </w:rPr>
        <w:t>0779-3832133/3830266</w:t>
      </w:r>
      <w:r>
        <w:rPr>
          <w:rFonts w:hAnsi="宋体" w:cs="Times New Roman"/>
          <w:color w:val="auto"/>
          <w:kern w:val="0"/>
          <w:sz w:val="24"/>
          <w:szCs w:val="24"/>
          <w:highlight w:val="none"/>
        </w:rPr>
        <w:t xml:space="preserve">   </w:t>
      </w:r>
    </w:p>
    <w:p w14:paraId="7CEBF082">
      <w:pPr>
        <w:pStyle w:val="25"/>
        <w:spacing w:line="360" w:lineRule="auto"/>
        <w:ind w:firstLine="480" w:firstLineChars="200"/>
        <w:rPr>
          <w:rFonts w:hint="eastAsia" w:hAnsi="宋体" w:eastAsia="宋体"/>
          <w:b/>
          <w:color w:val="auto"/>
          <w:sz w:val="24"/>
          <w:szCs w:val="24"/>
          <w:highlight w:val="none"/>
          <w:lang w:val="en-US" w:eastAsia="zh-CN"/>
        </w:rPr>
      </w:pPr>
      <w:r>
        <w:rPr>
          <w:rFonts w:hAnsi="宋体" w:cs="Times New Roman"/>
          <w:color w:val="auto"/>
          <w:kern w:val="0"/>
          <w:sz w:val="24"/>
          <w:szCs w:val="24"/>
          <w:highlight w:val="none"/>
        </w:rPr>
        <w:t>联 系 人</w:t>
      </w:r>
      <w:r>
        <w:rPr>
          <w:rFonts w:hint="eastAsia" w:hAnsi="宋体" w:cs="Times New Roman"/>
          <w:color w:val="auto"/>
          <w:kern w:val="0"/>
          <w:sz w:val="24"/>
          <w:szCs w:val="24"/>
          <w:highlight w:val="none"/>
          <w:lang w:eastAsia="zh-CN"/>
        </w:rPr>
        <w:t>：</w:t>
      </w:r>
      <w:r>
        <w:rPr>
          <w:rFonts w:hint="eastAsia" w:hAnsi="宋体" w:cs="Times New Roman"/>
          <w:color w:val="auto"/>
          <w:kern w:val="0"/>
          <w:sz w:val="24"/>
          <w:szCs w:val="24"/>
          <w:highlight w:val="none"/>
          <w:lang w:val="en-US" w:eastAsia="zh-CN"/>
        </w:rPr>
        <w:t>简良</w:t>
      </w:r>
    </w:p>
    <w:p w14:paraId="596DDCDA">
      <w:pPr>
        <w:spacing w:line="620" w:lineRule="exact"/>
        <w:jc w:val="center"/>
        <w:outlineLvl w:val="0"/>
        <w:rPr>
          <w:rFonts w:ascii="宋体" w:hAnsi="宋体"/>
          <w:b/>
          <w:color w:val="auto"/>
          <w:sz w:val="44"/>
          <w:szCs w:val="44"/>
          <w:highlight w:val="none"/>
        </w:rPr>
      </w:pPr>
      <w:bookmarkStart w:id="30" w:name="_Toc23819"/>
      <w:bookmarkStart w:id="31" w:name="_Toc3994506"/>
      <w:bookmarkStart w:id="32" w:name="_Toc176861408"/>
      <w:r>
        <w:rPr>
          <w:rFonts w:hint="eastAsia" w:ascii="宋体" w:hAnsi="宋体"/>
          <w:b/>
          <w:color w:val="auto"/>
          <w:sz w:val="44"/>
          <w:szCs w:val="44"/>
          <w:highlight w:val="none"/>
        </w:rPr>
        <w:t>第三章  竞争性磋商响应文件格式</w:t>
      </w:r>
      <w:bookmarkEnd w:id="30"/>
      <w:bookmarkEnd w:id="31"/>
      <w:bookmarkEnd w:id="32"/>
    </w:p>
    <w:p w14:paraId="657F368C">
      <w:pPr>
        <w:spacing w:line="360" w:lineRule="auto"/>
        <w:rPr>
          <w:rFonts w:hint="eastAsia" w:ascii="宋体" w:hAnsi="宋体"/>
          <w:b/>
          <w:color w:val="auto"/>
          <w:sz w:val="28"/>
          <w:szCs w:val="28"/>
          <w:highlight w:val="none"/>
        </w:rPr>
      </w:pPr>
    </w:p>
    <w:p w14:paraId="782D1F5F">
      <w:pPr>
        <w:spacing w:line="360" w:lineRule="auto"/>
        <w:rPr>
          <w:rFonts w:hint="eastAsia" w:ascii="宋体" w:hAnsi="宋体"/>
          <w:b/>
          <w:color w:val="auto"/>
          <w:sz w:val="28"/>
          <w:szCs w:val="28"/>
          <w:highlight w:val="none"/>
        </w:rPr>
      </w:pPr>
    </w:p>
    <w:p w14:paraId="6C52351B">
      <w:pPr>
        <w:spacing w:line="360" w:lineRule="auto"/>
        <w:rPr>
          <w:rFonts w:hint="eastAsia" w:ascii="宋体" w:hAnsi="宋体"/>
          <w:b/>
          <w:color w:val="auto"/>
          <w:sz w:val="28"/>
          <w:szCs w:val="28"/>
          <w:highlight w:val="none"/>
        </w:rPr>
      </w:pPr>
    </w:p>
    <w:p w14:paraId="0439DA91">
      <w:pPr>
        <w:spacing w:line="360" w:lineRule="auto"/>
        <w:rPr>
          <w:rFonts w:hint="eastAsia" w:ascii="宋体" w:hAnsi="宋体"/>
          <w:b/>
          <w:color w:val="auto"/>
          <w:sz w:val="28"/>
          <w:szCs w:val="28"/>
          <w:highlight w:val="none"/>
        </w:rPr>
      </w:pPr>
    </w:p>
    <w:p w14:paraId="55F606D9">
      <w:pPr>
        <w:spacing w:line="360" w:lineRule="auto"/>
        <w:rPr>
          <w:rFonts w:ascii="宋体" w:hAnsi="宋体"/>
          <w:b/>
          <w:color w:val="auto"/>
          <w:sz w:val="28"/>
          <w:szCs w:val="28"/>
          <w:highlight w:val="none"/>
        </w:rPr>
      </w:pPr>
      <w:r>
        <w:rPr>
          <w:rFonts w:hint="eastAsia" w:ascii="宋体" w:hAnsi="宋体"/>
          <w:b/>
          <w:color w:val="auto"/>
          <w:sz w:val="28"/>
          <w:szCs w:val="28"/>
          <w:highlight w:val="none"/>
        </w:rPr>
        <w:t>一、竞争性磋商响应文件外包装封面</w:t>
      </w:r>
      <w:r>
        <w:rPr>
          <w:rFonts w:hint="eastAsia" w:ascii="宋体" w:hAnsi="宋体"/>
          <w:b/>
          <w:bCs/>
          <w:color w:val="auto"/>
          <w:sz w:val="28"/>
          <w:szCs w:val="28"/>
          <w:highlight w:val="none"/>
        </w:rPr>
        <w:t>及</w:t>
      </w:r>
      <w:r>
        <w:rPr>
          <w:rFonts w:hint="eastAsia" w:ascii="宋体" w:hAnsi="宋体"/>
          <w:b/>
          <w:color w:val="auto"/>
          <w:sz w:val="28"/>
          <w:szCs w:val="28"/>
          <w:highlight w:val="none"/>
        </w:rPr>
        <w:t>竞争性磋商响应文件封面</w:t>
      </w:r>
      <w:r>
        <w:rPr>
          <w:rFonts w:hint="eastAsia" w:ascii="宋体" w:hAnsi="宋体"/>
          <w:b/>
          <w:bCs/>
          <w:color w:val="auto"/>
          <w:sz w:val="28"/>
          <w:szCs w:val="28"/>
          <w:highlight w:val="none"/>
        </w:rPr>
        <w:t>格式</w:t>
      </w:r>
    </w:p>
    <w:p w14:paraId="5A7B09DF">
      <w:pPr>
        <w:snapToGrid w:val="0"/>
        <w:spacing w:line="360" w:lineRule="auto"/>
        <w:rPr>
          <w:rFonts w:ascii="宋体" w:hAnsi="宋体"/>
          <w:b/>
          <w:color w:val="auto"/>
          <w:szCs w:val="21"/>
          <w:highlight w:val="none"/>
        </w:rPr>
      </w:pPr>
    </w:p>
    <w:p w14:paraId="7281220C">
      <w:pPr>
        <w:snapToGrid w:val="0"/>
        <w:spacing w:line="360" w:lineRule="auto"/>
        <w:rPr>
          <w:rFonts w:ascii="宋体" w:hAnsi="宋体"/>
          <w:b/>
          <w:color w:val="auto"/>
          <w:szCs w:val="21"/>
          <w:highlight w:val="none"/>
        </w:rPr>
      </w:pPr>
      <w:r>
        <w:rPr>
          <w:rFonts w:hint="eastAsia" w:ascii="宋体" w:hAnsi="宋体"/>
          <w:b/>
          <w:color w:val="auto"/>
          <w:szCs w:val="21"/>
          <w:highlight w:val="none"/>
        </w:rPr>
        <w:t>一）.</w:t>
      </w:r>
      <w:r>
        <w:rPr>
          <w:rFonts w:hint="eastAsia" w:ascii="宋体" w:hAnsi="宋体"/>
          <w:b/>
          <w:color w:val="auto"/>
          <w:highlight w:val="none"/>
        </w:rPr>
        <w:t xml:space="preserve"> 竞争性磋商响应文件</w:t>
      </w:r>
      <w:r>
        <w:rPr>
          <w:rFonts w:hint="eastAsia" w:ascii="宋体" w:hAnsi="宋体"/>
          <w:b/>
          <w:color w:val="auto"/>
          <w:szCs w:val="21"/>
          <w:highlight w:val="none"/>
        </w:rPr>
        <w:t xml:space="preserve">的外包装封面格式： </w:t>
      </w:r>
    </w:p>
    <w:p w14:paraId="3C4C626B">
      <w:pPr>
        <w:snapToGrid w:val="0"/>
        <w:spacing w:line="360" w:lineRule="auto"/>
        <w:rPr>
          <w:rFonts w:ascii="宋体" w:hAnsi="宋体"/>
          <w:color w:val="auto"/>
          <w:szCs w:val="21"/>
          <w:highlight w:val="none"/>
        </w:rPr>
      </w:pPr>
    </w:p>
    <w:p w14:paraId="519D84EE">
      <w:pPr>
        <w:snapToGrid w:val="0"/>
        <w:spacing w:line="360" w:lineRule="auto"/>
        <w:ind w:firstLine="2638" w:firstLineChars="1095"/>
        <w:rPr>
          <w:rFonts w:ascii="宋体" w:hAnsi="宋体"/>
          <w:color w:val="auto"/>
          <w:sz w:val="24"/>
          <w:highlight w:val="none"/>
        </w:rPr>
      </w:pPr>
      <w:r>
        <w:rPr>
          <w:rFonts w:hint="eastAsia" w:ascii="宋体" w:hAnsi="宋体"/>
          <w:b/>
          <w:color w:val="auto"/>
          <w:sz w:val="24"/>
          <w:highlight w:val="none"/>
        </w:rPr>
        <w:t>竞争性磋商响应文件</w:t>
      </w:r>
      <w:r>
        <w:rPr>
          <w:rFonts w:hint="eastAsia" w:ascii="宋体" w:hAnsi="宋体"/>
          <w:b/>
          <w:bCs/>
          <w:color w:val="auto"/>
          <w:sz w:val="24"/>
          <w:highlight w:val="none"/>
        </w:rPr>
        <w:t xml:space="preserve">              </w:t>
      </w:r>
    </w:p>
    <w:p w14:paraId="284DA1B4">
      <w:pPr>
        <w:snapToGrid w:val="0"/>
        <w:spacing w:line="360" w:lineRule="auto"/>
        <w:ind w:firstLine="720" w:firstLineChars="300"/>
        <w:rPr>
          <w:rFonts w:ascii="宋体" w:hAnsi="宋体"/>
          <w:bCs/>
          <w:color w:val="auto"/>
          <w:sz w:val="24"/>
          <w:highlight w:val="none"/>
        </w:rPr>
      </w:pPr>
      <w:r>
        <w:rPr>
          <w:rFonts w:hint="eastAsia" w:ascii="宋体" w:hAnsi="宋体"/>
          <w:color w:val="auto"/>
          <w:sz w:val="24"/>
          <w:highlight w:val="none"/>
        </w:rPr>
        <w:t>项目名称</w:t>
      </w:r>
      <w:r>
        <w:rPr>
          <w:rFonts w:hint="eastAsia" w:ascii="宋体" w:hAnsi="宋体"/>
          <w:bCs/>
          <w:color w:val="auto"/>
          <w:sz w:val="24"/>
          <w:highlight w:val="none"/>
        </w:rPr>
        <w:t>：</w:t>
      </w:r>
    </w:p>
    <w:p w14:paraId="3D147897">
      <w:pPr>
        <w:snapToGrid w:val="0"/>
        <w:spacing w:line="360" w:lineRule="auto"/>
        <w:ind w:firstLine="720" w:firstLineChars="300"/>
        <w:rPr>
          <w:rFonts w:ascii="宋体" w:hAnsi="宋体"/>
          <w:bCs/>
          <w:color w:val="auto"/>
          <w:sz w:val="24"/>
          <w:highlight w:val="none"/>
        </w:rPr>
      </w:pPr>
      <w:r>
        <w:rPr>
          <w:rFonts w:hint="eastAsia" w:ascii="宋体" w:hAnsi="宋体"/>
          <w:color w:val="auto"/>
          <w:sz w:val="24"/>
          <w:highlight w:val="none"/>
        </w:rPr>
        <w:t>项目编号</w:t>
      </w:r>
      <w:r>
        <w:rPr>
          <w:rFonts w:hint="eastAsia" w:ascii="宋体" w:hAnsi="宋体"/>
          <w:bCs/>
          <w:color w:val="auto"/>
          <w:sz w:val="24"/>
          <w:highlight w:val="none"/>
        </w:rPr>
        <w:t>：</w:t>
      </w:r>
    </w:p>
    <w:p w14:paraId="40643E82">
      <w:pPr>
        <w:pStyle w:val="7"/>
        <w:snapToGrid w:val="0"/>
        <w:spacing w:line="360" w:lineRule="auto"/>
        <w:ind w:firstLine="720" w:firstLineChars="300"/>
        <w:rPr>
          <w:rFonts w:ascii="宋体" w:hAnsi="宋体"/>
          <w:bCs/>
          <w:color w:val="auto"/>
          <w:sz w:val="24"/>
          <w:szCs w:val="24"/>
          <w:highlight w:val="none"/>
        </w:rPr>
      </w:pPr>
      <w:r>
        <w:rPr>
          <w:rFonts w:hint="eastAsia" w:ascii="宋体" w:hAnsi="宋体"/>
          <w:color w:val="auto"/>
          <w:sz w:val="24"/>
          <w:szCs w:val="24"/>
          <w:highlight w:val="none"/>
        </w:rPr>
        <w:t>供应商名称</w:t>
      </w:r>
      <w:r>
        <w:rPr>
          <w:rFonts w:hint="eastAsia" w:ascii="宋体" w:hAnsi="宋体"/>
          <w:bCs/>
          <w:color w:val="auto"/>
          <w:sz w:val="24"/>
          <w:szCs w:val="24"/>
          <w:highlight w:val="none"/>
        </w:rPr>
        <w:t>：</w:t>
      </w:r>
    </w:p>
    <w:p w14:paraId="270B90BD">
      <w:pPr>
        <w:pStyle w:val="7"/>
        <w:snapToGrid w:val="0"/>
        <w:spacing w:line="360" w:lineRule="auto"/>
        <w:ind w:firstLine="720" w:firstLineChars="300"/>
        <w:rPr>
          <w:rFonts w:ascii="宋体" w:hAnsi="宋体"/>
          <w:bCs/>
          <w:color w:val="auto"/>
          <w:sz w:val="24"/>
          <w:szCs w:val="24"/>
          <w:highlight w:val="none"/>
        </w:rPr>
      </w:pPr>
      <w:r>
        <w:rPr>
          <w:rFonts w:hint="eastAsia" w:ascii="宋体" w:hAnsi="宋体"/>
          <w:bCs/>
          <w:color w:val="auto"/>
          <w:sz w:val="24"/>
          <w:szCs w:val="24"/>
          <w:highlight w:val="none"/>
        </w:rPr>
        <w:t>（截标时才能启封）</w:t>
      </w:r>
    </w:p>
    <w:p w14:paraId="1FAF9747">
      <w:pPr>
        <w:pStyle w:val="7"/>
        <w:snapToGrid w:val="0"/>
        <w:spacing w:line="360" w:lineRule="auto"/>
        <w:ind w:firstLine="630" w:firstLineChars="300"/>
        <w:rPr>
          <w:rFonts w:ascii="宋体" w:hAnsi="宋体"/>
          <w:bCs/>
          <w:color w:val="auto"/>
          <w:szCs w:val="21"/>
          <w:highlight w:val="none"/>
        </w:rPr>
      </w:pPr>
    </w:p>
    <w:p w14:paraId="4B37296D">
      <w:pPr>
        <w:snapToGrid w:val="0"/>
        <w:spacing w:line="360" w:lineRule="auto"/>
        <w:rPr>
          <w:rFonts w:ascii="宋体" w:hAnsi="宋体"/>
          <w:b/>
          <w:color w:val="auto"/>
          <w:sz w:val="24"/>
          <w:highlight w:val="none"/>
        </w:rPr>
      </w:pPr>
      <w:r>
        <w:rPr>
          <w:rFonts w:hint="eastAsia" w:ascii="宋体" w:hAnsi="宋体"/>
          <w:b/>
          <w:color w:val="auto"/>
          <w:szCs w:val="21"/>
          <w:highlight w:val="none"/>
        </w:rPr>
        <w:t>二）.</w:t>
      </w:r>
      <w:r>
        <w:rPr>
          <w:rFonts w:hint="eastAsia" w:ascii="宋体" w:hAnsi="宋体"/>
          <w:b/>
          <w:color w:val="auto"/>
          <w:highlight w:val="none"/>
        </w:rPr>
        <w:t xml:space="preserve"> 竞争性磋商响应文件</w:t>
      </w:r>
      <w:r>
        <w:rPr>
          <w:rFonts w:hint="eastAsia" w:ascii="宋体" w:hAnsi="宋体"/>
          <w:b/>
          <w:color w:val="auto"/>
          <w:szCs w:val="21"/>
          <w:highlight w:val="none"/>
        </w:rPr>
        <w:t>封面格式：</w:t>
      </w:r>
      <w:r>
        <w:rPr>
          <w:rFonts w:hint="eastAsia" w:ascii="宋体" w:hAnsi="宋体"/>
          <w:b/>
          <w:color w:val="auto"/>
          <w:sz w:val="24"/>
          <w:highlight w:val="none"/>
        </w:rPr>
        <w:t xml:space="preserve"> </w:t>
      </w:r>
    </w:p>
    <w:p w14:paraId="382565A5">
      <w:pPr>
        <w:snapToGrid w:val="0"/>
        <w:spacing w:line="360" w:lineRule="auto"/>
        <w:ind w:left="7200" w:hanging="7200" w:hangingChars="3000"/>
        <w:rPr>
          <w:rFonts w:ascii="宋体" w:hAnsi="宋体"/>
          <w:bCs/>
          <w:color w:val="auto"/>
          <w:sz w:val="24"/>
          <w:highlight w:val="none"/>
        </w:rPr>
      </w:pPr>
      <w:r>
        <w:rPr>
          <w:rFonts w:hint="eastAsia" w:ascii="宋体" w:hAnsi="宋体"/>
          <w:color w:val="auto"/>
          <w:sz w:val="24"/>
          <w:highlight w:val="none"/>
        </w:rPr>
        <w:t xml:space="preserve">                                                                                             </w:t>
      </w:r>
      <w:r>
        <w:rPr>
          <w:rFonts w:hint="eastAsia" w:ascii="宋体" w:hAnsi="宋体"/>
          <w:b/>
          <w:bCs/>
          <w:color w:val="auto"/>
          <w:szCs w:val="21"/>
          <w:highlight w:val="none"/>
        </w:rPr>
        <w:t>（正/副本）</w:t>
      </w:r>
    </w:p>
    <w:p w14:paraId="5283EE86">
      <w:pPr>
        <w:snapToGrid w:val="0"/>
        <w:spacing w:line="360" w:lineRule="auto"/>
        <w:ind w:firstLine="1915" w:firstLineChars="795"/>
        <w:rPr>
          <w:rFonts w:ascii="宋体" w:hAnsi="宋体"/>
          <w:bCs/>
          <w:color w:val="auto"/>
          <w:sz w:val="24"/>
          <w:highlight w:val="none"/>
        </w:rPr>
      </w:pPr>
      <w:r>
        <w:rPr>
          <w:rFonts w:hint="eastAsia" w:ascii="宋体" w:hAnsi="宋体"/>
          <w:b/>
          <w:color w:val="auto"/>
          <w:sz w:val="24"/>
          <w:highlight w:val="none"/>
        </w:rPr>
        <w:t>竞争性磋商响应文件（封面）</w:t>
      </w:r>
    </w:p>
    <w:p w14:paraId="6141FF07">
      <w:pPr>
        <w:spacing w:line="360" w:lineRule="auto"/>
        <w:ind w:firstLine="480" w:firstLineChars="200"/>
        <w:rPr>
          <w:rFonts w:ascii="宋体" w:hAnsi="宋体"/>
          <w:color w:val="auto"/>
          <w:sz w:val="24"/>
          <w:highlight w:val="none"/>
        </w:rPr>
      </w:pPr>
    </w:p>
    <w:p w14:paraId="2BC88D76">
      <w:pPr>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p>
    <w:p w14:paraId="06DAE71A">
      <w:pPr>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项目编号</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4E053EFD">
      <w:pPr>
        <w:snapToGrid w:val="0"/>
        <w:spacing w:line="360" w:lineRule="auto"/>
        <w:ind w:firstLine="480" w:firstLineChars="200"/>
        <w:rPr>
          <w:rFonts w:ascii="宋体" w:hAnsi="宋体"/>
          <w:bCs/>
          <w:color w:val="auto"/>
          <w:sz w:val="24"/>
          <w:highlight w:val="none"/>
        </w:rPr>
      </w:pPr>
      <w:r>
        <w:rPr>
          <w:rFonts w:hint="eastAsia" w:ascii="宋体" w:hAnsi="宋体"/>
          <w:color w:val="auto"/>
          <w:sz w:val="24"/>
          <w:highlight w:val="none"/>
        </w:rPr>
        <w:t>供应商名称</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3CD89F5C">
      <w:pPr>
        <w:spacing w:line="360" w:lineRule="auto"/>
        <w:jc w:val="center"/>
        <w:rPr>
          <w:rFonts w:ascii="宋体" w:hAnsi="宋体"/>
          <w:color w:val="auto"/>
          <w:sz w:val="24"/>
          <w:highlight w:val="none"/>
        </w:rPr>
      </w:pPr>
      <w:r>
        <w:rPr>
          <w:rFonts w:hint="eastAsia" w:ascii="宋体" w:hAnsi="宋体"/>
          <w:color w:val="auto"/>
          <w:sz w:val="24"/>
          <w:highlight w:val="none"/>
        </w:rPr>
        <w:t xml:space="preserve">                      </w:t>
      </w:r>
    </w:p>
    <w:p w14:paraId="629AA7B1">
      <w:pPr>
        <w:snapToGrid w:val="0"/>
        <w:spacing w:line="360" w:lineRule="auto"/>
        <w:jc w:val="center"/>
        <w:rPr>
          <w:rFonts w:ascii="宋体" w:hAnsi="宋体"/>
          <w:color w:val="auto"/>
          <w:sz w:val="24"/>
          <w:highlight w:val="none"/>
        </w:rPr>
      </w:pPr>
      <w:r>
        <w:rPr>
          <w:rFonts w:hint="eastAsia" w:ascii="宋体" w:hAnsi="宋体"/>
          <w:color w:val="auto"/>
          <w:sz w:val="24"/>
          <w:highlight w:val="none"/>
        </w:rPr>
        <w:t xml:space="preserve">                                       年</w:t>
      </w:r>
      <w:r>
        <w:rPr>
          <w:rFonts w:hint="eastAsia" w:ascii="宋体" w:hAnsi="宋体" w:cs="宋体"/>
          <w:color w:val="auto"/>
          <w:sz w:val="24"/>
          <w:highlight w:val="none"/>
        </w:rPr>
        <w:t xml:space="preserve">    </w:t>
      </w:r>
      <w:r>
        <w:rPr>
          <w:rFonts w:hint="eastAsia" w:ascii="宋体" w:hAnsi="宋体"/>
          <w:color w:val="auto"/>
          <w:sz w:val="24"/>
          <w:highlight w:val="none"/>
        </w:rPr>
        <w:t>月    日</w:t>
      </w:r>
    </w:p>
    <w:p w14:paraId="5DCE22E7">
      <w:pPr>
        <w:spacing w:line="360" w:lineRule="auto"/>
        <w:ind w:firstLine="3229" w:firstLineChars="1340"/>
        <w:rPr>
          <w:rFonts w:ascii="宋体" w:hAnsi="宋体"/>
          <w:b/>
          <w:color w:val="auto"/>
          <w:sz w:val="24"/>
          <w:highlight w:val="none"/>
        </w:rPr>
      </w:pPr>
    </w:p>
    <w:p w14:paraId="17754CD1">
      <w:pPr>
        <w:spacing w:line="360" w:lineRule="auto"/>
        <w:rPr>
          <w:rFonts w:ascii="宋体" w:hAnsi="宋体"/>
          <w:b/>
          <w:color w:val="auto"/>
          <w:sz w:val="24"/>
          <w:highlight w:val="none"/>
        </w:rPr>
      </w:pPr>
    </w:p>
    <w:p w14:paraId="7C8BA99F">
      <w:pPr>
        <w:spacing w:line="360" w:lineRule="auto"/>
        <w:rPr>
          <w:rFonts w:ascii="宋体" w:hAnsi="宋体"/>
          <w:b/>
          <w:color w:val="auto"/>
          <w:sz w:val="24"/>
          <w:highlight w:val="none"/>
        </w:rPr>
      </w:pPr>
    </w:p>
    <w:p w14:paraId="1A78584E">
      <w:pPr>
        <w:spacing w:line="360" w:lineRule="auto"/>
        <w:rPr>
          <w:rFonts w:ascii="宋体" w:hAnsi="宋体"/>
          <w:b/>
          <w:color w:val="auto"/>
          <w:sz w:val="24"/>
          <w:highlight w:val="none"/>
        </w:rPr>
      </w:pPr>
    </w:p>
    <w:p w14:paraId="4270E935">
      <w:pPr>
        <w:spacing w:line="360" w:lineRule="auto"/>
        <w:rPr>
          <w:rFonts w:ascii="宋体" w:hAnsi="宋体"/>
          <w:b/>
          <w:color w:val="auto"/>
          <w:sz w:val="28"/>
          <w:szCs w:val="28"/>
          <w:highlight w:val="none"/>
        </w:rPr>
      </w:pPr>
      <w:r>
        <w:rPr>
          <w:rFonts w:hint="eastAsia" w:ascii="宋体" w:hAnsi="宋体"/>
          <w:b/>
          <w:color w:val="auto"/>
          <w:sz w:val="28"/>
          <w:szCs w:val="28"/>
          <w:highlight w:val="none"/>
        </w:rPr>
        <w:t>二、附  件</w:t>
      </w:r>
    </w:p>
    <w:p w14:paraId="6DF361D8">
      <w:pPr>
        <w:spacing w:line="360" w:lineRule="auto"/>
        <w:rPr>
          <w:rFonts w:ascii="宋体" w:hAnsi="宋体"/>
          <w:color w:val="auto"/>
          <w:szCs w:val="21"/>
          <w:highlight w:val="none"/>
        </w:rPr>
      </w:pPr>
    </w:p>
    <w:p w14:paraId="30A99D36">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附件1</w:t>
      </w:r>
    </w:p>
    <w:p w14:paraId="644F58D4">
      <w:pPr>
        <w:adjustRightInd w:val="0"/>
        <w:snapToGrid w:val="0"/>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北海市政府采购供应商信用承诺函（格式）</w:t>
      </w:r>
    </w:p>
    <w:p w14:paraId="3C200419">
      <w:pPr>
        <w:widowControl/>
        <w:spacing w:line="360" w:lineRule="auto"/>
        <w:ind w:firstLine="480" w:firstLineChars="200"/>
        <w:jc w:val="left"/>
        <w:rPr>
          <w:rFonts w:ascii="宋体" w:hAnsi="宋体" w:cs="宋体"/>
          <w:color w:val="auto"/>
          <w:kern w:val="0"/>
          <w:sz w:val="24"/>
          <w:highlight w:val="none"/>
        </w:rPr>
      </w:pPr>
    </w:p>
    <w:p w14:paraId="09C5E4BF">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（采购人）、（采购代理机构）：</w:t>
      </w:r>
    </w:p>
    <w:p w14:paraId="3883D64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供应商名称：</w:t>
      </w:r>
    </w:p>
    <w:p w14:paraId="791B706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统一社会信用代码：</w:t>
      </w:r>
    </w:p>
    <w:p w14:paraId="30BEBB77">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供应商地址：</w:t>
      </w:r>
    </w:p>
    <w:p w14:paraId="0737907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0C0EF6EF">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1.我单位具有符合采购文件资格要求独立承担民事责任的能力。</w:t>
      </w:r>
    </w:p>
    <w:p w14:paraId="21DF1190">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2.我单位具有符合采购文件资格要求的财务状况报告。</w:t>
      </w:r>
    </w:p>
    <w:p w14:paraId="029C3E6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3.我单位具有符合采购文件资格要求的依法缴纳税收和社会保障记录的良好记录。</w:t>
      </w:r>
    </w:p>
    <w:p w14:paraId="0530304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4.我单位具有符合采购文件资格要求履行合同所必需的设备和专业技术能力。</w:t>
      </w:r>
    </w:p>
    <w:p w14:paraId="6A4BF11E">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2EFFBF8A">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若我单位承诺不实，自愿承担提供虚假材料谋取成交的法律责任。</w:t>
      </w:r>
    </w:p>
    <w:p w14:paraId="3B4EEAA4">
      <w:pPr>
        <w:widowControl/>
        <w:spacing w:line="360" w:lineRule="auto"/>
        <w:ind w:firstLine="480" w:firstLineChars="200"/>
        <w:jc w:val="left"/>
        <w:rPr>
          <w:rFonts w:ascii="宋体" w:hAnsi="宋体" w:cs="宋体"/>
          <w:color w:val="auto"/>
          <w:kern w:val="0"/>
          <w:sz w:val="24"/>
          <w:highlight w:val="none"/>
        </w:rPr>
      </w:pPr>
    </w:p>
    <w:p w14:paraId="0D07670D">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BC794D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3366B43">
      <w:pPr>
        <w:adjustRightInd w:val="0"/>
        <w:snapToGrid w:val="0"/>
        <w:spacing w:line="360" w:lineRule="auto"/>
        <w:ind w:firstLine="360" w:firstLineChars="150"/>
        <w:jc w:val="left"/>
        <w:rPr>
          <w:rFonts w:ascii="宋体" w:hAnsi="宋体"/>
          <w:color w:val="auto"/>
          <w:szCs w:val="21"/>
          <w:highlight w:val="none"/>
          <w:u w:val="single"/>
        </w:rPr>
      </w:pPr>
      <w:r>
        <w:rPr>
          <w:rFonts w:hint="eastAsia" w:ascii="宋体" w:hAnsi="宋体"/>
          <w:color w:val="auto"/>
          <w:sz w:val="24"/>
          <w:highlight w:val="none"/>
        </w:rPr>
        <w:t xml:space="preserve">     日期：  年   月   日</w:t>
      </w:r>
      <w:r>
        <w:rPr>
          <w:rFonts w:hint="eastAsia" w:ascii="宋体" w:hAnsi="宋体"/>
          <w:color w:val="auto"/>
          <w:sz w:val="24"/>
          <w:highlight w:val="none"/>
          <w:u w:val="single"/>
        </w:rPr>
        <w:t xml:space="preserve">                           </w:t>
      </w:r>
      <w:r>
        <w:rPr>
          <w:rFonts w:hint="eastAsia" w:ascii="宋体" w:hAnsi="宋体"/>
          <w:color w:val="auto"/>
          <w:szCs w:val="21"/>
          <w:highlight w:val="none"/>
          <w:u w:val="single"/>
        </w:rPr>
        <w:t xml:space="preserve">    </w:t>
      </w:r>
    </w:p>
    <w:p w14:paraId="40525598">
      <w:pPr>
        <w:adjustRightInd w:val="0"/>
        <w:snapToGrid w:val="0"/>
        <w:spacing w:line="360" w:lineRule="auto"/>
        <w:ind w:firstLine="315" w:firstLineChars="150"/>
        <w:jc w:val="left"/>
        <w:rPr>
          <w:rFonts w:ascii="宋体" w:hAnsi="宋体"/>
          <w:color w:val="auto"/>
          <w:szCs w:val="21"/>
          <w:highlight w:val="none"/>
          <w:u w:val="single"/>
        </w:rPr>
      </w:pPr>
    </w:p>
    <w:p w14:paraId="1B00E9FC">
      <w:pPr>
        <w:adjustRightInd w:val="0"/>
        <w:snapToGrid w:val="0"/>
        <w:spacing w:line="360" w:lineRule="auto"/>
        <w:ind w:firstLine="360" w:firstLineChars="150"/>
        <w:jc w:val="left"/>
        <w:rPr>
          <w:rFonts w:ascii="宋体" w:hAnsi="宋体"/>
          <w:color w:val="auto"/>
          <w:szCs w:val="21"/>
          <w:highlight w:val="none"/>
        </w:rPr>
      </w:pPr>
      <w:r>
        <w:rPr>
          <w:rFonts w:hint="eastAsia" w:ascii="宋体" w:hAnsi="宋体" w:cs="宋体"/>
          <w:color w:val="auto"/>
          <w:kern w:val="0"/>
          <w:sz w:val="24"/>
          <w:highlight w:val="none"/>
        </w:rPr>
        <w:t>注：供应商须在响应文件中按此模板提供承诺函，未提供视为未实质性响应采购文件要求，按无效响应处理。</w:t>
      </w:r>
    </w:p>
    <w:p w14:paraId="4E77CC66">
      <w:pPr>
        <w:spacing w:line="360" w:lineRule="auto"/>
        <w:ind w:left="420" w:hanging="420"/>
        <w:rPr>
          <w:rFonts w:ascii="宋体" w:hAnsi="宋体"/>
          <w:b/>
          <w:color w:val="auto"/>
          <w:highlight w:val="none"/>
        </w:rPr>
        <w:sectPr>
          <w:footerReference r:id="rId6" w:type="default"/>
          <w:pgSz w:w="11907" w:h="16839"/>
          <w:pgMar w:top="1431" w:right="1272" w:bottom="1364" w:left="1418" w:header="850" w:footer="1204" w:gutter="0"/>
          <w:pgNumType w:fmt="decimal"/>
          <w:cols w:space="720" w:num="1"/>
          <w:docGrid w:linePitch="286" w:charSpace="0"/>
        </w:sectPr>
      </w:pPr>
    </w:p>
    <w:p w14:paraId="53C52EF4">
      <w:pPr>
        <w:bidi w:val="0"/>
        <w:rPr>
          <w:rFonts w:hint="eastAsia"/>
          <w:b/>
          <w:bCs/>
          <w:color w:val="auto"/>
          <w:sz w:val="24"/>
          <w:szCs w:val="24"/>
          <w:highlight w:val="none"/>
          <w:lang w:val="en-US" w:eastAsia="zh-CN"/>
        </w:rPr>
      </w:pPr>
      <w:r>
        <w:rPr>
          <w:rFonts w:hint="eastAsia"/>
          <w:b/>
          <w:bCs/>
          <w:color w:val="auto"/>
          <w:sz w:val="24"/>
          <w:szCs w:val="24"/>
          <w:highlight w:val="none"/>
          <w:lang w:val="en-US" w:eastAsia="zh-CN"/>
        </w:rPr>
        <w:t>1.1法定代表人（负责人）授权委托书（信用承诺函由授权代表签名时，必须提供）</w:t>
      </w:r>
    </w:p>
    <w:p w14:paraId="6620F0EA">
      <w:pPr>
        <w:adjustRightInd w:val="0"/>
        <w:snapToGrid w:val="0"/>
        <w:spacing w:line="360" w:lineRule="auto"/>
        <w:jc w:val="both"/>
        <w:rPr>
          <w:rFonts w:hint="eastAsia" w:ascii="宋体" w:hAnsi="宋体"/>
          <w:b/>
          <w:color w:val="auto"/>
          <w:sz w:val="32"/>
          <w:szCs w:val="32"/>
          <w:highlight w:val="none"/>
        </w:rPr>
      </w:pPr>
    </w:p>
    <w:p w14:paraId="17D074ED">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法定代表人（负责人）授权委托书</w:t>
      </w:r>
    </w:p>
    <w:p w14:paraId="065213EF">
      <w:pPr>
        <w:adjustRightInd w:val="0"/>
        <w:snapToGrid w:val="0"/>
        <w:spacing w:line="360" w:lineRule="auto"/>
        <w:rPr>
          <w:rFonts w:ascii="宋体" w:hAnsi="宋体"/>
          <w:color w:val="auto"/>
          <w:szCs w:val="21"/>
          <w:highlight w:val="none"/>
        </w:rPr>
      </w:pPr>
    </w:p>
    <w:p w14:paraId="16741658">
      <w:pPr>
        <w:spacing w:line="360" w:lineRule="auto"/>
        <w:rPr>
          <w:rFonts w:ascii="宋体" w:hAnsi="宋体"/>
          <w:color w:val="auto"/>
          <w:sz w:val="24"/>
          <w:highlight w:val="none"/>
        </w:rPr>
      </w:pPr>
      <w:r>
        <w:rPr>
          <w:rFonts w:hint="eastAsia" w:hAnsi="宋体"/>
          <w:color w:val="auto"/>
          <w:sz w:val="24"/>
          <w:highlight w:val="none"/>
        </w:rPr>
        <w:t>（采购人）、（采购代理机构）</w:t>
      </w:r>
      <w:r>
        <w:rPr>
          <w:rFonts w:hint="eastAsia" w:ascii="宋体" w:hAnsi="宋体"/>
          <w:color w:val="auto"/>
          <w:sz w:val="24"/>
          <w:highlight w:val="none"/>
        </w:rPr>
        <w:t>：</w:t>
      </w:r>
    </w:p>
    <w:p w14:paraId="07B3F35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兹授权</w:t>
      </w:r>
      <w:r>
        <w:rPr>
          <w:rFonts w:hint="eastAsia" w:ascii="宋体" w:hAnsi="宋体"/>
          <w:color w:val="auto"/>
          <w:sz w:val="24"/>
          <w:highlight w:val="none"/>
          <w:u w:val="single"/>
        </w:rPr>
        <w:t xml:space="preserve">      </w:t>
      </w:r>
      <w:r>
        <w:rPr>
          <w:rFonts w:hint="eastAsia" w:ascii="宋体" w:hAnsi="宋体"/>
          <w:color w:val="auto"/>
          <w:sz w:val="24"/>
          <w:highlight w:val="none"/>
        </w:rPr>
        <w:t>同志为我公司参加贵单位组织的</w:t>
      </w:r>
      <w:r>
        <w:rPr>
          <w:rFonts w:hint="eastAsia" w:ascii="宋体" w:hAnsi="宋体"/>
          <w:color w:val="auto"/>
          <w:sz w:val="24"/>
          <w:highlight w:val="none"/>
          <w:u w:val="single"/>
        </w:rPr>
        <w:t xml:space="preserve">                     项目</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）竞争性磋商采购活动的委托代理人，全权代表我公司处理在该项目活动中的一切事宜。代理期限从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日起至</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日止。 </w:t>
      </w:r>
    </w:p>
    <w:p w14:paraId="7FF317F7">
      <w:pPr>
        <w:spacing w:line="360" w:lineRule="auto"/>
        <w:rPr>
          <w:rFonts w:ascii="宋体" w:hAnsi="宋体"/>
          <w:color w:val="auto"/>
          <w:sz w:val="24"/>
          <w:highlight w:val="none"/>
        </w:rPr>
      </w:pPr>
    </w:p>
    <w:p w14:paraId="56D6E70C">
      <w:pPr>
        <w:spacing w:line="360" w:lineRule="auto"/>
        <w:rPr>
          <w:rFonts w:ascii="宋体" w:hAnsi="宋体"/>
          <w:color w:val="auto"/>
          <w:sz w:val="24"/>
          <w:highlight w:val="none"/>
        </w:rPr>
      </w:pPr>
      <w:r>
        <w:rPr>
          <w:rFonts w:hint="eastAsia" w:ascii="宋体" w:hAnsi="宋体"/>
          <w:color w:val="auto"/>
          <w:sz w:val="24"/>
          <w:highlight w:val="none"/>
        </w:rPr>
        <w:t>磋商供应商（公章）：</w:t>
      </w:r>
      <w:r>
        <w:rPr>
          <w:rFonts w:hint="eastAsia" w:ascii="宋体" w:hAnsi="宋体"/>
          <w:color w:val="auto"/>
          <w:sz w:val="24"/>
          <w:highlight w:val="none"/>
          <w:u w:val="single"/>
        </w:rPr>
        <w:t xml:space="preserve">               </w:t>
      </w:r>
    </w:p>
    <w:p w14:paraId="37FAAD36">
      <w:pPr>
        <w:spacing w:line="360" w:lineRule="auto"/>
        <w:rPr>
          <w:rFonts w:ascii="宋体" w:hAnsi="宋体"/>
          <w:color w:val="auto"/>
          <w:sz w:val="24"/>
          <w:highlight w:val="none"/>
        </w:rPr>
      </w:pPr>
      <w:r>
        <w:rPr>
          <w:rFonts w:hint="eastAsia" w:ascii="宋体" w:hAnsi="宋体"/>
          <w:color w:val="auto"/>
          <w:sz w:val="24"/>
          <w:highlight w:val="none"/>
        </w:rPr>
        <w:t>法定代表人（负责人）（签名）：</w:t>
      </w:r>
      <w:r>
        <w:rPr>
          <w:rFonts w:hint="eastAsia" w:ascii="宋体" w:hAnsi="宋体"/>
          <w:color w:val="auto"/>
          <w:sz w:val="24"/>
          <w:highlight w:val="none"/>
          <w:u w:val="single"/>
        </w:rPr>
        <w:t xml:space="preserve">       </w:t>
      </w:r>
    </w:p>
    <w:p w14:paraId="2AA69286">
      <w:pPr>
        <w:spacing w:line="360" w:lineRule="auto"/>
        <w:rPr>
          <w:rFonts w:ascii="宋体" w:hAnsi="宋体"/>
          <w:color w:val="auto"/>
          <w:sz w:val="24"/>
          <w:highlight w:val="none"/>
        </w:rPr>
      </w:pPr>
      <w:r>
        <w:rPr>
          <w:rFonts w:hint="eastAsia" w:ascii="宋体" w:hAnsi="宋体"/>
          <w:color w:val="auto"/>
          <w:sz w:val="24"/>
          <w:highlight w:val="none"/>
        </w:rPr>
        <w:t>签发日期：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21E871E8">
      <w:pPr>
        <w:spacing w:line="360" w:lineRule="auto"/>
        <w:rPr>
          <w:rFonts w:ascii="宋体" w:hAnsi="宋体"/>
          <w:color w:val="auto"/>
          <w:sz w:val="24"/>
          <w:highlight w:val="none"/>
        </w:rPr>
      </w:pPr>
    </w:p>
    <w:p w14:paraId="578644AC">
      <w:pPr>
        <w:spacing w:line="360" w:lineRule="auto"/>
        <w:rPr>
          <w:rFonts w:ascii="宋体" w:hAnsi="宋体"/>
          <w:color w:val="auto"/>
          <w:sz w:val="24"/>
          <w:highlight w:val="none"/>
        </w:rPr>
      </w:pPr>
      <w:r>
        <w:rPr>
          <w:rFonts w:hint="eastAsia" w:ascii="宋体" w:hAnsi="宋体"/>
          <w:color w:val="auto"/>
          <w:sz w:val="24"/>
          <w:highlight w:val="none"/>
        </w:rPr>
        <w:t>附：委托代理人工作单位</w:t>
      </w:r>
      <w:r>
        <w:rPr>
          <w:rFonts w:hint="eastAsia" w:ascii="宋体" w:hAnsi="宋体"/>
          <w:color w:val="auto"/>
          <w:sz w:val="24"/>
          <w:highlight w:val="none"/>
          <w:u w:val="single"/>
        </w:rPr>
        <w:t xml:space="preserve">               </w:t>
      </w:r>
    </w:p>
    <w:p w14:paraId="7ACB4AA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性别：</w:t>
      </w:r>
      <w:r>
        <w:rPr>
          <w:rFonts w:hint="eastAsia" w:ascii="宋体" w:hAnsi="宋体"/>
          <w:color w:val="auto"/>
          <w:sz w:val="24"/>
          <w:highlight w:val="none"/>
          <w:u w:val="single"/>
        </w:rPr>
        <w:t xml:space="preserve">    </w:t>
      </w:r>
    </w:p>
    <w:p w14:paraId="5BFD5FE3">
      <w:pPr>
        <w:adjustRightInd w:val="0"/>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tbl>
      <w:tblPr>
        <w:tblStyle w:val="40"/>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7DD0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tcPr>
          <w:p w14:paraId="07D38925">
            <w:pPr>
              <w:spacing w:line="360" w:lineRule="auto"/>
              <w:rPr>
                <w:rFonts w:ascii="宋体" w:hAnsi="宋体"/>
                <w:color w:val="auto"/>
                <w:sz w:val="24"/>
                <w:highlight w:val="none"/>
              </w:rPr>
            </w:pPr>
            <w:r>
              <w:rPr>
                <w:rFonts w:hint="eastAsia" w:ascii="宋体" w:hAnsi="宋体"/>
                <w:color w:val="auto"/>
                <w:sz w:val="24"/>
                <w:highlight w:val="none"/>
              </w:rPr>
              <w:t>粘贴委托代理人的正面及反面身份证复印件</w:t>
            </w:r>
          </w:p>
        </w:tc>
      </w:tr>
    </w:tbl>
    <w:p w14:paraId="25449BA5">
      <w:pPr>
        <w:rPr>
          <w:rFonts w:hint="eastAsia" w:ascii="宋体" w:hAnsi="宋体"/>
          <w:b/>
          <w:color w:val="auto"/>
          <w:sz w:val="24"/>
          <w:highlight w:val="none"/>
        </w:rPr>
      </w:pPr>
      <w:r>
        <w:rPr>
          <w:rFonts w:hint="eastAsia" w:ascii="宋体" w:hAnsi="宋体"/>
          <w:b/>
          <w:color w:val="auto"/>
          <w:sz w:val="24"/>
          <w:highlight w:val="none"/>
        </w:rPr>
        <w:br w:type="page"/>
      </w:r>
    </w:p>
    <w:p w14:paraId="1F2E6BD1">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附件2</w:t>
      </w:r>
    </w:p>
    <w:p w14:paraId="51B4FD88">
      <w:pPr>
        <w:pStyle w:val="29"/>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竞标函及竞标函附录</w:t>
      </w:r>
    </w:p>
    <w:p w14:paraId="52467CE7">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p>
    <w:p w14:paraId="4213202F">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r>
        <w:rPr>
          <w:rFonts w:hint="eastAsia" w:ascii="宋体" w:hAnsi="宋体" w:cs="宋体"/>
          <w:b/>
          <w:bCs/>
          <w:color w:val="auto"/>
          <w:sz w:val="28"/>
          <w:szCs w:val="28"/>
          <w:highlight w:val="none"/>
        </w:rPr>
        <w:t>（一）竞标函</w:t>
      </w:r>
    </w:p>
    <w:p w14:paraId="463F24B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6296432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76E0962A">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（采购人）、（采购代理机构）：</w:t>
      </w:r>
    </w:p>
    <w:p w14:paraId="2CD1E7C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（项目名称、项目编号：）          </w:t>
      </w:r>
      <w:r>
        <w:rPr>
          <w:rFonts w:hint="eastAsia" w:ascii="宋体" w:hAnsi="宋体" w:cs="宋体"/>
          <w:color w:val="auto"/>
          <w:sz w:val="24"/>
          <w:highlight w:val="none"/>
        </w:rPr>
        <w:t>磋商文件的全部内容，愿意以人民币（大写）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的竞标总报价，工期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，按合同约定实施和完成承包工程，修补工程中的任何缺陷，工程质量达到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1B8285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2.我方承认竞标函附录是我方竞标函的组成部分。</w:t>
      </w:r>
    </w:p>
    <w:p w14:paraId="5D51A6AA">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3.如我方成交：</w:t>
      </w:r>
    </w:p>
    <w:p w14:paraId="2A6A7A5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（1）我方承诺在收到成交通知书后，在成交通知书规定的期限内与你方签订合同。</w:t>
      </w:r>
    </w:p>
    <w:p w14:paraId="311C6E9B">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（2）在签订合同时不向你方提出附加条件。</w:t>
      </w:r>
    </w:p>
    <w:p w14:paraId="414864E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（3）我方承诺按照磋商文件规定向你方递交履约担保。</w:t>
      </w:r>
    </w:p>
    <w:p w14:paraId="621C263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（4）我方承诺在合同约定的期限内完成并移交全部合同工程。</w:t>
      </w:r>
    </w:p>
    <w:p w14:paraId="39585A8F">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4.在合同协议书正式签署生效之前，本竞标函连同你方的成交通知书将构成我们双方之间共同遵守的文件，对双方具有约束力。</w:t>
      </w:r>
    </w:p>
    <w:p w14:paraId="066EBE4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5.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（其他补充说明）。                                                                                           </w:t>
      </w:r>
    </w:p>
    <w:p w14:paraId="6BFC56B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495C940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3BC2096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0EF49D0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064366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08BB3FD8">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B03D268">
      <w:pPr>
        <w:spacing w:line="360" w:lineRule="auto"/>
        <w:ind w:left="3222"/>
        <w:rPr>
          <w:rFonts w:ascii="宋体" w:hAnsi="宋体"/>
          <w:color w:val="auto"/>
          <w:sz w:val="24"/>
          <w:highlight w:val="none"/>
        </w:rPr>
      </w:pPr>
    </w:p>
    <w:p w14:paraId="0A9E9254">
      <w:pPr>
        <w:spacing w:line="360" w:lineRule="auto"/>
        <w:ind w:left="3222"/>
        <w:rPr>
          <w:rFonts w:ascii="宋体" w:hAnsi="宋体"/>
          <w:color w:val="auto"/>
          <w:sz w:val="24"/>
          <w:highlight w:val="none"/>
        </w:rPr>
      </w:pPr>
    </w:p>
    <w:p w14:paraId="69E66982">
      <w:pPr>
        <w:spacing w:line="360" w:lineRule="auto"/>
        <w:ind w:left="3222"/>
        <w:rPr>
          <w:rFonts w:ascii="宋体" w:hAnsi="宋体"/>
          <w:color w:val="auto"/>
          <w:sz w:val="24"/>
          <w:highlight w:val="none"/>
        </w:rPr>
      </w:pPr>
    </w:p>
    <w:p w14:paraId="2921D18F">
      <w:pPr>
        <w:spacing w:line="360" w:lineRule="auto"/>
        <w:ind w:left="3222"/>
        <w:rPr>
          <w:rFonts w:ascii="宋体" w:hAnsi="宋体" w:cs="宋体"/>
          <w:b/>
          <w:bCs/>
          <w:color w:val="auto"/>
          <w:sz w:val="31"/>
          <w:szCs w:val="31"/>
          <w:highlight w:val="none"/>
        </w:rPr>
      </w:pPr>
      <w:r>
        <w:rPr>
          <w:rFonts w:hint="eastAsia" w:ascii="宋体" w:hAnsi="宋体" w:cs="宋体"/>
          <w:b/>
          <w:bCs/>
          <w:color w:val="auto"/>
          <w:spacing w:val="-12"/>
          <w:sz w:val="31"/>
          <w:szCs w:val="31"/>
          <w:highlight w:val="none"/>
        </w:rPr>
        <w:t>（二） 竞标函附录</w:t>
      </w:r>
    </w:p>
    <w:tbl>
      <w:tblPr>
        <w:tblStyle w:val="40"/>
        <w:tblpPr w:leftFromText="180" w:rightFromText="180" w:vertAnchor="text" w:horzAnchor="page" w:tblpX="1516" w:tblpY="271"/>
        <w:tblOverlap w:val="never"/>
        <w:tblW w:w="89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386"/>
        <w:gridCol w:w="1395"/>
        <w:gridCol w:w="2966"/>
        <w:gridCol w:w="1516"/>
      </w:tblGrid>
      <w:tr w14:paraId="2B8F1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5" w:type="dxa"/>
            <w:shd w:val="clear" w:color="auto" w:fill="auto"/>
            <w:vAlign w:val="center"/>
          </w:tcPr>
          <w:p w14:paraId="4C40958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序号</w:t>
            </w:r>
          </w:p>
        </w:tc>
        <w:tc>
          <w:tcPr>
            <w:tcW w:w="2386" w:type="dxa"/>
            <w:shd w:val="clear" w:color="auto" w:fill="auto"/>
            <w:vAlign w:val="center"/>
          </w:tcPr>
          <w:p w14:paraId="7291C05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条款内容</w:t>
            </w:r>
          </w:p>
        </w:tc>
        <w:tc>
          <w:tcPr>
            <w:tcW w:w="1395" w:type="dxa"/>
            <w:shd w:val="clear" w:color="auto" w:fill="auto"/>
            <w:vAlign w:val="center"/>
          </w:tcPr>
          <w:p w14:paraId="2A68BA4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合同条款号</w:t>
            </w:r>
          </w:p>
        </w:tc>
        <w:tc>
          <w:tcPr>
            <w:tcW w:w="2966" w:type="dxa"/>
            <w:shd w:val="clear" w:color="auto" w:fill="auto"/>
            <w:vAlign w:val="center"/>
          </w:tcPr>
          <w:p w14:paraId="395E632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约定内容</w:t>
            </w:r>
          </w:p>
        </w:tc>
        <w:tc>
          <w:tcPr>
            <w:tcW w:w="1516" w:type="dxa"/>
            <w:shd w:val="clear" w:color="auto" w:fill="auto"/>
            <w:vAlign w:val="center"/>
          </w:tcPr>
          <w:p w14:paraId="26D906B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供应商承诺</w:t>
            </w:r>
          </w:p>
        </w:tc>
      </w:tr>
      <w:tr w14:paraId="4054B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3F61A46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1</w:t>
            </w:r>
          </w:p>
        </w:tc>
        <w:tc>
          <w:tcPr>
            <w:tcW w:w="2386" w:type="dxa"/>
            <w:shd w:val="clear" w:color="auto" w:fill="auto"/>
            <w:vAlign w:val="center"/>
          </w:tcPr>
          <w:p w14:paraId="58FA561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项目经理</w:t>
            </w:r>
          </w:p>
        </w:tc>
        <w:tc>
          <w:tcPr>
            <w:tcW w:w="1395" w:type="dxa"/>
            <w:shd w:val="clear" w:color="auto" w:fill="auto"/>
            <w:vAlign w:val="center"/>
          </w:tcPr>
          <w:p w14:paraId="212AFEC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9ED72D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姓名：</w:t>
            </w:r>
          </w:p>
        </w:tc>
        <w:tc>
          <w:tcPr>
            <w:tcW w:w="1516" w:type="dxa"/>
            <w:shd w:val="clear" w:color="auto" w:fill="auto"/>
            <w:vAlign w:val="center"/>
          </w:tcPr>
          <w:p w14:paraId="6C384B5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E139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1D78BA8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2</w:t>
            </w:r>
          </w:p>
        </w:tc>
        <w:tc>
          <w:tcPr>
            <w:tcW w:w="2386" w:type="dxa"/>
            <w:shd w:val="clear" w:color="auto" w:fill="auto"/>
            <w:vAlign w:val="center"/>
          </w:tcPr>
          <w:p w14:paraId="56B6D17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竞标有效期</w:t>
            </w:r>
          </w:p>
        </w:tc>
        <w:tc>
          <w:tcPr>
            <w:tcW w:w="1395" w:type="dxa"/>
            <w:shd w:val="clear" w:color="auto" w:fill="auto"/>
            <w:vAlign w:val="center"/>
          </w:tcPr>
          <w:p w14:paraId="649C82F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2966" w:type="dxa"/>
            <w:shd w:val="clear" w:color="auto" w:fill="auto"/>
            <w:vAlign w:val="center"/>
          </w:tcPr>
          <w:p w14:paraId="59B89C4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日历天</w:t>
            </w:r>
          </w:p>
        </w:tc>
        <w:tc>
          <w:tcPr>
            <w:tcW w:w="1516" w:type="dxa"/>
            <w:shd w:val="clear" w:color="auto" w:fill="auto"/>
            <w:vAlign w:val="center"/>
          </w:tcPr>
          <w:p w14:paraId="1A5C29A0">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3D26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2C390B80">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3</w:t>
            </w:r>
          </w:p>
        </w:tc>
        <w:tc>
          <w:tcPr>
            <w:tcW w:w="2386" w:type="dxa"/>
            <w:shd w:val="clear" w:color="auto" w:fill="auto"/>
            <w:vAlign w:val="center"/>
          </w:tcPr>
          <w:p w14:paraId="0CC4EE1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工期</w:t>
            </w:r>
          </w:p>
        </w:tc>
        <w:tc>
          <w:tcPr>
            <w:tcW w:w="1395" w:type="dxa"/>
            <w:shd w:val="clear" w:color="auto" w:fill="auto"/>
            <w:vAlign w:val="center"/>
          </w:tcPr>
          <w:p w14:paraId="1177B666">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707D5D4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45B9667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38733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0" w:hRule="atLeast"/>
        </w:trPr>
        <w:tc>
          <w:tcPr>
            <w:tcW w:w="695" w:type="dxa"/>
            <w:shd w:val="clear" w:color="auto" w:fill="auto"/>
            <w:vAlign w:val="center"/>
          </w:tcPr>
          <w:p w14:paraId="755DBF9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4</w:t>
            </w:r>
          </w:p>
        </w:tc>
        <w:tc>
          <w:tcPr>
            <w:tcW w:w="2386" w:type="dxa"/>
            <w:shd w:val="clear" w:color="auto" w:fill="auto"/>
            <w:vAlign w:val="center"/>
          </w:tcPr>
          <w:p w14:paraId="50C6645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缺陷责任期</w:t>
            </w:r>
          </w:p>
        </w:tc>
        <w:tc>
          <w:tcPr>
            <w:tcW w:w="1395" w:type="dxa"/>
            <w:shd w:val="clear" w:color="auto" w:fill="auto"/>
            <w:vAlign w:val="center"/>
          </w:tcPr>
          <w:p w14:paraId="6B8566C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6E076786">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2AAE156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41F6D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4158BC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5</w:t>
            </w:r>
          </w:p>
        </w:tc>
        <w:tc>
          <w:tcPr>
            <w:tcW w:w="2386" w:type="dxa"/>
            <w:shd w:val="clear" w:color="auto" w:fill="auto"/>
            <w:vAlign w:val="center"/>
          </w:tcPr>
          <w:p w14:paraId="4DAD8B4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发包人支付担保</w:t>
            </w:r>
          </w:p>
        </w:tc>
        <w:tc>
          <w:tcPr>
            <w:tcW w:w="1395" w:type="dxa"/>
            <w:shd w:val="clear" w:color="auto" w:fill="auto"/>
            <w:vAlign w:val="center"/>
          </w:tcPr>
          <w:p w14:paraId="6771126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757C2B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27579C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71828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95" w:type="dxa"/>
            <w:shd w:val="clear" w:color="auto" w:fill="auto"/>
            <w:vAlign w:val="center"/>
          </w:tcPr>
          <w:p w14:paraId="160784C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6</w:t>
            </w:r>
          </w:p>
        </w:tc>
        <w:tc>
          <w:tcPr>
            <w:tcW w:w="2386" w:type="dxa"/>
            <w:shd w:val="clear" w:color="auto" w:fill="auto"/>
            <w:vAlign w:val="center"/>
          </w:tcPr>
          <w:p w14:paraId="5F969E1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承包人履约担保金额</w:t>
            </w:r>
          </w:p>
        </w:tc>
        <w:tc>
          <w:tcPr>
            <w:tcW w:w="1395" w:type="dxa"/>
            <w:shd w:val="clear" w:color="auto" w:fill="auto"/>
            <w:vAlign w:val="center"/>
          </w:tcPr>
          <w:p w14:paraId="33E38A5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E08CB7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A5A03D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7E0EB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696DEC0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7</w:t>
            </w:r>
          </w:p>
        </w:tc>
        <w:tc>
          <w:tcPr>
            <w:tcW w:w="2386" w:type="dxa"/>
            <w:shd w:val="clear" w:color="auto" w:fill="auto"/>
            <w:vAlign w:val="center"/>
          </w:tcPr>
          <w:p w14:paraId="66313880">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分包</w:t>
            </w:r>
          </w:p>
        </w:tc>
        <w:tc>
          <w:tcPr>
            <w:tcW w:w="1395" w:type="dxa"/>
            <w:shd w:val="clear" w:color="auto" w:fill="auto"/>
            <w:vAlign w:val="center"/>
          </w:tcPr>
          <w:p w14:paraId="1524C0B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4A14F54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不允许</w:t>
            </w:r>
          </w:p>
        </w:tc>
        <w:tc>
          <w:tcPr>
            <w:tcW w:w="1516" w:type="dxa"/>
            <w:shd w:val="clear" w:color="auto" w:fill="auto"/>
            <w:vAlign w:val="center"/>
          </w:tcPr>
          <w:p w14:paraId="6635B6B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7B95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7A0FF93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8</w:t>
            </w:r>
          </w:p>
        </w:tc>
        <w:tc>
          <w:tcPr>
            <w:tcW w:w="2386" w:type="dxa"/>
            <w:shd w:val="clear" w:color="auto" w:fill="auto"/>
            <w:vAlign w:val="center"/>
          </w:tcPr>
          <w:p w14:paraId="5D3720F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逾期竣工违约金</w:t>
            </w:r>
          </w:p>
        </w:tc>
        <w:tc>
          <w:tcPr>
            <w:tcW w:w="1395" w:type="dxa"/>
            <w:shd w:val="clear" w:color="auto" w:fill="auto"/>
            <w:vAlign w:val="center"/>
          </w:tcPr>
          <w:p w14:paraId="5259964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4655D5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30E4F4F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48F87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95" w:type="dxa"/>
            <w:shd w:val="clear" w:color="auto" w:fill="auto"/>
            <w:vAlign w:val="center"/>
          </w:tcPr>
          <w:p w14:paraId="26F05C7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9</w:t>
            </w:r>
          </w:p>
        </w:tc>
        <w:tc>
          <w:tcPr>
            <w:tcW w:w="2386" w:type="dxa"/>
            <w:shd w:val="clear" w:color="auto" w:fill="auto"/>
            <w:vAlign w:val="center"/>
          </w:tcPr>
          <w:p w14:paraId="787FE4E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逾期竣工违约金的上限</w:t>
            </w:r>
          </w:p>
        </w:tc>
        <w:tc>
          <w:tcPr>
            <w:tcW w:w="1395" w:type="dxa"/>
            <w:shd w:val="clear" w:color="auto" w:fill="auto"/>
            <w:vAlign w:val="center"/>
          </w:tcPr>
          <w:p w14:paraId="485FA71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0802446">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27E9E9E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98A0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5CD8C08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10</w:t>
            </w:r>
          </w:p>
        </w:tc>
        <w:tc>
          <w:tcPr>
            <w:tcW w:w="2386" w:type="dxa"/>
            <w:shd w:val="clear" w:color="auto" w:fill="auto"/>
            <w:vAlign w:val="center"/>
          </w:tcPr>
          <w:p w14:paraId="18A3EF0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质量标准</w:t>
            </w:r>
          </w:p>
        </w:tc>
        <w:tc>
          <w:tcPr>
            <w:tcW w:w="1395" w:type="dxa"/>
            <w:shd w:val="clear" w:color="auto" w:fill="auto"/>
            <w:vAlign w:val="center"/>
          </w:tcPr>
          <w:p w14:paraId="7303E10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7A30383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5B7AE9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2F131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28CF7120">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11</w:t>
            </w:r>
          </w:p>
        </w:tc>
        <w:tc>
          <w:tcPr>
            <w:tcW w:w="2386" w:type="dxa"/>
            <w:shd w:val="clear" w:color="auto" w:fill="auto"/>
            <w:vAlign w:val="center"/>
          </w:tcPr>
          <w:p w14:paraId="5A01285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预付款额度</w:t>
            </w:r>
          </w:p>
        </w:tc>
        <w:tc>
          <w:tcPr>
            <w:tcW w:w="1395" w:type="dxa"/>
            <w:shd w:val="clear" w:color="auto" w:fill="auto"/>
            <w:vAlign w:val="center"/>
          </w:tcPr>
          <w:p w14:paraId="41CAA2E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D20F60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64DA8A1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D07F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5BFE4E5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12</w:t>
            </w:r>
          </w:p>
        </w:tc>
        <w:tc>
          <w:tcPr>
            <w:tcW w:w="2386" w:type="dxa"/>
            <w:shd w:val="clear" w:color="auto" w:fill="auto"/>
            <w:vAlign w:val="center"/>
          </w:tcPr>
          <w:p w14:paraId="79ADCD9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预付款保函金额</w:t>
            </w:r>
          </w:p>
        </w:tc>
        <w:tc>
          <w:tcPr>
            <w:tcW w:w="1395" w:type="dxa"/>
            <w:shd w:val="clear" w:color="auto" w:fill="auto"/>
            <w:vAlign w:val="center"/>
          </w:tcPr>
          <w:p w14:paraId="02E385C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0D29D6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mc:AlternateContent>
                <mc:Choice Requires="wps">
                  <w:drawing>
                    <wp:anchor distT="0" distB="0" distL="114300" distR="114300" simplePos="0" relativeHeight="251660288" behindDoc="0" locked="0" layoutInCell="1" allowOverlap="1">
                      <wp:simplePos x="0" y="0"/>
                      <wp:positionH relativeFrom="page">
                        <wp:posOffset>4598670</wp:posOffset>
                      </wp:positionH>
                      <wp:positionV relativeFrom="page">
                        <wp:posOffset>6225540</wp:posOffset>
                      </wp:positionV>
                      <wp:extent cx="67310" cy="6350"/>
                      <wp:effectExtent l="0" t="0" r="0" b="0"/>
                      <wp:wrapNone/>
                      <wp:docPr id="6" name="矩形 6"/>
                      <wp:cNvGraphicFramePr/>
                      <a:graphic xmlns:a="http://schemas.openxmlformats.org/drawingml/2006/main">
                        <a:graphicData uri="http://schemas.microsoft.com/office/word/2010/wordprocessingShape">
                          <wps:wsp>
                            <wps:cNvSpPr/>
                            <wps:spPr>
                              <a:xfrm>
                                <a:off x="0" y="0"/>
                                <a:ext cx="6731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62.1pt;margin-top:490.2pt;height:0.5pt;width:5.3pt;mso-position-horizontal-relative:page;mso-position-vertical-relative:page;z-index:251660288;mso-width-relative:page;mso-height-relative:page;" fillcolor="#000000" filled="t" stroked="f" coordsize="21600,21600" o:gfxdata="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zxk&#10;INoAAAALAQAADwAAAAAAAAABACAAAAAiAAAAZHJzL2Rvd25yZXYueG1sUEsBAhQAFAAAAAgAh07i&#10;QKbwq1OuAQAAWwMAAA4AAAAAAAAAAQAgAAAAKQEAAGRycy9lMm9Eb2MueG1sUEsFBgAAAAAGAAYA&#10;WQEAAEkFAAAAAA==&#10;">
                      <v:fill on="t" focussize="0,0"/>
                      <v:stroke on="f"/>
                      <v:imagedata o:title=""/>
                      <o:lock v:ext="edit" aspectratio="f"/>
                    </v:rect>
                  </w:pict>
                </mc:Fallback>
              </mc:AlternateContent>
            </w:r>
          </w:p>
        </w:tc>
        <w:tc>
          <w:tcPr>
            <w:tcW w:w="1516" w:type="dxa"/>
            <w:shd w:val="clear" w:color="auto" w:fill="auto"/>
            <w:vAlign w:val="center"/>
          </w:tcPr>
          <w:p w14:paraId="4B4979C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49BAE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0020344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13</w:t>
            </w:r>
          </w:p>
        </w:tc>
        <w:tc>
          <w:tcPr>
            <w:tcW w:w="2386" w:type="dxa"/>
            <w:shd w:val="clear" w:color="auto" w:fill="auto"/>
            <w:vAlign w:val="center"/>
          </w:tcPr>
          <w:p w14:paraId="2ACB327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质量保证金额度</w:t>
            </w:r>
          </w:p>
        </w:tc>
        <w:tc>
          <w:tcPr>
            <w:tcW w:w="1395" w:type="dxa"/>
            <w:shd w:val="clear" w:color="auto" w:fill="auto"/>
            <w:vAlign w:val="center"/>
          </w:tcPr>
          <w:p w14:paraId="531A2DC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38735E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4115C6F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5BD2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6A5D5DF6">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p w14:paraId="78B73F9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2386" w:type="dxa"/>
            <w:shd w:val="clear" w:color="auto" w:fill="auto"/>
            <w:vAlign w:val="center"/>
          </w:tcPr>
          <w:p w14:paraId="4C9BF6A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p w14:paraId="694CDF0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1395" w:type="dxa"/>
            <w:shd w:val="clear" w:color="auto" w:fill="auto"/>
            <w:vAlign w:val="center"/>
          </w:tcPr>
          <w:p w14:paraId="5CDFD9A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2966" w:type="dxa"/>
            <w:shd w:val="clear" w:color="auto" w:fill="auto"/>
            <w:vAlign w:val="center"/>
          </w:tcPr>
          <w:p w14:paraId="02BADA7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A0C629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989C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958" w:type="dxa"/>
            <w:gridSpan w:val="5"/>
            <w:shd w:val="clear" w:color="auto" w:fill="auto"/>
            <w:vAlign w:val="center"/>
          </w:tcPr>
          <w:p w14:paraId="79DA8A2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说明： 供应商在响应磋商文件中规定的实质性要求和条件的基础上，可做出其他有利于采购人的承诺。此类承诺可在本表中予以补充填写。</w:t>
            </w:r>
          </w:p>
        </w:tc>
      </w:tr>
    </w:tbl>
    <w:p w14:paraId="2AA53EC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p w14:paraId="21147B6F">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60EAF19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1985408">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1E86210A">
      <w:pPr>
        <w:spacing w:line="360" w:lineRule="auto"/>
        <w:jc w:val="left"/>
        <w:rPr>
          <w:rFonts w:ascii="宋体" w:hAnsi="宋体" w:cs="宋体"/>
          <w:b/>
          <w:bCs/>
          <w:color w:val="auto"/>
          <w:spacing w:val="7"/>
          <w:sz w:val="24"/>
          <w:highlight w:val="none"/>
        </w:rPr>
      </w:pPr>
    </w:p>
    <w:p w14:paraId="65C4857E">
      <w:pPr>
        <w:spacing w:line="360" w:lineRule="auto"/>
        <w:jc w:val="left"/>
        <w:rPr>
          <w:rFonts w:ascii="宋体" w:hAnsi="宋体" w:cs="宋体"/>
          <w:b/>
          <w:bCs/>
          <w:color w:val="auto"/>
          <w:spacing w:val="7"/>
          <w:sz w:val="24"/>
          <w:highlight w:val="none"/>
        </w:rPr>
      </w:pPr>
      <w:r>
        <w:rPr>
          <w:rFonts w:hint="eastAsia" w:ascii="宋体" w:hAnsi="宋体" w:cs="宋体"/>
          <w:b/>
          <w:bCs/>
          <w:color w:val="auto"/>
          <w:spacing w:val="7"/>
          <w:sz w:val="24"/>
          <w:highlight w:val="none"/>
        </w:rPr>
        <w:t>附件3</w:t>
      </w:r>
    </w:p>
    <w:p w14:paraId="751EAFE2">
      <w:pPr>
        <w:spacing w:line="360" w:lineRule="auto"/>
        <w:ind w:left="3643"/>
        <w:rPr>
          <w:rFonts w:ascii="宋体" w:hAnsi="宋体" w:cs="宋体"/>
          <w:color w:val="auto"/>
          <w:sz w:val="31"/>
          <w:szCs w:val="31"/>
          <w:highlight w:val="none"/>
        </w:rPr>
      </w:pPr>
      <w:r>
        <w:rPr>
          <w:rFonts w:hint="eastAsia" w:ascii="宋体" w:hAnsi="宋体" w:cs="宋体"/>
          <w:color w:val="auto"/>
          <w:spacing w:val="7"/>
          <w:sz w:val="31"/>
          <w:szCs w:val="31"/>
          <w:highlight w:val="none"/>
        </w:rPr>
        <w:t>竞标报价表</w:t>
      </w:r>
    </w:p>
    <w:p w14:paraId="1A841EE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项目名称：                  项目编号：                    </w:t>
      </w:r>
    </w:p>
    <w:p w14:paraId="0697AB0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分标（如有）：             </w:t>
      </w:r>
    </w:p>
    <w:p w14:paraId="7E9609F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供应商名称：                                            </w:t>
      </w:r>
    </w:p>
    <w:p w14:paraId="4AF7215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单位：元</w:t>
      </w:r>
    </w:p>
    <w:tbl>
      <w:tblPr>
        <w:tblStyle w:val="40"/>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3121"/>
        <w:gridCol w:w="1984"/>
        <w:gridCol w:w="1710"/>
      </w:tblGrid>
      <w:tr w14:paraId="6BD55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109" w:type="dxa"/>
            <w:gridSpan w:val="2"/>
            <w:shd w:val="clear" w:color="auto" w:fill="auto"/>
            <w:vAlign w:val="center"/>
          </w:tcPr>
          <w:p w14:paraId="17625A8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磋商报价</w:t>
            </w:r>
          </w:p>
        </w:tc>
        <w:tc>
          <w:tcPr>
            <w:tcW w:w="1984" w:type="dxa"/>
            <w:shd w:val="clear" w:color="auto" w:fill="auto"/>
            <w:vAlign w:val="center"/>
          </w:tcPr>
          <w:p w14:paraId="17AF8A5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5ABBF25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备注</w:t>
            </w:r>
          </w:p>
        </w:tc>
      </w:tr>
      <w:tr w14:paraId="06D25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988" w:type="dxa"/>
            <w:vMerge w:val="restart"/>
            <w:tcBorders>
              <w:bottom w:val="nil"/>
            </w:tcBorders>
            <w:shd w:val="clear" w:color="auto" w:fill="auto"/>
            <w:vAlign w:val="center"/>
          </w:tcPr>
          <w:p w14:paraId="2315291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宋体" w:hAnsi="宋体" w:cs="宋体"/>
                <w:color w:val="auto"/>
                <w:sz w:val="24"/>
                <w:highlight w:val="none"/>
              </w:rPr>
            </w:pPr>
          </w:p>
          <w:p w14:paraId="13A0EDB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其中</w:t>
            </w:r>
          </w:p>
        </w:tc>
        <w:tc>
          <w:tcPr>
            <w:tcW w:w="3121" w:type="dxa"/>
            <w:shd w:val="clear" w:color="auto" w:fill="auto"/>
            <w:vAlign w:val="center"/>
          </w:tcPr>
          <w:p w14:paraId="2743B56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安全文明施工费</w:t>
            </w:r>
          </w:p>
        </w:tc>
        <w:tc>
          <w:tcPr>
            <w:tcW w:w="1984" w:type="dxa"/>
            <w:shd w:val="clear" w:color="auto" w:fill="auto"/>
            <w:vAlign w:val="center"/>
          </w:tcPr>
          <w:p w14:paraId="52FE70D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1BD705C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r w14:paraId="3A649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7AD23E8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5BCF7A2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发包人提供材料（如有）</w:t>
            </w:r>
          </w:p>
        </w:tc>
        <w:tc>
          <w:tcPr>
            <w:tcW w:w="1984" w:type="dxa"/>
            <w:shd w:val="clear" w:color="auto" w:fill="auto"/>
            <w:vAlign w:val="center"/>
          </w:tcPr>
          <w:p w14:paraId="04B9C24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715A729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r w14:paraId="15005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988" w:type="dxa"/>
            <w:vMerge w:val="continue"/>
            <w:tcBorders>
              <w:top w:val="nil"/>
              <w:bottom w:val="nil"/>
            </w:tcBorders>
            <w:shd w:val="clear" w:color="auto" w:fill="auto"/>
            <w:vAlign w:val="center"/>
          </w:tcPr>
          <w:p w14:paraId="1764BC6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257FAA07">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rPr>
              <w:t>承包人提供材料（设备）暂估价</w:t>
            </w:r>
            <w:r>
              <w:rPr>
                <w:rFonts w:hint="eastAsia" w:ascii="宋体" w:hAnsi="宋体" w:cs="宋体"/>
                <w:color w:val="auto"/>
                <w:sz w:val="24"/>
                <w:highlight w:val="none"/>
                <w:lang w:eastAsia="en-US"/>
              </w:rPr>
              <w:t>（如有）</w:t>
            </w:r>
          </w:p>
        </w:tc>
        <w:tc>
          <w:tcPr>
            <w:tcW w:w="1984" w:type="dxa"/>
            <w:shd w:val="clear" w:color="auto" w:fill="auto"/>
            <w:vAlign w:val="center"/>
          </w:tcPr>
          <w:p w14:paraId="61B8C03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1DEAFB3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r w14:paraId="6C53D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42D308F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756D6BD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暂估专业工程（如有）</w:t>
            </w:r>
          </w:p>
        </w:tc>
        <w:tc>
          <w:tcPr>
            <w:tcW w:w="1984" w:type="dxa"/>
            <w:shd w:val="clear" w:color="auto" w:fill="auto"/>
            <w:vAlign w:val="center"/>
          </w:tcPr>
          <w:p w14:paraId="7002CD6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1248729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r w14:paraId="0B9C7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988" w:type="dxa"/>
            <w:vMerge w:val="continue"/>
            <w:tcBorders>
              <w:top w:val="nil"/>
              <w:bottom w:val="nil"/>
            </w:tcBorders>
            <w:shd w:val="clear" w:color="auto" w:fill="auto"/>
            <w:vAlign w:val="center"/>
          </w:tcPr>
          <w:p w14:paraId="73688D3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582FC35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暂列金额（如有）</w:t>
            </w:r>
          </w:p>
        </w:tc>
        <w:tc>
          <w:tcPr>
            <w:tcW w:w="1984" w:type="dxa"/>
            <w:shd w:val="clear" w:color="auto" w:fill="auto"/>
            <w:vAlign w:val="center"/>
          </w:tcPr>
          <w:p w14:paraId="4459B6F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5E76A41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r w14:paraId="75228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988" w:type="dxa"/>
            <w:tcBorders>
              <w:top w:val="nil"/>
            </w:tcBorders>
            <w:shd w:val="clear" w:color="auto" w:fill="auto"/>
            <w:vAlign w:val="center"/>
          </w:tcPr>
          <w:p w14:paraId="3E0F5BF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664FADD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安全生产责任险</w:t>
            </w:r>
          </w:p>
        </w:tc>
        <w:tc>
          <w:tcPr>
            <w:tcW w:w="1984" w:type="dxa"/>
            <w:shd w:val="clear" w:color="auto" w:fill="auto"/>
            <w:vAlign w:val="center"/>
          </w:tcPr>
          <w:p w14:paraId="3A14138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607DB89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center"/>
              <w:textAlignment w:val="baseline"/>
              <w:rPr>
                <w:rFonts w:ascii="宋体" w:hAnsi="宋体" w:cs="宋体"/>
                <w:color w:val="auto"/>
                <w:sz w:val="24"/>
                <w:highlight w:val="none"/>
              </w:rPr>
            </w:pPr>
          </w:p>
        </w:tc>
      </w:tr>
    </w:tbl>
    <w:p w14:paraId="119835B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注:</w:t>
      </w:r>
    </w:p>
    <w:p w14:paraId="4B36C32A">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 供应商的报价表使用电子签名，否则其响应文件按无效处理。</w:t>
      </w:r>
    </w:p>
    <w:p w14:paraId="3A17159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 报价一经涂改，应在涂改处使用电子签名，或由法定代表人或者授权委托人签字，否则其响应文件按无效处理。</w:t>
      </w:r>
    </w:p>
    <w:p w14:paraId="6558E2BB">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3.如为联合体竞标，“供应商名称”处必须列明联合体各方名称，标注联合体牵头人名称，否则其响应文件按无效处理。</w:t>
      </w:r>
    </w:p>
    <w:p w14:paraId="16DA24A2">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 如为联合体竞标，须使用联合体牵头人电子签名，否则其响应文件按无效处理。</w:t>
      </w:r>
    </w:p>
    <w:p w14:paraId="21913F9A">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5.如有多分标，分别列明各分标的报价表，否则其响应文件按无效处理。</w:t>
      </w:r>
    </w:p>
    <w:p w14:paraId="599B1810">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2D84388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5A75F0B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6F888F17">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1F3F8EE9">
      <w:pPr>
        <w:spacing w:line="360" w:lineRule="auto"/>
        <w:rPr>
          <w:rFonts w:ascii="宋体" w:hAnsi="宋体"/>
          <w:b/>
          <w:bCs/>
          <w:color w:val="auto"/>
          <w:sz w:val="24"/>
          <w:highlight w:val="none"/>
        </w:rPr>
      </w:pPr>
    </w:p>
    <w:p w14:paraId="4ADC032C">
      <w:pPr>
        <w:spacing w:line="360" w:lineRule="auto"/>
        <w:rPr>
          <w:rFonts w:ascii="宋体" w:hAnsi="宋体"/>
          <w:b/>
          <w:bCs/>
          <w:color w:val="auto"/>
          <w:sz w:val="24"/>
          <w:highlight w:val="none"/>
        </w:rPr>
      </w:pPr>
    </w:p>
    <w:p w14:paraId="69E6B978">
      <w:pPr>
        <w:spacing w:line="360" w:lineRule="auto"/>
        <w:rPr>
          <w:rFonts w:ascii="宋体" w:hAnsi="宋体"/>
          <w:b/>
          <w:bCs/>
          <w:color w:val="auto"/>
          <w:sz w:val="24"/>
          <w:highlight w:val="none"/>
        </w:rPr>
      </w:pPr>
      <w:r>
        <w:rPr>
          <w:rFonts w:hint="eastAsia" w:ascii="宋体" w:hAnsi="宋体"/>
          <w:b/>
          <w:bCs/>
          <w:color w:val="auto"/>
          <w:sz w:val="24"/>
          <w:highlight w:val="none"/>
        </w:rPr>
        <w:t>附件4</w:t>
      </w:r>
    </w:p>
    <w:p w14:paraId="68013CE0">
      <w:pPr>
        <w:widowControl/>
        <w:kinsoku w:val="0"/>
        <w:autoSpaceDE w:val="0"/>
        <w:autoSpaceDN w:val="0"/>
        <w:adjustRightInd w:val="0"/>
        <w:snapToGrid w:val="0"/>
        <w:spacing w:line="360" w:lineRule="auto"/>
        <w:ind w:firstLine="562" w:firstLineChars="200"/>
        <w:jc w:val="center"/>
        <w:textAlignment w:val="baseline"/>
        <w:rPr>
          <w:rFonts w:ascii="宋体" w:hAnsi="宋体" w:cs="宋体"/>
          <w:b/>
          <w:bCs/>
          <w:color w:val="auto"/>
          <w:sz w:val="28"/>
          <w:szCs w:val="28"/>
          <w:highlight w:val="none"/>
        </w:rPr>
      </w:pPr>
    </w:p>
    <w:p w14:paraId="704C431B">
      <w:pPr>
        <w:widowControl/>
        <w:kinsoku w:val="0"/>
        <w:autoSpaceDE w:val="0"/>
        <w:autoSpaceDN w:val="0"/>
        <w:adjustRightInd w:val="0"/>
        <w:snapToGrid w:val="0"/>
        <w:spacing w:line="360" w:lineRule="auto"/>
        <w:ind w:firstLine="482" w:firstLineChars="200"/>
        <w:jc w:val="center"/>
        <w:textAlignment w:val="baseline"/>
        <w:rPr>
          <w:rFonts w:ascii="宋体" w:hAnsi="宋体" w:cs="宋体"/>
          <w:b/>
          <w:bCs/>
          <w:color w:val="auto"/>
          <w:sz w:val="24"/>
          <w:highlight w:val="none"/>
        </w:rPr>
      </w:pPr>
      <w:r>
        <w:rPr>
          <w:rFonts w:hint="eastAsia" w:ascii="宋体" w:hAnsi="宋体" w:cs="宋体"/>
          <w:b/>
          <w:bCs/>
          <w:color w:val="auto"/>
          <w:sz w:val="24"/>
          <w:highlight w:val="none"/>
        </w:rPr>
        <w:t>已标价工程量清单</w:t>
      </w:r>
    </w:p>
    <w:p w14:paraId="79856B0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1.已标价工程量清单应按第四章“工程量清单及图纸”中的相关表格及竞标报价说明填写。构成合同文件的已标价工程量清单包括第四章“工程量清单及图纸”有关工程量清单、竞标报价以及其他说明的内容。</w:t>
      </w:r>
    </w:p>
    <w:p w14:paraId="2438A98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2.一般计税法建设工程已标价工程量清单表格按《关于建筑业实施营业税改征增值税后广西壮族自治区建设工程计价依据调整的通知》（桂建标〔2016〕17 号）附件“增值税一般计税方法工程计价表”要求提供，简易计税法表格按《广西壮族自治区建设工程多层级工程量清单计算规范》</w:t>
      </w:r>
      <w:r>
        <w:rPr>
          <w:rFonts w:hint="eastAsia" w:ascii="宋体" w:hAnsi="宋体" w:cs="宋体"/>
          <w:color w:val="auto"/>
          <w:sz w:val="24"/>
          <w:highlight w:val="none"/>
          <w:lang w:eastAsia="zh-CN"/>
        </w:rPr>
        <w:t>（</w:t>
      </w:r>
      <w:r>
        <w:rPr>
          <w:rFonts w:hint="eastAsia" w:ascii="宋体" w:hAnsi="宋体" w:cs="宋体"/>
          <w:color w:val="auto"/>
          <w:sz w:val="24"/>
          <w:highlight w:val="none"/>
        </w:rPr>
        <w:t>桂建价(2025)1号</w:t>
      </w:r>
      <w:r>
        <w:rPr>
          <w:rFonts w:hint="eastAsia" w:ascii="宋体" w:hAnsi="宋体" w:cs="宋体"/>
          <w:color w:val="auto"/>
          <w:sz w:val="24"/>
          <w:highlight w:val="none"/>
          <w:lang w:eastAsia="zh-CN"/>
        </w:rPr>
        <w:t>）</w:t>
      </w:r>
      <w:r>
        <w:rPr>
          <w:rFonts w:hint="eastAsia" w:ascii="宋体" w:hAnsi="宋体" w:cs="宋体"/>
          <w:color w:val="auto"/>
          <w:sz w:val="24"/>
          <w:highlight w:val="none"/>
        </w:rPr>
        <w:t>要求的表格提供，但规费和税费按照《关于建筑业实施营业税改征增值税后广西壮族自治区建设工程计价依据调整的通知》（桂建标〔2016〕17 号）、《自治区住房城乡建设厅关于调整建设工程计价增值税税率的通知》（桂建标〔2018〕14 号）、《自治区住房城乡建设厅关于调整建设工程计价增值税税率的通知》（桂建标〔2019〕12 号）调整，具体内容以工程量清单为准。</w:t>
      </w:r>
    </w:p>
    <w:p w14:paraId="2C84A2C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0B908532">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6C3C7C6D">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p>
    <w:p w14:paraId="09D7F6D5">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备注：</w:t>
      </w:r>
    </w:p>
    <w:p w14:paraId="588E570C">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1）供应商在上传竞标报价文件时应上传纸质竞标总价封面的原件扫描件。报标总价封面必须经供应商盖章，并由法定代表人（或其授权人）签字（或盖章），同时由编制人签字盖专用章，否则按无效磋商处理。</w:t>
      </w:r>
    </w:p>
    <w:p w14:paraId="378BE5D6">
      <w:pPr>
        <w:spacing w:line="360" w:lineRule="auto"/>
        <w:ind w:firstLine="482" w:firstLineChars="200"/>
        <w:rPr>
          <w:rFonts w:ascii="宋体" w:hAnsi="宋体"/>
          <w:b/>
          <w:color w:val="auto"/>
          <w:sz w:val="24"/>
          <w:highlight w:val="none"/>
        </w:rPr>
        <w:sectPr>
          <w:pgSz w:w="11907" w:h="16839"/>
          <w:pgMar w:top="1431" w:right="1272" w:bottom="1364" w:left="1418" w:header="850" w:footer="1204" w:gutter="0"/>
          <w:pgNumType w:fmt="decimal"/>
          <w:cols w:space="720" w:num="1"/>
          <w:docGrid w:linePitch="286" w:charSpace="0"/>
        </w:sectPr>
      </w:pPr>
      <w:r>
        <w:rPr>
          <w:rFonts w:hint="eastAsia" w:ascii="宋体" w:hAnsi="宋体" w:cs="宋体"/>
          <w:b/>
          <w:bCs/>
          <w:color w:val="auto"/>
          <w:sz w:val="24"/>
          <w:highlight w:val="none"/>
        </w:rPr>
        <w:t>（2）已标价工程量清单表格要严格按照工程量清单给出的表格要求和内容填报，否则按无效磋商处理。</w:t>
      </w:r>
    </w:p>
    <w:p w14:paraId="639198F1">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附件5</w:t>
      </w:r>
    </w:p>
    <w:p w14:paraId="7C454F71">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磋 商 书</w:t>
      </w:r>
    </w:p>
    <w:p w14:paraId="14DA827F">
      <w:pPr>
        <w:spacing w:line="360" w:lineRule="auto"/>
        <w:jc w:val="center"/>
        <w:rPr>
          <w:rFonts w:ascii="宋体" w:hAnsi="宋体"/>
          <w:b/>
          <w:color w:val="auto"/>
          <w:sz w:val="24"/>
          <w:highlight w:val="none"/>
        </w:rPr>
      </w:pPr>
    </w:p>
    <w:p w14:paraId="1B277E5E">
      <w:pPr>
        <w:pStyle w:val="25"/>
        <w:spacing w:line="360" w:lineRule="auto"/>
        <w:rPr>
          <w:rFonts w:hAnsi="宋体"/>
          <w:color w:val="auto"/>
          <w:sz w:val="24"/>
          <w:szCs w:val="24"/>
          <w:highlight w:val="none"/>
        </w:rPr>
      </w:pPr>
      <w:r>
        <w:rPr>
          <w:rFonts w:hint="eastAsia" w:hAnsi="宋体"/>
          <w:color w:val="auto"/>
          <w:sz w:val="24"/>
          <w:szCs w:val="24"/>
          <w:highlight w:val="none"/>
        </w:rPr>
        <w:t>（采购人）、（采购代理机构）：</w:t>
      </w:r>
    </w:p>
    <w:p w14:paraId="2511CA72">
      <w:pPr>
        <w:pStyle w:val="25"/>
        <w:spacing w:line="360" w:lineRule="auto"/>
        <w:ind w:firstLine="480"/>
        <w:rPr>
          <w:rFonts w:hAnsi="宋体"/>
          <w:color w:val="auto"/>
          <w:sz w:val="24"/>
          <w:szCs w:val="24"/>
          <w:highlight w:val="none"/>
        </w:rPr>
      </w:pPr>
      <w:r>
        <w:rPr>
          <w:rFonts w:hint="eastAsia" w:hAnsi="宋体"/>
          <w:color w:val="auto"/>
          <w:sz w:val="24"/>
          <w:szCs w:val="24"/>
          <w:highlight w:val="none"/>
        </w:rPr>
        <w:t>依据贵方</w:t>
      </w:r>
      <w:r>
        <w:rPr>
          <w:rFonts w:hint="eastAsia" w:hAnsi="宋体"/>
          <w:color w:val="auto"/>
          <w:sz w:val="24"/>
          <w:szCs w:val="24"/>
          <w:highlight w:val="none"/>
          <w:u w:val="single"/>
        </w:rPr>
        <w:t>（项目名称/项目编号）</w:t>
      </w:r>
      <w:r>
        <w:rPr>
          <w:rFonts w:hint="eastAsia" w:hAnsi="宋体"/>
          <w:color w:val="auto"/>
          <w:sz w:val="24"/>
          <w:szCs w:val="24"/>
          <w:highlight w:val="none"/>
        </w:rPr>
        <w:t>项目政府采购的磋商邀请，我方</w:t>
      </w:r>
      <w:r>
        <w:rPr>
          <w:rFonts w:hint="eastAsia" w:hAnsi="宋体"/>
          <w:color w:val="auto"/>
          <w:sz w:val="24"/>
          <w:szCs w:val="24"/>
          <w:highlight w:val="none"/>
          <w:u w:val="single"/>
        </w:rPr>
        <w:t>（姓名和职务）</w:t>
      </w:r>
      <w:r>
        <w:rPr>
          <w:rFonts w:hint="eastAsia" w:hAnsi="宋体"/>
          <w:color w:val="auto"/>
          <w:sz w:val="24"/>
          <w:szCs w:val="24"/>
          <w:highlight w:val="none"/>
        </w:rPr>
        <w:t>经正式授权并代表本单位</w:t>
      </w:r>
      <w:r>
        <w:rPr>
          <w:rFonts w:hint="eastAsia" w:hAnsi="宋体"/>
          <w:color w:val="auto"/>
          <w:sz w:val="24"/>
          <w:szCs w:val="24"/>
          <w:highlight w:val="none"/>
          <w:u w:val="single"/>
        </w:rPr>
        <w:t>（供应商名称、地址）</w:t>
      </w:r>
      <w:r>
        <w:rPr>
          <w:rFonts w:hint="eastAsia" w:hAnsi="宋体"/>
          <w:color w:val="auto"/>
          <w:sz w:val="24"/>
          <w:szCs w:val="24"/>
          <w:highlight w:val="none"/>
        </w:rPr>
        <w:t>提交下述竞争性磋商响应文件</w:t>
      </w:r>
      <w:r>
        <w:rPr>
          <w:rFonts w:hint="eastAsia" w:hAnsi="宋体"/>
          <w:b/>
          <w:color w:val="auto"/>
          <w:sz w:val="24"/>
          <w:szCs w:val="24"/>
          <w:highlight w:val="none"/>
        </w:rPr>
        <w:t>（资格文件、价格文件、商务技术文件）</w:t>
      </w:r>
      <w:r>
        <w:rPr>
          <w:rFonts w:hint="eastAsia" w:hAnsi="宋体"/>
          <w:color w:val="auto"/>
          <w:sz w:val="24"/>
          <w:szCs w:val="24"/>
          <w:highlight w:val="none"/>
        </w:rPr>
        <w:t>。</w:t>
      </w:r>
    </w:p>
    <w:p w14:paraId="2C5C69A1">
      <w:pPr>
        <w:pStyle w:val="25"/>
        <w:spacing w:line="360" w:lineRule="auto"/>
        <w:ind w:firstLine="480"/>
        <w:rPr>
          <w:rFonts w:hAnsi="宋体"/>
          <w:color w:val="auto"/>
          <w:sz w:val="24"/>
          <w:szCs w:val="24"/>
          <w:highlight w:val="none"/>
        </w:rPr>
      </w:pPr>
      <w:r>
        <w:rPr>
          <w:rFonts w:hint="eastAsia" w:hAnsi="宋体"/>
          <w:color w:val="auto"/>
          <w:sz w:val="24"/>
          <w:szCs w:val="24"/>
          <w:highlight w:val="none"/>
        </w:rPr>
        <w:t>1. 报价表；</w:t>
      </w:r>
    </w:p>
    <w:p w14:paraId="0218B48C">
      <w:pPr>
        <w:pStyle w:val="25"/>
        <w:spacing w:line="360" w:lineRule="auto"/>
        <w:ind w:firstLine="480"/>
        <w:rPr>
          <w:rFonts w:hAnsi="宋体"/>
          <w:color w:val="auto"/>
          <w:sz w:val="24"/>
          <w:szCs w:val="24"/>
          <w:highlight w:val="none"/>
        </w:rPr>
      </w:pPr>
      <w:r>
        <w:rPr>
          <w:rFonts w:hint="eastAsia" w:hAnsi="宋体"/>
          <w:color w:val="auto"/>
          <w:sz w:val="24"/>
          <w:szCs w:val="24"/>
          <w:highlight w:val="none"/>
        </w:rPr>
        <w:t xml:space="preserve">2. 资格证明文件； </w:t>
      </w:r>
    </w:p>
    <w:p w14:paraId="0189B14D">
      <w:pPr>
        <w:pStyle w:val="25"/>
        <w:spacing w:line="360" w:lineRule="auto"/>
        <w:ind w:firstLine="480"/>
        <w:rPr>
          <w:rFonts w:hAnsi="宋体"/>
          <w:color w:val="auto"/>
          <w:sz w:val="24"/>
          <w:szCs w:val="24"/>
          <w:highlight w:val="none"/>
        </w:rPr>
      </w:pPr>
      <w:r>
        <w:rPr>
          <w:rFonts w:hint="eastAsia" w:hAnsi="宋体"/>
          <w:color w:val="auto"/>
          <w:sz w:val="24"/>
          <w:szCs w:val="24"/>
          <w:highlight w:val="none"/>
        </w:rPr>
        <w:t>3. 按竞争性磋商文件供应商须知和采购需求提供的有关文件。</w:t>
      </w:r>
    </w:p>
    <w:p w14:paraId="62CC8E53">
      <w:pPr>
        <w:pStyle w:val="25"/>
        <w:spacing w:line="360" w:lineRule="auto"/>
        <w:ind w:firstLine="360" w:firstLineChars="150"/>
        <w:rPr>
          <w:rFonts w:hAnsi="宋体"/>
          <w:color w:val="auto"/>
          <w:sz w:val="24"/>
          <w:szCs w:val="24"/>
          <w:highlight w:val="none"/>
        </w:rPr>
      </w:pPr>
      <w:r>
        <w:rPr>
          <w:rFonts w:hint="eastAsia" w:hAnsi="宋体"/>
          <w:color w:val="auto"/>
          <w:sz w:val="24"/>
          <w:szCs w:val="24"/>
          <w:highlight w:val="none"/>
        </w:rPr>
        <w:t>在此，授权代表宣布同意如下：</w:t>
      </w:r>
    </w:p>
    <w:p w14:paraId="7F607A8C">
      <w:pPr>
        <w:pStyle w:val="25"/>
        <w:spacing w:line="360" w:lineRule="auto"/>
        <w:ind w:firstLine="480" w:firstLineChars="200"/>
        <w:rPr>
          <w:rFonts w:hAnsi="宋体"/>
          <w:color w:val="auto"/>
          <w:sz w:val="24"/>
          <w:szCs w:val="24"/>
          <w:highlight w:val="none"/>
        </w:rPr>
      </w:pPr>
      <w:r>
        <w:rPr>
          <w:rFonts w:hint="eastAsia" w:hAnsi="宋体"/>
          <w:color w:val="auto"/>
          <w:sz w:val="24"/>
          <w:szCs w:val="24"/>
          <w:highlight w:val="none"/>
        </w:rPr>
        <w:t>1. 将按竞争性磋商文件的约定履行合同责任和义务；</w:t>
      </w:r>
    </w:p>
    <w:p w14:paraId="2756D3D7">
      <w:pPr>
        <w:pStyle w:val="25"/>
        <w:spacing w:line="360" w:lineRule="auto"/>
        <w:ind w:firstLine="480" w:firstLineChars="200"/>
        <w:rPr>
          <w:rFonts w:hAnsi="宋体"/>
          <w:color w:val="auto"/>
          <w:sz w:val="24"/>
          <w:szCs w:val="24"/>
          <w:highlight w:val="none"/>
        </w:rPr>
      </w:pPr>
      <w:r>
        <w:rPr>
          <w:rFonts w:hint="eastAsia" w:hAnsi="宋体"/>
          <w:color w:val="auto"/>
          <w:sz w:val="24"/>
          <w:szCs w:val="24"/>
          <w:highlight w:val="none"/>
        </w:rPr>
        <w:t>2. 已详细审查全部竞争性磋商文件，包括</w:t>
      </w:r>
      <w:r>
        <w:rPr>
          <w:rFonts w:hint="eastAsia" w:hAnsi="宋体"/>
          <w:color w:val="auto"/>
          <w:sz w:val="24"/>
          <w:szCs w:val="24"/>
          <w:highlight w:val="none"/>
          <w:u w:val="single"/>
        </w:rPr>
        <w:t>（补遗文件）（如果有的话）</w:t>
      </w:r>
      <w:r>
        <w:rPr>
          <w:rFonts w:hint="eastAsia" w:hAnsi="宋体"/>
          <w:color w:val="auto"/>
          <w:sz w:val="24"/>
          <w:szCs w:val="24"/>
          <w:highlight w:val="none"/>
        </w:rPr>
        <w:t>；</w:t>
      </w:r>
    </w:p>
    <w:p w14:paraId="4A5FBA67">
      <w:pPr>
        <w:pStyle w:val="25"/>
        <w:spacing w:line="360" w:lineRule="auto"/>
        <w:ind w:firstLine="480" w:firstLineChars="200"/>
        <w:rPr>
          <w:rFonts w:hAnsi="宋体"/>
          <w:color w:val="auto"/>
          <w:sz w:val="24"/>
          <w:szCs w:val="24"/>
          <w:highlight w:val="none"/>
        </w:rPr>
      </w:pPr>
      <w:r>
        <w:rPr>
          <w:rFonts w:hint="eastAsia" w:hAnsi="宋体"/>
          <w:color w:val="auto"/>
          <w:sz w:val="24"/>
          <w:szCs w:val="24"/>
          <w:highlight w:val="none"/>
        </w:rPr>
        <w:t>3. 同意提供按照贵方可能要求的与其磋商有关的一切数据或资料；</w:t>
      </w:r>
    </w:p>
    <w:p w14:paraId="69194135">
      <w:pPr>
        <w:pStyle w:val="25"/>
        <w:spacing w:line="360" w:lineRule="auto"/>
        <w:ind w:firstLine="480" w:firstLineChars="200"/>
        <w:rPr>
          <w:rFonts w:hAnsi="宋体"/>
          <w:color w:val="auto"/>
          <w:sz w:val="24"/>
          <w:szCs w:val="24"/>
          <w:highlight w:val="none"/>
          <w:u w:val="single"/>
        </w:rPr>
      </w:pPr>
      <w:r>
        <w:rPr>
          <w:rFonts w:hint="eastAsia" w:hAnsi="宋体"/>
          <w:color w:val="auto"/>
          <w:sz w:val="24"/>
          <w:szCs w:val="24"/>
          <w:highlight w:val="none"/>
        </w:rPr>
        <w:t>4. 与本磋商有关的一切正式往来信函请寄：</w:t>
      </w:r>
      <w:r>
        <w:rPr>
          <w:rFonts w:hint="eastAsia" w:hAnsi="宋体"/>
          <w:color w:val="auto"/>
          <w:sz w:val="24"/>
          <w:szCs w:val="24"/>
          <w:highlight w:val="none"/>
          <w:u w:val="single"/>
        </w:rPr>
        <w:t xml:space="preserve">                       </w:t>
      </w:r>
    </w:p>
    <w:p w14:paraId="1B22D6AB">
      <w:pPr>
        <w:pStyle w:val="25"/>
        <w:spacing w:line="360" w:lineRule="auto"/>
        <w:ind w:firstLine="840"/>
        <w:rPr>
          <w:rFonts w:hAnsi="宋体"/>
          <w:color w:val="auto"/>
          <w:sz w:val="24"/>
          <w:szCs w:val="24"/>
          <w:highlight w:val="none"/>
          <w:u w:val="single"/>
        </w:rPr>
      </w:pPr>
      <w:r>
        <w:rPr>
          <w:rFonts w:hint="eastAsia" w:hAnsi="宋体"/>
          <w:color w:val="auto"/>
          <w:sz w:val="24"/>
          <w:szCs w:val="24"/>
          <w:highlight w:val="none"/>
        </w:rPr>
        <w:t>开户银行：</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r>
        <w:rPr>
          <w:rFonts w:hint="eastAsia" w:hAnsi="宋体"/>
          <w:color w:val="auto"/>
          <w:sz w:val="24"/>
          <w:szCs w:val="24"/>
          <w:highlight w:val="none"/>
          <w:lang w:eastAsia="zh-CN"/>
        </w:rPr>
        <w:t>账号</w:t>
      </w:r>
      <w:r>
        <w:rPr>
          <w:rFonts w:hint="eastAsia" w:hAnsi="宋体"/>
          <w:color w:val="auto"/>
          <w:sz w:val="24"/>
          <w:szCs w:val="24"/>
          <w:highlight w:val="none"/>
        </w:rPr>
        <w:t>/行号：</w:t>
      </w:r>
      <w:r>
        <w:rPr>
          <w:rFonts w:hint="eastAsia" w:hAnsi="宋体"/>
          <w:color w:val="auto"/>
          <w:sz w:val="24"/>
          <w:szCs w:val="24"/>
          <w:highlight w:val="none"/>
          <w:u w:val="single"/>
        </w:rPr>
        <w:t xml:space="preserve">          </w:t>
      </w:r>
    </w:p>
    <w:p w14:paraId="57459E4E">
      <w:pPr>
        <w:pStyle w:val="25"/>
        <w:spacing w:line="360" w:lineRule="auto"/>
        <w:ind w:firstLine="840"/>
        <w:rPr>
          <w:rFonts w:hAnsi="宋体"/>
          <w:color w:val="auto"/>
          <w:sz w:val="24"/>
          <w:szCs w:val="24"/>
          <w:highlight w:val="none"/>
        </w:rPr>
      </w:pPr>
      <w:r>
        <w:rPr>
          <w:rFonts w:hint="eastAsia" w:hAnsi="宋体"/>
          <w:color w:val="auto"/>
          <w:sz w:val="24"/>
          <w:szCs w:val="24"/>
          <w:highlight w:val="none"/>
        </w:rPr>
        <w:t>电话/传真：</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电子函件：</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p>
    <w:p w14:paraId="284E57BB">
      <w:pPr>
        <w:pStyle w:val="25"/>
        <w:spacing w:line="360" w:lineRule="auto"/>
        <w:ind w:firstLine="840"/>
        <w:rPr>
          <w:rFonts w:hAnsi="宋体"/>
          <w:color w:val="auto"/>
          <w:sz w:val="24"/>
          <w:szCs w:val="24"/>
          <w:highlight w:val="none"/>
          <w:u w:val="single"/>
        </w:rPr>
      </w:pPr>
      <w:r>
        <w:rPr>
          <w:rFonts w:hint="eastAsia" w:hAnsi="宋体"/>
          <w:color w:val="auto"/>
          <w:sz w:val="24"/>
          <w:szCs w:val="24"/>
          <w:highlight w:val="none"/>
        </w:rPr>
        <w:t>日期：</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p>
    <w:p w14:paraId="6E91C4BD">
      <w:pPr>
        <w:adjustRightInd w:val="0"/>
        <w:snapToGrid w:val="0"/>
        <w:spacing w:line="360" w:lineRule="auto"/>
        <w:ind w:firstLine="1440" w:firstLineChars="600"/>
        <w:jc w:val="left"/>
        <w:rPr>
          <w:rFonts w:ascii="宋体" w:hAnsi="宋体"/>
          <w:color w:val="auto"/>
          <w:sz w:val="24"/>
          <w:highlight w:val="none"/>
        </w:rPr>
      </w:pPr>
    </w:p>
    <w:p w14:paraId="0B101365">
      <w:pPr>
        <w:adjustRightInd w:val="0"/>
        <w:snapToGrid w:val="0"/>
        <w:spacing w:line="360" w:lineRule="auto"/>
        <w:ind w:firstLine="1440" w:firstLineChars="600"/>
        <w:jc w:val="left"/>
        <w:rPr>
          <w:rFonts w:ascii="宋体" w:hAnsi="宋体"/>
          <w:color w:val="auto"/>
          <w:sz w:val="24"/>
          <w:highlight w:val="none"/>
        </w:rPr>
      </w:pPr>
    </w:p>
    <w:p w14:paraId="6D24E0E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DA33EB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0EF90327">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14859ACD">
      <w:pPr>
        <w:pStyle w:val="25"/>
        <w:spacing w:line="360" w:lineRule="auto"/>
        <w:ind w:firstLine="840"/>
        <w:rPr>
          <w:rFonts w:hAnsi="宋体"/>
          <w:color w:val="auto"/>
          <w:sz w:val="24"/>
          <w:szCs w:val="24"/>
          <w:highlight w:val="none"/>
        </w:rPr>
      </w:pP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p>
    <w:p w14:paraId="1A7083FD">
      <w:pPr>
        <w:spacing w:line="360" w:lineRule="auto"/>
        <w:rPr>
          <w:rFonts w:ascii="宋体" w:hAnsi="宋体"/>
          <w:color w:val="auto"/>
          <w:sz w:val="24"/>
          <w:highlight w:val="none"/>
        </w:rPr>
      </w:pPr>
    </w:p>
    <w:p w14:paraId="32F97EAC">
      <w:pPr>
        <w:spacing w:line="360" w:lineRule="auto"/>
        <w:rPr>
          <w:rFonts w:ascii="宋体" w:hAnsi="宋体"/>
          <w:color w:val="auto"/>
          <w:highlight w:val="none"/>
        </w:rPr>
      </w:pPr>
    </w:p>
    <w:p w14:paraId="6A1F3F2C">
      <w:pPr>
        <w:spacing w:line="360" w:lineRule="auto"/>
        <w:rPr>
          <w:rFonts w:ascii="宋体" w:hAnsi="宋体"/>
          <w:color w:val="auto"/>
          <w:highlight w:val="none"/>
        </w:rPr>
      </w:pPr>
    </w:p>
    <w:p w14:paraId="06329EC2">
      <w:pPr>
        <w:spacing w:line="360" w:lineRule="auto"/>
        <w:ind w:left="420" w:hanging="420"/>
        <w:rPr>
          <w:rFonts w:ascii="宋体" w:hAnsi="宋体"/>
          <w:color w:val="auto"/>
          <w:highlight w:val="none"/>
        </w:rPr>
      </w:pPr>
    </w:p>
    <w:p w14:paraId="5FE24191">
      <w:pPr>
        <w:spacing w:line="360" w:lineRule="auto"/>
        <w:ind w:left="420" w:hanging="420"/>
        <w:rPr>
          <w:rFonts w:ascii="宋体" w:hAnsi="宋体"/>
          <w:b/>
          <w:color w:val="auto"/>
          <w:highlight w:val="none"/>
        </w:rPr>
      </w:pPr>
      <w:r>
        <w:rPr>
          <w:rFonts w:hint="eastAsia" w:ascii="宋体" w:hAnsi="宋体"/>
          <w:color w:val="auto"/>
          <w:highlight w:val="none"/>
        </w:rPr>
        <w:br w:type="page"/>
      </w:r>
    </w:p>
    <w:p w14:paraId="282FEC5C">
      <w:pPr>
        <w:spacing w:line="360" w:lineRule="auto"/>
        <w:ind w:left="420" w:hanging="420"/>
        <w:rPr>
          <w:rFonts w:ascii="宋体" w:hAnsi="宋体"/>
          <w:b/>
          <w:color w:val="auto"/>
          <w:highlight w:val="none"/>
        </w:rPr>
      </w:pPr>
    </w:p>
    <w:p w14:paraId="4B48E3A2">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附件6</w:t>
      </w:r>
    </w:p>
    <w:p w14:paraId="35BED0AA">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法定代表人（负责人）授权委托书</w:t>
      </w:r>
    </w:p>
    <w:p w14:paraId="0DBE994E">
      <w:pPr>
        <w:adjustRightInd w:val="0"/>
        <w:snapToGrid w:val="0"/>
        <w:spacing w:line="360" w:lineRule="auto"/>
        <w:rPr>
          <w:rFonts w:ascii="宋体" w:hAnsi="宋体"/>
          <w:color w:val="auto"/>
          <w:szCs w:val="21"/>
          <w:highlight w:val="none"/>
        </w:rPr>
      </w:pPr>
    </w:p>
    <w:p w14:paraId="4AE2DAAD">
      <w:pPr>
        <w:spacing w:line="360" w:lineRule="auto"/>
        <w:rPr>
          <w:rFonts w:ascii="宋体" w:hAnsi="宋体"/>
          <w:color w:val="auto"/>
          <w:sz w:val="24"/>
          <w:highlight w:val="none"/>
        </w:rPr>
      </w:pPr>
      <w:r>
        <w:rPr>
          <w:rFonts w:hint="eastAsia" w:hAnsi="宋体"/>
          <w:color w:val="auto"/>
          <w:sz w:val="24"/>
          <w:highlight w:val="none"/>
        </w:rPr>
        <w:t>（采购人）、（采购代理机构）</w:t>
      </w:r>
      <w:r>
        <w:rPr>
          <w:rFonts w:hint="eastAsia" w:ascii="宋体" w:hAnsi="宋体"/>
          <w:color w:val="auto"/>
          <w:sz w:val="24"/>
          <w:highlight w:val="none"/>
        </w:rPr>
        <w:t>：</w:t>
      </w:r>
    </w:p>
    <w:p w14:paraId="761116A7">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兹授权</w:t>
      </w:r>
      <w:r>
        <w:rPr>
          <w:rFonts w:hint="eastAsia" w:ascii="宋体" w:hAnsi="宋体"/>
          <w:color w:val="auto"/>
          <w:sz w:val="24"/>
          <w:highlight w:val="none"/>
          <w:u w:val="single"/>
        </w:rPr>
        <w:t xml:space="preserve">      </w:t>
      </w:r>
      <w:r>
        <w:rPr>
          <w:rFonts w:hint="eastAsia" w:ascii="宋体" w:hAnsi="宋体"/>
          <w:color w:val="auto"/>
          <w:sz w:val="24"/>
          <w:highlight w:val="none"/>
        </w:rPr>
        <w:t>同志为我公司参加贵单位组织的</w:t>
      </w:r>
      <w:r>
        <w:rPr>
          <w:rFonts w:hint="eastAsia" w:ascii="宋体" w:hAnsi="宋体"/>
          <w:color w:val="auto"/>
          <w:sz w:val="24"/>
          <w:highlight w:val="none"/>
          <w:u w:val="single"/>
        </w:rPr>
        <w:t xml:space="preserve">                     项目</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）竞争性磋商采购活动的委托代理人，全权代表我公司处理在该项目活动中的一切事宜。代理期限从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日起至</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日止。 </w:t>
      </w:r>
    </w:p>
    <w:p w14:paraId="28C0AAB5">
      <w:pPr>
        <w:spacing w:line="360" w:lineRule="auto"/>
        <w:rPr>
          <w:rFonts w:ascii="宋体" w:hAnsi="宋体"/>
          <w:color w:val="auto"/>
          <w:sz w:val="24"/>
          <w:highlight w:val="none"/>
        </w:rPr>
      </w:pPr>
    </w:p>
    <w:p w14:paraId="52655DDE">
      <w:pPr>
        <w:spacing w:line="360" w:lineRule="auto"/>
        <w:rPr>
          <w:rFonts w:ascii="宋体" w:hAnsi="宋体"/>
          <w:color w:val="auto"/>
          <w:sz w:val="24"/>
          <w:highlight w:val="none"/>
        </w:rPr>
      </w:pPr>
      <w:r>
        <w:rPr>
          <w:rFonts w:hint="eastAsia" w:ascii="宋体" w:hAnsi="宋体"/>
          <w:color w:val="auto"/>
          <w:sz w:val="24"/>
          <w:highlight w:val="none"/>
        </w:rPr>
        <w:t>磋商供应商（公章）：</w:t>
      </w:r>
      <w:r>
        <w:rPr>
          <w:rFonts w:hint="eastAsia" w:ascii="宋体" w:hAnsi="宋体"/>
          <w:color w:val="auto"/>
          <w:sz w:val="24"/>
          <w:highlight w:val="none"/>
          <w:u w:val="single"/>
        </w:rPr>
        <w:t xml:space="preserve">               </w:t>
      </w:r>
    </w:p>
    <w:p w14:paraId="3659000E">
      <w:pPr>
        <w:spacing w:line="360" w:lineRule="auto"/>
        <w:rPr>
          <w:rFonts w:ascii="宋体" w:hAnsi="宋体"/>
          <w:color w:val="auto"/>
          <w:sz w:val="24"/>
          <w:highlight w:val="none"/>
        </w:rPr>
      </w:pPr>
      <w:r>
        <w:rPr>
          <w:rFonts w:hint="eastAsia" w:ascii="宋体" w:hAnsi="宋体"/>
          <w:color w:val="auto"/>
          <w:sz w:val="24"/>
          <w:highlight w:val="none"/>
        </w:rPr>
        <w:t>法定代表人（负责人）（签名）：</w:t>
      </w:r>
      <w:r>
        <w:rPr>
          <w:rFonts w:hint="eastAsia" w:ascii="宋体" w:hAnsi="宋体"/>
          <w:color w:val="auto"/>
          <w:sz w:val="24"/>
          <w:highlight w:val="none"/>
          <w:u w:val="single"/>
        </w:rPr>
        <w:t xml:space="preserve">       </w:t>
      </w:r>
    </w:p>
    <w:p w14:paraId="40DBB229">
      <w:pPr>
        <w:spacing w:line="360" w:lineRule="auto"/>
        <w:rPr>
          <w:rFonts w:ascii="宋体" w:hAnsi="宋体"/>
          <w:color w:val="auto"/>
          <w:sz w:val="24"/>
          <w:highlight w:val="none"/>
        </w:rPr>
      </w:pPr>
      <w:r>
        <w:rPr>
          <w:rFonts w:hint="eastAsia" w:ascii="宋体" w:hAnsi="宋体"/>
          <w:color w:val="auto"/>
          <w:sz w:val="24"/>
          <w:highlight w:val="none"/>
        </w:rPr>
        <w:t>签发日期：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109D9FA5">
      <w:pPr>
        <w:spacing w:line="360" w:lineRule="auto"/>
        <w:rPr>
          <w:rFonts w:ascii="宋体" w:hAnsi="宋体"/>
          <w:color w:val="auto"/>
          <w:sz w:val="24"/>
          <w:highlight w:val="none"/>
        </w:rPr>
      </w:pPr>
    </w:p>
    <w:p w14:paraId="07CA6B3E">
      <w:pPr>
        <w:spacing w:line="360" w:lineRule="auto"/>
        <w:rPr>
          <w:rFonts w:ascii="宋体" w:hAnsi="宋体"/>
          <w:color w:val="auto"/>
          <w:sz w:val="24"/>
          <w:highlight w:val="none"/>
        </w:rPr>
      </w:pPr>
      <w:r>
        <w:rPr>
          <w:rFonts w:hint="eastAsia" w:ascii="宋体" w:hAnsi="宋体"/>
          <w:color w:val="auto"/>
          <w:sz w:val="24"/>
          <w:highlight w:val="none"/>
        </w:rPr>
        <w:t>附：委托代理人工作单位</w:t>
      </w:r>
      <w:r>
        <w:rPr>
          <w:rFonts w:hint="eastAsia" w:ascii="宋体" w:hAnsi="宋体"/>
          <w:color w:val="auto"/>
          <w:sz w:val="24"/>
          <w:highlight w:val="none"/>
          <w:u w:val="single"/>
        </w:rPr>
        <w:t xml:space="preserve">               </w:t>
      </w:r>
    </w:p>
    <w:p w14:paraId="4E613431">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性别：</w:t>
      </w:r>
      <w:r>
        <w:rPr>
          <w:rFonts w:hint="eastAsia" w:ascii="宋体" w:hAnsi="宋体"/>
          <w:color w:val="auto"/>
          <w:sz w:val="24"/>
          <w:highlight w:val="none"/>
          <w:u w:val="single"/>
        </w:rPr>
        <w:t xml:space="preserve">    </w:t>
      </w:r>
    </w:p>
    <w:p w14:paraId="37E4F8FD">
      <w:pPr>
        <w:adjustRightInd w:val="0"/>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tbl>
      <w:tblPr>
        <w:tblStyle w:val="40"/>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2C54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tcPr>
          <w:p w14:paraId="2BD179C2">
            <w:pPr>
              <w:spacing w:line="360" w:lineRule="auto"/>
              <w:rPr>
                <w:rFonts w:ascii="宋体" w:hAnsi="宋体"/>
                <w:color w:val="auto"/>
                <w:sz w:val="24"/>
                <w:highlight w:val="none"/>
              </w:rPr>
            </w:pPr>
            <w:r>
              <w:rPr>
                <w:rFonts w:hint="eastAsia" w:ascii="宋体" w:hAnsi="宋体"/>
                <w:color w:val="auto"/>
                <w:sz w:val="24"/>
                <w:highlight w:val="none"/>
              </w:rPr>
              <w:t>粘贴委托代理人的正面及反面身份证复印件</w:t>
            </w:r>
          </w:p>
        </w:tc>
      </w:tr>
    </w:tbl>
    <w:p w14:paraId="3B8D287A">
      <w:pPr>
        <w:autoSpaceDE w:val="0"/>
        <w:autoSpaceDN w:val="0"/>
        <w:spacing w:line="360" w:lineRule="auto"/>
        <w:ind w:left="480" w:hanging="480"/>
        <w:rPr>
          <w:rFonts w:ascii="宋体" w:hAnsi="宋体"/>
          <w:color w:val="auto"/>
          <w:sz w:val="24"/>
          <w:highlight w:val="none"/>
        </w:rPr>
      </w:pPr>
    </w:p>
    <w:p w14:paraId="7C8E8F88">
      <w:pPr>
        <w:pStyle w:val="25"/>
        <w:spacing w:line="360" w:lineRule="auto"/>
        <w:rPr>
          <w:rFonts w:hAnsi="宋体"/>
          <w:color w:val="auto"/>
          <w:sz w:val="24"/>
          <w:szCs w:val="24"/>
          <w:highlight w:val="none"/>
        </w:rPr>
      </w:pPr>
    </w:p>
    <w:p w14:paraId="2EC5BFD9">
      <w:pPr>
        <w:pStyle w:val="25"/>
        <w:spacing w:line="360" w:lineRule="auto"/>
        <w:rPr>
          <w:rFonts w:hAnsi="宋体"/>
          <w:color w:val="auto"/>
          <w:sz w:val="24"/>
          <w:szCs w:val="24"/>
          <w:highlight w:val="none"/>
        </w:rPr>
      </w:pPr>
      <w:r>
        <w:rPr>
          <w:rFonts w:hAnsi="宋体"/>
          <w:color w:val="auto"/>
          <w:sz w:val="24"/>
          <w:szCs w:val="24"/>
          <w:highlight w:val="none"/>
        </w:rPr>
        <w:br w:type="page"/>
      </w:r>
    </w:p>
    <w:p w14:paraId="438FD92F">
      <w:pPr>
        <w:pStyle w:val="25"/>
        <w:spacing w:line="360" w:lineRule="auto"/>
        <w:rPr>
          <w:rFonts w:hAnsi="宋体"/>
          <w:color w:val="auto"/>
          <w:highlight w:val="none"/>
        </w:rPr>
      </w:pPr>
    </w:p>
    <w:p w14:paraId="144E9E3A">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附件7</w:t>
      </w:r>
    </w:p>
    <w:p w14:paraId="545A7A21">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法定代表人（负责人）身份证明书</w:t>
      </w:r>
    </w:p>
    <w:p w14:paraId="41F5E3D8">
      <w:pPr>
        <w:adjustRightInd w:val="0"/>
        <w:snapToGrid w:val="0"/>
        <w:spacing w:line="360" w:lineRule="auto"/>
        <w:ind w:firstLine="960" w:firstLineChars="400"/>
        <w:rPr>
          <w:rFonts w:ascii="宋体" w:hAnsi="宋体"/>
          <w:color w:val="auto"/>
          <w:sz w:val="24"/>
          <w:highlight w:val="none"/>
          <w:u w:val="single"/>
        </w:rPr>
      </w:pPr>
    </w:p>
    <w:p w14:paraId="16AB329B">
      <w:pPr>
        <w:adjustRightInd w:val="0"/>
        <w:snapToGrid w:val="0"/>
        <w:spacing w:line="360" w:lineRule="auto"/>
        <w:ind w:firstLine="960" w:firstLineChars="400"/>
        <w:rPr>
          <w:rFonts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 xml:space="preserve"> 在我</w:t>
      </w:r>
      <w:r>
        <w:rPr>
          <w:rFonts w:hint="eastAsia" w:ascii="宋体" w:hAnsi="宋体"/>
          <w:color w:val="auto"/>
          <w:sz w:val="24"/>
          <w:highlight w:val="none"/>
          <w:u w:val="single"/>
        </w:rPr>
        <w:t xml:space="preserve">       </w:t>
      </w:r>
      <w:r>
        <w:rPr>
          <w:rFonts w:hint="eastAsia" w:ascii="宋体" w:hAnsi="宋体"/>
          <w:color w:val="auto"/>
          <w:sz w:val="24"/>
          <w:highlight w:val="none"/>
        </w:rPr>
        <w:t>任</w:t>
      </w:r>
      <w:r>
        <w:rPr>
          <w:rFonts w:hint="eastAsia" w:ascii="宋体" w:hAnsi="宋体"/>
          <w:color w:val="auto"/>
          <w:sz w:val="24"/>
          <w:highlight w:val="none"/>
          <w:u w:val="single"/>
        </w:rPr>
        <w:t xml:space="preserve">          </w:t>
      </w:r>
      <w:r>
        <w:rPr>
          <w:rFonts w:hint="eastAsia" w:ascii="宋体" w:hAnsi="宋体"/>
          <w:color w:val="auto"/>
          <w:sz w:val="24"/>
          <w:highlight w:val="none"/>
        </w:rPr>
        <w:t>职务，是我</w:t>
      </w:r>
      <w:r>
        <w:rPr>
          <w:rFonts w:hint="eastAsia" w:ascii="宋体" w:hAnsi="宋体"/>
          <w:color w:val="auto"/>
          <w:sz w:val="24"/>
          <w:highlight w:val="none"/>
          <w:u w:val="single"/>
        </w:rPr>
        <w:t xml:space="preserve">                 </w:t>
      </w:r>
      <w:r>
        <w:rPr>
          <w:rFonts w:hint="eastAsia" w:ascii="宋体" w:hAnsi="宋体"/>
          <w:color w:val="auto"/>
          <w:sz w:val="24"/>
          <w:highlight w:val="none"/>
        </w:rPr>
        <w:t>的法定代表人（负责人）。</w:t>
      </w:r>
    </w:p>
    <w:p w14:paraId="20F4B034">
      <w:pPr>
        <w:adjustRightInd w:val="0"/>
        <w:snapToGrid w:val="0"/>
        <w:spacing w:line="360" w:lineRule="auto"/>
        <w:ind w:firstLine="840" w:firstLineChars="350"/>
        <w:rPr>
          <w:rFonts w:ascii="宋体" w:hAnsi="宋体"/>
          <w:color w:val="auto"/>
          <w:sz w:val="24"/>
          <w:highlight w:val="none"/>
        </w:rPr>
      </w:pPr>
      <w:r>
        <w:rPr>
          <w:rFonts w:hint="eastAsia" w:ascii="宋体" w:hAnsi="宋体"/>
          <w:color w:val="auto"/>
          <w:sz w:val="24"/>
          <w:highlight w:val="none"/>
        </w:rPr>
        <w:t>特此证明。</w:t>
      </w:r>
    </w:p>
    <w:p w14:paraId="09F23939">
      <w:pPr>
        <w:adjustRightInd w:val="0"/>
        <w:snapToGrid w:val="0"/>
        <w:spacing w:line="360" w:lineRule="auto"/>
        <w:rPr>
          <w:rFonts w:ascii="宋体" w:hAnsi="宋体"/>
          <w:color w:val="auto"/>
          <w:sz w:val="24"/>
          <w:highlight w:val="none"/>
        </w:rPr>
      </w:pPr>
    </w:p>
    <w:p w14:paraId="71F3C9E4">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w:t>
      </w:r>
    </w:p>
    <w:p w14:paraId="0B7DFA01">
      <w:pPr>
        <w:adjustRightInd w:val="0"/>
        <w:snapToGrid w:val="0"/>
        <w:spacing w:line="360" w:lineRule="auto"/>
        <w:rPr>
          <w:rFonts w:ascii="宋体" w:hAnsi="宋体"/>
          <w:color w:val="auto"/>
          <w:sz w:val="24"/>
          <w:highlight w:val="none"/>
        </w:rPr>
      </w:pPr>
    </w:p>
    <w:p w14:paraId="2AB0C8C6">
      <w:pPr>
        <w:adjustRightInd w:val="0"/>
        <w:snapToGrid w:val="0"/>
        <w:spacing w:line="360" w:lineRule="auto"/>
        <w:ind w:firstLine="3360" w:firstLineChars="1400"/>
        <w:rPr>
          <w:rFonts w:ascii="宋体" w:hAnsi="宋体"/>
          <w:color w:val="auto"/>
          <w:sz w:val="24"/>
          <w:highlight w:val="none"/>
          <w:u w:val="single"/>
        </w:rPr>
      </w:pPr>
      <w:r>
        <w:rPr>
          <w:rFonts w:hint="eastAsia" w:ascii="宋体" w:hAnsi="宋体"/>
          <w:color w:val="auto"/>
          <w:sz w:val="24"/>
          <w:highlight w:val="none"/>
        </w:rPr>
        <w:t>单位名称：</w:t>
      </w:r>
      <w:r>
        <w:rPr>
          <w:rFonts w:hint="eastAsia" w:ascii="宋体" w:hAnsi="宋体"/>
          <w:color w:val="auto"/>
          <w:sz w:val="24"/>
          <w:highlight w:val="none"/>
          <w:u w:val="single"/>
        </w:rPr>
        <w:t xml:space="preserve">                              </w:t>
      </w:r>
    </w:p>
    <w:p w14:paraId="73D54625">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（单位公章）</w:t>
      </w:r>
    </w:p>
    <w:p w14:paraId="1FFFF29C">
      <w:pPr>
        <w:adjustRightInd w:val="0"/>
        <w:snapToGrid w:val="0"/>
        <w:spacing w:line="360" w:lineRule="auto"/>
        <w:rPr>
          <w:rFonts w:ascii="宋体" w:hAnsi="宋体"/>
          <w:color w:val="auto"/>
          <w:sz w:val="24"/>
          <w:highlight w:val="none"/>
        </w:rPr>
      </w:pPr>
    </w:p>
    <w:p w14:paraId="27BDFABD">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年     月    日</w:t>
      </w:r>
    </w:p>
    <w:p w14:paraId="3963211B">
      <w:pPr>
        <w:adjustRightInd w:val="0"/>
        <w:snapToGrid w:val="0"/>
        <w:spacing w:line="360" w:lineRule="auto"/>
        <w:rPr>
          <w:rFonts w:ascii="宋体" w:hAnsi="宋体"/>
          <w:color w:val="auto"/>
          <w:sz w:val="24"/>
          <w:highlight w:val="none"/>
        </w:rPr>
      </w:pPr>
    </w:p>
    <w:p w14:paraId="67BBF0CA">
      <w:pPr>
        <w:adjustRightInd w:val="0"/>
        <w:snapToGrid w:val="0"/>
        <w:spacing w:line="360" w:lineRule="auto"/>
        <w:ind w:firstLine="360" w:firstLineChars="150"/>
        <w:rPr>
          <w:rFonts w:ascii="宋体" w:hAnsi="宋体"/>
          <w:color w:val="auto"/>
          <w:sz w:val="24"/>
          <w:highlight w:val="none"/>
        </w:rPr>
      </w:pPr>
    </w:p>
    <w:p w14:paraId="5684419C">
      <w:pPr>
        <w:adjustRightInd w:val="0"/>
        <w:snapToGrid w:val="0"/>
        <w:spacing w:line="360" w:lineRule="auto"/>
        <w:ind w:firstLine="360" w:firstLineChars="150"/>
        <w:rPr>
          <w:rFonts w:ascii="宋体" w:hAnsi="宋体"/>
          <w:color w:val="auto"/>
          <w:sz w:val="24"/>
          <w:highlight w:val="none"/>
        </w:rPr>
      </w:pPr>
      <w:r>
        <w:rPr>
          <w:rFonts w:hint="eastAsia" w:ascii="宋体" w:hAnsi="宋体"/>
          <w:color w:val="auto"/>
          <w:sz w:val="24"/>
          <w:highlight w:val="none"/>
        </w:rPr>
        <w:t>住    址：</w:t>
      </w:r>
    </w:p>
    <w:p w14:paraId="1082765F">
      <w:pPr>
        <w:adjustRightInd w:val="0"/>
        <w:snapToGrid w:val="0"/>
        <w:spacing w:line="360" w:lineRule="auto"/>
        <w:ind w:firstLine="360" w:firstLineChars="150"/>
        <w:rPr>
          <w:rFonts w:ascii="宋体" w:hAnsi="宋体"/>
          <w:color w:val="auto"/>
          <w:sz w:val="24"/>
          <w:highlight w:val="none"/>
        </w:rPr>
      </w:pPr>
    </w:p>
    <w:p w14:paraId="498D85C0">
      <w:pPr>
        <w:pStyle w:val="25"/>
        <w:adjustRightInd w:val="0"/>
        <w:snapToGrid w:val="0"/>
        <w:spacing w:line="360" w:lineRule="auto"/>
        <w:ind w:firstLine="360" w:firstLineChars="150"/>
        <w:rPr>
          <w:rFonts w:hAnsi="宋体"/>
          <w:color w:val="auto"/>
          <w:sz w:val="24"/>
          <w:szCs w:val="24"/>
          <w:highlight w:val="none"/>
        </w:rPr>
      </w:pPr>
      <w:r>
        <w:rPr>
          <w:rFonts w:hint="eastAsia" w:hAnsi="宋体"/>
          <w:color w:val="auto"/>
          <w:sz w:val="24"/>
          <w:szCs w:val="24"/>
          <w:highlight w:val="none"/>
        </w:rPr>
        <w:t>联系电话：</w:t>
      </w:r>
    </w:p>
    <w:p w14:paraId="5A3EED3F">
      <w:pPr>
        <w:pStyle w:val="25"/>
        <w:adjustRightInd w:val="0"/>
        <w:snapToGrid w:val="0"/>
        <w:spacing w:line="360" w:lineRule="auto"/>
        <w:ind w:firstLine="360" w:firstLineChars="150"/>
        <w:rPr>
          <w:rFonts w:hAnsi="宋体"/>
          <w:color w:val="auto"/>
          <w:sz w:val="24"/>
          <w:szCs w:val="24"/>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2863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24" w:type="dxa"/>
          </w:tcPr>
          <w:p w14:paraId="2C783256">
            <w:pPr>
              <w:snapToGrid w:val="0"/>
              <w:spacing w:line="360" w:lineRule="auto"/>
              <w:rPr>
                <w:rFonts w:ascii="宋体" w:hAnsi="宋体"/>
                <w:color w:val="auto"/>
                <w:sz w:val="24"/>
                <w:highlight w:val="none"/>
              </w:rPr>
            </w:pPr>
            <w:r>
              <w:rPr>
                <w:rFonts w:hint="eastAsia" w:ascii="宋体" w:hAnsi="宋体"/>
                <w:color w:val="auto"/>
                <w:sz w:val="24"/>
                <w:highlight w:val="none"/>
              </w:rPr>
              <w:t>贴附“身份证复印件”（正反两面）</w:t>
            </w:r>
          </w:p>
        </w:tc>
      </w:tr>
      <w:tr w14:paraId="6CFF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trPr>
        <w:tc>
          <w:tcPr>
            <w:tcW w:w="9124" w:type="dxa"/>
          </w:tcPr>
          <w:p w14:paraId="1E2F1CA6">
            <w:pPr>
              <w:snapToGrid w:val="0"/>
              <w:spacing w:line="360" w:lineRule="auto"/>
              <w:rPr>
                <w:rFonts w:ascii="宋体" w:hAnsi="宋体"/>
                <w:color w:val="auto"/>
                <w:szCs w:val="21"/>
                <w:highlight w:val="none"/>
              </w:rPr>
            </w:pPr>
          </w:p>
        </w:tc>
      </w:tr>
    </w:tbl>
    <w:p w14:paraId="29E320A3">
      <w:pPr>
        <w:pStyle w:val="25"/>
        <w:spacing w:line="360" w:lineRule="auto"/>
        <w:rPr>
          <w:rFonts w:hAnsi="宋体"/>
          <w:color w:val="auto"/>
          <w:highlight w:val="none"/>
        </w:rPr>
      </w:pPr>
    </w:p>
    <w:p w14:paraId="3A87A974">
      <w:pPr>
        <w:autoSpaceDE w:val="0"/>
        <w:autoSpaceDN w:val="0"/>
        <w:adjustRightInd w:val="0"/>
        <w:snapToGrid w:val="0"/>
        <w:spacing w:line="360" w:lineRule="auto"/>
        <w:rPr>
          <w:rFonts w:ascii="宋体" w:hAnsi="宋体"/>
          <w:b/>
          <w:color w:val="auto"/>
          <w:kern w:val="0"/>
          <w:sz w:val="24"/>
          <w:highlight w:val="none"/>
        </w:rPr>
      </w:pPr>
      <w:r>
        <w:rPr>
          <w:rFonts w:hint="eastAsia" w:ascii="宋体" w:hAnsi="宋体"/>
          <w:b/>
          <w:color w:val="auto"/>
          <w:sz w:val="24"/>
          <w:highlight w:val="none"/>
        </w:rPr>
        <w:t>附件8</w:t>
      </w:r>
    </w:p>
    <w:p w14:paraId="4C371EF5">
      <w:pPr>
        <w:autoSpaceDE w:val="0"/>
        <w:autoSpaceDN w:val="0"/>
        <w:adjustRightInd w:val="0"/>
        <w:snapToGrid w:val="0"/>
        <w:spacing w:line="360" w:lineRule="auto"/>
        <w:ind w:firstLine="14753" w:firstLineChars="3340"/>
        <w:rPr>
          <w:rFonts w:ascii="宋体" w:hAnsi="宋体"/>
          <w:b/>
          <w:color w:val="auto"/>
          <w:kern w:val="0"/>
          <w:sz w:val="44"/>
          <w:szCs w:val="44"/>
          <w:highlight w:val="none"/>
        </w:rPr>
      </w:pPr>
    </w:p>
    <w:p w14:paraId="281BC8C1">
      <w:pPr>
        <w:spacing w:line="360" w:lineRule="auto"/>
        <w:ind w:firstLine="640" w:firstLineChars="200"/>
        <w:jc w:val="center"/>
        <w:rPr>
          <w:rFonts w:ascii="宋体" w:hAnsi="宋体"/>
          <w:color w:val="auto"/>
          <w:kern w:val="0"/>
          <w:sz w:val="32"/>
          <w:szCs w:val="21"/>
          <w:highlight w:val="none"/>
        </w:rPr>
      </w:pPr>
      <w:r>
        <w:rPr>
          <w:rFonts w:hint="eastAsia" w:ascii="宋体" w:hAnsi="宋体"/>
          <w:color w:val="auto"/>
          <w:kern w:val="0"/>
          <w:sz w:val="32"/>
          <w:szCs w:val="21"/>
          <w:highlight w:val="none"/>
        </w:rPr>
        <w:t>承诺函（格式）</w:t>
      </w:r>
    </w:p>
    <w:p w14:paraId="6734BF5F">
      <w:pPr>
        <w:widowControl/>
        <w:spacing w:line="360" w:lineRule="auto"/>
        <w:ind w:firstLine="480" w:firstLineChars="200"/>
        <w:jc w:val="left"/>
        <w:rPr>
          <w:rFonts w:ascii="宋体" w:hAnsi="宋体"/>
          <w:color w:val="auto"/>
          <w:kern w:val="0"/>
          <w:sz w:val="24"/>
          <w:highlight w:val="none"/>
        </w:rPr>
      </w:pPr>
    </w:p>
    <w:p w14:paraId="322360FA">
      <w:pPr>
        <w:widowControl/>
        <w:spacing w:line="360" w:lineRule="auto"/>
        <w:jc w:val="left"/>
        <w:rPr>
          <w:rFonts w:ascii="宋体" w:hAnsi="宋体"/>
          <w:color w:val="auto"/>
          <w:kern w:val="0"/>
          <w:sz w:val="24"/>
          <w:highlight w:val="none"/>
        </w:rPr>
      </w:pPr>
      <w:r>
        <w:rPr>
          <w:rFonts w:hint="eastAsia" w:ascii="宋体" w:hAnsi="宋体"/>
          <w:color w:val="auto"/>
          <w:kern w:val="0"/>
          <w:sz w:val="24"/>
          <w:highlight w:val="none"/>
          <w:u w:val="single"/>
        </w:rPr>
        <w:t>（采购人）、（采购代理机构）</w:t>
      </w:r>
      <w:r>
        <w:rPr>
          <w:rFonts w:hint="eastAsia" w:ascii="宋体" w:hAnsi="宋体"/>
          <w:color w:val="auto"/>
          <w:kern w:val="0"/>
          <w:sz w:val="24"/>
          <w:highlight w:val="none"/>
        </w:rPr>
        <w:t>：</w:t>
      </w:r>
    </w:p>
    <w:p w14:paraId="5993BD35">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我方作为本次采购项目的磋商供应商，根据磋商文件要求，现郑重承诺如下：</w:t>
      </w:r>
    </w:p>
    <w:p w14:paraId="61EA92DA">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4EBB716E">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二、参加本次采购活动，不存在与单位负责人为同一人或者存在直接控股、管理关系的其他供应商参与同一合同项下的政府采购活动的行为。</w:t>
      </w:r>
    </w:p>
    <w:p w14:paraId="1C71D782">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三、为采购项目提供整体设计、规范编制或者项目管理、监理、检测等服务的供应商，不得再参加该采购项目的其他采购活动，我方承诺不属于此类禁止参加本项目的供应商。</w:t>
      </w:r>
    </w:p>
    <w:p w14:paraId="49D6831E">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四、参加本次采购活动，不存在和其他供应商在同一合同项下的采购项目中，同时委托同一个自然人、同一家庭的人员、同一单位的人员作为代理人的行为。</w:t>
      </w:r>
    </w:p>
    <w:p w14:paraId="58797A0E">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五、响应文件中提供的能够给予我方带来优惠、好处的任何材料资料和技术、服务、商务、响应产品等响应承诺情况都是真实的、有效的、合法的。</w:t>
      </w:r>
    </w:p>
    <w:p w14:paraId="7CEA3274">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六、参加本次采购活动，我方完全同意磋商文件第二章关于“成交费用”、 “履约保证金”的实质性要求，并承诺严格按照磋商文件要求履行。</w:t>
      </w:r>
    </w:p>
    <w:p w14:paraId="7DB2751A">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6016D199">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我方对上述承诺的内容事项真实性负责。如经查实上述承诺的内容事项存在虚假，我方愿意接受以提供虚假材料谋取成交追究法律责任。</w:t>
      </w:r>
    </w:p>
    <w:p w14:paraId="194AEEEF">
      <w:pPr>
        <w:adjustRightInd w:val="0"/>
        <w:snapToGrid w:val="0"/>
        <w:spacing w:line="360" w:lineRule="auto"/>
        <w:ind w:right="1470" w:rightChars="700"/>
        <w:rPr>
          <w:rFonts w:ascii="宋体" w:hAnsi="宋体"/>
          <w:color w:val="auto"/>
          <w:kern w:val="0"/>
          <w:sz w:val="24"/>
          <w:highlight w:val="none"/>
        </w:rPr>
      </w:pPr>
    </w:p>
    <w:p w14:paraId="24761434">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1258FFA6">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0B1F7D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2580CA51">
      <w:pPr>
        <w:pStyle w:val="91"/>
        <w:spacing w:before="0" w:after="0" w:line="360" w:lineRule="auto"/>
        <w:rPr>
          <w:rFonts w:ascii="宋体" w:hAnsi="宋体" w:eastAsia="宋体"/>
          <w:color w:val="auto"/>
          <w:highlight w:val="none"/>
        </w:rPr>
      </w:pPr>
    </w:p>
    <w:p w14:paraId="281E65FA">
      <w:pPr>
        <w:spacing w:line="360" w:lineRule="auto"/>
        <w:rPr>
          <w:rFonts w:hint="eastAsia" w:ascii="宋体" w:hAnsi="宋体"/>
          <w:b/>
          <w:color w:val="auto"/>
          <w:sz w:val="24"/>
          <w:highlight w:val="none"/>
        </w:rPr>
        <w:sectPr>
          <w:pgSz w:w="11907" w:h="16839"/>
          <w:pgMar w:top="1431" w:right="1272" w:bottom="1364" w:left="1418" w:header="850" w:footer="1204" w:gutter="0"/>
          <w:pgNumType w:fmt="decimal"/>
          <w:cols w:space="720" w:num="1"/>
          <w:docGrid w:linePitch="286" w:charSpace="0"/>
        </w:sectPr>
      </w:pPr>
    </w:p>
    <w:p w14:paraId="60191913">
      <w:pPr>
        <w:spacing w:line="360" w:lineRule="auto"/>
        <w:rPr>
          <w:rFonts w:ascii="宋体" w:hAnsi="宋体"/>
          <w:b/>
          <w:color w:val="auto"/>
          <w:sz w:val="24"/>
          <w:highlight w:val="none"/>
        </w:rPr>
      </w:pPr>
      <w:r>
        <w:rPr>
          <w:rFonts w:hint="eastAsia" w:ascii="宋体" w:hAnsi="宋体"/>
          <w:b/>
          <w:color w:val="auto"/>
          <w:sz w:val="24"/>
          <w:highlight w:val="none"/>
        </w:rPr>
        <w:t>附件9</w:t>
      </w:r>
    </w:p>
    <w:p w14:paraId="0DE500ED">
      <w:pPr>
        <w:tabs>
          <w:tab w:val="left" w:pos="5387"/>
        </w:tabs>
        <w:spacing w:line="360" w:lineRule="auto"/>
        <w:jc w:val="center"/>
        <w:rPr>
          <w:rFonts w:ascii="宋体" w:hAnsi="宋体" w:cs="宋体"/>
          <w:color w:val="auto"/>
          <w:sz w:val="24"/>
          <w:highlight w:val="none"/>
        </w:rPr>
      </w:pPr>
      <w:r>
        <w:rPr>
          <w:rFonts w:hint="eastAsia" w:ascii="宋体" w:hAnsi="宋体"/>
          <w:b/>
          <w:color w:val="auto"/>
          <w:sz w:val="24"/>
          <w:highlight w:val="none"/>
        </w:rPr>
        <w:t>施工组织设计</w:t>
      </w:r>
    </w:p>
    <w:p w14:paraId="34203A04">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rPr>
        <w:t>、磋商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0BB88C1B">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．施工组织设计除采用文字表述外可附下列图表，图表及格式要求附后。</w:t>
      </w:r>
    </w:p>
    <w:p w14:paraId="2191AF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附表一</w:t>
      </w:r>
      <w:r>
        <w:rPr>
          <w:rFonts w:ascii="宋体" w:hAnsi="宋体" w:cs="宋体"/>
          <w:color w:val="auto"/>
          <w:sz w:val="24"/>
          <w:highlight w:val="none"/>
        </w:rPr>
        <w:t xml:space="preserve">  </w:t>
      </w:r>
      <w:r>
        <w:rPr>
          <w:rFonts w:hint="eastAsia" w:ascii="宋体" w:hAnsi="宋体" w:cs="宋体"/>
          <w:color w:val="auto"/>
          <w:sz w:val="24"/>
          <w:highlight w:val="none"/>
        </w:rPr>
        <w:t>拟投入本工程的主要施工设备表</w:t>
      </w:r>
    </w:p>
    <w:p w14:paraId="40585C6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附表二</w:t>
      </w:r>
      <w:r>
        <w:rPr>
          <w:rFonts w:ascii="宋体" w:hAnsi="宋体" w:cs="宋体"/>
          <w:color w:val="auto"/>
          <w:sz w:val="24"/>
          <w:highlight w:val="none"/>
        </w:rPr>
        <w:t xml:space="preserve">  </w:t>
      </w:r>
      <w:r>
        <w:rPr>
          <w:rFonts w:hint="eastAsia" w:ascii="宋体" w:hAnsi="宋体" w:cs="宋体"/>
          <w:color w:val="auto"/>
          <w:sz w:val="24"/>
          <w:highlight w:val="none"/>
        </w:rPr>
        <w:t>拟配备本工程的试验和检测仪器设备表</w:t>
      </w:r>
    </w:p>
    <w:p w14:paraId="26AD6FC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附表三</w:t>
      </w:r>
      <w:r>
        <w:rPr>
          <w:rFonts w:ascii="宋体" w:hAnsi="宋体" w:cs="宋体"/>
          <w:color w:val="auto"/>
          <w:sz w:val="24"/>
          <w:highlight w:val="none"/>
        </w:rPr>
        <w:t xml:space="preserve">  </w:t>
      </w:r>
      <w:r>
        <w:rPr>
          <w:rFonts w:hint="eastAsia" w:ascii="宋体" w:hAnsi="宋体" w:cs="宋体"/>
          <w:color w:val="auto"/>
          <w:sz w:val="24"/>
          <w:highlight w:val="none"/>
        </w:rPr>
        <w:t>劳动力计划表</w:t>
      </w:r>
    </w:p>
    <w:p w14:paraId="0ABD68B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附表四</w:t>
      </w:r>
      <w:r>
        <w:rPr>
          <w:rFonts w:ascii="宋体" w:hAnsi="宋体" w:cs="宋体"/>
          <w:color w:val="auto"/>
          <w:sz w:val="24"/>
          <w:highlight w:val="none"/>
        </w:rPr>
        <w:t xml:space="preserve">  </w:t>
      </w:r>
      <w:r>
        <w:rPr>
          <w:rFonts w:hint="eastAsia" w:ascii="宋体" w:hAnsi="宋体" w:cs="宋体"/>
          <w:color w:val="auto"/>
          <w:sz w:val="24"/>
          <w:highlight w:val="none"/>
        </w:rPr>
        <w:t>计划开、竣工日期和施工进度网络图</w:t>
      </w:r>
    </w:p>
    <w:p w14:paraId="708B15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附表五</w:t>
      </w:r>
      <w:r>
        <w:rPr>
          <w:rFonts w:ascii="宋体" w:hAnsi="宋体" w:cs="宋体"/>
          <w:color w:val="auto"/>
          <w:sz w:val="24"/>
          <w:highlight w:val="none"/>
        </w:rPr>
        <w:t xml:space="preserve">  </w:t>
      </w:r>
      <w:r>
        <w:rPr>
          <w:rFonts w:hint="eastAsia" w:ascii="宋体" w:hAnsi="宋体" w:cs="宋体"/>
          <w:color w:val="auto"/>
          <w:sz w:val="24"/>
          <w:highlight w:val="none"/>
        </w:rPr>
        <w:t>施工总平面图</w:t>
      </w:r>
    </w:p>
    <w:p w14:paraId="1E3BCE6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附表六</w:t>
      </w:r>
      <w:r>
        <w:rPr>
          <w:rFonts w:ascii="宋体" w:hAnsi="宋体" w:cs="宋体"/>
          <w:color w:val="auto"/>
          <w:sz w:val="24"/>
          <w:highlight w:val="none"/>
        </w:rPr>
        <w:t xml:space="preserve">  </w:t>
      </w:r>
      <w:r>
        <w:rPr>
          <w:rFonts w:hint="eastAsia" w:ascii="宋体" w:hAnsi="宋体" w:cs="宋体"/>
          <w:color w:val="auto"/>
          <w:sz w:val="24"/>
          <w:highlight w:val="none"/>
        </w:rPr>
        <w:t>临时用地表</w:t>
      </w:r>
    </w:p>
    <w:p w14:paraId="3DE9AF89">
      <w:pPr>
        <w:spacing w:line="360" w:lineRule="auto"/>
        <w:ind w:firstLine="480" w:firstLineChars="200"/>
        <w:rPr>
          <w:rFonts w:ascii="宋体" w:hAnsi="宋体" w:cs="宋体"/>
          <w:color w:val="auto"/>
          <w:sz w:val="24"/>
          <w:highlight w:val="none"/>
        </w:rPr>
      </w:pPr>
    </w:p>
    <w:p w14:paraId="1B7CD4C4">
      <w:pPr>
        <w:spacing w:line="360" w:lineRule="auto"/>
        <w:rPr>
          <w:rFonts w:ascii="宋体" w:hAnsi="宋体" w:cs="宋体"/>
          <w:color w:val="auto"/>
          <w:sz w:val="24"/>
          <w:highlight w:val="none"/>
        </w:rPr>
      </w:pPr>
      <w:r>
        <w:rPr>
          <w:rFonts w:hint="eastAsia" w:ascii="宋体" w:hAnsi="宋体" w:cs="宋体"/>
          <w:color w:val="auto"/>
          <w:sz w:val="24"/>
          <w:highlight w:val="none"/>
        </w:rPr>
        <w:t>附表一：拟投入本工程的主要施工设备表</w:t>
      </w:r>
    </w:p>
    <w:tbl>
      <w:tblPr>
        <w:tblStyle w:val="40"/>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244"/>
        <w:gridCol w:w="864"/>
        <w:gridCol w:w="719"/>
        <w:gridCol w:w="720"/>
        <w:gridCol w:w="864"/>
        <w:gridCol w:w="1151"/>
        <w:gridCol w:w="1007"/>
        <w:gridCol w:w="1151"/>
        <w:gridCol w:w="1007"/>
      </w:tblGrid>
      <w:tr w14:paraId="0ACD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2DC3EA4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44" w:type="dxa"/>
            <w:tcBorders>
              <w:top w:val="single" w:color="auto" w:sz="4" w:space="0"/>
              <w:left w:val="single" w:color="auto" w:sz="4" w:space="0"/>
              <w:bottom w:val="single" w:color="auto" w:sz="4" w:space="0"/>
              <w:right w:val="single" w:color="auto" w:sz="4" w:space="0"/>
            </w:tcBorders>
            <w:vAlign w:val="center"/>
          </w:tcPr>
          <w:p w14:paraId="52D6AB9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设备名称</w:t>
            </w:r>
          </w:p>
        </w:tc>
        <w:tc>
          <w:tcPr>
            <w:tcW w:w="864" w:type="dxa"/>
            <w:tcBorders>
              <w:top w:val="single" w:color="auto" w:sz="4" w:space="0"/>
              <w:left w:val="single" w:color="auto" w:sz="4" w:space="0"/>
              <w:bottom w:val="single" w:color="auto" w:sz="4" w:space="0"/>
              <w:right w:val="single" w:color="auto" w:sz="4" w:space="0"/>
            </w:tcBorders>
            <w:vAlign w:val="center"/>
          </w:tcPr>
          <w:p w14:paraId="01F03AF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329BE5B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9" w:type="dxa"/>
            <w:tcBorders>
              <w:top w:val="single" w:color="auto" w:sz="4" w:space="0"/>
              <w:left w:val="single" w:color="auto" w:sz="4" w:space="0"/>
              <w:bottom w:val="single" w:color="auto" w:sz="4" w:space="0"/>
              <w:right w:val="single" w:color="auto" w:sz="4" w:space="0"/>
            </w:tcBorders>
            <w:vAlign w:val="center"/>
          </w:tcPr>
          <w:p w14:paraId="1850CD2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20" w:type="dxa"/>
            <w:tcBorders>
              <w:top w:val="single" w:color="auto" w:sz="4" w:space="0"/>
              <w:left w:val="single" w:color="auto" w:sz="4" w:space="0"/>
              <w:bottom w:val="single" w:color="auto" w:sz="4" w:space="0"/>
              <w:right w:val="single" w:color="auto" w:sz="4" w:space="0"/>
            </w:tcBorders>
            <w:vAlign w:val="center"/>
          </w:tcPr>
          <w:p w14:paraId="64AE00E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60401CF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864" w:type="dxa"/>
            <w:tcBorders>
              <w:top w:val="single" w:color="auto" w:sz="4" w:space="0"/>
              <w:left w:val="single" w:color="auto" w:sz="4" w:space="0"/>
              <w:bottom w:val="single" w:color="auto" w:sz="4" w:space="0"/>
              <w:right w:val="single" w:color="auto" w:sz="4" w:space="0"/>
            </w:tcBorders>
            <w:vAlign w:val="center"/>
          </w:tcPr>
          <w:p w14:paraId="430B69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w:t>
            </w:r>
          </w:p>
          <w:p w14:paraId="383C293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年份</w:t>
            </w:r>
          </w:p>
        </w:tc>
        <w:tc>
          <w:tcPr>
            <w:tcW w:w="1151" w:type="dxa"/>
            <w:tcBorders>
              <w:top w:val="single" w:color="auto" w:sz="4" w:space="0"/>
              <w:left w:val="single" w:color="auto" w:sz="4" w:space="0"/>
              <w:bottom w:val="single" w:color="auto" w:sz="4" w:space="0"/>
              <w:right w:val="single" w:color="auto" w:sz="4" w:space="0"/>
            </w:tcBorders>
            <w:vAlign w:val="center"/>
          </w:tcPr>
          <w:p w14:paraId="7A31ED6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额定功率</w:t>
            </w:r>
          </w:p>
          <w:p w14:paraId="2A02526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KW</w:t>
            </w:r>
            <w:r>
              <w:rPr>
                <w:rFonts w:hint="eastAsia" w:ascii="宋体" w:hAnsi="宋体" w:cs="宋体"/>
                <w:color w:val="auto"/>
                <w:sz w:val="24"/>
                <w:highlight w:val="none"/>
              </w:rPr>
              <w:t>）</w:t>
            </w:r>
          </w:p>
        </w:tc>
        <w:tc>
          <w:tcPr>
            <w:tcW w:w="1007" w:type="dxa"/>
            <w:tcBorders>
              <w:top w:val="single" w:color="auto" w:sz="4" w:space="0"/>
              <w:left w:val="single" w:color="auto" w:sz="4" w:space="0"/>
              <w:bottom w:val="single" w:color="auto" w:sz="4" w:space="0"/>
              <w:right w:val="single" w:color="auto" w:sz="4" w:space="0"/>
            </w:tcBorders>
            <w:vAlign w:val="center"/>
          </w:tcPr>
          <w:p w14:paraId="5F9C01E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生产</w:t>
            </w:r>
          </w:p>
          <w:p w14:paraId="3B2554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能力</w:t>
            </w:r>
          </w:p>
        </w:tc>
        <w:tc>
          <w:tcPr>
            <w:tcW w:w="1151" w:type="dxa"/>
            <w:tcBorders>
              <w:top w:val="single" w:color="auto" w:sz="4" w:space="0"/>
              <w:left w:val="single" w:color="auto" w:sz="4" w:space="0"/>
              <w:bottom w:val="single" w:color="auto" w:sz="4" w:space="0"/>
              <w:right w:val="single" w:color="auto" w:sz="4" w:space="0"/>
            </w:tcBorders>
            <w:vAlign w:val="center"/>
          </w:tcPr>
          <w:p w14:paraId="0968DBD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用于施</w:t>
            </w:r>
          </w:p>
          <w:p w14:paraId="35AFC90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工部位</w:t>
            </w:r>
          </w:p>
        </w:tc>
        <w:tc>
          <w:tcPr>
            <w:tcW w:w="1007" w:type="dxa"/>
            <w:tcBorders>
              <w:top w:val="single" w:color="auto" w:sz="4" w:space="0"/>
              <w:left w:val="single" w:color="auto" w:sz="4" w:space="0"/>
              <w:bottom w:val="single" w:color="auto" w:sz="4" w:space="0"/>
              <w:right w:val="single" w:color="auto" w:sz="4" w:space="0"/>
            </w:tcBorders>
            <w:vAlign w:val="center"/>
          </w:tcPr>
          <w:p w14:paraId="3F6DFA3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6498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262D082E">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206B1FFB">
            <w:pPr>
              <w:spacing w:line="360" w:lineRule="auto"/>
              <w:ind w:firstLine="480" w:firstLineChars="200"/>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63D679C9">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2566BC39">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191D7F1C">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5D78A58A">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62D939DE">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19726267">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0D05FE64">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392484A6">
            <w:pPr>
              <w:spacing w:line="360" w:lineRule="auto"/>
              <w:rPr>
                <w:rFonts w:ascii="宋体" w:hAnsi="宋体" w:cs="宋体"/>
                <w:color w:val="auto"/>
                <w:sz w:val="24"/>
                <w:highlight w:val="none"/>
              </w:rPr>
            </w:pPr>
          </w:p>
        </w:tc>
      </w:tr>
      <w:tr w14:paraId="5044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7C4EAD4F">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13C3CFEF">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0F14261F">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0966E144">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14B605FE">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21427540">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17B789B2">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41C4BAC0">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52AE0EAA">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73438596">
            <w:pPr>
              <w:spacing w:line="360" w:lineRule="auto"/>
              <w:rPr>
                <w:rFonts w:ascii="宋体" w:hAnsi="宋体" w:cs="宋体"/>
                <w:color w:val="auto"/>
                <w:sz w:val="24"/>
                <w:highlight w:val="none"/>
              </w:rPr>
            </w:pPr>
          </w:p>
        </w:tc>
      </w:tr>
      <w:tr w14:paraId="0BEF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67B81328">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73F4CCF6">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42CAC11C">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54F5D405">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605C2960">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4524AE03">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79681EBE">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21B764FA">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1831D8F7">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2CE431E9">
            <w:pPr>
              <w:spacing w:line="360" w:lineRule="auto"/>
              <w:rPr>
                <w:rFonts w:ascii="宋体" w:hAnsi="宋体" w:cs="宋体"/>
                <w:color w:val="auto"/>
                <w:sz w:val="24"/>
                <w:highlight w:val="none"/>
              </w:rPr>
            </w:pPr>
          </w:p>
        </w:tc>
      </w:tr>
      <w:tr w14:paraId="1955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42D323F4">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22B8B853">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48FAADDA">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1B35E649">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1663E11D">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07A8EB5D">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297D2395">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250B2DED">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3F7075D8">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1EC24339">
            <w:pPr>
              <w:spacing w:line="360" w:lineRule="auto"/>
              <w:rPr>
                <w:rFonts w:ascii="宋体" w:hAnsi="宋体" w:cs="宋体"/>
                <w:color w:val="auto"/>
                <w:sz w:val="24"/>
                <w:highlight w:val="none"/>
              </w:rPr>
            </w:pPr>
          </w:p>
        </w:tc>
      </w:tr>
    </w:tbl>
    <w:p w14:paraId="7ACCDC7F">
      <w:pPr>
        <w:spacing w:line="360" w:lineRule="auto"/>
        <w:rPr>
          <w:rFonts w:ascii="宋体" w:hAnsi="宋体" w:cs="宋体"/>
          <w:color w:val="auto"/>
          <w:sz w:val="24"/>
          <w:highlight w:val="none"/>
        </w:rPr>
      </w:pPr>
    </w:p>
    <w:p w14:paraId="70338671">
      <w:pPr>
        <w:spacing w:line="360" w:lineRule="auto"/>
        <w:rPr>
          <w:rFonts w:ascii="宋体" w:hAnsi="宋体" w:cs="宋体"/>
          <w:color w:val="auto"/>
          <w:sz w:val="24"/>
          <w:highlight w:val="none"/>
        </w:rPr>
      </w:pPr>
    </w:p>
    <w:p w14:paraId="0B962C8D">
      <w:pPr>
        <w:spacing w:line="360" w:lineRule="auto"/>
        <w:rPr>
          <w:rFonts w:ascii="宋体" w:hAnsi="宋体" w:cs="宋体"/>
          <w:color w:val="auto"/>
          <w:sz w:val="24"/>
          <w:highlight w:val="none"/>
        </w:rPr>
      </w:pPr>
      <w:r>
        <w:rPr>
          <w:rFonts w:hint="eastAsia" w:ascii="宋体" w:hAnsi="宋体" w:cs="宋体"/>
          <w:color w:val="auto"/>
          <w:sz w:val="24"/>
          <w:highlight w:val="none"/>
        </w:rPr>
        <w:t>附表二：拟配备本工程的试验和检测仪器设备表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35"/>
        <w:gridCol w:w="857"/>
        <w:gridCol w:w="713"/>
        <w:gridCol w:w="714"/>
        <w:gridCol w:w="1142"/>
        <w:gridCol w:w="1285"/>
        <w:gridCol w:w="1142"/>
        <w:gridCol w:w="1570"/>
      </w:tblGrid>
      <w:tr w14:paraId="1799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7E0A8C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35" w:type="dxa"/>
            <w:tcBorders>
              <w:top w:val="single" w:color="auto" w:sz="4" w:space="0"/>
              <w:left w:val="single" w:color="auto" w:sz="4" w:space="0"/>
              <w:bottom w:val="single" w:color="auto" w:sz="4" w:space="0"/>
              <w:right w:val="single" w:color="auto" w:sz="4" w:space="0"/>
            </w:tcBorders>
            <w:vAlign w:val="center"/>
          </w:tcPr>
          <w:p w14:paraId="247922C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仪器设备名称</w:t>
            </w:r>
          </w:p>
        </w:tc>
        <w:tc>
          <w:tcPr>
            <w:tcW w:w="857" w:type="dxa"/>
            <w:tcBorders>
              <w:top w:val="single" w:color="auto" w:sz="4" w:space="0"/>
              <w:left w:val="single" w:color="auto" w:sz="4" w:space="0"/>
              <w:bottom w:val="single" w:color="auto" w:sz="4" w:space="0"/>
              <w:right w:val="single" w:color="auto" w:sz="4" w:space="0"/>
            </w:tcBorders>
            <w:vAlign w:val="center"/>
          </w:tcPr>
          <w:p w14:paraId="35A0F8F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0E051E4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3" w:type="dxa"/>
            <w:tcBorders>
              <w:top w:val="single" w:color="auto" w:sz="4" w:space="0"/>
              <w:left w:val="single" w:color="auto" w:sz="4" w:space="0"/>
              <w:bottom w:val="single" w:color="auto" w:sz="4" w:space="0"/>
              <w:right w:val="single" w:color="auto" w:sz="4" w:space="0"/>
            </w:tcBorders>
            <w:vAlign w:val="center"/>
          </w:tcPr>
          <w:p w14:paraId="53096E6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14" w:type="dxa"/>
            <w:tcBorders>
              <w:top w:val="single" w:color="auto" w:sz="4" w:space="0"/>
              <w:left w:val="single" w:color="auto" w:sz="4" w:space="0"/>
              <w:bottom w:val="single" w:color="auto" w:sz="4" w:space="0"/>
              <w:right w:val="single" w:color="auto" w:sz="4" w:space="0"/>
            </w:tcBorders>
            <w:vAlign w:val="center"/>
          </w:tcPr>
          <w:p w14:paraId="00B32FB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097FB3A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1142" w:type="dxa"/>
            <w:tcBorders>
              <w:top w:val="single" w:color="auto" w:sz="4" w:space="0"/>
              <w:left w:val="single" w:color="auto" w:sz="4" w:space="0"/>
              <w:bottom w:val="single" w:color="auto" w:sz="4" w:space="0"/>
              <w:right w:val="single" w:color="auto" w:sz="4" w:space="0"/>
            </w:tcBorders>
            <w:vAlign w:val="center"/>
          </w:tcPr>
          <w:p w14:paraId="5E096B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制造年份</w:t>
            </w:r>
          </w:p>
        </w:tc>
        <w:tc>
          <w:tcPr>
            <w:tcW w:w="1285" w:type="dxa"/>
            <w:tcBorders>
              <w:top w:val="single" w:color="auto" w:sz="4" w:space="0"/>
              <w:left w:val="single" w:color="auto" w:sz="4" w:space="0"/>
              <w:bottom w:val="single" w:color="auto" w:sz="4" w:space="0"/>
              <w:right w:val="single" w:color="auto" w:sz="4" w:space="0"/>
            </w:tcBorders>
            <w:vAlign w:val="center"/>
          </w:tcPr>
          <w:p w14:paraId="5BCC082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已使用</w:t>
            </w:r>
          </w:p>
          <w:p w14:paraId="4446145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台时数</w:t>
            </w:r>
          </w:p>
        </w:tc>
        <w:tc>
          <w:tcPr>
            <w:tcW w:w="1142" w:type="dxa"/>
            <w:tcBorders>
              <w:top w:val="single" w:color="auto" w:sz="4" w:space="0"/>
              <w:left w:val="single" w:color="auto" w:sz="4" w:space="0"/>
              <w:bottom w:val="single" w:color="auto" w:sz="4" w:space="0"/>
              <w:right w:val="single" w:color="auto" w:sz="4" w:space="0"/>
            </w:tcBorders>
            <w:vAlign w:val="center"/>
          </w:tcPr>
          <w:p w14:paraId="0DE4A01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1570" w:type="dxa"/>
            <w:tcBorders>
              <w:top w:val="single" w:color="auto" w:sz="4" w:space="0"/>
              <w:left w:val="single" w:color="auto" w:sz="4" w:space="0"/>
              <w:bottom w:val="single" w:color="auto" w:sz="4" w:space="0"/>
              <w:right w:val="single" w:color="auto" w:sz="4" w:space="0"/>
            </w:tcBorders>
            <w:vAlign w:val="center"/>
          </w:tcPr>
          <w:p w14:paraId="321426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4C27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1C2190B">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46299CEF">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150A8651">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1AEAB46A">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6E9F02CD">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7AD25885">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0926E3E4">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C1590F7">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7D1B77D7">
            <w:pPr>
              <w:spacing w:line="360" w:lineRule="auto"/>
              <w:ind w:firstLine="480" w:firstLineChars="200"/>
              <w:rPr>
                <w:rFonts w:ascii="宋体" w:hAnsi="宋体" w:cs="宋体"/>
                <w:color w:val="auto"/>
                <w:sz w:val="24"/>
                <w:highlight w:val="none"/>
              </w:rPr>
            </w:pPr>
          </w:p>
        </w:tc>
      </w:tr>
      <w:tr w14:paraId="2C26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CDF2577">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56FDFE47">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0EEF7513">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2217B299">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03144352">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46A12765">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26A3B325">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32C766A7">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7A0A2E98">
            <w:pPr>
              <w:spacing w:line="360" w:lineRule="auto"/>
              <w:ind w:firstLine="480" w:firstLineChars="200"/>
              <w:rPr>
                <w:rFonts w:ascii="宋体" w:hAnsi="宋体" w:cs="宋体"/>
                <w:color w:val="auto"/>
                <w:sz w:val="24"/>
                <w:highlight w:val="none"/>
              </w:rPr>
            </w:pPr>
          </w:p>
        </w:tc>
      </w:tr>
      <w:tr w14:paraId="1288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0E30BD0">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2AE8675B">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13D013E7">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2A2F9587">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573F10F5">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522800B3">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48CDF80D">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2A9E4B12">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7A2737C8">
            <w:pPr>
              <w:spacing w:line="360" w:lineRule="auto"/>
              <w:ind w:firstLine="480" w:firstLineChars="200"/>
              <w:rPr>
                <w:rFonts w:ascii="宋体" w:hAnsi="宋体" w:cs="宋体"/>
                <w:color w:val="auto"/>
                <w:sz w:val="24"/>
                <w:highlight w:val="none"/>
              </w:rPr>
            </w:pPr>
          </w:p>
        </w:tc>
      </w:tr>
      <w:tr w14:paraId="5168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3BC62D9">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154C40EE">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4033AAE4">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77F2C954">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11B09F1A">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66E27FCF">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4C30AD5E">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34D0861E">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531807DA">
            <w:pPr>
              <w:spacing w:line="360" w:lineRule="auto"/>
              <w:ind w:firstLine="480" w:firstLineChars="200"/>
              <w:rPr>
                <w:rFonts w:ascii="宋体" w:hAnsi="宋体" w:cs="宋体"/>
                <w:color w:val="auto"/>
                <w:sz w:val="24"/>
                <w:highlight w:val="none"/>
              </w:rPr>
            </w:pPr>
          </w:p>
        </w:tc>
      </w:tr>
      <w:tr w14:paraId="30D9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0B3A1989">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D0A358D">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663D6319">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540025C9">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0AA29C9E">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C89E5E7">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1383F079">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7097C743">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66C67409">
            <w:pPr>
              <w:spacing w:line="360" w:lineRule="auto"/>
              <w:ind w:firstLine="480" w:firstLineChars="200"/>
              <w:rPr>
                <w:rFonts w:ascii="宋体" w:hAnsi="宋体" w:cs="宋体"/>
                <w:color w:val="auto"/>
                <w:sz w:val="24"/>
                <w:highlight w:val="none"/>
              </w:rPr>
            </w:pPr>
          </w:p>
        </w:tc>
      </w:tr>
    </w:tbl>
    <w:p w14:paraId="26D2CFAC">
      <w:pPr>
        <w:spacing w:line="360" w:lineRule="auto"/>
        <w:rPr>
          <w:rFonts w:ascii="宋体" w:hAnsi="宋体" w:cs="宋体"/>
          <w:color w:val="auto"/>
          <w:sz w:val="24"/>
          <w:highlight w:val="none"/>
        </w:rPr>
      </w:pPr>
    </w:p>
    <w:p w14:paraId="120EF03A">
      <w:pPr>
        <w:spacing w:line="360" w:lineRule="auto"/>
        <w:rPr>
          <w:rFonts w:ascii="宋体" w:hAnsi="宋体" w:cs="宋体"/>
          <w:color w:val="auto"/>
          <w:sz w:val="24"/>
          <w:highlight w:val="none"/>
        </w:rPr>
      </w:pPr>
      <w:r>
        <w:rPr>
          <w:rFonts w:hint="eastAsia" w:ascii="宋体" w:hAnsi="宋体" w:cs="宋体"/>
          <w:color w:val="auto"/>
          <w:sz w:val="24"/>
          <w:highlight w:val="none"/>
        </w:rPr>
        <w:t>附表三：劳动力计划表</w:t>
      </w:r>
    </w:p>
    <w:p w14:paraId="120C671D">
      <w:pPr>
        <w:spacing w:line="360" w:lineRule="auto"/>
        <w:rPr>
          <w:rFonts w:ascii="宋体" w:hAnsi="宋体" w:cs="宋体"/>
          <w:color w:val="auto"/>
          <w:sz w:val="24"/>
          <w:highlight w:val="none"/>
        </w:rPr>
      </w:pPr>
      <w:r>
        <w:rPr>
          <w:rFonts w:hint="eastAsia" w:ascii="宋体" w:hAnsi="宋体" w:cs="宋体"/>
          <w:color w:val="auto"/>
          <w:sz w:val="24"/>
          <w:highlight w:val="none"/>
        </w:rPr>
        <w:t>单位：人</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964"/>
        <w:gridCol w:w="1261"/>
        <w:gridCol w:w="1262"/>
        <w:gridCol w:w="1261"/>
        <w:gridCol w:w="1262"/>
        <w:gridCol w:w="1261"/>
        <w:gridCol w:w="1265"/>
      </w:tblGrid>
      <w:tr w14:paraId="5817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4D9EA64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工种</w:t>
            </w:r>
          </w:p>
        </w:tc>
        <w:tc>
          <w:tcPr>
            <w:tcW w:w="8536" w:type="dxa"/>
            <w:gridSpan w:val="7"/>
            <w:tcBorders>
              <w:top w:val="single" w:color="auto" w:sz="4" w:space="0"/>
              <w:left w:val="single" w:color="auto" w:sz="4" w:space="0"/>
              <w:bottom w:val="single" w:color="auto" w:sz="4" w:space="0"/>
              <w:right w:val="single" w:color="auto" w:sz="4" w:space="0"/>
            </w:tcBorders>
            <w:vAlign w:val="center"/>
          </w:tcPr>
          <w:p w14:paraId="0180C0B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按工程施工阶段投入劳动力情况</w:t>
            </w:r>
          </w:p>
        </w:tc>
      </w:tr>
      <w:tr w14:paraId="2752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0DE3D7B4">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A62B4CE">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1BE22B98">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6EB13C1C">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16CF113">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600CA1A3">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9DF51F6">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7358D522">
            <w:pPr>
              <w:spacing w:line="360" w:lineRule="auto"/>
              <w:jc w:val="center"/>
              <w:rPr>
                <w:rFonts w:ascii="宋体" w:hAnsi="宋体" w:cs="宋体"/>
                <w:color w:val="auto"/>
                <w:sz w:val="24"/>
                <w:highlight w:val="none"/>
              </w:rPr>
            </w:pPr>
          </w:p>
        </w:tc>
      </w:tr>
      <w:tr w14:paraId="6933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39365280">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8979AFB">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2414E56D">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2076EA43">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80C1A58">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BAD37F9">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AE89D3E">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72BAC285">
            <w:pPr>
              <w:spacing w:line="360" w:lineRule="auto"/>
              <w:jc w:val="center"/>
              <w:rPr>
                <w:rFonts w:ascii="宋体" w:hAnsi="宋体" w:cs="宋体"/>
                <w:color w:val="auto"/>
                <w:sz w:val="24"/>
                <w:highlight w:val="none"/>
              </w:rPr>
            </w:pPr>
          </w:p>
        </w:tc>
      </w:tr>
      <w:tr w14:paraId="7637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08A2F47C">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6C486841">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1E03056">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439F9E26">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7D50021">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3BD8DE8C">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181A02E4">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60ABEBE2">
            <w:pPr>
              <w:spacing w:line="360" w:lineRule="auto"/>
              <w:jc w:val="center"/>
              <w:rPr>
                <w:rFonts w:ascii="宋体" w:hAnsi="宋体" w:cs="宋体"/>
                <w:color w:val="auto"/>
                <w:sz w:val="24"/>
                <w:highlight w:val="none"/>
              </w:rPr>
            </w:pPr>
          </w:p>
        </w:tc>
      </w:tr>
      <w:tr w14:paraId="06EB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7B1EB40B">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3D32CE7F">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742B5F63">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3664961E">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C541EC8">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7EDC6683">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111EF205">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69AF5FBC">
            <w:pPr>
              <w:spacing w:line="360" w:lineRule="auto"/>
              <w:jc w:val="center"/>
              <w:rPr>
                <w:rFonts w:ascii="宋体" w:hAnsi="宋体" w:cs="宋体"/>
                <w:color w:val="auto"/>
                <w:sz w:val="24"/>
                <w:highlight w:val="none"/>
              </w:rPr>
            </w:pPr>
          </w:p>
        </w:tc>
      </w:tr>
      <w:tr w14:paraId="5B48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5C299C7C">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5346911">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D2040A9">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0D26E62">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705D63E">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3A4CFA58">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FA70ACE">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3C45F092">
            <w:pPr>
              <w:spacing w:line="360" w:lineRule="auto"/>
              <w:jc w:val="center"/>
              <w:rPr>
                <w:rFonts w:ascii="宋体" w:hAnsi="宋体" w:cs="宋体"/>
                <w:color w:val="auto"/>
                <w:sz w:val="24"/>
                <w:highlight w:val="none"/>
              </w:rPr>
            </w:pPr>
          </w:p>
        </w:tc>
      </w:tr>
    </w:tbl>
    <w:p w14:paraId="6A284D5A">
      <w:pPr>
        <w:spacing w:line="360" w:lineRule="auto"/>
        <w:rPr>
          <w:rFonts w:ascii="宋体" w:hAnsi="宋体" w:cs="宋体"/>
          <w:color w:val="auto"/>
          <w:sz w:val="24"/>
          <w:highlight w:val="none"/>
        </w:rPr>
      </w:pPr>
    </w:p>
    <w:p w14:paraId="51C89DC7">
      <w:pPr>
        <w:spacing w:line="360" w:lineRule="auto"/>
        <w:rPr>
          <w:rFonts w:ascii="宋体" w:hAnsi="宋体" w:cs="宋体"/>
          <w:color w:val="auto"/>
          <w:sz w:val="24"/>
          <w:highlight w:val="none"/>
        </w:rPr>
      </w:pPr>
    </w:p>
    <w:p w14:paraId="42BDCD4A">
      <w:pPr>
        <w:spacing w:line="360" w:lineRule="auto"/>
        <w:rPr>
          <w:rFonts w:ascii="宋体" w:hAnsi="宋体" w:cs="宋体"/>
          <w:color w:val="auto"/>
          <w:sz w:val="24"/>
          <w:highlight w:val="none"/>
        </w:rPr>
      </w:pPr>
      <w:r>
        <w:rPr>
          <w:rFonts w:hint="eastAsia" w:ascii="宋体" w:hAnsi="宋体" w:cs="宋体"/>
          <w:color w:val="auto"/>
          <w:sz w:val="24"/>
          <w:highlight w:val="none"/>
        </w:rPr>
        <w:t>附表四：计划开、竣工日期和施工进度计划（网络图或横道图）</w:t>
      </w:r>
    </w:p>
    <w:p w14:paraId="364321A2">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1. </w:t>
      </w:r>
      <w:r>
        <w:rPr>
          <w:rFonts w:hint="eastAsia" w:ascii="宋体" w:hAnsi="宋体" w:cs="宋体"/>
          <w:color w:val="auto"/>
          <w:sz w:val="24"/>
          <w:highlight w:val="none"/>
        </w:rPr>
        <w:t>磋商供应商应提交施工进度计划，说明按磋商文件要求的工期进行施工的各个关键日期。成交的磋商供应商还应按合同条件有关条款的要求提交详细的施工进度计划。</w:t>
      </w:r>
    </w:p>
    <w:p w14:paraId="2FF95ABE">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2. </w:t>
      </w:r>
      <w:r>
        <w:rPr>
          <w:rFonts w:hint="eastAsia" w:ascii="宋体" w:hAnsi="宋体" w:cs="宋体"/>
          <w:color w:val="auto"/>
          <w:sz w:val="24"/>
          <w:highlight w:val="none"/>
        </w:rPr>
        <w:t>施工进度计划可采用网络图（或横道图）表示，说明计划开工日期和各分项工程各阶段的完工日期和分包合同签订的日期。</w:t>
      </w:r>
    </w:p>
    <w:p w14:paraId="22345BE1">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3. </w:t>
      </w:r>
      <w:r>
        <w:rPr>
          <w:rFonts w:hint="eastAsia" w:ascii="宋体" w:hAnsi="宋体" w:cs="宋体"/>
          <w:color w:val="auto"/>
          <w:sz w:val="24"/>
          <w:highlight w:val="none"/>
        </w:rPr>
        <w:t>施工进度计划应与施工组织设计相适应。</w:t>
      </w:r>
    </w:p>
    <w:p w14:paraId="1F09FE2E">
      <w:pPr>
        <w:spacing w:line="360" w:lineRule="auto"/>
        <w:rPr>
          <w:rFonts w:ascii="宋体" w:hAnsi="宋体" w:cs="宋体"/>
          <w:color w:val="auto"/>
          <w:sz w:val="24"/>
          <w:highlight w:val="none"/>
        </w:rPr>
      </w:pPr>
    </w:p>
    <w:p w14:paraId="035BF331">
      <w:pPr>
        <w:spacing w:line="360" w:lineRule="auto"/>
        <w:rPr>
          <w:rFonts w:ascii="宋体" w:hAnsi="宋体" w:cs="宋体"/>
          <w:color w:val="auto"/>
          <w:sz w:val="24"/>
          <w:highlight w:val="none"/>
        </w:rPr>
      </w:pPr>
    </w:p>
    <w:p w14:paraId="20AA6A14">
      <w:pPr>
        <w:spacing w:line="360" w:lineRule="auto"/>
        <w:rPr>
          <w:rFonts w:ascii="宋体" w:hAnsi="宋体" w:cs="宋体"/>
          <w:color w:val="auto"/>
          <w:sz w:val="24"/>
          <w:highlight w:val="none"/>
        </w:rPr>
      </w:pPr>
      <w:r>
        <w:rPr>
          <w:rFonts w:hint="eastAsia" w:ascii="宋体" w:hAnsi="宋体" w:cs="宋体"/>
          <w:color w:val="auto"/>
          <w:sz w:val="24"/>
          <w:highlight w:val="none"/>
        </w:rPr>
        <w:t>附表五：施工总平面图</w:t>
      </w:r>
    </w:p>
    <w:p w14:paraId="1A1C771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磋商供应商应递交一份施工总平面图，绘出现场临时设施布置图表并附文字说明，说明临时设施、加工车间、现场办公、设备及仓储、供电、供水、卫生、生活、道路、消防等设施的情况和布置。</w:t>
      </w:r>
    </w:p>
    <w:p w14:paraId="3D335696">
      <w:pPr>
        <w:spacing w:line="360" w:lineRule="auto"/>
        <w:rPr>
          <w:rFonts w:ascii="宋体" w:hAnsi="宋体" w:cs="宋体"/>
          <w:color w:val="auto"/>
          <w:sz w:val="24"/>
          <w:highlight w:val="none"/>
        </w:rPr>
      </w:pPr>
    </w:p>
    <w:p w14:paraId="6FEDEE73">
      <w:pPr>
        <w:spacing w:line="360" w:lineRule="auto"/>
        <w:rPr>
          <w:rFonts w:ascii="宋体" w:hAnsi="宋体" w:cs="宋体"/>
          <w:color w:val="auto"/>
          <w:sz w:val="24"/>
          <w:highlight w:val="none"/>
        </w:rPr>
      </w:pPr>
    </w:p>
    <w:p w14:paraId="7C9A3F1A">
      <w:pPr>
        <w:spacing w:line="360" w:lineRule="auto"/>
        <w:rPr>
          <w:rFonts w:ascii="宋体" w:hAnsi="宋体" w:cs="宋体"/>
          <w:color w:val="auto"/>
          <w:sz w:val="24"/>
          <w:highlight w:val="none"/>
        </w:rPr>
      </w:pPr>
      <w:r>
        <w:rPr>
          <w:rFonts w:hint="eastAsia" w:ascii="宋体" w:hAnsi="宋体" w:cs="宋体"/>
          <w:color w:val="auto"/>
          <w:sz w:val="24"/>
          <w:highlight w:val="none"/>
        </w:rPr>
        <w:t>附表六：临时用地表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366"/>
        <w:gridCol w:w="2365"/>
        <w:gridCol w:w="2366"/>
      </w:tblGrid>
      <w:tr w14:paraId="6CEC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jc w:val="center"/>
        </w:trPr>
        <w:tc>
          <w:tcPr>
            <w:tcW w:w="2365" w:type="dxa"/>
            <w:tcBorders>
              <w:top w:val="single" w:color="auto" w:sz="4" w:space="0"/>
              <w:left w:val="single" w:color="auto" w:sz="4" w:space="0"/>
              <w:bottom w:val="single" w:color="auto" w:sz="4" w:space="0"/>
              <w:right w:val="single" w:color="auto" w:sz="4" w:space="0"/>
            </w:tcBorders>
            <w:vAlign w:val="center"/>
          </w:tcPr>
          <w:p w14:paraId="6541B1E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2366" w:type="dxa"/>
            <w:tcBorders>
              <w:top w:val="single" w:color="auto" w:sz="4" w:space="0"/>
              <w:left w:val="single" w:color="auto" w:sz="4" w:space="0"/>
              <w:bottom w:val="single" w:color="auto" w:sz="4" w:space="0"/>
              <w:right w:val="single" w:color="auto" w:sz="4" w:space="0"/>
            </w:tcBorders>
            <w:vAlign w:val="center"/>
          </w:tcPr>
          <w:p w14:paraId="27004A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面积（平方米）</w:t>
            </w:r>
          </w:p>
        </w:tc>
        <w:tc>
          <w:tcPr>
            <w:tcW w:w="2365" w:type="dxa"/>
            <w:tcBorders>
              <w:top w:val="single" w:color="auto" w:sz="4" w:space="0"/>
              <w:left w:val="single" w:color="auto" w:sz="4" w:space="0"/>
              <w:bottom w:val="single" w:color="auto" w:sz="4" w:space="0"/>
              <w:right w:val="single" w:color="auto" w:sz="4" w:space="0"/>
            </w:tcBorders>
            <w:vAlign w:val="center"/>
          </w:tcPr>
          <w:p w14:paraId="4136365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位置</w:t>
            </w:r>
          </w:p>
        </w:tc>
        <w:tc>
          <w:tcPr>
            <w:tcW w:w="2366" w:type="dxa"/>
            <w:tcBorders>
              <w:top w:val="single" w:color="auto" w:sz="4" w:space="0"/>
              <w:left w:val="single" w:color="auto" w:sz="4" w:space="0"/>
              <w:bottom w:val="single" w:color="auto" w:sz="4" w:space="0"/>
              <w:right w:val="single" w:color="auto" w:sz="4" w:space="0"/>
            </w:tcBorders>
            <w:vAlign w:val="center"/>
          </w:tcPr>
          <w:p w14:paraId="57BD363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需用时间</w:t>
            </w:r>
          </w:p>
        </w:tc>
      </w:tr>
      <w:tr w14:paraId="5A9B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00948B5B">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FB7D5D7">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5E3B2924">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8F19539">
            <w:pPr>
              <w:spacing w:line="360" w:lineRule="auto"/>
              <w:rPr>
                <w:rFonts w:ascii="宋体" w:hAnsi="宋体" w:cs="宋体"/>
                <w:color w:val="auto"/>
                <w:sz w:val="24"/>
                <w:highlight w:val="none"/>
              </w:rPr>
            </w:pPr>
          </w:p>
        </w:tc>
      </w:tr>
      <w:tr w14:paraId="28F3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6F314F8F">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74CB7235">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6F598F08">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0E7A0839">
            <w:pPr>
              <w:spacing w:line="360" w:lineRule="auto"/>
              <w:rPr>
                <w:rFonts w:ascii="宋体" w:hAnsi="宋体" w:cs="宋体"/>
                <w:color w:val="auto"/>
                <w:sz w:val="24"/>
                <w:highlight w:val="none"/>
              </w:rPr>
            </w:pPr>
          </w:p>
        </w:tc>
      </w:tr>
      <w:tr w14:paraId="5E58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365" w:type="dxa"/>
            <w:tcBorders>
              <w:top w:val="single" w:color="auto" w:sz="4" w:space="0"/>
              <w:left w:val="single" w:color="auto" w:sz="4" w:space="0"/>
              <w:bottom w:val="single" w:color="auto" w:sz="4" w:space="0"/>
              <w:right w:val="single" w:color="auto" w:sz="4" w:space="0"/>
            </w:tcBorders>
          </w:tcPr>
          <w:p w14:paraId="6E85595D">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2717BA7">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654EA3CC">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0BFCFBE7">
            <w:pPr>
              <w:spacing w:line="360" w:lineRule="auto"/>
              <w:rPr>
                <w:rFonts w:ascii="宋体" w:hAnsi="宋体" w:cs="宋体"/>
                <w:color w:val="auto"/>
                <w:sz w:val="24"/>
                <w:highlight w:val="none"/>
              </w:rPr>
            </w:pPr>
          </w:p>
        </w:tc>
      </w:tr>
      <w:tr w14:paraId="3420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00FF145B">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1A463094">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5DBAB7EB">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1B8AEBCC">
            <w:pPr>
              <w:spacing w:line="360" w:lineRule="auto"/>
              <w:rPr>
                <w:rFonts w:ascii="宋体" w:hAnsi="宋体" w:cs="宋体"/>
                <w:color w:val="auto"/>
                <w:sz w:val="24"/>
                <w:highlight w:val="none"/>
              </w:rPr>
            </w:pPr>
          </w:p>
        </w:tc>
      </w:tr>
    </w:tbl>
    <w:p w14:paraId="195392DB">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lang w:eastAsia="en-US"/>
        </w:rPr>
      </w:pPr>
    </w:p>
    <w:p w14:paraId="67674BE9">
      <w:pPr>
        <w:spacing w:line="360" w:lineRule="auto"/>
        <w:rPr>
          <w:rFonts w:ascii="宋体" w:hAnsi="宋体" w:cs="宋体"/>
          <w:color w:val="auto"/>
          <w:highlight w:val="none"/>
        </w:rPr>
        <w:sectPr>
          <w:pgSz w:w="11907" w:h="16839"/>
          <w:pgMar w:top="1431" w:right="1272" w:bottom="1364" w:left="1418" w:header="850" w:footer="1204" w:gutter="0"/>
          <w:pgNumType w:fmt="decimal"/>
          <w:cols w:space="720" w:num="1"/>
          <w:docGrid w:linePitch="286" w:charSpace="0"/>
        </w:sectPr>
      </w:pPr>
    </w:p>
    <w:p w14:paraId="251B0578">
      <w:pPr>
        <w:spacing w:line="360" w:lineRule="auto"/>
        <w:rPr>
          <w:rFonts w:ascii="宋体" w:hAnsi="宋体" w:cs="宋体"/>
          <w:b/>
          <w:bCs/>
          <w:color w:val="auto"/>
          <w:spacing w:val="9"/>
          <w:position w:val="3"/>
          <w:sz w:val="24"/>
          <w:highlight w:val="none"/>
        </w:rPr>
      </w:pPr>
      <w:r>
        <w:rPr>
          <w:rFonts w:hint="eastAsia" w:ascii="宋体" w:hAnsi="宋体" w:cs="宋体"/>
          <w:b/>
          <w:bCs/>
          <w:color w:val="auto"/>
          <w:spacing w:val="9"/>
          <w:position w:val="3"/>
          <w:sz w:val="24"/>
          <w:highlight w:val="none"/>
        </w:rPr>
        <w:t>附件10</w:t>
      </w:r>
    </w:p>
    <w:p w14:paraId="2866F4D6">
      <w:pPr>
        <w:spacing w:line="360" w:lineRule="auto"/>
        <w:jc w:val="center"/>
        <w:rPr>
          <w:rFonts w:ascii="宋体" w:hAnsi="宋体" w:cs="宋体"/>
          <w:color w:val="auto"/>
          <w:sz w:val="43"/>
          <w:szCs w:val="43"/>
          <w:highlight w:val="none"/>
        </w:rPr>
      </w:pPr>
      <w:r>
        <w:rPr>
          <w:rFonts w:hint="eastAsia" w:ascii="宋体" w:hAnsi="宋体" w:cs="宋体"/>
          <w:color w:val="auto"/>
          <w:spacing w:val="9"/>
          <w:position w:val="3"/>
          <w:sz w:val="43"/>
          <w:szCs w:val="43"/>
          <w:highlight w:val="none"/>
        </w:rPr>
        <w:t>项目管理机构配备情况表及主要人员简历表</w:t>
      </w:r>
    </w:p>
    <w:p w14:paraId="4DFA0790">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rPr>
      </w:pPr>
    </w:p>
    <w:p w14:paraId="7F9F731F">
      <w:pPr>
        <w:spacing w:line="360" w:lineRule="auto"/>
        <w:ind w:left="2716"/>
        <w:rPr>
          <w:rFonts w:ascii="宋体" w:hAnsi="宋体" w:cs="宋体"/>
          <w:color w:val="auto"/>
          <w:sz w:val="31"/>
          <w:szCs w:val="31"/>
          <w:highlight w:val="none"/>
        </w:rPr>
      </w:pPr>
      <w:r>
        <w:rPr>
          <w:rFonts w:hint="eastAsia" w:ascii="宋体" w:hAnsi="宋体" w:cs="宋体"/>
          <w:color w:val="auto"/>
          <w:spacing w:val="8"/>
          <w:sz w:val="31"/>
          <w:szCs w:val="31"/>
          <w:highlight w:val="none"/>
        </w:rPr>
        <w:t>（一）项目管理机构配备情况表</w:t>
      </w:r>
    </w:p>
    <w:p w14:paraId="31F9EB22">
      <w:pPr>
        <w:spacing w:line="360" w:lineRule="auto"/>
        <w:ind w:left="511"/>
        <w:rPr>
          <w:rFonts w:ascii="宋体" w:hAnsi="宋体" w:cs="宋体"/>
          <w:color w:val="auto"/>
          <w:sz w:val="24"/>
          <w:highlight w:val="none"/>
        </w:rPr>
      </w:pPr>
      <w:r>
        <w:rPr>
          <w:rFonts w:hint="eastAsia" w:ascii="宋体" w:hAnsi="宋体" w:cs="宋体"/>
          <w:color w:val="auto"/>
          <w:spacing w:val="-25"/>
          <w:sz w:val="24"/>
          <w:highlight w:val="none"/>
        </w:rPr>
        <w:t>分标（如有</w:t>
      </w:r>
      <w:r>
        <w:rPr>
          <w:rFonts w:hint="eastAsia" w:ascii="宋体" w:hAnsi="宋体" w:cs="宋体"/>
          <w:color w:val="auto"/>
          <w:spacing w:val="-28"/>
          <w:sz w:val="24"/>
          <w:highlight w:val="none"/>
        </w:rPr>
        <w:t>）</w:t>
      </w:r>
      <w:r>
        <w:rPr>
          <w:rFonts w:hint="eastAsia" w:ascii="宋体" w:hAnsi="宋体" w:cs="宋体"/>
          <w:color w:val="auto"/>
          <w:spacing w:val="47"/>
          <w:sz w:val="24"/>
          <w:highlight w:val="none"/>
        </w:rPr>
        <w:t xml:space="preserve"> </w:t>
      </w:r>
      <w:r>
        <w:rPr>
          <w:rFonts w:hint="eastAsia" w:ascii="宋体" w:hAnsi="宋体" w:cs="宋体"/>
          <w:color w:val="auto"/>
          <w:spacing w:val="-28"/>
          <w:sz w:val="24"/>
          <w:highlight w:val="none"/>
        </w:rPr>
        <w:t>：</w:t>
      </w:r>
      <w:r>
        <w:rPr>
          <w:rFonts w:hint="eastAsia" w:ascii="宋体" w:hAnsi="宋体" w:cs="宋体"/>
          <w:color w:val="auto"/>
          <w:sz w:val="24"/>
          <w:highlight w:val="none"/>
          <w:u w:val="single"/>
        </w:rPr>
        <w:t xml:space="preserve">         </w:t>
      </w:r>
    </w:p>
    <w:p w14:paraId="5710E6A3">
      <w:pPr>
        <w:spacing w:line="360" w:lineRule="auto"/>
        <w:rPr>
          <w:rFonts w:ascii="宋体" w:hAnsi="宋体" w:cs="宋体"/>
          <w:color w:val="auto"/>
          <w:highlight w:val="none"/>
        </w:rPr>
      </w:pPr>
    </w:p>
    <w:tbl>
      <w:tblPr>
        <w:tblStyle w:val="40"/>
        <w:tblW w:w="98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669"/>
        <w:gridCol w:w="827"/>
        <w:gridCol w:w="815"/>
        <w:gridCol w:w="1147"/>
        <w:gridCol w:w="1149"/>
        <w:gridCol w:w="1147"/>
        <w:gridCol w:w="744"/>
        <w:gridCol w:w="1166"/>
        <w:gridCol w:w="1281"/>
      </w:tblGrid>
      <w:tr w14:paraId="2AC89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26" w:type="dxa"/>
            <w:vMerge w:val="restart"/>
            <w:tcBorders>
              <w:bottom w:val="nil"/>
            </w:tcBorders>
            <w:shd w:val="clear" w:color="auto" w:fill="auto"/>
            <w:vAlign w:val="center"/>
          </w:tcPr>
          <w:p w14:paraId="51DF8ED9">
            <w:pPr>
              <w:spacing w:line="360" w:lineRule="auto"/>
              <w:rPr>
                <w:rFonts w:ascii="宋体" w:hAnsi="宋体" w:cs="宋体"/>
                <w:color w:val="auto"/>
                <w:sz w:val="24"/>
                <w:highlight w:val="none"/>
              </w:rPr>
            </w:pPr>
          </w:p>
          <w:p w14:paraId="700A35B8">
            <w:pPr>
              <w:kinsoku w:val="0"/>
              <w:autoSpaceDE w:val="0"/>
              <w:autoSpaceDN w:val="0"/>
              <w:adjustRightInd w:val="0"/>
              <w:snapToGrid w:val="0"/>
              <w:spacing w:line="360" w:lineRule="auto"/>
              <w:ind w:left="28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669" w:type="dxa"/>
            <w:vMerge w:val="restart"/>
            <w:tcBorders>
              <w:bottom w:val="nil"/>
            </w:tcBorders>
            <w:shd w:val="clear" w:color="auto" w:fill="auto"/>
            <w:vAlign w:val="center"/>
          </w:tcPr>
          <w:p w14:paraId="00EEB58E">
            <w:pPr>
              <w:spacing w:line="360" w:lineRule="auto"/>
              <w:rPr>
                <w:rFonts w:ascii="宋体" w:hAnsi="宋体" w:cs="宋体"/>
                <w:color w:val="auto"/>
                <w:sz w:val="24"/>
                <w:highlight w:val="none"/>
              </w:rPr>
            </w:pPr>
          </w:p>
          <w:p w14:paraId="514D5022">
            <w:pPr>
              <w:kinsoku w:val="0"/>
              <w:autoSpaceDE w:val="0"/>
              <w:autoSpaceDN w:val="0"/>
              <w:adjustRightInd w:val="0"/>
              <w:snapToGrid w:val="0"/>
              <w:spacing w:line="360" w:lineRule="auto"/>
              <w:ind w:left="12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827" w:type="dxa"/>
            <w:vMerge w:val="restart"/>
            <w:tcBorders>
              <w:bottom w:val="nil"/>
            </w:tcBorders>
            <w:shd w:val="clear" w:color="auto" w:fill="auto"/>
            <w:vAlign w:val="center"/>
          </w:tcPr>
          <w:p w14:paraId="53B1C8AB">
            <w:pPr>
              <w:kinsoku w:val="0"/>
              <w:autoSpaceDE w:val="0"/>
              <w:autoSpaceDN w:val="0"/>
              <w:adjustRightInd w:val="0"/>
              <w:snapToGrid w:val="0"/>
              <w:spacing w:line="360" w:lineRule="auto"/>
              <w:ind w:left="21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position w:val="7"/>
                <w:sz w:val="24"/>
                <w:highlight w:val="none"/>
                <w:lang w:eastAsia="en-US"/>
              </w:rPr>
              <w:t>身份</w:t>
            </w:r>
          </w:p>
          <w:p w14:paraId="391C14B5">
            <w:pPr>
              <w:kinsoku w:val="0"/>
              <w:autoSpaceDE w:val="0"/>
              <w:autoSpaceDN w:val="0"/>
              <w:adjustRightInd w:val="0"/>
              <w:snapToGrid w:val="0"/>
              <w:spacing w:line="360" w:lineRule="auto"/>
              <w:ind w:left="20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815" w:type="dxa"/>
            <w:vMerge w:val="restart"/>
            <w:tcBorders>
              <w:bottom w:val="nil"/>
            </w:tcBorders>
            <w:shd w:val="clear" w:color="auto" w:fill="auto"/>
            <w:vAlign w:val="center"/>
          </w:tcPr>
          <w:p w14:paraId="2BAF6D9B">
            <w:pPr>
              <w:spacing w:line="360" w:lineRule="auto"/>
              <w:rPr>
                <w:rFonts w:ascii="宋体" w:hAnsi="宋体" w:cs="宋体"/>
                <w:color w:val="auto"/>
                <w:sz w:val="24"/>
                <w:highlight w:val="none"/>
              </w:rPr>
            </w:pPr>
          </w:p>
          <w:p w14:paraId="6766C3AE">
            <w:pPr>
              <w:kinsoku w:val="0"/>
              <w:autoSpaceDE w:val="0"/>
              <w:autoSpaceDN w:val="0"/>
              <w:adjustRightInd w:val="0"/>
              <w:snapToGrid w:val="0"/>
              <w:spacing w:line="360" w:lineRule="auto"/>
              <w:ind w:left="2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4187" w:type="dxa"/>
            <w:gridSpan w:val="4"/>
            <w:shd w:val="clear" w:color="auto" w:fill="auto"/>
            <w:vAlign w:val="center"/>
          </w:tcPr>
          <w:p w14:paraId="38FA04DF">
            <w:pPr>
              <w:kinsoku w:val="0"/>
              <w:autoSpaceDE w:val="0"/>
              <w:autoSpaceDN w:val="0"/>
              <w:adjustRightInd w:val="0"/>
              <w:snapToGrid w:val="0"/>
              <w:spacing w:line="360" w:lineRule="auto"/>
              <w:ind w:left="136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执业或职业资格</w:t>
            </w:r>
          </w:p>
        </w:tc>
        <w:tc>
          <w:tcPr>
            <w:tcW w:w="2447" w:type="dxa"/>
            <w:gridSpan w:val="2"/>
            <w:shd w:val="clear" w:color="auto" w:fill="auto"/>
            <w:vAlign w:val="center"/>
          </w:tcPr>
          <w:p w14:paraId="46DEA3A4">
            <w:pPr>
              <w:kinsoku w:val="0"/>
              <w:autoSpaceDE w:val="0"/>
              <w:autoSpaceDN w:val="0"/>
              <w:adjustRightInd w:val="0"/>
              <w:snapToGrid w:val="0"/>
              <w:spacing w:line="360" w:lineRule="auto"/>
              <w:ind w:left="115"/>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9"/>
                <w:kern w:val="0"/>
                <w:sz w:val="24"/>
                <w:highlight w:val="none"/>
              </w:rPr>
              <w:t>承担完工、在建工程情况</w:t>
            </w:r>
          </w:p>
        </w:tc>
      </w:tr>
      <w:tr w14:paraId="686C5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Merge w:val="continue"/>
            <w:tcBorders>
              <w:top w:val="nil"/>
            </w:tcBorders>
            <w:shd w:val="clear" w:color="auto" w:fill="auto"/>
            <w:vAlign w:val="center"/>
          </w:tcPr>
          <w:p w14:paraId="56AF44FD">
            <w:pPr>
              <w:spacing w:line="360" w:lineRule="auto"/>
              <w:rPr>
                <w:rFonts w:ascii="宋体" w:hAnsi="宋体" w:cs="宋体"/>
                <w:color w:val="auto"/>
                <w:sz w:val="24"/>
                <w:highlight w:val="none"/>
              </w:rPr>
            </w:pPr>
          </w:p>
        </w:tc>
        <w:tc>
          <w:tcPr>
            <w:tcW w:w="669" w:type="dxa"/>
            <w:vMerge w:val="continue"/>
            <w:tcBorders>
              <w:top w:val="nil"/>
            </w:tcBorders>
            <w:shd w:val="clear" w:color="auto" w:fill="auto"/>
            <w:vAlign w:val="center"/>
          </w:tcPr>
          <w:p w14:paraId="2D3A9AF5">
            <w:pPr>
              <w:spacing w:line="360" w:lineRule="auto"/>
              <w:rPr>
                <w:rFonts w:ascii="宋体" w:hAnsi="宋体" w:cs="宋体"/>
                <w:color w:val="auto"/>
                <w:sz w:val="24"/>
                <w:highlight w:val="none"/>
              </w:rPr>
            </w:pPr>
          </w:p>
        </w:tc>
        <w:tc>
          <w:tcPr>
            <w:tcW w:w="827" w:type="dxa"/>
            <w:vMerge w:val="continue"/>
            <w:tcBorders>
              <w:top w:val="nil"/>
            </w:tcBorders>
            <w:shd w:val="clear" w:color="auto" w:fill="auto"/>
            <w:vAlign w:val="center"/>
          </w:tcPr>
          <w:p w14:paraId="0A2D3E0F">
            <w:pPr>
              <w:spacing w:line="360" w:lineRule="auto"/>
              <w:rPr>
                <w:rFonts w:ascii="宋体" w:hAnsi="宋体" w:cs="宋体"/>
                <w:color w:val="auto"/>
                <w:sz w:val="24"/>
                <w:highlight w:val="none"/>
              </w:rPr>
            </w:pPr>
          </w:p>
        </w:tc>
        <w:tc>
          <w:tcPr>
            <w:tcW w:w="815" w:type="dxa"/>
            <w:vMerge w:val="continue"/>
            <w:tcBorders>
              <w:top w:val="nil"/>
            </w:tcBorders>
            <w:shd w:val="clear" w:color="auto" w:fill="auto"/>
            <w:vAlign w:val="center"/>
          </w:tcPr>
          <w:p w14:paraId="200FFB23">
            <w:pPr>
              <w:spacing w:line="360" w:lineRule="auto"/>
              <w:rPr>
                <w:rFonts w:ascii="宋体" w:hAnsi="宋体" w:cs="宋体"/>
                <w:color w:val="auto"/>
                <w:sz w:val="24"/>
                <w:highlight w:val="none"/>
              </w:rPr>
            </w:pPr>
          </w:p>
        </w:tc>
        <w:tc>
          <w:tcPr>
            <w:tcW w:w="1147" w:type="dxa"/>
            <w:shd w:val="clear" w:color="auto" w:fill="auto"/>
            <w:vAlign w:val="center"/>
          </w:tcPr>
          <w:p w14:paraId="6614F5E7">
            <w:pPr>
              <w:kinsoku w:val="0"/>
              <w:autoSpaceDE w:val="0"/>
              <w:autoSpaceDN w:val="0"/>
              <w:adjustRightInd w:val="0"/>
              <w:snapToGrid w:val="0"/>
              <w:spacing w:line="360" w:lineRule="auto"/>
              <w:ind w:left="15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149" w:type="dxa"/>
            <w:shd w:val="clear" w:color="auto" w:fill="auto"/>
            <w:vAlign w:val="center"/>
          </w:tcPr>
          <w:p w14:paraId="23F6CE06">
            <w:pPr>
              <w:kinsoku w:val="0"/>
              <w:autoSpaceDE w:val="0"/>
              <w:autoSpaceDN w:val="0"/>
              <w:adjustRightInd w:val="0"/>
              <w:snapToGrid w:val="0"/>
              <w:spacing w:line="360" w:lineRule="auto"/>
              <w:ind w:left="37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147" w:type="dxa"/>
            <w:shd w:val="clear" w:color="auto" w:fill="auto"/>
            <w:vAlign w:val="center"/>
          </w:tcPr>
          <w:p w14:paraId="0FE9A2C9">
            <w:pPr>
              <w:kinsoku w:val="0"/>
              <w:autoSpaceDE w:val="0"/>
              <w:autoSpaceDN w:val="0"/>
              <w:adjustRightInd w:val="0"/>
              <w:snapToGrid w:val="0"/>
              <w:spacing w:line="360" w:lineRule="auto"/>
              <w:ind w:left="36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744" w:type="dxa"/>
            <w:shd w:val="clear" w:color="auto" w:fill="auto"/>
            <w:vAlign w:val="center"/>
          </w:tcPr>
          <w:p w14:paraId="745B3A3F">
            <w:pPr>
              <w:kinsoku w:val="0"/>
              <w:autoSpaceDE w:val="0"/>
              <w:autoSpaceDN w:val="0"/>
              <w:adjustRightInd w:val="0"/>
              <w:snapToGrid w:val="0"/>
              <w:spacing w:line="360" w:lineRule="auto"/>
              <w:ind w:left="16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专业</w:t>
            </w:r>
          </w:p>
        </w:tc>
        <w:tc>
          <w:tcPr>
            <w:tcW w:w="1166" w:type="dxa"/>
            <w:shd w:val="clear" w:color="auto" w:fill="auto"/>
            <w:vAlign w:val="center"/>
          </w:tcPr>
          <w:p w14:paraId="0067864A">
            <w:pPr>
              <w:kinsoku w:val="0"/>
              <w:autoSpaceDE w:val="0"/>
              <w:autoSpaceDN w:val="0"/>
              <w:adjustRightInd w:val="0"/>
              <w:snapToGrid w:val="0"/>
              <w:spacing w:line="360" w:lineRule="auto"/>
              <w:ind w:left="1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position w:val="1"/>
                <w:sz w:val="24"/>
                <w:highlight w:val="none"/>
                <w:lang w:eastAsia="en-US"/>
              </w:rPr>
              <w:t>完工/在建</w:t>
            </w:r>
          </w:p>
        </w:tc>
        <w:tc>
          <w:tcPr>
            <w:tcW w:w="1281" w:type="dxa"/>
            <w:shd w:val="clear" w:color="auto" w:fill="auto"/>
            <w:vAlign w:val="center"/>
          </w:tcPr>
          <w:p w14:paraId="5CFEA938">
            <w:pPr>
              <w:kinsoku w:val="0"/>
              <w:autoSpaceDE w:val="0"/>
              <w:autoSpaceDN w:val="0"/>
              <w:adjustRightInd w:val="0"/>
              <w:snapToGrid w:val="0"/>
              <w:spacing w:line="360" w:lineRule="auto"/>
              <w:ind w:left="439" w:right="213" w:hanging="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主要项目</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3"/>
                <w:kern w:val="0"/>
                <w:sz w:val="24"/>
                <w:highlight w:val="none"/>
                <w:lang w:eastAsia="en-US"/>
              </w:rPr>
              <w:t>名称</w:t>
            </w:r>
          </w:p>
        </w:tc>
      </w:tr>
      <w:tr w14:paraId="646D0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46E8B9FC">
            <w:pPr>
              <w:kinsoku w:val="0"/>
              <w:autoSpaceDE w:val="0"/>
              <w:autoSpaceDN w:val="0"/>
              <w:adjustRightInd w:val="0"/>
              <w:snapToGrid w:val="0"/>
              <w:spacing w:line="360" w:lineRule="auto"/>
              <w:ind w:left="13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7"/>
                <w:sz w:val="24"/>
                <w:highlight w:val="none"/>
                <w:lang w:eastAsia="en-US"/>
              </w:rPr>
              <w:t>1.项目</w:t>
            </w:r>
          </w:p>
          <w:p w14:paraId="44C01060">
            <w:pPr>
              <w:kinsoku w:val="0"/>
              <w:autoSpaceDE w:val="0"/>
              <w:autoSpaceDN w:val="0"/>
              <w:adjustRightInd w:val="0"/>
              <w:snapToGrid w:val="0"/>
              <w:spacing w:line="360" w:lineRule="auto"/>
              <w:ind w:left="11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经理</w:t>
            </w:r>
          </w:p>
        </w:tc>
        <w:tc>
          <w:tcPr>
            <w:tcW w:w="669" w:type="dxa"/>
            <w:shd w:val="clear" w:color="auto" w:fill="auto"/>
            <w:vAlign w:val="center"/>
          </w:tcPr>
          <w:p w14:paraId="24F27268">
            <w:pPr>
              <w:spacing w:line="360" w:lineRule="auto"/>
              <w:rPr>
                <w:rFonts w:ascii="宋体" w:hAnsi="宋体" w:cs="宋体"/>
                <w:color w:val="auto"/>
                <w:sz w:val="24"/>
                <w:highlight w:val="none"/>
              </w:rPr>
            </w:pPr>
          </w:p>
        </w:tc>
        <w:tc>
          <w:tcPr>
            <w:tcW w:w="827" w:type="dxa"/>
            <w:shd w:val="clear" w:color="auto" w:fill="auto"/>
            <w:vAlign w:val="center"/>
          </w:tcPr>
          <w:p w14:paraId="1DF7D682">
            <w:pPr>
              <w:spacing w:line="360" w:lineRule="auto"/>
              <w:rPr>
                <w:rFonts w:ascii="宋体" w:hAnsi="宋体" w:cs="宋体"/>
                <w:color w:val="auto"/>
                <w:sz w:val="24"/>
                <w:highlight w:val="none"/>
              </w:rPr>
            </w:pPr>
          </w:p>
        </w:tc>
        <w:tc>
          <w:tcPr>
            <w:tcW w:w="815" w:type="dxa"/>
            <w:shd w:val="clear" w:color="auto" w:fill="auto"/>
            <w:vAlign w:val="center"/>
          </w:tcPr>
          <w:p w14:paraId="25579AB0">
            <w:pPr>
              <w:spacing w:line="360" w:lineRule="auto"/>
              <w:rPr>
                <w:rFonts w:ascii="宋体" w:hAnsi="宋体" w:cs="宋体"/>
                <w:color w:val="auto"/>
                <w:sz w:val="24"/>
                <w:highlight w:val="none"/>
              </w:rPr>
            </w:pPr>
          </w:p>
        </w:tc>
        <w:tc>
          <w:tcPr>
            <w:tcW w:w="1147" w:type="dxa"/>
            <w:shd w:val="clear" w:color="auto" w:fill="auto"/>
            <w:vAlign w:val="center"/>
          </w:tcPr>
          <w:p w14:paraId="7C34B2B2">
            <w:pPr>
              <w:spacing w:line="360" w:lineRule="auto"/>
              <w:rPr>
                <w:rFonts w:ascii="宋体" w:hAnsi="宋体" w:cs="宋体"/>
                <w:color w:val="auto"/>
                <w:sz w:val="24"/>
                <w:highlight w:val="none"/>
              </w:rPr>
            </w:pPr>
          </w:p>
        </w:tc>
        <w:tc>
          <w:tcPr>
            <w:tcW w:w="1149" w:type="dxa"/>
            <w:shd w:val="clear" w:color="auto" w:fill="auto"/>
            <w:vAlign w:val="center"/>
          </w:tcPr>
          <w:p w14:paraId="30C617E6">
            <w:pPr>
              <w:spacing w:line="360" w:lineRule="auto"/>
              <w:rPr>
                <w:rFonts w:ascii="宋体" w:hAnsi="宋体" w:cs="宋体"/>
                <w:color w:val="auto"/>
                <w:sz w:val="24"/>
                <w:highlight w:val="none"/>
              </w:rPr>
            </w:pPr>
          </w:p>
        </w:tc>
        <w:tc>
          <w:tcPr>
            <w:tcW w:w="1147" w:type="dxa"/>
            <w:shd w:val="clear" w:color="auto" w:fill="auto"/>
            <w:vAlign w:val="center"/>
          </w:tcPr>
          <w:p w14:paraId="64DC6544">
            <w:pPr>
              <w:spacing w:line="360" w:lineRule="auto"/>
              <w:rPr>
                <w:rFonts w:ascii="宋体" w:hAnsi="宋体" w:cs="宋体"/>
                <w:color w:val="auto"/>
                <w:sz w:val="24"/>
                <w:highlight w:val="none"/>
              </w:rPr>
            </w:pPr>
          </w:p>
        </w:tc>
        <w:tc>
          <w:tcPr>
            <w:tcW w:w="744" w:type="dxa"/>
            <w:shd w:val="clear" w:color="auto" w:fill="auto"/>
            <w:vAlign w:val="center"/>
          </w:tcPr>
          <w:p w14:paraId="65C8BD00">
            <w:pPr>
              <w:spacing w:line="360" w:lineRule="auto"/>
              <w:rPr>
                <w:rFonts w:ascii="宋体" w:hAnsi="宋体" w:cs="宋体"/>
                <w:color w:val="auto"/>
                <w:sz w:val="24"/>
                <w:highlight w:val="none"/>
              </w:rPr>
            </w:pPr>
          </w:p>
        </w:tc>
        <w:tc>
          <w:tcPr>
            <w:tcW w:w="1166" w:type="dxa"/>
            <w:shd w:val="clear" w:color="auto" w:fill="auto"/>
            <w:vAlign w:val="center"/>
          </w:tcPr>
          <w:p w14:paraId="2136B5EE">
            <w:pPr>
              <w:spacing w:line="360" w:lineRule="auto"/>
              <w:rPr>
                <w:rFonts w:ascii="宋体" w:hAnsi="宋体" w:cs="宋体"/>
                <w:color w:val="auto"/>
                <w:sz w:val="24"/>
                <w:highlight w:val="none"/>
              </w:rPr>
            </w:pPr>
          </w:p>
        </w:tc>
        <w:tc>
          <w:tcPr>
            <w:tcW w:w="1281" w:type="dxa"/>
            <w:shd w:val="clear" w:color="auto" w:fill="auto"/>
            <w:vAlign w:val="center"/>
          </w:tcPr>
          <w:p w14:paraId="64DA862F">
            <w:pPr>
              <w:spacing w:line="360" w:lineRule="auto"/>
              <w:rPr>
                <w:rFonts w:ascii="宋体" w:hAnsi="宋体" w:cs="宋体"/>
                <w:color w:val="auto"/>
                <w:sz w:val="24"/>
                <w:highlight w:val="none"/>
              </w:rPr>
            </w:pPr>
          </w:p>
        </w:tc>
      </w:tr>
      <w:tr w14:paraId="4814B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926" w:type="dxa"/>
            <w:shd w:val="clear" w:color="auto" w:fill="auto"/>
            <w:vAlign w:val="center"/>
          </w:tcPr>
          <w:p w14:paraId="2633529F">
            <w:pPr>
              <w:kinsoku w:val="0"/>
              <w:autoSpaceDE w:val="0"/>
              <w:autoSpaceDN w:val="0"/>
              <w:adjustRightInd w:val="0"/>
              <w:snapToGrid w:val="0"/>
              <w:spacing w:line="360" w:lineRule="auto"/>
              <w:ind w:left="118" w:right="179" w:hanging="6"/>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2.技术</w:t>
            </w:r>
            <w:r>
              <w:rPr>
                <w:rFonts w:hint="eastAsia" w:ascii="宋体" w:hAnsi="宋体" w:cs="宋体"/>
                <w:snapToGrid w:val="0"/>
                <w:color w:val="auto"/>
                <w:spacing w:val="1"/>
                <w:kern w:val="0"/>
                <w:sz w:val="24"/>
                <w:highlight w:val="none"/>
              </w:rPr>
              <w:t xml:space="preserve"> </w:t>
            </w:r>
            <w:r>
              <w:rPr>
                <w:rFonts w:hint="eastAsia" w:ascii="宋体" w:hAnsi="宋体" w:cs="宋体"/>
                <w:snapToGrid w:val="0"/>
                <w:color w:val="auto"/>
                <w:spacing w:val="-3"/>
                <w:kern w:val="0"/>
                <w:sz w:val="24"/>
                <w:highlight w:val="none"/>
              </w:rPr>
              <w:t>负责人</w:t>
            </w:r>
            <w:r>
              <w:rPr>
                <w:rFonts w:hint="eastAsia" w:ascii="宋体" w:hAnsi="宋体" w:cs="宋体"/>
                <w:snapToGrid w:val="0"/>
                <w:color w:val="auto"/>
                <w:spacing w:val="-16"/>
                <w:kern w:val="0"/>
                <w:sz w:val="24"/>
                <w:highlight w:val="none"/>
              </w:rPr>
              <w:t>（项目</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5"/>
                <w:kern w:val="0"/>
                <w:sz w:val="24"/>
                <w:highlight w:val="none"/>
              </w:rPr>
              <w:t>总工）</w:t>
            </w:r>
          </w:p>
        </w:tc>
        <w:tc>
          <w:tcPr>
            <w:tcW w:w="669" w:type="dxa"/>
            <w:shd w:val="clear" w:color="auto" w:fill="auto"/>
            <w:vAlign w:val="center"/>
          </w:tcPr>
          <w:p w14:paraId="24A9CA3F">
            <w:pPr>
              <w:spacing w:line="360" w:lineRule="auto"/>
              <w:rPr>
                <w:rFonts w:ascii="宋体" w:hAnsi="宋体" w:cs="宋体"/>
                <w:color w:val="auto"/>
                <w:sz w:val="24"/>
                <w:highlight w:val="none"/>
              </w:rPr>
            </w:pPr>
          </w:p>
        </w:tc>
        <w:tc>
          <w:tcPr>
            <w:tcW w:w="827" w:type="dxa"/>
            <w:shd w:val="clear" w:color="auto" w:fill="auto"/>
            <w:vAlign w:val="center"/>
          </w:tcPr>
          <w:p w14:paraId="567629AE">
            <w:pPr>
              <w:spacing w:line="360" w:lineRule="auto"/>
              <w:rPr>
                <w:rFonts w:ascii="宋体" w:hAnsi="宋体" w:cs="宋体"/>
                <w:color w:val="auto"/>
                <w:sz w:val="24"/>
                <w:highlight w:val="none"/>
              </w:rPr>
            </w:pPr>
          </w:p>
        </w:tc>
        <w:tc>
          <w:tcPr>
            <w:tcW w:w="815" w:type="dxa"/>
            <w:shd w:val="clear" w:color="auto" w:fill="auto"/>
            <w:vAlign w:val="center"/>
          </w:tcPr>
          <w:p w14:paraId="065E139E">
            <w:pPr>
              <w:spacing w:line="360" w:lineRule="auto"/>
              <w:rPr>
                <w:rFonts w:ascii="宋体" w:hAnsi="宋体" w:cs="宋体"/>
                <w:color w:val="auto"/>
                <w:sz w:val="24"/>
                <w:highlight w:val="none"/>
              </w:rPr>
            </w:pPr>
          </w:p>
        </w:tc>
        <w:tc>
          <w:tcPr>
            <w:tcW w:w="1147" w:type="dxa"/>
            <w:shd w:val="clear" w:color="auto" w:fill="auto"/>
            <w:vAlign w:val="center"/>
          </w:tcPr>
          <w:p w14:paraId="2BCDB9E4">
            <w:pPr>
              <w:spacing w:line="360" w:lineRule="auto"/>
              <w:rPr>
                <w:rFonts w:ascii="宋体" w:hAnsi="宋体" w:cs="宋体"/>
                <w:color w:val="auto"/>
                <w:sz w:val="24"/>
                <w:highlight w:val="none"/>
              </w:rPr>
            </w:pPr>
          </w:p>
        </w:tc>
        <w:tc>
          <w:tcPr>
            <w:tcW w:w="1149" w:type="dxa"/>
            <w:shd w:val="clear" w:color="auto" w:fill="auto"/>
            <w:vAlign w:val="center"/>
          </w:tcPr>
          <w:p w14:paraId="4C354A94">
            <w:pPr>
              <w:spacing w:line="360" w:lineRule="auto"/>
              <w:rPr>
                <w:rFonts w:ascii="宋体" w:hAnsi="宋体" w:cs="宋体"/>
                <w:color w:val="auto"/>
                <w:sz w:val="24"/>
                <w:highlight w:val="none"/>
              </w:rPr>
            </w:pPr>
          </w:p>
        </w:tc>
        <w:tc>
          <w:tcPr>
            <w:tcW w:w="1147" w:type="dxa"/>
            <w:shd w:val="clear" w:color="auto" w:fill="auto"/>
            <w:vAlign w:val="center"/>
          </w:tcPr>
          <w:p w14:paraId="23AFA180">
            <w:pPr>
              <w:spacing w:line="360" w:lineRule="auto"/>
              <w:rPr>
                <w:rFonts w:ascii="宋体" w:hAnsi="宋体" w:cs="宋体"/>
                <w:color w:val="auto"/>
                <w:sz w:val="24"/>
                <w:highlight w:val="none"/>
              </w:rPr>
            </w:pPr>
          </w:p>
        </w:tc>
        <w:tc>
          <w:tcPr>
            <w:tcW w:w="744" w:type="dxa"/>
            <w:shd w:val="clear" w:color="auto" w:fill="auto"/>
            <w:vAlign w:val="center"/>
          </w:tcPr>
          <w:p w14:paraId="5C891923">
            <w:pPr>
              <w:spacing w:line="360" w:lineRule="auto"/>
              <w:rPr>
                <w:rFonts w:ascii="宋体" w:hAnsi="宋体" w:cs="宋体"/>
                <w:color w:val="auto"/>
                <w:sz w:val="24"/>
                <w:highlight w:val="none"/>
              </w:rPr>
            </w:pPr>
          </w:p>
        </w:tc>
        <w:tc>
          <w:tcPr>
            <w:tcW w:w="1166" w:type="dxa"/>
            <w:shd w:val="clear" w:color="auto" w:fill="auto"/>
            <w:vAlign w:val="center"/>
          </w:tcPr>
          <w:p w14:paraId="1A729BEF">
            <w:pPr>
              <w:spacing w:line="360" w:lineRule="auto"/>
              <w:rPr>
                <w:rFonts w:ascii="宋体" w:hAnsi="宋体" w:cs="宋体"/>
                <w:color w:val="auto"/>
                <w:sz w:val="24"/>
                <w:highlight w:val="none"/>
              </w:rPr>
            </w:pPr>
          </w:p>
        </w:tc>
        <w:tc>
          <w:tcPr>
            <w:tcW w:w="1281" w:type="dxa"/>
            <w:shd w:val="clear" w:color="auto" w:fill="auto"/>
            <w:vAlign w:val="center"/>
          </w:tcPr>
          <w:p w14:paraId="093B59CF">
            <w:pPr>
              <w:spacing w:line="360" w:lineRule="auto"/>
              <w:rPr>
                <w:rFonts w:ascii="宋体" w:hAnsi="宋体" w:cs="宋体"/>
                <w:color w:val="auto"/>
                <w:sz w:val="24"/>
                <w:highlight w:val="none"/>
              </w:rPr>
            </w:pPr>
          </w:p>
        </w:tc>
      </w:tr>
      <w:tr w14:paraId="338CE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926" w:type="dxa"/>
            <w:shd w:val="clear" w:color="auto" w:fill="auto"/>
            <w:vAlign w:val="center"/>
          </w:tcPr>
          <w:p w14:paraId="36180778">
            <w:pPr>
              <w:kinsoku w:val="0"/>
              <w:autoSpaceDE w:val="0"/>
              <w:autoSpaceDN w:val="0"/>
              <w:adjustRightInd w:val="0"/>
              <w:snapToGrid w:val="0"/>
              <w:spacing w:line="360" w:lineRule="auto"/>
              <w:ind w:left="123" w:right="129" w:hanging="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3.</w:t>
            </w:r>
            <w:r>
              <w:rPr>
                <w:rFonts w:hint="eastAsia" w:ascii="宋体" w:hAnsi="宋体" w:cs="宋体"/>
                <w:snapToGrid w:val="0"/>
                <w:color w:val="auto"/>
                <w:spacing w:val="3"/>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施工</w:t>
            </w:r>
            <w:r>
              <w:rPr>
                <w:rFonts w:hint="eastAsia" w:ascii="宋体" w:hAnsi="宋体" w:cs="宋体"/>
                <w:snapToGrid w:val="0"/>
                <w:color w:val="auto"/>
                <w:spacing w:val="1"/>
                <w:kern w:val="0"/>
                <w:sz w:val="24"/>
                <w:highlight w:val="none"/>
                <w:lang w:eastAsia="en-US"/>
              </w:rPr>
              <w:t xml:space="preserve"> </w:t>
            </w: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6FE8CA1B">
            <w:pPr>
              <w:spacing w:line="360" w:lineRule="auto"/>
              <w:rPr>
                <w:rFonts w:ascii="宋体" w:hAnsi="宋体" w:cs="宋体"/>
                <w:color w:val="auto"/>
                <w:sz w:val="24"/>
                <w:highlight w:val="none"/>
              </w:rPr>
            </w:pPr>
          </w:p>
        </w:tc>
        <w:tc>
          <w:tcPr>
            <w:tcW w:w="827" w:type="dxa"/>
            <w:shd w:val="clear" w:color="auto" w:fill="auto"/>
            <w:vAlign w:val="center"/>
          </w:tcPr>
          <w:p w14:paraId="53913857">
            <w:pPr>
              <w:spacing w:line="360" w:lineRule="auto"/>
              <w:rPr>
                <w:rFonts w:ascii="宋体" w:hAnsi="宋体" w:cs="宋体"/>
                <w:color w:val="auto"/>
                <w:sz w:val="24"/>
                <w:highlight w:val="none"/>
              </w:rPr>
            </w:pPr>
          </w:p>
        </w:tc>
        <w:tc>
          <w:tcPr>
            <w:tcW w:w="815" w:type="dxa"/>
            <w:shd w:val="clear" w:color="auto" w:fill="auto"/>
            <w:vAlign w:val="center"/>
          </w:tcPr>
          <w:p w14:paraId="6594CDF3">
            <w:pPr>
              <w:spacing w:line="360" w:lineRule="auto"/>
              <w:rPr>
                <w:rFonts w:ascii="宋体" w:hAnsi="宋体" w:cs="宋体"/>
                <w:color w:val="auto"/>
                <w:sz w:val="24"/>
                <w:highlight w:val="none"/>
              </w:rPr>
            </w:pPr>
          </w:p>
        </w:tc>
        <w:tc>
          <w:tcPr>
            <w:tcW w:w="1147" w:type="dxa"/>
            <w:shd w:val="clear" w:color="auto" w:fill="auto"/>
            <w:vAlign w:val="center"/>
          </w:tcPr>
          <w:p w14:paraId="6C72D408">
            <w:pPr>
              <w:spacing w:line="360" w:lineRule="auto"/>
              <w:rPr>
                <w:rFonts w:ascii="宋体" w:hAnsi="宋体" w:cs="宋体"/>
                <w:color w:val="auto"/>
                <w:sz w:val="24"/>
                <w:highlight w:val="none"/>
              </w:rPr>
            </w:pPr>
          </w:p>
        </w:tc>
        <w:tc>
          <w:tcPr>
            <w:tcW w:w="1149" w:type="dxa"/>
            <w:shd w:val="clear" w:color="auto" w:fill="auto"/>
            <w:vAlign w:val="center"/>
          </w:tcPr>
          <w:p w14:paraId="00C8B8D1">
            <w:pPr>
              <w:spacing w:line="360" w:lineRule="auto"/>
              <w:rPr>
                <w:rFonts w:ascii="宋体" w:hAnsi="宋体" w:cs="宋体"/>
                <w:color w:val="auto"/>
                <w:sz w:val="24"/>
                <w:highlight w:val="none"/>
              </w:rPr>
            </w:pPr>
          </w:p>
        </w:tc>
        <w:tc>
          <w:tcPr>
            <w:tcW w:w="1147" w:type="dxa"/>
            <w:shd w:val="clear" w:color="auto" w:fill="auto"/>
            <w:vAlign w:val="center"/>
          </w:tcPr>
          <w:p w14:paraId="1ACA76EF">
            <w:pPr>
              <w:spacing w:line="360" w:lineRule="auto"/>
              <w:rPr>
                <w:rFonts w:ascii="宋体" w:hAnsi="宋体" w:cs="宋体"/>
                <w:color w:val="auto"/>
                <w:sz w:val="24"/>
                <w:highlight w:val="none"/>
              </w:rPr>
            </w:pPr>
          </w:p>
        </w:tc>
        <w:tc>
          <w:tcPr>
            <w:tcW w:w="744" w:type="dxa"/>
            <w:shd w:val="clear" w:color="auto" w:fill="auto"/>
            <w:vAlign w:val="center"/>
          </w:tcPr>
          <w:p w14:paraId="6E8B2F9D">
            <w:pPr>
              <w:spacing w:line="360" w:lineRule="auto"/>
              <w:rPr>
                <w:rFonts w:ascii="宋体" w:hAnsi="宋体" w:cs="宋体"/>
                <w:color w:val="auto"/>
                <w:sz w:val="24"/>
                <w:highlight w:val="none"/>
              </w:rPr>
            </w:pPr>
          </w:p>
        </w:tc>
        <w:tc>
          <w:tcPr>
            <w:tcW w:w="1166" w:type="dxa"/>
            <w:shd w:val="clear" w:color="auto" w:fill="auto"/>
            <w:vAlign w:val="center"/>
          </w:tcPr>
          <w:p w14:paraId="533170BD">
            <w:pPr>
              <w:spacing w:line="360" w:lineRule="auto"/>
              <w:rPr>
                <w:rFonts w:ascii="宋体" w:hAnsi="宋体" w:cs="宋体"/>
                <w:color w:val="auto"/>
                <w:sz w:val="24"/>
                <w:highlight w:val="none"/>
              </w:rPr>
            </w:pPr>
          </w:p>
        </w:tc>
        <w:tc>
          <w:tcPr>
            <w:tcW w:w="1281" w:type="dxa"/>
            <w:shd w:val="clear" w:color="auto" w:fill="auto"/>
            <w:vAlign w:val="center"/>
          </w:tcPr>
          <w:p w14:paraId="35813F18">
            <w:pPr>
              <w:spacing w:line="360" w:lineRule="auto"/>
              <w:rPr>
                <w:rFonts w:ascii="宋体" w:hAnsi="宋体" w:cs="宋体"/>
                <w:color w:val="auto"/>
                <w:sz w:val="24"/>
                <w:highlight w:val="none"/>
              </w:rPr>
            </w:pPr>
          </w:p>
        </w:tc>
      </w:tr>
      <w:tr w14:paraId="0EE63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1DED79E6">
            <w:pPr>
              <w:kinsoku w:val="0"/>
              <w:autoSpaceDE w:val="0"/>
              <w:autoSpaceDN w:val="0"/>
              <w:adjustRightInd w:val="0"/>
              <w:snapToGrid w:val="0"/>
              <w:spacing w:line="360" w:lineRule="auto"/>
              <w:ind w:left="1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position w:val="7"/>
                <w:sz w:val="24"/>
                <w:highlight w:val="none"/>
                <w:lang w:eastAsia="en-US"/>
              </w:rPr>
              <w:t>4.安全</w:t>
            </w:r>
          </w:p>
          <w:p w14:paraId="11D508CD">
            <w:pPr>
              <w:kinsoku w:val="0"/>
              <w:autoSpaceDE w:val="0"/>
              <w:autoSpaceDN w:val="0"/>
              <w:adjustRightInd w:val="0"/>
              <w:snapToGrid w:val="0"/>
              <w:spacing w:line="360" w:lineRule="auto"/>
              <w:ind w:left="12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77FFB1C0">
            <w:pPr>
              <w:spacing w:line="360" w:lineRule="auto"/>
              <w:rPr>
                <w:rFonts w:ascii="宋体" w:hAnsi="宋体" w:cs="宋体"/>
                <w:color w:val="auto"/>
                <w:sz w:val="24"/>
                <w:highlight w:val="none"/>
              </w:rPr>
            </w:pPr>
          </w:p>
        </w:tc>
        <w:tc>
          <w:tcPr>
            <w:tcW w:w="827" w:type="dxa"/>
            <w:shd w:val="clear" w:color="auto" w:fill="auto"/>
            <w:vAlign w:val="center"/>
          </w:tcPr>
          <w:p w14:paraId="49CEE667">
            <w:pPr>
              <w:spacing w:line="360" w:lineRule="auto"/>
              <w:rPr>
                <w:rFonts w:ascii="宋体" w:hAnsi="宋体" w:cs="宋体"/>
                <w:color w:val="auto"/>
                <w:sz w:val="24"/>
                <w:highlight w:val="none"/>
              </w:rPr>
            </w:pPr>
          </w:p>
        </w:tc>
        <w:tc>
          <w:tcPr>
            <w:tcW w:w="815" w:type="dxa"/>
            <w:shd w:val="clear" w:color="auto" w:fill="auto"/>
            <w:vAlign w:val="center"/>
          </w:tcPr>
          <w:p w14:paraId="3D2518EE">
            <w:pPr>
              <w:spacing w:line="360" w:lineRule="auto"/>
              <w:rPr>
                <w:rFonts w:ascii="宋体" w:hAnsi="宋体" w:cs="宋体"/>
                <w:color w:val="auto"/>
                <w:sz w:val="24"/>
                <w:highlight w:val="none"/>
              </w:rPr>
            </w:pPr>
          </w:p>
        </w:tc>
        <w:tc>
          <w:tcPr>
            <w:tcW w:w="1147" w:type="dxa"/>
            <w:shd w:val="clear" w:color="auto" w:fill="auto"/>
            <w:vAlign w:val="center"/>
          </w:tcPr>
          <w:p w14:paraId="38DE6452">
            <w:pPr>
              <w:spacing w:line="360" w:lineRule="auto"/>
              <w:rPr>
                <w:rFonts w:ascii="宋体" w:hAnsi="宋体" w:cs="宋体"/>
                <w:color w:val="auto"/>
                <w:sz w:val="24"/>
                <w:highlight w:val="none"/>
              </w:rPr>
            </w:pPr>
          </w:p>
        </w:tc>
        <w:tc>
          <w:tcPr>
            <w:tcW w:w="1149" w:type="dxa"/>
            <w:shd w:val="clear" w:color="auto" w:fill="auto"/>
            <w:vAlign w:val="center"/>
          </w:tcPr>
          <w:p w14:paraId="5C402CDA">
            <w:pPr>
              <w:spacing w:line="360" w:lineRule="auto"/>
              <w:rPr>
                <w:rFonts w:ascii="宋体" w:hAnsi="宋体" w:cs="宋体"/>
                <w:color w:val="auto"/>
                <w:sz w:val="24"/>
                <w:highlight w:val="none"/>
              </w:rPr>
            </w:pPr>
          </w:p>
        </w:tc>
        <w:tc>
          <w:tcPr>
            <w:tcW w:w="1147" w:type="dxa"/>
            <w:shd w:val="clear" w:color="auto" w:fill="auto"/>
            <w:vAlign w:val="center"/>
          </w:tcPr>
          <w:p w14:paraId="774753D9">
            <w:pPr>
              <w:spacing w:line="360" w:lineRule="auto"/>
              <w:rPr>
                <w:rFonts w:ascii="宋体" w:hAnsi="宋体" w:cs="宋体"/>
                <w:color w:val="auto"/>
                <w:sz w:val="24"/>
                <w:highlight w:val="none"/>
              </w:rPr>
            </w:pPr>
          </w:p>
        </w:tc>
        <w:tc>
          <w:tcPr>
            <w:tcW w:w="744" w:type="dxa"/>
            <w:shd w:val="clear" w:color="auto" w:fill="auto"/>
            <w:vAlign w:val="center"/>
          </w:tcPr>
          <w:p w14:paraId="43E9162D">
            <w:pPr>
              <w:spacing w:line="360" w:lineRule="auto"/>
              <w:rPr>
                <w:rFonts w:ascii="宋体" w:hAnsi="宋体" w:cs="宋体"/>
                <w:color w:val="auto"/>
                <w:sz w:val="24"/>
                <w:highlight w:val="none"/>
              </w:rPr>
            </w:pPr>
          </w:p>
        </w:tc>
        <w:tc>
          <w:tcPr>
            <w:tcW w:w="1166" w:type="dxa"/>
            <w:shd w:val="clear" w:color="auto" w:fill="auto"/>
            <w:vAlign w:val="center"/>
          </w:tcPr>
          <w:p w14:paraId="441C89D8">
            <w:pPr>
              <w:spacing w:line="360" w:lineRule="auto"/>
              <w:rPr>
                <w:rFonts w:ascii="宋体" w:hAnsi="宋体" w:cs="宋体"/>
                <w:color w:val="auto"/>
                <w:sz w:val="24"/>
                <w:highlight w:val="none"/>
              </w:rPr>
            </w:pPr>
          </w:p>
        </w:tc>
        <w:tc>
          <w:tcPr>
            <w:tcW w:w="1281" w:type="dxa"/>
            <w:shd w:val="clear" w:color="auto" w:fill="auto"/>
            <w:vAlign w:val="center"/>
          </w:tcPr>
          <w:p w14:paraId="58268ECB">
            <w:pPr>
              <w:spacing w:line="360" w:lineRule="auto"/>
              <w:rPr>
                <w:rFonts w:ascii="宋体" w:hAnsi="宋体" w:cs="宋体"/>
                <w:color w:val="auto"/>
                <w:sz w:val="24"/>
                <w:highlight w:val="none"/>
              </w:rPr>
            </w:pPr>
          </w:p>
        </w:tc>
      </w:tr>
      <w:tr w14:paraId="76E24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3D4CF094">
            <w:pPr>
              <w:kinsoku w:val="0"/>
              <w:autoSpaceDE w:val="0"/>
              <w:autoSpaceDN w:val="0"/>
              <w:adjustRightInd w:val="0"/>
              <w:snapToGrid w:val="0"/>
              <w:spacing w:line="360" w:lineRule="auto"/>
              <w:ind w:left="123" w:right="129" w:hanging="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sz w:val="24"/>
                <w:highlight w:val="none"/>
                <w:lang w:eastAsia="en-US"/>
              </w:rPr>
              <w:t>5.质量</w:t>
            </w:r>
            <w:r>
              <w:rPr>
                <w:rFonts w:hint="eastAsia" w:ascii="宋体" w:hAnsi="宋体" w:cs="宋体"/>
                <w:snapToGrid w:val="0"/>
                <w:color w:val="auto"/>
                <w:kern w:val="0"/>
                <w:sz w:val="24"/>
                <w:highlight w:val="none"/>
                <w:lang w:eastAsia="en-US"/>
              </w:rPr>
              <w:t xml:space="preserve"> 员</w:t>
            </w:r>
          </w:p>
        </w:tc>
        <w:tc>
          <w:tcPr>
            <w:tcW w:w="669" w:type="dxa"/>
            <w:shd w:val="clear" w:color="auto" w:fill="auto"/>
            <w:vAlign w:val="center"/>
          </w:tcPr>
          <w:p w14:paraId="4FB72604">
            <w:pPr>
              <w:spacing w:line="360" w:lineRule="auto"/>
              <w:rPr>
                <w:rFonts w:ascii="宋体" w:hAnsi="宋体" w:cs="宋体"/>
                <w:color w:val="auto"/>
                <w:sz w:val="24"/>
                <w:highlight w:val="none"/>
              </w:rPr>
            </w:pPr>
          </w:p>
        </w:tc>
        <w:tc>
          <w:tcPr>
            <w:tcW w:w="827" w:type="dxa"/>
            <w:shd w:val="clear" w:color="auto" w:fill="auto"/>
            <w:vAlign w:val="center"/>
          </w:tcPr>
          <w:p w14:paraId="4F63463C">
            <w:pPr>
              <w:spacing w:line="360" w:lineRule="auto"/>
              <w:rPr>
                <w:rFonts w:ascii="宋体" w:hAnsi="宋体" w:cs="宋体"/>
                <w:color w:val="auto"/>
                <w:sz w:val="24"/>
                <w:highlight w:val="none"/>
              </w:rPr>
            </w:pPr>
          </w:p>
        </w:tc>
        <w:tc>
          <w:tcPr>
            <w:tcW w:w="815" w:type="dxa"/>
            <w:shd w:val="clear" w:color="auto" w:fill="auto"/>
            <w:vAlign w:val="center"/>
          </w:tcPr>
          <w:p w14:paraId="4ECB7A15">
            <w:pPr>
              <w:spacing w:line="360" w:lineRule="auto"/>
              <w:rPr>
                <w:rFonts w:ascii="宋体" w:hAnsi="宋体" w:cs="宋体"/>
                <w:color w:val="auto"/>
                <w:sz w:val="24"/>
                <w:highlight w:val="none"/>
              </w:rPr>
            </w:pPr>
          </w:p>
        </w:tc>
        <w:tc>
          <w:tcPr>
            <w:tcW w:w="1147" w:type="dxa"/>
            <w:shd w:val="clear" w:color="auto" w:fill="auto"/>
            <w:vAlign w:val="center"/>
          </w:tcPr>
          <w:p w14:paraId="4FD9E131">
            <w:pPr>
              <w:spacing w:line="360" w:lineRule="auto"/>
              <w:rPr>
                <w:rFonts w:ascii="宋体" w:hAnsi="宋体" w:cs="宋体"/>
                <w:color w:val="auto"/>
                <w:sz w:val="24"/>
                <w:highlight w:val="none"/>
              </w:rPr>
            </w:pPr>
          </w:p>
        </w:tc>
        <w:tc>
          <w:tcPr>
            <w:tcW w:w="1149" w:type="dxa"/>
            <w:shd w:val="clear" w:color="auto" w:fill="auto"/>
            <w:vAlign w:val="center"/>
          </w:tcPr>
          <w:p w14:paraId="625916D3">
            <w:pPr>
              <w:spacing w:line="360" w:lineRule="auto"/>
              <w:rPr>
                <w:rFonts w:ascii="宋体" w:hAnsi="宋体" w:cs="宋体"/>
                <w:color w:val="auto"/>
                <w:sz w:val="24"/>
                <w:highlight w:val="none"/>
              </w:rPr>
            </w:pPr>
          </w:p>
        </w:tc>
        <w:tc>
          <w:tcPr>
            <w:tcW w:w="1147" w:type="dxa"/>
            <w:shd w:val="clear" w:color="auto" w:fill="auto"/>
            <w:vAlign w:val="center"/>
          </w:tcPr>
          <w:p w14:paraId="50F936C2">
            <w:pPr>
              <w:spacing w:line="360" w:lineRule="auto"/>
              <w:rPr>
                <w:rFonts w:ascii="宋体" w:hAnsi="宋体" w:cs="宋体"/>
                <w:color w:val="auto"/>
                <w:sz w:val="24"/>
                <w:highlight w:val="none"/>
              </w:rPr>
            </w:pPr>
          </w:p>
        </w:tc>
        <w:tc>
          <w:tcPr>
            <w:tcW w:w="744" w:type="dxa"/>
            <w:shd w:val="clear" w:color="auto" w:fill="auto"/>
            <w:vAlign w:val="center"/>
          </w:tcPr>
          <w:p w14:paraId="1760FCA4">
            <w:pPr>
              <w:spacing w:line="360" w:lineRule="auto"/>
              <w:rPr>
                <w:rFonts w:ascii="宋体" w:hAnsi="宋体" w:cs="宋体"/>
                <w:color w:val="auto"/>
                <w:sz w:val="24"/>
                <w:highlight w:val="none"/>
              </w:rPr>
            </w:pPr>
          </w:p>
        </w:tc>
        <w:tc>
          <w:tcPr>
            <w:tcW w:w="1166" w:type="dxa"/>
            <w:shd w:val="clear" w:color="auto" w:fill="auto"/>
            <w:vAlign w:val="center"/>
          </w:tcPr>
          <w:p w14:paraId="0EABA597">
            <w:pPr>
              <w:spacing w:line="360" w:lineRule="auto"/>
              <w:rPr>
                <w:rFonts w:ascii="宋体" w:hAnsi="宋体" w:cs="宋体"/>
                <w:color w:val="auto"/>
                <w:sz w:val="24"/>
                <w:highlight w:val="none"/>
              </w:rPr>
            </w:pPr>
          </w:p>
        </w:tc>
        <w:tc>
          <w:tcPr>
            <w:tcW w:w="1281" w:type="dxa"/>
            <w:shd w:val="clear" w:color="auto" w:fill="auto"/>
            <w:vAlign w:val="center"/>
          </w:tcPr>
          <w:p w14:paraId="6448BE76">
            <w:pPr>
              <w:spacing w:line="360" w:lineRule="auto"/>
              <w:rPr>
                <w:rFonts w:ascii="宋体" w:hAnsi="宋体" w:cs="宋体"/>
                <w:color w:val="auto"/>
                <w:sz w:val="24"/>
                <w:highlight w:val="none"/>
              </w:rPr>
            </w:pPr>
          </w:p>
        </w:tc>
      </w:tr>
      <w:tr w14:paraId="2E6A3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76DF516D">
            <w:pPr>
              <w:kinsoku w:val="0"/>
              <w:autoSpaceDE w:val="0"/>
              <w:autoSpaceDN w:val="0"/>
              <w:adjustRightInd w:val="0"/>
              <w:snapToGrid w:val="0"/>
              <w:spacing w:line="360" w:lineRule="auto"/>
              <w:ind w:left="11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position w:val="7"/>
                <w:sz w:val="24"/>
                <w:highlight w:val="none"/>
                <w:lang w:eastAsia="en-US"/>
              </w:rPr>
              <w:t>6.材料</w:t>
            </w:r>
          </w:p>
          <w:p w14:paraId="5600EE6B">
            <w:pPr>
              <w:kinsoku w:val="0"/>
              <w:autoSpaceDE w:val="0"/>
              <w:autoSpaceDN w:val="0"/>
              <w:adjustRightInd w:val="0"/>
              <w:snapToGrid w:val="0"/>
              <w:spacing w:line="360" w:lineRule="auto"/>
              <w:ind w:left="12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2318FCED">
            <w:pPr>
              <w:spacing w:line="360" w:lineRule="auto"/>
              <w:rPr>
                <w:rFonts w:ascii="宋体" w:hAnsi="宋体" w:cs="宋体"/>
                <w:color w:val="auto"/>
                <w:sz w:val="24"/>
                <w:highlight w:val="none"/>
              </w:rPr>
            </w:pPr>
          </w:p>
        </w:tc>
        <w:tc>
          <w:tcPr>
            <w:tcW w:w="827" w:type="dxa"/>
            <w:shd w:val="clear" w:color="auto" w:fill="auto"/>
            <w:vAlign w:val="center"/>
          </w:tcPr>
          <w:p w14:paraId="2BCD7153">
            <w:pPr>
              <w:spacing w:line="360" w:lineRule="auto"/>
              <w:rPr>
                <w:rFonts w:ascii="宋体" w:hAnsi="宋体" w:cs="宋体"/>
                <w:color w:val="auto"/>
                <w:sz w:val="24"/>
                <w:highlight w:val="none"/>
              </w:rPr>
            </w:pPr>
          </w:p>
        </w:tc>
        <w:tc>
          <w:tcPr>
            <w:tcW w:w="815" w:type="dxa"/>
            <w:shd w:val="clear" w:color="auto" w:fill="auto"/>
            <w:vAlign w:val="center"/>
          </w:tcPr>
          <w:p w14:paraId="195A98E0">
            <w:pPr>
              <w:spacing w:line="360" w:lineRule="auto"/>
              <w:rPr>
                <w:rFonts w:ascii="宋体" w:hAnsi="宋体" w:cs="宋体"/>
                <w:color w:val="auto"/>
                <w:sz w:val="24"/>
                <w:highlight w:val="none"/>
              </w:rPr>
            </w:pPr>
          </w:p>
        </w:tc>
        <w:tc>
          <w:tcPr>
            <w:tcW w:w="1147" w:type="dxa"/>
            <w:shd w:val="clear" w:color="auto" w:fill="auto"/>
            <w:vAlign w:val="center"/>
          </w:tcPr>
          <w:p w14:paraId="6F92F9CD">
            <w:pPr>
              <w:spacing w:line="360" w:lineRule="auto"/>
              <w:rPr>
                <w:rFonts w:ascii="宋体" w:hAnsi="宋体" w:cs="宋体"/>
                <w:color w:val="auto"/>
                <w:sz w:val="24"/>
                <w:highlight w:val="none"/>
              </w:rPr>
            </w:pPr>
          </w:p>
        </w:tc>
        <w:tc>
          <w:tcPr>
            <w:tcW w:w="1149" w:type="dxa"/>
            <w:shd w:val="clear" w:color="auto" w:fill="auto"/>
            <w:vAlign w:val="center"/>
          </w:tcPr>
          <w:p w14:paraId="094CCD25">
            <w:pPr>
              <w:spacing w:line="360" w:lineRule="auto"/>
              <w:rPr>
                <w:rFonts w:ascii="宋体" w:hAnsi="宋体" w:cs="宋体"/>
                <w:color w:val="auto"/>
                <w:sz w:val="24"/>
                <w:highlight w:val="none"/>
              </w:rPr>
            </w:pPr>
          </w:p>
        </w:tc>
        <w:tc>
          <w:tcPr>
            <w:tcW w:w="1147" w:type="dxa"/>
            <w:shd w:val="clear" w:color="auto" w:fill="auto"/>
            <w:vAlign w:val="center"/>
          </w:tcPr>
          <w:p w14:paraId="598E9610">
            <w:pPr>
              <w:spacing w:line="360" w:lineRule="auto"/>
              <w:rPr>
                <w:rFonts w:ascii="宋体" w:hAnsi="宋体" w:cs="宋体"/>
                <w:color w:val="auto"/>
                <w:sz w:val="24"/>
                <w:highlight w:val="none"/>
              </w:rPr>
            </w:pPr>
          </w:p>
        </w:tc>
        <w:tc>
          <w:tcPr>
            <w:tcW w:w="744" w:type="dxa"/>
            <w:shd w:val="clear" w:color="auto" w:fill="auto"/>
            <w:vAlign w:val="center"/>
          </w:tcPr>
          <w:p w14:paraId="35A7B410">
            <w:pPr>
              <w:spacing w:line="360" w:lineRule="auto"/>
              <w:rPr>
                <w:rFonts w:ascii="宋体" w:hAnsi="宋体" w:cs="宋体"/>
                <w:color w:val="auto"/>
                <w:sz w:val="24"/>
                <w:highlight w:val="none"/>
              </w:rPr>
            </w:pPr>
          </w:p>
        </w:tc>
        <w:tc>
          <w:tcPr>
            <w:tcW w:w="1166" w:type="dxa"/>
            <w:shd w:val="clear" w:color="auto" w:fill="auto"/>
            <w:vAlign w:val="center"/>
          </w:tcPr>
          <w:p w14:paraId="5525272F">
            <w:pPr>
              <w:spacing w:line="360" w:lineRule="auto"/>
              <w:rPr>
                <w:rFonts w:ascii="宋体" w:hAnsi="宋体" w:cs="宋体"/>
                <w:color w:val="auto"/>
                <w:sz w:val="24"/>
                <w:highlight w:val="none"/>
              </w:rPr>
            </w:pPr>
          </w:p>
        </w:tc>
        <w:tc>
          <w:tcPr>
            <w:tcW w:w="1281" w:type="dxa"/>
            <w:shd w:val="clear" w:color="auto" w:fill="auto"/>
            <w:vAlign w:val="center"/>
          </w:tcPr>
          <w:p w14:paraId="70AA9C49">
            <w:pPr>
              <w:spacing w:line="360" w:lineRule="auto"/>
              <w:rPr>
                <w:rFonts w:ascii="宋体" w:hAnsi="宋体" w:cs="宋体"/>
                <w:color w:val="auto"/>
                <w:sz w:val="24"/>
                <w:highlight w:val="none"/>
              </w:rPr>
            </w:pPr>
          </w:p>
        </w:tc>
      </w:tr>
      <w:tr w14:paraId="292C2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2E7F50AD">
            <w:pPr>
              <w:spacing w:line="360" w:lineRule="auto"/>
              <w:rPr>
                <w:rFonts w:ascii="宋体" w:hAnsi="宋体" w:cs="宋体"/>
                <w:color w:val="auto"/>
                <w:sz w:val="24"/>
                <w:highlight w:val="none"/>
              </w:rPr>
            </w:pPr>
          </w:p>
        </w:tc>
        <w:tc>
          <w:tcPr>
            <w:tcW w:w="669" w:type="dxa"/>
            <w:shd w:val="clear" w:color="auto" w:fill="auto"/>
            <w:vAlign w:val="center"/>
          </w:tcPr>
          <w:p w14:paraId="7E1DADD7">
            <w:pPr>
              <w:spacing w:line="360" w:lineRule="auto"/>
              <w:rPr>
                <w:rFonts w:ascii="宋体" w:hAnsi="宋体" w:cs="宋体"/>
                <w:color w:val="auto"/>
                <w:sz w:val="24"/>
                <w:highlight w:val="none"/>
              </w:rPr>
            </w:pPr>
          </w:p>
        </w:tc>
        <w:tc>
          <w:tcPr>
            <w:tcW w:w="827" w:type="dxa"/>
            <w:shd w:val="clear" w:color="auto" w:fill="auto"/>
            <w:vAlign w:val="center"/>
          </w:tcPr>
          <w:p w14:paraId="1CDF95D4">
            <w:pPr>
              <w:spacing w:line="360" w:lineRule="auto"/>
              <w:rPr>
                <w:rFonts w:ascii="宋体" w:hAnsi="宋体" w:cs="宋体"/>
                <w:color w:val="auto"/>
                <w:sz w:val="24"/>
                <w:highlight w:val="none"/>
              </w:rPr>
            </w:pPr>
          </w:p>
        </w:tc>
        <w:tc>
          <w:tcPr>
            <w:tcW w:w="815" w:type="dxa"/>
            <w:shd w:val="clear" w:color="auto" w:fill="auto"/>
            <w:vAlign w:val="center"/>
          </w:tcPr>
          <w:p w14:paraId="6643C06B">
            <w:pPr>
              <w:spacing w:line="360" w:lineRule="auto"/>
              <w:rPr>
                <w:rFonts w:ascii="宋体" w:hAnsi="宋体" w:cs="宋体"/>
                <w:color w:val="auto"/>
                <w:sz w:val="24"/>
                <w:highlight w:val="none"/>
              </w:rPr>
            </w:pPr>
          </w:p>
        </w:tc>
        <w:tc>
          <w:tcPr>
            <w:tcW w:w="1147" w:type="dxa"/>
            <w:shd w:val="clear" w:color="auto" w:fill="auto"/>
            <w:vAlign w:val="center"/>
          </w:tcPr>
          <w:p w14:paraId="33D578CF">
            <w:pPr>
              <w:spacing w:line="360" w:lineRule="auto"/>
              <w:rPr>
                <w:rFonts w:ascii="宋体" w:hAnsi="宋体" w:cs="宋体"/>
                <w:color w:val="auto"/>
                <w:sz w:val="24"/>
                <w:highlight w:val="none"/>
              </w:rPr>
            </w:pPr>
          </w:p>
        </w:tc>
        <w:tc>
          <w:tcPr>
            <w:tcW w:w="1149" w:type="dxa"/>
            <w:shd w:val="clear" w:color="auto" w:fill="auto"/>
            <w:vAlign w:val="center"/>
          </w:tcPr>
          <w:p w14:paraId="5C9FAF65">
            <w:pPr>
              <w:spacing w:line="360" w:lineRule="auto"/>
              <w:rPr>
                <w:rFonts w:ascii="宋体" w:hAnsi="宋体" w:cs="宋体"/>
                <w:color w:val="auto"/>
                <w:sz w:val="24"/>
                <w:highlight w:val="none"/>
              </w:rPr>
            </w:pPr>
          </w:p>
        </w:tc>
        <w:tc>
          <w:tcPr>
            <w:tcW w:w="1147" w:type="dxa"/>
            <w:shd w:val="clear" w:color="auto" w:fill="auto"/>
            <w:vAlign w:val="center"/>
          </w:tcPr>
          <w:p w14:paraId="2AF3B788">
            <w:pPr>
              <w:spacing w:line="360" w:lineRule="auto"/>
              <w:rPr>
                <w:rFonts w:ascii="宋体" w:hAnsi="宋体" w:cs="宋体"/>
                <w:color w:val="auto"/>
                <w:sz w:val="24"/>
                <w:highlight w:val="none"/>
              </w:rPr>
            </w:pPr>
          </w:p>
        </w:tc>
        <w:tc>
          <w:tcPr>
            <w:tcW w:w="744" w:type="dxa"/>
            <w:shd w:val="clear" w:color="auto" w:fill="auto"/>
            <w:vAlign w:val="center"/>
          </w:tcPr>
          <w:p w14:paraId="3776E4F5">
            <w:pPr>
              <w:spacing w:line="360" w:lineRule="auto"/>
              <w:rPr>
                <w:rFonts w:ascii="宋体" w:hAnsi="宋体" w:cs="宋体"/>
                <w:color w:val="auto"/>
                <w:sz w:val="24"/>
                <w:highlight w:val="none"/>
              </w:rPr>
            </w:pPr>
          </w:p>
        </w:tc>
        <w:tc>
          <w:tcPr>
            <w:tcW w:w="1166" w:type="dxa"/>
            <w:shd w:val="clear" w:color="auto" w:fill="auto"/>
            <w:vAlign w:val="center"/>
          </w:tcPr>
          <w:p w14:paraId="220EA3EE">
            <w:pPr>
              <w:spacing w:line="360" w:lineRule="auto"/>
              <w:rPr>
                <w:rFonts w:ascii="宋体" w:hAnsi="宋体" w:cs="宋体"/>
                <w:color w:val="auto"/>
                <w:sz w:val="24"/>
                <w:highlight w:val="none"/>
              </w:rPr>
            </w:pPr>
          </w:p>
        </w:tc>
        <w:tc>
          <w:tcPr>
            <w:tcW w:w="1281" w:type="dxa"/>
            <w:shd w:val="clear" w:color="auto" w:fill="auto"/>
            <w:vAlign w:val="center"/>
          </w:tcPr>
          <w:p w14:paraId="0A44DF7E">
            <w:pPr>
              <w:spacing w:line="360" w:lineRule="auto"/>
              <w:rPr>
                <w:rFonts w:ascii="宋体" w:hAnsi="宋体" w:cs="宋体"/>
                <w:color w:val="auto"/>
                <w:sz w:val="24"/>
                <w:highlight w:val="none"/>
              </w:rPr>
            </w:pPr>
          </w:p>
        </w:tc>
      </w:tr>
      <w:tr w14:paraId="245C3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jc w:val="center"/>
        </w:trPr>
        <w:tc>
          <w:tcPr>
            <w:tcW w:w="9871" w:type="dxa"/>
            <w:gridSpan w:val="10"/>
            <w:shd w:val="clear" w:color="auto" w:fill="auto"/>
            <w:vAlign w:val="center"/>
          </w:tcPr>
          <w:p w14:paraId="28B7365F">
            <w:pPr>
              <w:kinsoku w:val="0"/>
              <w:autoSpaceDE w:val="0"/>
              <w:autoSpaceDN w:val="0"/>
              <w:adjustRightInd w:val="0"/>
              <w:snapToGrid w:val="0"/>
              <w:spacing w:line="360" w:lineRule="auto"/>
              <w:ind w:left="11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一旦我单位成交，将实行项目经理负责制，我方保证并配备上述项目管</w:t>
            </w:r>
            <w:r>
              <w:rPr>
                <w:rFonts w:hint="eastAsia" w:ascii="宋体" w:hAnsi="宋体" w:cs="宋体"/>
                <w:snapToGrid w:val="0"/>
                <w:color w:val="auto"/>
                <w:spacing w:val="-1"/>
                <w:kern w:val="0"/>
                <w:sz w:val="24"/>
                <w:highlight w:val="none"/>
              </w:rPr>
              <w:t>理机构。上述填报内容真实，若不</w:t>
            </w:r>
            <w:r>
              <w:rPr>
                <w:rFonts w:hint="eastAsia" w:ascii="宋体" w:hAnsi="宋体" w:cs="宋体"/>
                <w:snapToGrid w:val="0"/>
                <w:color w:val="auto"/>
                <w:spacing w:val="-3"/>
                <w:kern w:val="0"/>
                <w:sz w:val="24"/>
                <w:highlight w:val="none"/>
              </w:rPr>
              <w:t>真实，愿按有关规定接受处理。项目管理班子机构设置、职责分工等情况另附资料说明。</w:t>
            </w:r>
          </w:p>
        </w:tc>
      </w:tr>
    </w:tbl>
    <w:p w14:paraId="467904F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24F0A11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1.本表所列岗位的所有管理人员的情况均应如实填写。可按以上格式扩展为多页填写。</w:t>
      </w:r>
    </w:p>
    <w:p w14:paraId="2E399DC1">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2.供应商应当在本表后附所有管理人员的身份证、职称证、执业或职业资格证书的复印件并加盖供应商公章。</w:t>
      </w:r>
    </w:p>
    <w:p w14:paraId="6E42C314">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43804AB3">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4E494234">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01F12CE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4591A7D">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4457B63">
      <w:pPr>
        <w:spacing w:line="360" w:lineRule="auto"/>
        <w:ind w:left="1067"/>
        <w:rPr>
          <w:rFonts w:ascii="宋体" w:hAnsi="宋体" w:cs="宋体"/>
          <w:color w:val="auto"/>
          <w:sz w:val="24"/>
          <w:highlight w:val="none"/>
        </w:rPr>
      </w:pPr>
      <w:r>
        <w:rPr>
          <w:rFonts w:hint="eastAsia" w:ascii="宋体" w:hAnsi="宋体" w:cs="宋体"/>
          <w:color w:val="auto"/>
          <w:spacing w:val="3"/>
          <w:sz w:val="24"/>
          <w:highlight w:val="none"/>
          <w:u w:val="single"/>
        </w:rPr>
        <w:t xml:space="preserve">           </w:t>
      </w:r>
    </w:p>
    <w:p w14:paraId="6FE3B63D">
      <w:pPr>
        <w:spacing w:line="360" w:lineRule="auto"/>
        <w:rPr>
          <w:rFonts w:ascii="宋体" w:hAnsi="宋体"/>
          <w:color w:val="auto"/>
          <w:highlight w:val="none"/>
        </w:rPr>
      </w:pPr>
      <w:r>
        <w:rPr>
          <w:rFonts w:hint="eastAsia" w:ascii="宋体" w:hAnsi="宋体"/>
          <w:color w:val="auto"/>
          <w:highlight w:val="none"/>
        </w:rPr>
        <w:br w:type="page"/>
      </w:r>
    </w:p>
    <w:p w14:paraId="04867215">
      <w:pPr>
        <w:spacing w:line="360" w:lineRule="auto"/>
        <w:ind w:left="2591"/>
        <w:rPr>
          <w:rFonts w:ascii="宋体" w:hAnsi="宋体" w:cs="宋体"/>
          <w:color w:val="auto"/>
          <w:sz w:val="31"/>
          <w:szCs w:val="31"/>
          <w:highlight w:val="none"/>
        </w:rPr>
      </w:pPr>
      <w:r>
        <w:rPr>
          <w:rFonts w:hint="eastAsia" w:ascii="宋体" w:hAnsi="宋体" w:cs="宋体"/>
          <w:color w:val="auto"/>
          <w:spacing w:val="-3"/>
          <w:position w:val="23"/>
          <w:sz w:val="31"/>
          <w:szCs w:val="31"/>
          <w:highlight w:val="none"/>
        </w:rPr>
        <w:t>（二） 拟投入的主要人员简历表</w:t>
      </w:r>
    </w:p>
    <w:p w14:paraId="00515935">
      <w:pPr>
        <w:spacing w:line="360" w:lineRule="auto"/>
        <w:ind w:left="4027"/>
        <w:rPr>
          <w:rFonts w:ascii="宋体" w:hAnsi="宋体" w:cs="宋体"/>
          <w:color w:val="auto"/>
          <w:sz w:val="31"/>
          <w:szCs w:val="31"/>
          <w:highlight w:val="none"/>
        </w:rPr>
      </w:pPr>
      <w:r>
        <w:rPr>
          <w:rFonts w:hint="eastAsia" w:ascii="宋体" w:hAnsi="宋体" w:cs="宋体"/>
          <w:color w:val="auto"/>
          <w:spacing w:val="8"/>
          <w:sz w:val="31"/>
          <w:szCs w:val="31"/>
          <w:highlight w:val="none"/>
        </w:rPr>
        <w:t>项目经理简历表</w:t>
      </w:r>
    </w:p>
    <w:p w14:paraId="3429A040">
      <w:pPr>
        <w:spacing w:line="360" w:lineRule="auto"/>
        <w:rPr>
          <w:rFonts w:ascii="宋体" w:hAnsi="宋体" w:cs="宋体"/>
          <w:color w:val="auto"/>
          <w:highlight w:val="none"/>
        </w:rPr>
      </w:pPr>
    </w:p>
    <w:tbl>
      <w:tblPr>
        <w:tblStyle w:val="40"/>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418"/>
        <w:gridCol w:w="856"/>
        <w:gridCol w:w="692"/>
        <w:gridCol w:w="325"/>
        <w:gridCol w:w="208"/>
        <w:gridCol w:w="1441"/>
        <w:gridCol w:w="245"/>
        <w:gridCol w:w="1084"/>
        <w:gridCol w:w="89"/>
        <w:gridCol w:w="411"/>
        <w:gridCol w:w="1134"/>
        <w:gridCol w:w="87"/>
        <w:gridCol w:w="1396"/>
        <w:gridCol w:w="25"/>
      </w:tblGrid>
      <w:tr w14:paraId="3B950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12" w:type="dxa"/>
            <w:shd w:val="clear" w:color="auto" w:fill="auto"/>
          </w:tcPr>
          <w:p w14:paraId="0A7EE825">
            <w:pPr>
              <w:kinsoku w:val="0"/>
              <w:autoSpaceDE w:val="0"/>
              <w:autoSpaceDN w:val="0"/>
              <w:adjustRightInd w:val="0"/>
              <w:snapToGrid w:val="0"/>
              <w:spacing w:line="360" w:lineRule="auto"/>
              <w:ind w:left="39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291" w:type="dxa"/>
            <w:gridSpan w:val="4"/>
            <w:shd w:val="clear" w:color="auto" w:fill="auto"/>
          </w:tcPr>
          <w:p w14:paraId="35D1DDD8">
            <w:pPr>
              <w:spacing w:line="360" w:lineRule="auto"/>
              <w:rPr>
                <w:rFonts w:ascii="宋体" w:hAnsi="宋体" w:cs="宋体"/>
                <w:color w:val="auto"/>
                <w:sz w:val="24"/>
                <w:highlight w:val="none"/>
              </w:rPr>
            </w:pPr>
          </w:p>
        </w:tc>
        <w:tc>
          <w:tcPr>
            <w:tcW w:w="1894" w:type="dxa"/>
            <w:gridSpan w:val="3"/>
            <w:shd w:val="clear" w:color="auto" w:fill="auto"/>
          </w:tcPr>
          <w:p w14:paraId="7DBD6601">
            <w:pPr>
              <w:kinsoku w:val="0"/>
              <w:autoSpaceDE w:val="0"/>
              <w:autoSpaceDN w:val="0"/>
              <w:adjustRightInd w:val="0"/>
              <w:snapToGrid w:val="0"/>
              <w:spacing w:line="360" w:lineRule="auto"/>
              <w:ind w:left="7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tcPr>
          <w:p w14:paraId="53DFF2F1">
            <w:pPr>
              <w:spacing w:line="360" w:lineRule="auto"/>
              <w:rPr>
                <w:rFonts w:ascii="宋体" w:hAnsi="宋体" w:cs="宋体"/>
                <w:color w:val="auto"/>
                <w:sz w:val="24"/>
                <w:highlight w:val="none"/>
              </w:rPr>
            </w:pPr>
          </w:p>
        </w:tc>
        <w:tc>
          <w:tcPr>
            <w:tcW w:w="1134" w:type="dxa"/>
            <w:shd w:val="clear" w:color="auto" w:fill="auto"/>
          </w:tcPr>
          <w:p w14:paraId="49FA69A5">
            <w:pPr>
              <w:kinsoku w:val="0"/>
              <w:autoSpaceDE w:val="0"/>
              <w:autoSpaceDN w:val="0"/>
              <w:adjustRightInd w:val="0"/>
              <w:snapToGrid w:val="0"/>
              <w:spacing w:line="360" w:lineRule="auto"/>
              <w:ind w:left="3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8" w:type="dxa"/>
            <w:gridSpan w:val="3"/>
            <w:shd w:val="clear" w:color="auto" w:fill="auto"/>
          </w:tcPr>
          <w:p w14:paraId="3072AA0F">
            <w:pPr>
              <w:spacing w:line="360" w:lineRule="auto"/>
              <w:rPr>
                <w:rFonts w:ascii="宋体" w:hAnsi="宋体" w:cs="宋体"/>
                <w:color w:val="auto"/>
                <w:sz w:val="24"/>
                <w:highlight w:val="none"/>
              </w:rPr>
            </w:pPr>
          </w:p>
        </w:tc>
      </w:tr>
      <w:tr w14:paraId="4C40D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116760D1">
            <w:pPr>
              <w:kinsoku w:val="0"/>
              <w:autoSpaceDE w:val="0"/>
              <w:autoSpaceDN w:val="0"/>
              <w:adjustRightInd w:val="0"/>
              <w:snapToGrid w:val="0"/>
              <w:spacing w:line="360" w:lineRule="auto"/>
              <w:ind w:left="41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291" w:type="dxa"/>
            <w:gridSpan w:val="4"/>
            <w:shd w:val="clear" w:color="auto" w:fill="auto"/>
          </w:tcPr>
          <w:p w14:paraId="63043FA4">
            <w:pPr>
              <w:kinsoku w:val="0"/>
              <w:autoSpaceDE w:val="0"/>
              <w:autoSpaceDN w:val="0"/>
              <w:adjustRightInd w:val="0"/>
              <w:snapToGrid w:val="0"/>
              <w:spacing w:line="360" w:lineRule="auto"/>
              <w:ind w:left="7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项目经理</w:t>
            </w:r>
          </w:p>
        </w:tc>
        <w:tc>
          <w:tcPr>
            <w:tcW w:w="1894" w:type="dxa"/>
            <w:gridSpan w:val="3"/>
            <w:shd w:val="clear" w:color="auto" w:fill="auto"/>
          </w:tcPr>
          <w:p w14:paraId="4C85A9F3">
            <w:pPr>
              <w:kinsoku w:val="0"/>
              <w:autoSpaceDE w:val="0"/>
              <w:autoSpaceDN w:val="0"/>
              <w:adjustRightInd w:val="0"/>
              <w:snapToGrid w:val="0"/>
              <w:spacing w:line="360" w:lineRule="auto"/>
              <w:ind w:left="74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tcPr>
          <w:p w14:paraId="670F1576">
            <w:pPr>
              <w:spacing w:line="360" w:lineRule="auto"/>
              <w:rPr>
                <w:rFonts w:ascii="宋体" w:hAnsi="宋体" w:cs="宋体"/>
                <w:color w:val="auto"/>
                <w:sz w:val="24"/>
                <w:highlight w:val="none"/>
              </w:rPr>
            </w:pPr>
          </w:p>
        </w:tc>
        <w:tc>
          <w:tcPr>
            <w:tcW w:w="1134" w:type="dxa"/>
            <w:shd w:val="clear" w:color="auto" w:fill="auto"/>
          </w:tcPr>
          <w:p w14:paraId="776C1558">
            <w:pPr>
              <w:kinsoku w:val="0"/>
              <w:autoSpaceDE w:val="0"/>
              <w:autoSpaceDN w:val="0"/>
              <w:adjustRightInd w:val="0"/>
              <w:snapToGrid w:val="0"/>
              <w:spacing w:line="360" w:lineRule="auto"/>
              <w:ind w:left="35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8" w:type="dxa"/>
            <w:gridSpan w:val="3"/>
            <w:shd w:val="clear" w:color="auto" w:fill="auto"/>
          </w:tcPr>
          <w:p w14:paraId="071E6512">
            <w:pPr>
              <w:spacing w:line="360" w:lineRule="auto"/>
              <w:rPr>
                <w:rFonts w:ascii="宋体" w:hAnsi="宋体" w:cs="宋体"/>
                <w:color w:val="auto"/>
                <w:sz w:val="24"/>
                <w:highlight w:val="none"/>
              </w:rPr>
            </w:pPr>
          </w:p>
        </w:tc>
      </w:tr>
      <w:tr w14:paraId="2427A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6BA80532">
            <w:pPr>
              <w:kinsoku w:val="0"/>
              <w:autoSpaceDE w:val="0"/>
              <w:autoSpaceDN w:val="0"/>
              <w:adjustRightInd w:val="0"/>
              <w:snapToGrid w:val="0"/>
              <w:spacing w:line="360" w:lineRule="auto"/>
              <w:ind w:left="401" w:right="189" w:hanging="21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291" w:type="dxa"/>
            <w:gridSpan w:val="4"/>
            <w:shd w:val="clear" w:color="auto" w:fill="auto"/>
          </w:tcPr>
          <w:p w14:paraId="107D897C">
            <w:pPr>
              <w:spacing w:line="360" w:lineRule="auto"/>
              <w:rPr>
                <w:rFonts w:ascii="宋体" w:hAnsi="宋体" w:cs="宋体"/>
                <w:color w:val="auto"/>
                <w:sz w:val="24"/>
                <w:highlight w:val="none"/>
              </w:rPr>
            </w:pPr>
          </w:p>
        </w:tc>
        <w:tc>
          <w:tcPr>
            <w:tcW w:w="1894" w:type="dxa"/>
            <w:gridSpan w:val="3"/>
            <w:shd w:val="clear" w:color="auto" w:fill="auto"/>
          </w:tcPr>
          <w:p w14:paraId="18D54124">
            <w:pPr>
              <w:kinsoku w:val="0"/>
              <w:autoSpaceDE w:val="0"/>
              <w:autoSpaceDN w:val="0"/>
              <w:adjustRightInd w:val="0"/>
              <w:snapToGrid w:val="0"/>
              <w:spacing w:line="360" w:lineRule="auto"/>
              <w:ind w:left="32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tcPr>
          <w:p w14:paraId="087F9979">
            <w:pPr>
              <w:spacing w:line="360" w:lineRule="auto"/>
              <w:rPr>
                <w:rFonts w:ascii="宋体" w:hAnsi="宋体" w:cs="宋体"/>
                <w:color w:val="auto"/>
                <w:sz w:val="24"/>
                <w:highlight w:val="none"/>
              </w:rPr>
            </w:pPr>
          </w:p>
        </w:tc>
        <w:tc>
          <w:tcPr>
            <w:tcW w:w="1134" w:type="dxa"/>
            <w:shd w:val="clear" w:color="auto" w:fill="auto"/>
          </w:tcPr>
          <w:p w14:paraId="3488B339">
            <w:pPr>
              <w:kinsoku w:val="0"/>
              <w:autoSpaceDE w:val="0"/>
              <w:autoSpaceDN w:val="0"/>
              <w:adjustRightInd w:val="0"/>
              <w:snapToGrid w:val="0"/>
              <w:spacing w:line="360" w:lineRule="auto"/>
              <w:ind w:left="14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8" w:type="dxa"/>
            <w:gridSpan w:val="3"/>
            <w:shd w:val="clear" w:color="auto" w:fill="auto"/>
          </w:tcPr>
          <w:p w14:paraId="682B8080">
            <w:pPr>
              <w:spacing w:line="360" w:lineRule="auto"/>
              <w:rPr>
                <w:rFonts w:ascii="宋体" w:hAnsi="宋体" w:cs="宋体"/>
                <w:color w:val="auto"/>
                <w:sz w:val="24"/>
                <w:highlight w:val="none"/>
              </w:rPr>
            </w:pPr>
          </w:p>
        </w:tc>
      </w:tr>
      <w:tr w14:paraId="61CDD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20EF0D33">
            <w:pPr>
              <w:kinsoku w:val="0"/>
              <w:autoSpaceDE w:val="0"/>
              <w:autoSpaceDN w:val="0"/>
              <w:adjustRightInd w:val="0"/>
              <w:snapToGrid w:val="0"/>
              <w:spacing w:line="360" w:lineRule="auto"/>
              <w:ind w:left="210" w:right="16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担任项目</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经理年限</w:t>
            </w:r>
          </w:p>
        </w:tc>
        <w:tc>
          <w:tcPr>
            <w:tcW w:w="2291" w:type="dxa"/>
            <w:gridSpan w:val="4"/>
            <w:shd w:val="clear" w:color="auto" w:fill="auto"/>
          </w:tcPr>
          <w:p w14:paraId="18BEC89B">
            <w:pPr>
              <w:spacing w:line="360" w:lineRule="auto"/>
              <w:rPr>
                <w:rFonts w:ascii="宋体" w:hAnsi="宋体" w:cs="宋体"/>
                <w:color w:val="auto"/>
                <w:sz w:val="24"/>
                <w:highlight w:val="none"/>
              </w:rPr>
            </w:pPr>
          </w:p>
        </w:tc>
        <w:tc>
          <w:tcPr>
            <w:tcW w:w="1649" w:type="dxa"/>
            <w:gridSpan w:val="2"/>
            <w:shd w:val="clear" w:color="auto" w:fill="auto"/>
          </w:tcPr>
          <w:p w14:paraId="2FF945F6">
            <w:pPr>
              <w:kinsoku w:val="0"/>
              <w:autoSpaceDE w:val="0"/>
              <w:autoSpaceDN w:val="0"/>
              <w:adjustRightInd w:val="0"/>
              <w:snapToGrid w:val="0"/>
              <w:spacing w:line="360" w:lineRule="auto"/>
              <w:ind w:left="31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71" w:type="dxa"/>
            <w:gridSpan w:val="8"/>
            <w:shd w:val="clear" w:color="auto" w:fill="auto"/>
          </w:tcPr>
          <w:p w14:paraId="758D14F0">
            <w:pPr>
              <w:spacing w:line="360" w:lineRule="auto"/>
              <w:rPr>
                <w:rFonts w:ascii="宋体" w:hAnsi="宋体" w:cs="宋体"/>
                <w:color w:val="auto"/>
                <w:sz w:val="24"/>
                <w:highlight w:val="none"/>
              </w:rPr>
            </w:pPr>
          </w:p>
        </w:tc>
      </w:tr>
      <w:tr w14:paraId="512B3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12" w:type="dxa"/>
            <w:shd w:val="clear" w:color="auto" w:fill="auto"/>
          </w:tcPr>
          <w:p w14:paraId="3D01AAF1">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tcPr>
          <w:p w14:paraId="033162F1">
            <w:pPr>
              <w:kinsoku w:val="0"/>
              <w:autoSpaceDE w:val="0"/>
              <w:autoSpaceDN w:val="0"/>
              <w:adjustRightInd w:val="0"/>
              <w:snapToGrid w:val="0"/>
              <w:spacing w:line="360" w:lineRule="auto"/>
              <w:ind w:left="2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5" w:type="dxa"/>
            <w:gridSpan w:val="3"/>
            <w:shd w:val="clear" w:color="auto" w:fill="auto"/>
          </w:tcPr>
          <w:p w14:paraId="34CA44B6">
            <w:pPr>
              <w:kinsoku w:val="0"/>
              <w:autoSpaceDE w:val="0"/>
              <w:autoSpaceDN w:val="0"/>
              <w:adjustRightInd w:val="0"/>
              <w:snapToGrid w:val="0"/>
              <w:spacing w:line="360" w:lineRule="auto"/>
              <w:ind w:left="4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41" w:type="dxa"/>
            <w:shd w:val="clear" w:color="auto" w:fill="auto"/>
          </w:tcPr>
          <w:p w14:paraId="163C42A9">
            <w:pPr>
              <w:kinsoku w:val="0"/>
              <w:autoSpaceDE w:val="0"/>
              <w:autoSpaceDN w:val="0"/>
              <w:adjustRightInd w:val="0"/>
              <w:snapToGrid w:val="0"/>
              <w:spacing w:line="360" w:lineRule="auto"/>
              <w:ind w:left="3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tcPr>
          <w:p w14:paraId="79015436">
            <w:pPr>
              <w:kinsoku w:val="0"/>
              <w:autoSpaceDE w:val="0"/>
              <w:autoSpaceDN w:val="0"/>
              <w:adjustRightInd w:val="0"/>
              <w:snapToGrid w:val="0"/>
              <w:spacing w:line="360" w:lineRule="auto"/>
              <w:ind w:left="29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tcPr>
          <w:p w14:paraId="692DACCA">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1" w:type="dxa"/>
            <w:gridSpan w:val="2"/>
            <w:shd w:val="clear" w:color="auto" w:fill="auto"/>
          </w:tcPr>
          <w:p w14:paraId="1294CF8F">
            <w:pPr>
              <w:kinsoku w:val="0"/>
              <w:autoSpaceDE w:val="0"/>
              <w:autoSpaceDN w:val="0"/>
              <w:adjustRightInd w:val="0"/>
              <w:snapToGrid w:val="0"/>
              <w:spacing w:line="360" w:lineRule="auto"/>
              <w:ind w:left="19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3BF2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212" w:type="dxa"/>
            <w:shd w:val="clear" w:color="auto" w:fill="auto"/>
          </w:tcPr>
          <w:p w14:paraId="3406E9BB">
            <w:pPr>
              <w:spacing w:line="360" w:lineRule="auto"/>
              <w:rPr>
                <w:rFonts w:ascii="宋体" w:hAnsi="宋体" w:cs="宋体"/>
                <w:color w:val="auto"/>
                <w:sz w:val="24"/>
                <w:highlight w:val="none"/>
              </w:rPr>
            </w:pPr>
          </w:p>
        </w:tc>
        <w:tc>
          <w:tcPr>
            <w:tcW w:w="1274" w:type="dxa"/>
            <w:gridSpan w:val="2"/>
            <w:shd w:val="clear" w:color="auto" w:fill="auto"/>
          </w:tcPr>
          <w:p w14:paraId="0254ABAD">
            <w:pPr>
              <w:spacing w:line="360" w:lineRule="auto"/>
              <w:rPr>
                <w:rFonts w:ascii="宋体" w:hAnsi="宋体" w:cs="宋体"/>
                <w:color w:val="auto"/>
                <w:sz w:val="24"/>
                <w:highlight w:val="none"/>
              </w:rPr>
            </w:pPr>
          </w:p>
        </w:tc>
        <w:tc>
          <w:tcPr>
            <w:tcW w:w="1225" w:type="dxa"/>
            <w:gridSpan w:val="3"/>
            <w:shd w:val="clear" w:color="auto" w:fill="auto"/>
          </w:tcPr>
          <w:p w14:paraId="0B9D2C72">
            <w:pPr>
              <w:spacing w:line="360" w:lineRule="auto"/>
              <w:rPr>
                <w:rFonts w:ascii="宋体" w:hAnsi="宋体" w:cs="宋体"/>
                <w:color w:val="auto"/>
                <w:sz w:val="24"/>
                <w:highlight w:val="none"/>
              </w:rPr>
            </w:pPr>
          </w:p>
        </w:tc>
        <w:tc>
          <w:tcPr>
            <w:tcW w:w="1441" w:type="dxa"/>
            <w:shd w:val="clear" w:color="auto" w:fill="auto"/>
          </w:tcPr>
          <w:p w14:paraId="2E52EC7D">
            <w:pPr>
              <w:spacing w:line="360" w:lineRule="auto"/>
              <w:rPr>
                <w:rFonts w:ascii="宋体" w:hAnsi="宋体" w:cs="宋体"/>
                <w:color w:val="auto"/>
                <w:sz w:val="24"/>
                <w:highlight w:val="none"/>
              </w:rPr>
            </w:pPr>
          </w:p>
        </w:tc>
        <w:tc>
          <w:tcPr>
            <w:tcW w:w="1418" w:type="dxa"/>
            <w:gridSpan w:val="3"/>
            <w:shd w:val="clear" w:color="auto" w:fill="auto"/>
          </w:tcPr>
          <w:p w14:paraId="58CD5530">
            <w:pPr>
              <w:spacing w:line="360" w:lineRule="auto"/>
              <w:rPr>
                <w:rFonts w:ascii="宋体" w:hAnsi="宋体" w:cs="宋体"/>
                <w:color w:val="auto"/>
                <w:sz w:val="24"/>
                <w:highlight w:val="none"/>
              </w:rPr>
            </w:pPr>
          </w:p>
        </w:tc>
        <w:tc>
          <w:tcPr>
            <w:tcW w:w="1632" w:type="dxa"/>
            <w:gridSpan w:val="3"/>
            <w:shd w:val="clear" w:color="auto" w:fill="auto"/>
          </w:tcPr>
          <w:p w14:paraId="238294ED">
            <w:pPr>
              <w:spacing w:line="360" w:lineRule="auto"/>
              <w:rPr>
                <w:rFonts w:ascii="宋体" w:hAnsi="宋体" w:cs="宋体"/>
                <w:color w:val="auto"/>
                <w:sz w:val="24"/>
                <w:highlight w:val="none"/>
              </w:rPr>
            </w:pPr>
          </w:p>
        </w:tc>
        <w:tc>
          <w:tcPr>
            <w:tcW w:w="1421" w:type="dxa"/>
            <w:gridSpan w:val="2"/>
            <w:shd w:val="clear" w:color="auto" w:fill="auto"/>
          </w:tcPr>
          <w:p w14:paraId="3A8604B4">
            <w:pPr>
              <w:spacing w:line="360" w:lineRule="auto"/>
              <w:rPr>
                <w:rFonts w:ascii="宋体" w:hAnsi="宋体" w:cs="宋体"/>
                <w:color w:val="auto"/>
                <w:sz w:val="24"/>
                <w:highlight w:val="none"/>
              </w:rPr>
            </w:pPr>
          </w:p>
        </w:tc>
      </w:tr>
      <w:tr w14:paraId="7F4B2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212" w:type="dxa"/>
            <w:shd w:val="clear" w:color="auto" w:fill="auto"/>
          </w:tcPr>
          <w:p w14:paraId="0A91879C">
            <w:pPr>
              <w:kinsoku w:val="0"/>
              <w:autoSpaceDE w:val="0"/>
              <w:autoSpaceDN w:val="0"/>
              <w:adjustRightInd w:val="0"/>
              <w:snapToGrid w:val="0"/>
              <w:spacing w:line="360" w:lineRule="auto"/>
              <w:ind w:left="21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4ED947B6">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58F0C383">
            <w:pPr>
              <w:kinsoku w:val="0"/>
              <w:autoSpaceDE w:val="0"/>
              <w:autoSpaceDN w:val="0"/>
              <w:adjustRightInd w:val="0"/>
              <w:snapToGrid w:val="0"/>
              <w:spacing w:line="360" w:lineRule="auto"/>
              <w:ind w:left="42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tcPr>
          <w:p w14:paraId="7808A42A">
            <w:pPr>
              <w:spacing w:line="360" w:lineRule="auto"/>
              <w:rPr>
                <w:rFonts w:ascii="宋体" w:hAnsi="宋体" w:cs="宋体"/>
                <w:color w:val="auto"/>
                <w:sz w:val="24"/>
                <w:highlight w:val="none"/>
              </w:rPr>
            </w:pPr>
          </w:p>
        </w:tc>
        <w:tc>
          <w:tcPr>
            <w:tcW w:w="1225" w:type="dxa"/>
            <w:gridSpan w:val="3"/>
            <w:shd w:val="clear" w:color="auto" w:fill="auto"/>
          </w:tcPr>
          <w:p w14:paraId="5556DFB2">
            <w:pPr>
              <w:spacing w:line="360" w:lineRule="auto"/>
              <w:rPr>
                <w:rFonts w:ascii="宋体" w:hAnsi="宋体" w:cs="宋体"/>
                <w:color w:val="auto"/>
                <w:sz w:val="24"/>
                <w:highlight w:val="none"/>
              </w:rPr>
            </w:pPr>
          </w:p>
          <w:p w14:paraId="54B55ACB">
            <w:pPr>
              <w:kinsoku w:val="0"/>
              <w:autoSpaceDE w:val="0"/>
              <w:autoSpaceDN w:val="0"/>
              <w:adjustRightInd w:val="0"/>
              <w:snapToGrid w:val="0"/>
              <w:spacing w:line="360" w:lineRule="auto"/>
              <w:ind w:left="44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B</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类</w:t>
            </w:r>
          </w:p>
        </w:tc>
        <w:tc>
          <w:tcPr>
            <w:tcW w:w="1441" w:type="dxa"/>
            <w:shd w:val="clear" w:color="auto" w:fill="auto"/>
          </w:tcPr>
          <w:p w14:paraId="43519B16">
            <w:pPr>
              <w:spacing w:line="360" w:lineRule="auto"/>
              <w:rPr>
                <w:rFonts w:ascii="宋体" w:hAnsi="宋体" w:cs="宋体"/>
                <w:color w:val="auto"/>
                <w:sz w:val="24"/>
                <w:highlight w:val="none"/>
              </w:rPr>
            </w:pPr>
          </w:p>
        </w:tc>
        <w:tc>
          <w:tcPr>
            <w:tcW w:w="1418" w:type="dxa"/>
            <w:gridSpan w:val="3"/>
            <w:shd w:val="clear" w:color="auto" w:fill="auto"/>
          </w:tcPr>
          <w:p w14:paraId="684CE42F">
            <w:pPr>
              <w:spacing w:line="360" w:lineRule="auto"/>
              <w:rPr>
                <w:rFonts w:ascii="宋体" w:hAnsi="宋体" w:cs="宋体"/>
                <w:color w:val="auto"/>
                <w:sz w:val="24"/>
                <w:highlight w:val="none"/>
              </w:rPr>
            </w:pPr>
          </w:p>
        </w:tc>
        <w:tc>
          <w:tcPr>
            <w:tcW w:w="1632" w:type="dxa"/>
            <w:gridSpan w:val="3"/>
            <w:shd w:val="clear" w:color="auto" w:fill="auto"/>
          </w:tcPr>
          <w:p w14:paraId="34D54BFA">
            <w:pPr>
              <w:spacing w:line="360" w:lineRule="auto"/>
              <w:rPr>
                <w:rFonts w:ascii="宋体" w:hAnsi="宋体" w:cs="宋体"/>
                <w:color w:val="auto"/>
                <w:sz w:val="24"/>
                <w:highlight w:val="none"/>
              </w:rPr>
            </w:pPr>
          </w:p>
        </w:tc>
        <w:tc>
          <w:tcPr>
            <w:tcW w:w="1421" w:type="dxa"/>
            <w:gridSpan w:val="2"/>
            <w:shd w:val="clear" w:color="auto" w:fill="auto"/>
          </w:tcPr>
          <w:p w14:paraId="11D1080C">
            <w:pPr>
              <w:spacing w:line="360" w:lineRule="auto"/>
              <w:rPr>
                <w:rFonts w:ascii="宋体" w:hAnsi="宋体" w:cs="宋体"/>
                <w:color w:val="auto"/>
                <w:sz w:val="24"/>
                <w:highlight w:val="none"/>
              </w:rPr>
            </w:pPr>
          </w:p>
        </w:tc>
      </w:tr>
      <w:tr w14:paraId="43CAD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5"/>
            <w:shd w:val="clear" w:color="auto" w:fill="auto"/>
          </w:tcPr>
          <w:p w14:paraId="01DD43BE">
            <w:pPr>
              <w:kinsoku w:val="0"/>
              <w:autoSpaceDE w:val="0"/>
              <w:autoSpaceDN w:val="0"/>
              <w:adjustRightInd w:val="0"/>
              <w:snapToGrid w:val="0"/>
              <w:spacing w:line="36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5A690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26E8D8C4">
            <w:pPr>
              <w:spacing w:line="360" w:lineRule="auto"/>
              <w:rPr>
                <w:rFonts w:ascii="宋体" w:hAnsi="宋体" w:cs="宋体"/>
                <w:color w:val="auto"/>
                <w:sz w:val="24"/>
                <w:highlight w:val="none"/>
              </w:rPr>
            </w:pPr>
          </w:p>
        </w:tc>
        <w:tc>
          <w:tcPr>
            <w:tcW w:w="1548" w:type="dxa"/>
            <w:gridSpan w:val="2"/>
            <w:shd w:val="clear" w:color="auto" w:fill="auto"/>
          </w:tcPr>
          <w:p w14:paraId="7671DC16">
            <w:pPr>
              <w:kinsoku w:val="0"/>
              <w:autoSpaceDE w:val="0"/>
              <w:autoSpaceDN w:val="0"/>
              <w:adjustRightInd w:val="0"/>
              <w:snapToGrid w:val="0"/>
              <w:spacing w:line="360" w:lineRule="auto"/>
              <w:ind w:left="4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4" w:type="dxa"/>
            <w:gridSpan w:val="3"/>
            <w:shd w:val="clear" w:color="auto" w:fill="auto"/>
          </w:tcPr>
          <w:p w14:paraId="78E0C2D9">
            <w:pPr>
              <w:kinsoku w:val="0"/>
              <w:autoSpaceDE w:val="0"/>
              <w:autoSpaceDN w:val="0"/>
              <w:adjustRightInd w:val="0"/>
              <w:snapToGrid w:val="0"/>
              <w:spacing w:line="360" w:lineRule="auto"/>
              <w:ind w:left="7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tcPr>
          <w:p w14:paraId="129ED950">
            <w:pPr>
              <w:kinsoku w:val="0"/>
              <w:autoSpaceDE w:val="0"/>
              <w:autoSpaceDN w:val="0"/>
              <w:adjustRightInd w:val="0"/>
              <w:snapToGrid w:val="0"/>
              <w:spacing w:line="360" w:lineRule="auto"/>
              <w:ind w:left="38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4" w:type="dxa"/>
            <w:gridSpan w:val="3"/>
            <w:shd w:val="clear" w:color="auto" w:fill="auto"/>
          </w:tcPr>
          <w:p w14:paraId="06E9E0B9">
            <w:pPr>
              <w:kinsoku w:val="0"/>
              <w:autoSpaceDE w:val="0"/>
              <w:autoSpaceDN w:val="0"/>
              <w:adjustRightInd w:val="0"/>
              <w:snapToGrid w:val="0"/>
              <w:spacing w:line="360" w:lineRule="auto"/>
              <w:ind w:left="5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3" w:type="dxa"/>
            <w:gridSpan w:val="2"/>
            <w:shd w:val="clear" w:color="auto" w:fill="auto"/>
          </w:tcPr>
          <w:p w14:paraId="030DEFFA">
            <w:pPr>
              <w:kinsoku w:val="0"/>
              <w:autoSpaceDE w:val="0"/>
              <w:autoSpaceDN w:val="0"/>
              <w:adjustRightInd w:val="0"/>
              <w:snapToGrid w:val="0"/>
              <w:spacing w:line="360" w:lineRule="auto"/>
              <w:ind w:left="56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tcPr>
          <w:p w14:paraId="6D721548">
            <w:pPr>
              <w:spacing w:line="360" w:lineRule="auto"/>
              <w:rPr>
                <w:rFonts w:ascii="宋体" w:hAnsi="宋体" w:cs="宋体"/>
                <w:color w:val="auto"/>
                <w:sz w:val="24"/>
                <w:highlight w:val="none"/>
              </w:rPr>
            </w:pPr>
          </w:p>
        </w:tc>
      </w:tr>
      <w:tr w14:paraId="0BE4D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5A2BEB37">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tcPr>
          <w:p w14:paraId="198D877A">
            <w:pPr>
              <w:spacing w:line="360" w:lineRule="auto"/>
              <w:rPr>
                <w:rFonts w:ascii="宋体" w:hAnsi="宋体" w:cs="宋体"/>
                <w:color w:val="auto"/>
                <w:sz w:val="24"/>
                <w:highlight w:val="none"/>
              </w:rPr>
            </w:pPr>
          </w:p>
        </w:tc>
        <w:tc>
          <w:tcPr>
            <w:tcW w:w="1974" w:type="dxa"/>
            <w:gridSpan w:val="3"/>
            <w:shd w:val="clear" w:color="auto" w:fill="auto"/>
          </w:tcPr>
          <w:p w14:paraId="60E39B01">
            <w:pPr>
              <w:spacing w:line="360" w:lineRule="auto"/>
              <w:rPr>
                <w:rFonts w:ascii="宋体" w:hAnsi="宋体" w:cs="宋体"/>
                <w:color w:val="auto"/>
                <w:sz w:val="24"/>
                <w:highlight w:val="none"/>
              </w:rPr>
            </w:pPr>
          </w:p>
        </w:tc>
        <w:tc>
          <w:tcPr>
            <w:tcW w:w="1329" w:type="dxa"/>
            <w:gridSpan w:val="2"/>
            <w:shd w:val="clear" w:color="auto" w:fill="auto"/>
          </w:tcPr>
          <w:p w14:paraId="3728B20E">
            <w:pPr>
              <w:spacing w:line="360" w:lineRule="auto"/>
              <w:rPr>
                <w:rFonts w:ascii="宋体" w:hAnsi="宋体" w:cs="宋体"/>
                <w:color w:val="auto"/>
                <w:sz w:val="24"/>
                <w:highlight w:val="none"/>
              </w:rPr>
            </w:pPr>
          </w:p>
        </w:tc>
        <w:tc>
          <w:tcPr>
            <w:tcW w:w="1634" w:type="dxa"/>
            <w:gridSpan w:val="3"/>
            <w:shd w:val="clear" w:color="auto" w:fill="auto"/>
          </w:tcPr>
          <w:p w14:paraId="5A0C4688">
            <w:pPr>
              <w:spacing w:line="360" w:lineRule="auto"/>
              <w:rPr>
                <w:rFonts w:ascii="宋体" w:hAnsi="宋体" w:cs="宋体"/>
                <w:color w:val="auto"/>
                <w:sz w:val="24"/>
                <w:highlight w:val="none"/>
              </w:rPr>
            </w:pPr>
          </w:p>
        </w:tc>
        <w:tc>
          <w:tcPr>
            <w:tcW w:w="1483" w:type="dxa"/>
            <w:gridSpan w:val="2"/>
            <w:shd w:val="clear" w:color="auto" w:fill="auto"/>
          </w:tcPr>
          <w:p w14:paraId="658313EF">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3B3D28C3">
            <w:pPr>
              <w:spacing w:line="360" w:lineRule="auto"/>
              <w:rPr>
                <w:rFonts w:ascii="宋体" w:hAnsi="宋体" w:cs="宋体"/>
                <w:color w:val="auto"/>
                <w:sz w:val="24"/>
                <w:highlight w:val="none"/>
              </w:rPr>
            </w:pPr>
          </w:p>
        </w:tc>
      </w:tr>
      <w:tr w14:paraId="4E3D5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3244D4BA">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tcPr>
          <w:p w14:paraId="0162FC70">
            <w:pPr>
              <w:spacing w:line="360" w:lineRule="auto"/>
              <w:rPr>
                <w:rFonts w:ascii="宋体" w:hAnsi="宋体" w:cs="宋体"/>
                <w:color w:val="auto"/>
                <w:sz w:val="24"/>
                <w:highlight w:val="none"/>
              </w:rPr>
            </w:pPr>
          </w:p>
        </w:tc>
        <w:tc>
          <w:tcPr>
            <w:tcW w:w="1974" w:type="dxa"/>
            <w:gridSpan w:val="3"/>
            <w:shd w:val="clear" w:color="auto" w:fill="auto"/>
          </w:tcPr>
          <w:p w14:paraId="24798B54">
            <w:pPr>
              <w:spacing w:line="360" w:lineRule="auto"/>
              <w:rPr>
                <w:rFonts w:ascii="宋体" w:hAnsi="宋体" w:cs="宋体"/>
                <w:color w:val="auto"/>
                <w:sz w:val="24"/>
                <w:highlight w:val="none"/>
              </w:rPr>
            </w:pPr>
          </w:p>
        </w:tc>
        <w:tc>
          <w:tcPr>
            <w:tcW w:w="1329" w:type="dxa"/>
            <w:gridSpan w:val="2"/>
            <w:shd w:val="clear" w:color="auto" w:fill="auto"/>
          </w:tcPr>
          <w:p w14:paraId="0E86AB9D">
            <w:pPr>
              <w:spacing w:line="360" w:lineRule="auto"/>
              <w:rPr>
                <w:rFonts w:ascii="宋体" w:hAnsi="宋体" w:cs="宋体"/>
                <w:color w:val="auto"/>
                <w:sz w:val="24"/>
                <w:highlight w:val="none"/>
              </w:rPr>
            </w:pPr>
          </w:p>
        </w:tc>
        <w:tc>
          <w:tcPr>
            <w:tcW w:w="1634" w:type="dxa"/>
            <w:gridSpan w:val="3"/>
            <w:shd w:val="clear" w:color="auto" w:fill="auto"/>
          </w:tcPr>
          <w:p w14:paraId="238828E6">
            <w:pPr>
              <w:spacing w:line="360" w:lineRule="auto"/>
              <w:rPr>
                <w:rFonts w:ascii="宋体" w:hAnsi="宋体" w:cs="宋体"/>
                <w:color w:val="auto"/>
                <w:sz w:val="24"/>
                <w:highlight w:val="none"/>
              </w:rPr>
            </w:pPr>
          </w:p>
        </w:tc>
        <w:tc>
          <w:tcPr>
            <w:tcW w:w="1483" w:type="dxa"/>
            <w:gridSpan w:val="2"/>
            <w:shd w:val="clear" w:color="auto" w:fill="auto"/>
          </w:tcPr>
          <w:p w14:paraId="590A0595">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01E48478">
            <w:pPr>
              <w:spacing w:line="360" w:lineRule="auto"/>
              <w:rPr>
                <w:rFonts w:ascii="宋体" w:hAnsi="宋体" w:cs="宋体"/>
                <w:color w:val="auto"/>
                <w:sz w:val="24"/>
                <w:highlight w:val="none"/>
              </w:rPr>
            </w:pPr>
          </w:p>
        </w:tc>
      </w:tr>
      <w:tr w14:paraId="29E72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3C53EB82">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tcPr>
          <w:p w14:paraId="33A47CA4">
            <w:pPr>
              <w:spacing w:line="360" w:lineRule="auto"/>
              <w:rPr>
                <w:rFonts w:ascii="宋体" w:hAnsi="宋体" w:cs="宋体"/>
                <w:color w:val="auto"/>
                <w:sz w:val="24"/>
                <w:highlight w:val="none"/>
              </w:rPr>
            </w:pPr>
          </w:p>
        </w:tc>
        <w:tc>
          <w:tcPr>
            <w:tcW w:w="1974" w:type="dxa"/>
            <w:gridSpan w:val="3"/>
            <w:shd w:val="clear" w:color="auto" w:fill="auto"/>
          </w:tcPr>
          <w:p w14:paraId="36941D0B">
            <w:pPr>
              <w:spacing w:line="360" w:lineRule="auto"/>
              <w:rPr>
                <w:rFonts w:ascii="宋体" w:hAnsi="宋体" w:cs="宋体"/>
                <w:color w:val="auto"/>
                <w:sz w:val="24"/>
                <w:highlight w:val="none"/>
              </w:rPr>
            </w:pPr>
          </w:p>
        </w:tc>
        <w:tc>
          <w:tcPr>
            <w:tcW w:w="1329" w:type="dxa"/>
            <w:gridSpan w:val="2"/>
            <w:shd w:val="clear" w:color="auto" w:fill="auto"/>
          </w:tcPr>
          <w:p w14:paraId="1B9F7234">
            <w:pPr>
              <w:spacing w:line="360" w:lineRule="auto"/>
              <w:rPr>
                <w:rFonts w:ascii="宋体" w:hAnsi="宋体" w:cs="宋体"/>
                <w:color w:val="auto"/>
                <w:sz w:val="24"/>
                <w:highlight w:val="none"/>
              </w:rPr>
            </w:pPr>
          </w:p>
        </w:tc>
        <w:tc>
          <w:tcPr>
            <w:tcW w:w="1634" w:type="dxa"/>
            <w:gridSpan w:val="3"/>
            <w:shd w:val="clear" w:color="auto" w:fill="auto"/>
          </w:tcPr>
          <w:p w14:paraId="3B17C2BC">
            <w:pPr>
              <w:spacing w:line="360" w:lineRule="auto"/>
              <w:rPr>
                <w:rFonts w:ascii="宋体" w:hAnsi="宋体" w:cs="宋体"/>
                <w:color w:val="auto"/>
                <w:sz w:val="24"/>
                <w:highlight w:val="none"/>
              </w:rPr>
            </w:pPr>
          </w:p>
        </w:tc>
        <w:tc>
          <w:tcPr>
            <w:tcW w:w="1483" w:type="dxa"/>
            <w:gridSpan w:val="2"/>
            <w:shd w:val="clear" w:color="auto" w:fill="auto"/>
          </w:tcPr>
          <w:p w14:paraId="4E5CE983">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2254926">
            <w:pPr>
              <w:spacing w:line="360" w:lineRule="auto"/>
              <w:rPr>
                <w:rFonts w:ascii="宋体" w:hAnsi="宋体" w:cs="宋体"/>
                <w:color w:val="auto"/>
                <w:sz w:val="24"/>
                <w:highlight w:val="none"/>
              </w:rPr>
            </w:pPr>
          </w:p>
        </w:tc>
      </w:tr>
      <w:tr w14:paraId="4D5EA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6D37EEEC">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tcPr>
          <w:p w14:paraId="7E9AA198">
            <w:pPr>
              <w:spacing w:line="360" w:lineRule="auto"/>
              <w:rPr>
                <w:rFonts w:ascii="宋体" w:hAnsi="宋体" w:cs="宋体"/>
                <w:color w:val="auto"/>
                <w:sz w:val="24"/>
                <w:highlight w:val="none"/>
              </w:rPr>
            </w:pPr>
          </w:p>
        </w:tc>
        <w:tc>
          <w:tcPr>
            <w:tcW w:w="1974" w:type="dxa"/>
            <w:gridSpan w:val="3"/>
            <w:shd w:val="clear" w:color="auto" w:fill="auto"/>
          </w:tcPr>
          <w:p w14:paraId="3FFFC651">
            <w:pPr>
              <w:spacing w:line="360" w:lineRule="auto"/>
              <w:rPr>
                <w:rFonts w:ascii="宋体" w:hAnsi="宋体" w:cs="宋体"/>
                <w:color w:val="auto"/>
                <w:sz w:val="24"/>
                <w:highlight w:val="none"/>
              </w:rPr>
            </w:pPr>
          </w:p>
        </w:tc>
        <w:tc>
          <w:tcPr>
            <w:tcW w:w="1329" w:type="dxa"/>
            <w:gridSpan w:val="2"/>
            <w:shd w:val="clear" w:color="auto" w:fill="auto"/>
          </w:tcPr>
          <w:p w14:paraId="60CE4290">
            <w:pPr>
              <w:spacing w:line="360" w:lineRule="auto"/>
              <w:rPr>
                <w:rFonts w:ascii="宋体" w:hAnsi="宋体" w:cs="宋体"/>
                <w:color w:val="auto"/>
                <w:sz w:val="24"/>
                <w:highlight w:val="none"/>
              </w:rPr>
            </w:pPr>
          </w:p>
        </w:tc>
        <w:tc>
          <w:tcPr>
            <w:tcW w:w="1634" w:type="dxa"/>
            <w:gridSpan w:val="3"/>
            <w:shd w:val="clear" w:color="auto" w:fill="auto"/>
          </w:tcPr>
          <w:p w14:paraId="1CBAB804">
            <w:pPr>
              <w:spacing w:line="360" w:lineRule="auto"/>
              <w:rPr>
                <w:rFonts w:ascii="宋体" w:hAnsi="宋体" w:cs="宋体"/>
                <w:color w:val="auto"/>
                <w:sz w:val="24"/>
                <w:highlight w:val="none"/>
              </w:rPr>
            </w:pPr>
          </w:p>
        </w:tc>
        <w:tc>
          <w:tcPr>
            <w:tcW w:w="1483" w:type="dxa"/>
            <w:gridSpan w:val="2"/>
            <w:shd w:val="clear" w:color="auto" w:fill="auto"/>
          </w:tcPr>
          <w:p w14:paraId="088988D6">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2EBF61F3">
            <w:pPr>
              <w:spacing w:line="360" w:lineRule="auto"/>
              <w:rPr>
                <w:rFonts w:ascii="宋体" w:hAnsi="宋体" w:cs="宋体"/>
                <w:color w:val="auto"/>
                <w:sz w:val="24"/>
                <w:highlight w:val="none"/>
              </w:rPr>
            </w:pPr>
          </w:p>
        </w:tc>
      </w:tr>
      <w:tr w14:paraId="76E1F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3EB3309F">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tcPr>
          <w:p w14:paraId="76BB2788">
            <w:pPr>
              <w:spacing w:line="360" w:lineRule="auto"/>
              <w:rPr>
                <w:rFonts w:ascii="宋体" w:hAnsi="宋体" w:cs="宋体"/>
                <w:color w:val="auto"/>
                <w:sz w:val="24"/>
                <w:highlight w:val="none"/>
              </w:rPr>
            </w:pPr>
          </w:p>
        </w:tc>
        <w:tc>
          <w:tcPr>
            <w:tcW w:w="1974" w:type="dxa"/>
            <w:gridSpan w:val="3"/>
            <w:shd w:val="clear" w:color="auto" w:fill="auto"/>
          </w:tcPr>
          <w:p w14:paraId="3D35F443">
            <w:pPr>
              <w:spacing w:line="360" w:lineRule="auto"/>
              <w:rPr>
                <w:rFonts w:ascii="宋体" w:hAnsi="宋体" w:cs="宋体"/>
                <w:color w:val="auto"/>
                <w:sz w:val="24"/>
                <w:highlight w:val="none"/>
              </w:rPr>
            </w:pPr>
          </w:p>
        </w:tc>
        <w:tc>
          <w:tcPr>
            <w:tcW w:w="1329" w:type="dxa"/>
            <w:gridSpan w:val="2"/>
            <w:shd w:val="clear" w:color="auto" w:fill="auto"/>
          </w:tcPr>
          <w:p w14:paraId="1BFF814B">
            <w:pPr>
              <w:spacing w:line="360" w:lineRule="auto"/>
              <w:rPr>
                <w:rFonts w:ascii="宋体" w:hAnsi="宋体" w:cs="宋体"/>
                <w:color w:val="auto"/>
                <w:sz w:val="24"/>
                <w:highlight w:val="none"/>
              </w:rPr>
            </w:pPr>
          </w:p>
        </w:tc>
        <w:tc>
          <w:tcPr>
            <w:tcW w:w="1634" w:type="dxa"/>
            <w:gridSpan w:val="3"/>
            <w:shd w:val="clear" w:color="auto" w:fill="auto"/>
          </w:tcPr>
          <w:p w14:paraId="45D6C3EC">
            <w:pPr>
              <w:spacing w:line="360" w:lineRule="auto"/>
              <w:rPr>
                <w:rFonts w:ascii="宋体" w:hAnsi="宋体" w:cs="宋体"/>
                <w:color w:val="auto"/>
                <w:sz w:val="24"/>
                <w:highlight w:val="none"/>
              </w:rPr>
            </w:pPr>
          </w:p>
        </w:tc>
        <w:tc>
          <w:tcPr>
            <w:tcW w:w="1483" w:type="dxa"/>
            <w:gridSpan w:val="2"/>
            <w:shd w:val="clear" w:color="auto" w:fill="auto"/>
          </w:tcPr>
          <w:p w14:paraId="77E45A8E">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2FEA5F65">
            <w:pPr>
              <w:spacing w:line="360" w:lineRule="auto"/>
              <w:rPr>
                <w:rFonts w:ascii="宋体" w:hAnsi="宋体" w:cs="宋体"/>
                <w:color w:val="auto"/>
                <w:sz w:val="24"/>
                <w:highlight w:val="none"/>
              </w:rPr>
            </w:pPr>
          </w:p>
        </w:tc>
      </w:tr>
      <w:tr w14:paraId="2B217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630EE02">
            <w:pPr>
              <w:kinsoku w:val="0"/>
              <w:autoSpaceDE w:val="0"/>
              <w:autoSpaceDN w:val="0"/>
              <w:adjustRightInd w:val="0"/>
              <w:snapToGrid w:val="0"/>
              <w:spacing w:line="36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tcPr>
          <w:p w14:paraId="62E3A986">
            <w:pPr>
              <w:spacing w:line="360" w:lineRule="auto"/>
              <w:rPr>
                <w:rFonts w:ascii="宋体" w:hAnsi="宋体" w:cs="宋体"/>
                <w:color w:val="auto"/>
                <w:sz w:val="24"/>
                <w:highlight w:val="none"/>
              </w:rPr>
            </w:pPr>
          </w:p>
        </w:tc>
        <w:tc>
          <w:tcPr>
            <w:tcW w:w="1974" w:type="dxa"/>
            <w:gridSpan w:val="3"/>
            <w:shd w:val="clear" w:color="auto" w:fill="auto"/>
          </w:tcPr>
          <w:p w14:paraId="4D2FDB35">
            <w:pPr>
              <w:spacing w:line="360" w:lineRule="auto"/>
              <w:rPr>
                <w:rFonts w:ascii="宋体" w:hAnsi="宋体" w:cs="宋体"/>
                <w:color w:val="auto"/>
                <w:sz w:val="24"/>
                <w:highlight w:val="none"/>
              </w:rPr>
            </w:pPr>
          </w:p>
        </w:tc>
        <w:tc>
          <w:tcPr>
            <w:tcW w:w="1329" w:type="dxa"/>
            <w:gridSpan w:val="2"/>
            <w:shd w:val="clear" w:color="auto" w:fill="auto"/>
          </w:tcPr>
          <w:p w14:paraId="6F4983EB">
            <w:pPr>
              <w:spacing w:line="360" w:lineRule="auto"/>
              <w:rPr>
                <w:rFonts w:ascii="宋体" w:hAnsi="宋体" w:cs="宋体"/>
                <w:color w:val="auto"/>
                <w:sz w:val="24"/>
                <w:highlight w:val="none"/>
              </w:rPr>
            </w:pPr>
          </w:p>
        </w:tc>
        <w:tc>
          <w:tcPr>
            <w:tcW w:w="1634" w:type="dxa"/>
            <w:gridSpan w:val="3"/>
            <w:shd w:val="clear" w:color="auto" w:fill="auto"/>
          </w:tcPr>
          <w:p w14:paraId="78438792">
            <w:pPr>
              <w:spacing w:line="360" w:lineRule="auto"/>
              <w:rPr>
                <w:rFonts w:ascii="宋体" w:hAnsi="宋体" w:cs="宋体"/>
                <w:color w:val="auto"/>
                <w:sz w:val="24"/>
                <w:highlight w:val="none"/>
              </w:rPr>
            </w:pPr>
          </w:p>
        </w:tc>
        <w:tc>
          <w:tcPr>
            <w:tcW w:w="1483" w:type="dxa"/>
            <w:gridSpan w:val="2"/>
            <w:shd w:val="clear" w:color="auto" w:fill="auto"/>
          </w:tcPr>
          <w:p w14:paraId="5969BB82">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0391479">
            <w:pPr>
              <w:spacing w:line="360" w:lineRule="auto"/>
              <w:rPr>
                <w:rFonts w:ascii="宋体" w:hAnsi="宋体" w:cs="宋体"/>
                <w:color w:val="auto"/>
                <w:sz w:val="24"/>
                <w:highlight w:val="none"/>
              </w:rPr>
            </w:pPr>
          </w:p>
        </w:tc>
      </w:tr>
      <w:tr w14:paraId="3BFC0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389EE157">
            <w:pPr>
              <w:kinsoku w:val="0"/>
              <w:autoSpaceDE w:val="0"/>
              <w:autoSpaceDN w:val="0"/>
              <w:adjustRightInd w:val="0"/>
              <w:snapToGrid w:val="0"/>
              <w:spacing w:line="36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tcPr>
          <w:p w14:paraId="41894861">
            <w:pPr>
              <w:spacing w:line="360" w:lineRule="auto"/>
              <w:rPr>
                <w:rFonts w:ascii="宋体" w:hAnsi="宋体" w:cs="宋体"/>
                <w:color w:val="auto"/>
                <w:sz w:val="24"/>
                <w:highlight w:val="none"/>
              </w:rPr>
            </w:pPr>
          </w:p>
        </w:tc>
        <w:tc>
          <w:tcPr>
            <w:tcW w:w="1974" w:type="dxa"/>
            <w:gridSpan w:val="3"/>
            <w:shd w:val="clear" w:color="auto" w:fill="auto"/>
          </w:tcPr>
          <w:p w14:paraId="73C58859">
            <w:pPr>
              <w:spacing w:line="360" w:lineRule="auto"/>
              <w:rPr>
                <w:rFonts w:ascii="宋体" w:hAnsi="宋体" w:cs="宋体"/>
                <w:color w:val="auto"/>
                <w:sz w:val="24"/>
                <w:highlight w:val="none"/>
              </w:rPr>
            </w:pPr>
          </w:p>
        </w:tc>
        <w:tc>
          <w:tcPr>
            <w:tcW w:w="1329" w:type="dxa"/>
            <w:gridSpan w:val="2"/>
            <w:shd w:val="clear" w:color="auto" w:fill="auto"/>
          </w:tcPr>
          <w:p w14:paraId="45C568E6">
            <w:pPr>
              <w:spacing w:line="360" w:lineRule="auto"/>
              <w:rPr>
                <w:rFonts w:ascii="宋体" w:hAnsi="宋体" w:cs="宋体"/>
                <w:color w:val="auto"/>
                <w:sz w:val="24"/>
                <w:highlight w:val="none"/>
              </w:rPr>
            </w:pPr>
          </w:p>
        </w:tc>
        <w:tc>
          <w:tcPr>
            <w:tcW w:w="1634" w:type="dxa"/>
            <w:gridSpan w:val="3"/>
            <w:shd w:val="clear" w:color="auto" w:fill="auto"/>
          </w:tcPr>
          <w:p w14:paraId="0DE4A8C8">
            <w:pPr>
              <w:spacing w:line="360" w:lineRule="auto"/>
              <w:rPr>
                <w:rFonts w:ascii="宋体" w:hAnsi="宋体" w:cs="宋体"/>
                <w:color w:val="auto"/>
                <w:sz w:val="24"/>
                <w:highlight w:val="none"/>
              </w:rPr>
            </w:pPr>
          </w:p>
        </w:tc>
        <w:tc>
          <w:tcPr>
            <w:tcW w:w="1483" w:type="dxa"/>
            <w:gridSpan w:val="2"/>
            <w:shd w:val="clear" w:color="auto" w:fill="auto"/>
          </w:tcPr>
          <w:p w14:paraId="1DF24F3C">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5275B905">
            <w:pPr>
              <w:spacing w:line="360" w:lineRule="auto"/>
              <w:rPr>
                <w:rFonts w:ascii="宋体" w:hAnsi="宋体" w:cs="宋体"/>
                <w:color w:val="auto"/>
                <w:sz w:val="24"/>
                <w:highlight w:val="none"/>
              </w:rPr>
            </w:pPr>
          </w:p>
        </w:tc>
      </w:tr>
      <w:tr w14:paraId="3A633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0AD65929">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tcPr>
          <w:p w14:paraId="50AB9C70">
            <w:pPr>
              <w:spacing w:line="360" w:lineRule="auto"/>
              <w:rPr>
                <w:rFonts w:ascii="宋体" w:hAnsi="宋体" w:cs="宋体"/>
                <w:color w:val="auto"/>
                <w:sz w:val="24"/>
                <w:highlight w:val="none"/>
              </w:rPr>
            </w:pPr>
          </w:p>
        </w:tc>
        <w:tc>
          <w:tcPr>
            <w:tcW w:w="1974" w:type="dxa"/>
            <w:gridSpan w:val="3"/>
            <w:shd w:val="clear" w:color="auto" w:fill="auto"/>
          </w:tcPr>
          <w:p w14:paraId="778B86C8">
            <w:pPr>
              <w:spacing w:line="360" w:lineRule="auto"/>
              <w:rPr>
                <w:rFonts w:ascii="宋体" w:hAnsi="宋体" w:cs="宋体"/>
                <w:color w:val="auto"/>
                <w:sz w:val="24"/>
                <w:highlight w:val="none"/>
              </w:rPr>
            </w:pPr>
          </w:p>
        </w:tc>
        <w:tc>
          <w:tcPr>
            <w:tcW w:w="1329" w:type="dxa"/>
            <w:gridSpan w:val="2"/>
            <w:shd w:val="clear" w:color="auto" w:fill="auto"/>
          </w:tcPr>
          <w:p w14:paraId="719CF9B3">
            <w:pPr>
              <w:spacing w:line="360" w:lineRule="auto"/>
              <w:rPr>
                <w:rFonts w:ascii="宋体" w:hAnsi="宋体" w:cs="宋体"/>
                <w:color w:val="auto"/>
                <w:sz w:val="24"/>
                <w:highlight w:val="none"/>
              </w:rPr>
            </w:pPr>
          </w:p>
        </w:tc>
        <w:tc>
          <w:tcPr>
            <w:tcW w:w="1634" w:type="dxa"/>
            <w:gridSpan w:val="3"/>
            <w:shd w:val="clear" w:color="auto" w:fill="auto"/>
          </w:tcPr>
          <w:p w14:paraId="0A41C1A0">
            <w:pPr>
              <w:spacing w:line="360" w:lineRule="auto"/>
              <w:rPr>
                <w:rFonts w:ascii="宋体" w:hAnsi="宋体" w:cs="宋体"/>
                <w:color w:val="auto"/>
                <w:sz w:val="24"/>
                <w:highlight w:val="none"/>
              </w:rPr>
            </w:pPr>
          </w:p>
        </w:tc>
        <w:tc>
          <w:tcPr>
            <w:tcW w:w="1483" w:type="dxa"/>
            <w:gridSpan w:val="2"/>
            <w:shd w:val="clear" w:color="auto" w:fill="auto"/>
          </w:tcPr>
          <w:p w14:paraId="2F492D22">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4BA296AC">
            <w:pPr>
              <w:spacing w:line="360" w:lineRule="auto"/>
              <w:rPr>
                <w:rFonts w:ascii="宋体" w:hAnsi="宋体" w:cs="宋体"/>
                <w:color w:val="auto"/>
                <w:sz w:val="24"/>
                <w:highlight w:val="none"/>
              </w:rPr>
            </w:pPr>
          </w:p>
        </w:tc>
      </w:tr>
      <w:tr w14:paraId="4DAD3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052D6A86">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tcPr>
          <w:p w14:paraId="49EA9F0F">
            <w:pPr>
              <w:spacing w:line="360" w:lineRule="auto"/>
              <w:rPr>
                <w:rFonts w:ascii="宋体" w:hAnsi="宋体" w:cs="宋体"/>
                <w:color w:val="auto"/>
                <w:sz w:val="24"/>
                <w:highlight w:val="none"/>
              </w:rPr>
            </w:pPr>
          </w:p>
        </w:tc>
        <w:tc>
          <w:tcPr>
            <w:tcW w:w="1974" w:type="dxa"/>
            <w:gridSpan w:val="3"/>
            <w:shd w:val="clear" w:color="auto" w:fill="auto"/>
          </w:tcPr>
          <w:p w14:paraId="2BC0D9D8">
            <w:pPr>
              <w:spacing w:line="360" w:lineRule="auto"/>
              <w:rPr>
                <w:rFonts w:ascii="宋体" w:hAnsi="宋体" w:cs="宋体"/>
                <w:color w:val="auto"/>
                <w:sz w:val="24"/>
                <w:highlight w:val="none"/>
              </w:rPr>
            </w:pPr>
          </w:p>
        </w:tc>
        <w:tc>
          <w:tcPr>
            <w:tcW w:w="1329" w:type="dxa"/>
            <w:gridSpan w:val="2"/>
            <w:shd w:val="clear" w:color="auto" w:fill="auto"/>
          </w:tcPr>
          <w:p w14:paraId="6516541A">
            <w:pPr>
              <w:spacing w:line="360" w:lineRule="auto"/>
              <w:rPr>
                <w:rFonts w:ascii="宋体" w:hAnsi="宋体" w:cs="宋体"/>
                <w:color w:val="auto"/>
                <w:sz w:val="24"/>
                <w:highlight w:val="none"/>
              </w:rPr>
            </w:pPr>
          </w:p>
        </w:tc>
        <w:tc>
          <w:tcPr>
            <w:tcW w:w="1634" w:type="dxa"/>
            <w:gridSpan w:val="3"/>
            <w:shd w:val="clear" w:color="auto" w:fill="auto"/>
          </w:tcPr>
          <w:p w14:paraId="596C5289">
            <w:pPr>
              <w:spacing w:line="360" w:lineRule="auto"/>
              <w:rPr>
                <w:rFonts w:ascii="宋体" w:hAnsi="宋体" w:cs="宋体"/>
                <w:color w:val="auto"/>
                <w:sz w:val="24"/>
                <w:highlight w:val="none"/>
              </w:rPr>
            </w:pPr>
          </w:p>
        </w:tc>
        <w:tc>
          <w:tcPr>
            <w:tcW w:w="1483" w:type="dxa"/>
            <w:gridSpan w:val="2"/>
            <w:shd w:val="clear" w:color="auto" w:fill="auto"/>
          </w:tcPr>
          <w:p w14:paraId="1B2D3195">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347F24B">
            <w:pPr>
              <w:spacing w:line="360" w:lineRule="auto"/>
              <w:rPr>
                <w:rFonts w:ascii="宋体" w:hAnsi="宋体" w:cs="宋体"/>
                <w:color w:val="auto"/>
                <w:sz w:val="24"/>
                <w:highlight w:val="none"/>
              </w:rPr>
            </w:pPr>
          </w:p>
        </w:tc>
      </w:tr>
    </w:tbl>
    <w:p w14:paraId="166EBC5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20093DC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1.项目数可以根据需要增加。</w:t>
      </w:r>
    </w:p>
    <w:p w14:paraId="2BF97CC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2.本表后附项目经理的学历证、安全生产考核合格证（B 类）、本表所列证书复印件并加盖供应商公章。</w:t>
      </w:r>
    </w:p>
    <w:p w14:paraId="2D1C6A39">
      <w:pPr>
        <w:spacing w:line="360" w:lineRule="auto"/>
        <w:rPr>
          <w:rFonts w:ascii="宋体" w:hAnsi="宋体"/>
          <w:color w:val="auto"/>
          <w:sz w:val="24"/>
          <w:highlight w:val="none"/>
        </w:rPr>
      </w:pPr>
      <w:r>
        <w:rPr>
          <w:rFonts w:hint="eastAsia" w:ascii="宋体" w:hAnsi="宋体"/>
          <w:color w:val="auto"/>
          <w:sz w:val="24"/>
          <w:highlight w:val="none"/>
        </w:rPr>
        <w:br w:type="page"/>
      </w:r>
    </w:p>
    <w:p w14:paraId="6C2793D3">
      <w:pPr>
        <w:spacing w:line="360" w:lineRule="auto"/>
        <w:ind w:left="1939"/>
        <w:rPr>
          <w:rFonts w:ascii="宋体" w:hAnsi="宋体" w:cs="宋体"/>
          <w:color w:val="auto"/>
          <w:sz w:val="31"/>
          <w:szCs w:val="31"/>
          <w:highlight w:val="none"/>
        </w:rPr>
      </w:pPr>
      <w:r>
        <w:rPr>
          <w:rFonts w:hint="eastAsia" w:ascii="宋体" w:hAnsi="宋体" w:cs="宋体"/>
          <w:color w:val="auto"/>
          <w:spacing w:val="3"/>
          <w:sz w:val="31"/>
          <w:szCs w:val="31"/>
          <w:highlight w:val="none"/>
        </w:rPr>
        <w:t>项目技术负责人（项目总工）</w:t>
      </w:r>
      <w:r>
        <w:rPr>
          <w:rFonts w:hint="eastAsia" w:ascii="宋体" w:hAnsi="宋体" w:cs="宋体"/>
          <w:color w:val="auto"/>
          <w:spacing w:val="-20"/>
          <w:sz w:val="31"/>
          <w:szCs w:val="31"/>
          <w:highlight w:val="none"/>
        </w:rPr>
        <w:t xml:space="preserve"> </w:t>
      </w:r>
      <w:r>
        <w:rPr>
          <w:rFonts w:hint="eastAsia" w:ascii="宋体" w:hAnsi="宋体" w:cs="宋体"/>
          <w:color w:val="auto"/>
          <w:spacing w:val="3"/>
          <w:sz w:val="31"/>
          <w:szCs w:val="31"/>
          <w:highlight w:val="none"/>
        </w:rPr>
        <w:t>简历表（如有）</w:t>
      </w:r>
    </w:p>
    <w:p w14:paraId="6FF2EE5F">
      <w:pPr>
        <w:spacing w:line="360" w:lineRule="auto"/>
        <w:rPr>
          <w:rFonts w:ascii="宋体" w:hAnsi="宋体" w:cs="宋体"/>
          <w:color w:val="auto"/>
          <w:highlight w:val="none"/>
        </w:rPr>
      </w:pPr>
    </w:p>
    <w:tbl>
      <w:tblPr>
        <w:tblStyle w:val="40"/>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9"/>
        <w:gridCol w:w="300"/>
        <w:gridCol w:w="887"/>
        <w:gridCol w:w="660"/>
        <w:gridCol w:w="328"/>
        <w:gridCol w:w="235"/>
        <w:gridCol w:w="1415"/>
        <w:gridCol w:w="242"/>
        <w:gridCol w:w="1087"/>
        <w:gridCol w:w="89"/>
        <w:gridCol w:w="408"/>
        <w:gridCol w:w="1136"/>
        <w:gridCol w:w="87"/>
        <w:gridCol w:w="1395"/>
        <w:gridCol w:w="25"/>
      </w:tblGrid>
      <w:tr w14:paraId="10B32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9" w:hRule="atLeast"/>
          <w:jc w:val="center"/>
        </w:trPr>
        <w:tc>
          <w:tcPr>
            <w:tcW w:w="1329" w:type="dxa"/>
            <w:shd w:val="clear" w:color="auto" w:fill="auto"/>
          </w:tcPr>
          <w:p w14:paraId="4D1D0D6D">
            <w:pPr>
              <w:keepNext w:val="0"/>
              <w:keepLines w:val="0"/>
              <w:pageBreakBefore w:val="0"/>
              <w:widowControl w:val="0"/>
              <w:kinsoku w:val="0"/>
              <w:wordWrap/>
              <w:overflowPunct/>
              <w:topLinePunct w:val="0"/>
              <w:autoSpaceDE w:val="0"/>
              <w:autoSpaceDN w:val="0"/>
              <w:bidi w:val="0"/>
              <w:adjustRightInd w:val="0"/>
              <w:snapToGrid w:val="0"/>
              <w:spacing w:line="400" w:lineRule="exact"/>
              <w:ind w:left="38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175" w:type="dxa"/>
            <w:gridSpan w:val="4"/>
            <w:shd w:val="clear" w:color="auto" w:fill="auto"/>
          </w:tcPr>
          <w:p w14:paraId="0B930D1E">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892" w:type="dxa"/>
            <w:gridSpan w:val="3"/>
            <w:shd w:val="clear" w:color="auto" w:fill="auto"/>
          </w:tcPr>
          <w:p w14:paraId="07B36F88">
            <w:pPr>
              <w:keepNext w:val="0"/>
              <w:keepLines w:val="0"/>
              <w:pageBreakBefore w:val="0"/>
              <w:widowControl w:val="0"/>
              <w:kinsoku w:val="0"/>
              <w:wordWrap/>
              <w:overflowPunct/>
              <w:topLinePunct w:val="0"/>
              <w:autoSpaceDE w:val="0"/>
              <w:autoSpaceDN w:val="0"/>
              <w:bidi w:val="0"/>
              <w:adjustRightInd w:val="0"/>
              <w:snapToGrid w:val="0"/>
              <w:spacing w:line="400" w:lineRule="exact"/>
              <w:ind w:left="74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tcPr>
          <w:p w14:paraId="10C53E8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136" w:type="dxa"/>
            <w:shd w:val="clear" w:color="auto" w:fill="auto"/>
          </w:tcPr>
          <w:p w14:paraId="124B53EA">
            <w:pPr>
              <w:keepNext w:val="0"/>
              <w:keepLines w:val="0"/>
              <w:pageBreakBefore w:val="0"/>
              <w:widowControl w:val="0"/>
              <w:kinsoku w:val="0"/>
              <w:wordWrap/>
              <w:overflowPunct/>
              <w:topLinePunct w:val="0"/>
              <w:autoSpaceDE w:val="0"/>
              <w:autoSpaceDN w:val="0"/>
              <w:bidi w:val="0"/>
              <w:adjustRightInd w:val="0"/>
              <w:snapToGrid w:val="0"/>
              <w:spacing w:line="400" w:lineRule="exact"/>
              <w:ind w:left="35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7" w:type="dxa"/>
            <w:gridSpan w:val="3"/>
            <w:shd w:val="clear" w:color="auto" w:fill="auto"/>
          </w:tcPr>
          <w:p w14:paraId="6A51591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2C75A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jc w:val="center"/>
        </w:trPr>
        <w:tc>
          <w:tcPr>
            <w:tcW w:w="1329" w:type="dxa"/>
            <w:shd w:val="clear" w:color="auto" w:fill="auto"/>
          </w:tcPr>
          <w:p w14:paraId="2983F29B">
            <w:pPr>
              <w:keepNext w:val="0"/>
              <w:keepLines w:val="0"/>
              <w:pageBreakBefore w:val="0"/>
              <w:widowControl w:val="0"/>
              <w:kinsoku w:val="0"/>
              <w:wordWrap/>
              <w:overflowPunct/>
              <w:topLinePunct w:val="0"/>
              <w:autoSpaceDE w:val="0"/>
              <w:autoSpaceDN w:val="0"/>
              <w:bidi w:val="0"/>
              <w:adjustRightInd w:val="0"/>
              <w:snapToGrid w:val="0"/>
              <w:spacing w:line="400" w:lineRule="exact"/>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175" w:type="dxa"/>
            <w:gridSpan w:val="4"/>
            <w:shd w:val="clear" w:color="auto" w:fill="auto"/>
          </w:tcPr>
          <w:p w14:paraId="51742EAE">
            <w:pPr>
              <w:keepNext w:val="0"/>
              <w:keepLines w:val="0"/>
              <w:pageBreakBefore w:val="0"/>
              <w:widowControl w:val="0"/>
              <w:kinsoku w:val="0"/>
              <w:wordWrap/>
              <w:overflowPunct/>
              <w:topLinePunct w:val="0"/>
              <w:autoSpaceDE w:val="0"/>
              <w:autoSpaceDN w:val="0"/>
              <w:bidi w:val="0"/>
              <w:adjustRightInd w:val="0"/>
              <w:snapToGrid w:val="0"/>
              <w:spacing w:line="400" w:lineRule="exact"/>
              <w:ind w:left="860" w:right="115" w:hanging="73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项目技术负责人（项目</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5"/>
                <w:kern w:val="0"/>
                <w:sz w:val="24"/>
                <w:highlight w:val="none"/>
              </w:rPr>
              <w:t>总工）</w:t>
            </w:r>
          </w:p>
        </w:tc>
        <w:tc>
          <w:tcPr>
            <w:tcW w:w="1892" w:type="dxa"/>
            <w:gridSpan w:val="3"/>
            <w:shd w:val="clear" w:color="auto" w:fill="auto"/>
          </w:tcPr>
          <w:p w14:paraId="7A2B5A84">
            <w:pPr>
              <w:keepNext w:val="0"/>
              <w:keepLines w:val="0"/>
              <w:pageBreakBefore w:val="0"/>
              <w:widowControl w:val="0"/>
              <w:kinsoku w:val="0"/>
              <w:wordWrap/>
              <w:overflowPunct/>
              <w:topLinePunct w:val="0"/>
              <w:autoSpaceDE w:val="0"/>
              <w:autoSpaceDN w:val="0"/>
              <w:bidi w:val="0"/>
              <w:adjustRightInd w:val="0"/>
              <w:snapToGrid w:val="0"/>
              <w:spacing w:line="400" w:lineRule="exact"/>
              <w:ind w:left="7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tcPr>
          <w:p w14:paraId="6A6877A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136" w:type="dxa"/>
            <w:shd w:val="clear" w:color="auto" w:fill="auto"/>
          </w:tcPr>
          <w:p w14:paraId="5CF88DAE">
            <w:pPr>
              <w:keepNext w:val="0"/>
              <w:keepLines w:val="0"/>
              <w:pageBreakBefore w:val="0"/>
              <w:widowControl w:val="0"/>
              <w:kinsoku w:val="0"/>
              <w:wordWrap/>
              <w:overflowPunct/>
              <w:topLinePunct w:val="0"/>
              <w:autoSpaceDE w:val="0"/>
              <w:autoSpaceDN w:val="0"/>
              <w:bidi w:val="0"/>
              <w:adjustRightInd w:val="0"/>
              <w:snapToGrid w:val="0"/>
              <w:spacing w:line="400" w:lineRule="exact"/>
              <w:ind w:left="35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7" w:type="dxa"/>
            <w:gridSpan w:val="3"/>
            <w:shd w:val="clear" w:color="auto" w:fill="auto"/>
          </w:tcPr>
          <w:p w14:paraId="4608DD08">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1FFAD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329" w:type="dxa"/>
            <w:shd w:val="clear" w:color="auto" w:fill="auto"/>
          </w:tcPr>
          <w:p w14:paraId="740E4AA4">
            <w:pPr>
              <w:keepNext w:val="0"/>
              <w:keepLines w:val="0"/>
              <w:pageBreakBefore w:val="0"/>
              <w:widowControl w:val="0"/>
              <w:kinsoku w:val="0"/>
              <w:wordWrap/>
              <w:overflowPunct/>
              <w:topLinePunct w:val="0"/>
              <w:autoSpaceDE w:val="0"/>
              <w:autoSpaceDN w:val="0"/>
              <w:bidi w:val="0"/>
              <w:adjustRightInd w:val="0"/>
              <w:snapToGrid w:val="0"/>
              <w:spacing w:line="400" w:lineRule="exact"/>
              <w:ind w:left="391" w:right="155" w:hanging="21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175" w:type="dxa"/>
            <w:gridSpan w:val="4"/>
            <w:shd w:val="clear" w:color="auto" w:fill="auto"/>
          </w:tcPr>
          <w:p w14:paraId="4961E3C8">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892" w:type="dxa"/>
            <w:gridSpan w:val="3"/>
            <w:shd w:val="clear" w:color="auto" w:fill="auto"/>
          </w:tcPr>
          <w:p w14:paraId="50E82299">
            <w:pPr>
              <w:keepNext w:val="0"/>
              <w:keepLines w:val="0"/>
              <w:pageBreakBefore w:val="0"/>
              <w:widowControl w:val="0"/>
              <w:kinsoku w:val="0"/>
              <w:wordWrap/>
              <w:overflowPunct/>
              <w:topLinePunct w:val="0"/>
              <w:autoSpaceDE w:val="0"/>
              <w:autoSpaceDN w:val="0"/>
              <w:bidi w:val="0"/>
              <w:adjustRightInd w:val="0"/>
              <w:snapToGrid w:val="0"/>
              <w:spacing w:line="400" w:lineRule="exact"/>
              <w:ind w:left="32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tcPr>
          <w:p w14:paraId="292E5314">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136" w:type="dxa"/>
            <w:shd w:val="clear" w:color="auto" w:fill="auto"/>
          </w:tcPr>
          <w:p w14:paraId="331F8C8E">
            <w:pPr>
              <w:keepNext w:val="0"/>
              <w:keepLines w:val="0"/>
              <w:pageBreakBefore w:val="0"/>
              <w:widowControl w:val="0"/>
              <w:kinsoku w:val="0"/>
              <w:wordWrap/>
              <w:overflowPunct/>
              <w:topLinePunct w:val="0"/>
              <w:autoSpaceDE w:val="0"/>
              <w:autoSpaceDN w:val="0"/>
              <w:bidi w:val="0"/>
              <w:adjustRightInd w:val="0"/>
              <w:snapToGrid w:val="0"/>
              <w:spacing w:line="400" w:lineRule="exact"/>
              <w:ind w:left="14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7" w:type="dxa"/>
            <w:gridSpan w:val="3"/>
            <w:shd w:val="clear" w:color="auto" w:fill="auto"/>
          </w:tcPr>
          <w:p w14:paraId="7B3A6A6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5DA80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1329" w:type="dxa"/>
            <w:shd w:val="clear" w:color="auto" w:fill="auto"/>
          </w:tcPr>
          <w:p w14:paraId="0FC2C1D0">
            <w:pPr>
              <w:keepNext w:val="0"/>
              <w:keepLines w:val="0"/>
              <w:pageBreakBefore w:val="0"/>
              <w:widowControl w:val="0"/>
              <w:kinsoku w:val="0"/>
              <w:wordWrap/>
              <w:overflowPunct/>
              <w:topLinePunct w:val="0"/>
              <w:autoSpaceDE w:val="0"/>
              <w:autoSpaceDN w:val="0"/>
              <w:bidi w:val="0"/>
              <w:adjustRightInd w:val="0"/>
              <w:snapToGrid w:val="0"/>
              <w:spacing w:line="400" w:lineRule="exact"/>
              <w:ind w:left="582" w:right="131" w:hanging="43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担任……年</w:t>
            </w:r>
            <w:r>
              <w:rPr>
                <w:rFonts w:hint="eastAsia" w:ascii="宋体" w:hAnsi="宋体" w:cs="宋体"/>
                <w:snapToGrid w:val="0"/>
                <w:color w:val="auto"/>
                <w:spacing w:val="3"/>
                <w:kern w:val="0"/>
                <w:sz w:val="24"/>
                <w:highlight w:val="none"/>
                <w:lang w:eastAsia="en-US"/>
              </w:rPr>
              <w:t xml:space="preserve"> </w:t>
            </w:r>
            <w:r>
              <w:rPr>
                <w:rFonts w:hint="eastAsia" w:ascii="宋体" w:hAnsi="宋体" w:cs="宋体"/>
                <w:snapToGrid w:val="0"/>
                <w:color w:val="auto"/>
                <w:kern w:val="0"/>
                <w:sz w:val="24"/>
                <w:highlight w:val="none"/>
                <w:lang w:eastAsia="en-US"/>
              </w:rPr>
              <w:t>限</w:t>
            </w:r>
          </w:p>
        </w:tc>
        <w:tc>
          <w:tcPr>
            <w:tcW w:w="2175" w:type="dxa"/>
            <w:gridSpan w:val="4"/>
            <w:shd w:val="clear" w:color="auto" w:fill="auto"/>
          </w:tcPr>
          <w:p w14:paraId="79861D0C">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50" w:type="dxa"/>
            <w:gridSpan w:val="2"/>
            <w:shd w:val="clear" w:color="auto" w:fill="auto"/>
          </w:tcPr>
          <w:p w14:paraId="5A31A824">
            <w:pPr>
              <w:keepNext w:val="0"/>
              <w:keepLines w:val="0"/>
              <w:pageBreakBefore w:val="0"/>
              <w:widowControl w:val="0"/>
              <w:kinsoku w:val="0"/>
              <w:wordWrap/>
              <w:overflowPunct/>
              <w:topLinePunct w:val="0"/>
              <w:autoSpaceDE w:val="0"/>
              <w:autoSpaceDN w:val="0"/>
              <w:bidi w:val="0"/>
              <w:adjustRightInd w:val="0"/>
              <w:snapToGrid w:val="0"/>
              <w:spacing w:line="400" w:lineRule="exact"/>
              <w:ind w:left="3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69" w:type="dxa"/>
            <w:gridSpan w:val="8"/>
            <w:shd w:val="clear" w:color="auto" w:fill="auto"/>
          </w:tcPr>
          <w:p w14:paraId="154AF84D">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5DFDF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329" w:type="dxa"/>
            <w:shd w:val="clear" w:color="auto" w:fill="auto"/>
          </w:tcPr>
          <w:p w14:paraId="6F1BD8E5">
            <w:pPr>
              <w:keepNext w:val="0"/>
              <w:keepLines w:val="0"/>
              <w:pageBreakBefore w:val="0"/>
              <w:widowControl w:val="0"/>
              <w:kinsoku w:val="0"/>
              <w:wordWrap/>
              <w:overflowPunct/>
              <w:topLinePunct w:val="0"/>
              <w:autoSpaceDE w:val="0"/>
              <w:autoSpaceDN w:val="0"/>
              <w:bidi w:val="0"/>
              <w:adjustRightInd w:val="0"/>
              <w:snapToGrid w:val="0"/>
              <w:spacing w:line="400" w:lineRule="exact"/>
              <w:ind w:left="25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187" w:type="dxa"/>
            <w:gridSpan w:val="2"/>
            <w:shd w:val="clear" w:color="auto" w:fill="auto"/>
          </w:tcPr>
          <w:p w14:paraId="21FA8A14">
            <w:pPr>
              <w:keepNext w:val="0"/>
              <w:keepLines w:val="0"/>
              <w:pageBreakBefore w:val="0"/>
              <w:widowControl w:val="0"/>
              <w:kinsoku w:val="0"/>
              <w:wordWrap/>
              <w:overflowPunct/>
              <w:topLinePunct w:val="0"/>
              <w:autoSpaceDE w:val="0"/>
              <w:autoSpaceDN w:val="0"/>
              <w:bidi w:val="0"/>
              <w:adjustRightInd w:val="0"/>
              <w:snapToGrid w:val="0"/>
              <w:spacing w:line="400" w:lineRule="exact"/>
              <w:ind w:left="17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3" w:type="dxa"/>
            <w:gridSpan w:val="3"/>
            <w:shd w:val="clear" w:color="auto" w:fill="auto"/>
          </w:tcPr>
          <w:p w14:paraId="63E6D86A">
            <w:pPr>
              <w:keepNext w:val="0"/>
              <w:keepLines w:val="0"/>
              <w:pageBreakBefore w:val="0"/>
              <w:widowControl w:val="0"/>
              <w:kinsoku w:val="0"/>
              <w:wordWrap/>
              <w:overflowPunct/>
              <w:topLinePunct w:val="0"/>
              <w:autoSpaceDE w:val="0"/>
              <w:autoSpaceDN w:val="0"/>
              <w:bidi w:val="0"/>
              <w:adjustRightInd w:val="0"/>
              <w:snapToGrid w:val="0"/>
              <w:spacing w:line="400" w:lineRule="exact"/>
              <w:ind w:left="4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5" w:type="dxa"/>
            <w:shd w:val="clear" w:color="auto" w:fill="auto"/>
          </w:tcPr>
          <w:p w14:paraId="59A4C7A1">
            <w:pPr>
              <w:keepNext w:val="0"/>
              <w:keepLines w:val="0"/>
              <w:pageBreakBefore w:val="0"/>
              <w:widowControl w:val="0"/>
              <w:kinsoku w:val="0"/>
              <w:wordWrap/>
              <w:overflowPunct/>
              <w:topLinePunct w:val="0"/>
              <w:autoSpaceDE w:val="0"/>
              <w:autoSpaceDN w:val="0"/>
              <w:bidi w:val="0"/>
              <w:adjustRightInd w:val="0"/>
              <w:snapToGrid w:val="0"/>
              <w:spacing w:line="400" w:lineRule="exact"/>
              <w:ind w:left="2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tcPr>
          <w:p w14:paraId="5D443D01">
            <w:pPr>
              <w:keepNext w:val="0"/>
              <w:keepLines w:val="0"/>
              <w:pageBreakBefore w:val="0"/>
              <w:widowControl w:val="0"/>
              <w:kinsoku w:val="0"/>
              <w:wordWrap/>
              <w:overflowPunct/>
              <w:topLinePunct w:val="0"/>
              <w:autoSpaceDE w:val="0"/>
              <w:autoSpaceDN w:val="0"/>
              <w:bidi w:val="0"/>
              <w:adjustRightInd w:val="0"/>
              <w:snapToGrid w:val="0"/>
              <w:spacing w:line="400" w:lineRule="exact"/>
              <w:ind w:left="29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1" w:type="dxa"/>
            <w:gridSpan w:val="3"/>
            <w:shd w:val="clear" w:color="auto" w:fill="auto"/>
          </w:tcPr>
          <w:p w14:paraId="6974B1AB">
            <w:pPr>
              <w:keepNext w:val="0"/>
              <w:keepLines w:val="0"/>
              <w:pageBreakBefore w:val="0"/>
              <w:widowControl w:val="0"/>
              <w:kinsoku w:val="0"/>
              <w:wordWrap/>
              <w:overflowPunct/>
              <w:topLinePunct w:val="0"/>
              <w:autoSpaceDE w:val="0"/>
              <w:autoSpaceDN w:val="0"/>
              <w:bidi w:val="0"/>
              <w:adjustRightInd w:val="0"/>
              <w:snapToGrid w:val="0"/>
              <w:spacing w:line="400" w:lineRule="exact"/>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0" w:type="dxa"/>
            <w:gridSpan w:val="2"/>
            <w:shd w:val="clear" w:color="auto" w:fill="auto"/>
          </w:tcPr>
          <w:p w14:paraId="5FAE71C9">
            <w:pPr>
              <w:keepNext w:val="0"/>
              <w:keepLines w:val="0"/>
              <w:pageBreakBefore w:val="0"/>
              <w:widowControl w:val="0"/>
              <w:kinsoku w:val="0"/>
              <w:wordWrap/>
              <w:overflowPunct/>
              <w:topLinePunct w:val="0"/>
              <w:autoSpaceDE w:val="0"/>
              <w:autoSpaceDN w:val="0"/>
              <w:bidi w:val="0"/>
              <w:adjustRightInd w:val="0"/>
              <w:snapToGrid w:val="0"/>
              <w:spacing w:line="400" w:lineRule="exact"/>
              <w:ind w:left="19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2E8AB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329" w:type="dxa"/>
            <w:shd w:val="clear" w:color="auto" w:fill="auto"/>
          </w:tcPr>
          <w:p w14:paraId="03693D1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187" w:type="dxa"/>
            <w:gridSpan w:val="2"/>
            <w:shd w:val="clear" w:color="auto" w:fill="auto"/>
          </w:tcPr>
          <w:p w14:paraId="714F9989">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223" w:type="dxa"/>
            <w:gridSpan w:val="3"/>
            <w:shd w:val="clear" w:color="auto" w:fill="auto"/>
          </w:tcPr>
          <w:p w14:paraId="46D5638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15" w:type="dxa"/>
            <w:shd w:val="clear" w:color="auto" w:fill="auto"/>
          </w:tcPr>
          <w:p w14:paraId="7F29A01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18" w:type="dxa"/>
            <w:gridSpan w:val="3"/>
            <w:shd w:val="clear" w:color="auto" w:fill="auto"/>
          </w:tcPr>
          <w:p w14:paraId="6F830C7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1" w:type="dxa"/>
            <w:gridSpan w:val="3"/>
            <w:shd w:val="clear" w:color="auto" w:fill="auto"/>
          </w:tcPr>
          <w:p w14:paraId="297842B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20" w:type="dxa"/>
            <w:gridSpan w:val="2"/>
            <w:shd w:val="clear" w:color="auto" w:fill="auto"/>
          </w:tcPr>
          <w:p w14:paraId="217FDD37">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27509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jc w:val="center"/>
        </w:trPr>
        <w:tc>
          <w:tcPr>
            <w:tcW w:w="1329" w:type="dxa"/>
            <w:shd w:val="clear" w:color="auto" w:fill="auto"/>
          </w:tcPr>
          <w:p w14:paraId="250B8C8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187" w:type="dxa"/>
            <w:gridSpan w:val="2"/>
            <w:shd w:val="clear" w:color="auto" w:fill="auto"/>
          </w:tcPr>
          <w:p w14:paraId="47FA60B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223" w:type="dxa"/>
            <w:gridSpan w:val="3"/>
            <w:shd w:val="clear" w:color="auto" w:fill="auto"/>
          </w:tcPr>
          <w:p w14:paraId="45743E2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15" w:type="dxa"/>
            <w:shd w:val="clear" w:color="auto" w:fill="auto"/>
          </w:tcPr>
          <w:p w14:paraId="055BB799">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18" w:type="dxa"/>
            <w:gridSpan w:val="3"/>
            <w:shd w:val="clear" w:color="auto" w:fill="auto"/>
          </w:tcPr>
          <w:p w14:paraId="7430BDB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1" w:type="dxa"/>
            <w:gridSpan w:val="3"/>
            <w:shd w:val="clear" w:color="auto" w:fill="auto"/>
          </w:tcPr>
          <w:p w14:paraId="22A9435D">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20" w:type="dxa"/>
            <w:gridSpan w:val="2"/>
            <w:shd w:val="clear" w:color="auto" w:fill="auto"/>
          </w:tcPr>
          <w:p w14:paraId="6E03BC6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53B3B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623" w:type="dxa"/>
            <w:gridSpan w:val="15"/>
            <w:shd w:val="clear" w:color="auto" w:fill="auto"/>
          </w:tcPr>
          <w:p w14:paraId="63F4559C">
            <w:pPr>
              <w:keepNext w:val="0"/>
              <w:keepLines w:val="0"/>
              <w:pageBreakBefore w:val="0"/>
              <w:widowControl w:val="0"/>
              <w:kinsoku w:val="0"/>
              <w:wordWrap/>
              <w:overflowPunct/>
              <w:topLinePunct w:val="0"/>
              <w:autoSpaceDE w:val="0"/>
              <w:autoSpaceDN w:val="0"/>
              <w:bidi w:val="0"/>
              <w:adjustRightInd w:val="0"/>
              <w:snapToGrid w:val="0"/>
              <w:spacing w:line="400" w:lineRule="exact"/>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087B3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29" w:type="dxa"/>
            <w:gridSpan w:val="2"/>
            <w:shd w:val="clear" w:color="auto" w:fill="auto"/>
          </w:tcPr>
          <w:p w14:paraId="055F7E0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547" w:type="dxa"/>
            <w:gridSpan w:val="2"/>
            <w:shd w:val="clear" w:color="auto" w:fill="auto"/>
          </w:tcPr>
          <w:p w14:paraId="77A6E519">
            <w:pPr>
              <w:keepNext w:val="0"/>
              <w:keepLines w:val="0"/>
              <w:pageBreakBefore w:val="0"/>
              <w:widowControl w:val="0"/>
              <w:kinsoku w:val="0"/>
              <w:wordWrap/>
              <w:overflowPunct/>
              <w:topLinePunct w:val="0"/>
              <w:autoSpaceDE w:val="0"/>
              <w:autoSpaceDN w:val="0"/>
              <w:bidi w:val="0"/>
              <w:adjustRightInd w:val="0"/>
              <w:snapToGrid w:val="0"/>
              <w:spacing w:line="400" w:lineRule="exact"/>
              <w:ind w:left="49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8" w:type="dxa"/>
            <w:gridSpan w:val="3"/>
            <w:shd w:val="clear" w:color="auto" w:fill="auto"/>
          </w:tcPr>
          <w:p w14:paraId="3E63488F">
            <w:pPr>
              <w:keepNext w:val="0"/>
              <w:keepLines w:val="0"/>
              <w:pageBreakBefore w:val="0"/>
              <w:widowControl w:val="0"/>
              <w:kinsoku w:val="0"/>
              <w:wordWrap/>
              <w:overflowPunct/>
              <w:topLinePunct w:val="0"/>
              <w:autoSpaceDE w:val="0"/>
              <w:autoSpaceDN w:val="0"/>
              <w:bidi w:val="0"/>
              <w:adjustRightInd w:val="0"/>
              <w:snapToGrid w:val="0"/>
              <w:spacing w:line="400" w:lineRule="exact"/>
              <w:ind w:left="7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tcPr>
          <w:p w14:paraId="00E61FEA">
            <w:pPr>
              <w:keepNext w:val="0"/>
              <w:keepLines w:val="0"/>
              <w:pageBreakBefore w:val="0"/>
              <w:widowControl w:val="0"/>
              <w:kinsoku w:val="0"/>
              <w:wordWrap/>
              <w:overflowPunct/>
              <w:topLinePunct w:val="0"/>
              <w:autoSpaceDE w:val="0"/>
              <w:autoSpaceDN w:val="0"/>
              <w:bidi w:val="0"/>
              <w:adjustRightInd w:val="0"/>
              <w:snapToGrid w:val="0"/>
              <w:spacing w:line="400" w:lineRule="exact"/>
              <w:ind w:left="38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3" w:type="dxa"/>
            <w:gridSpan w:val="3"/>
            <w:shd w:val="clear" w:color="auto" w:fill="auto"/>
          </w:tcPr>
          <w:p w14:paraId="4F8A0D4A">
            <w:pPr>
              <w:keepNext w:val="0"/>
              <w:keepLines w:val="0"/>
              <w:pageBreakBefore w:val="0"/>
              <w:widowControl w:val="0"/>
              <w:kinsoku w:val="0"/>
              <w:wordWrap/>
              <w:overflowPunct/>
              <w:topLinePunct w:val="0"/>
              <w:autoSpaceDE w:val="0"/>
              <w:autoSpaceDN w:val="0"/>
              <w:bidi w:val="0"/>
              <w:adjustRightInd w:val="0"/>
              <w:snapToGrid w:val="0"/>
              <w:spacing w:line="400" w:lineRule="exact"/>
              <w:ind w:left="5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tcPr>
          <w:p w14:paraId="3E15727F">
            <w:pPr>
              <w:keepNext w:val="0"/>
              <w:keepLines w:val="0"/>
              <w:pageBreakBefore w:val="0"/>
              <w:widowControl w:val="0"/>
              <w:kinsoku w:val="0"/>
              <w:wordWrap/>
              <w:overflowPunct/>
              <w:topLinePunct w:val="0"/>
              <w:autoSpaceDE w:val="0"/>
              <w:autoSpaceDN w:val="0"/>
              <w:bidi w:val="0"/>
              <w:adjustRightInd w:val="0"/>
              <w:snapToGrid w:val="0"/>
              <w:spacing w:line="400" w:lineRule="exact"/>
              <w:ind w:left="56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tcPr>
          <w:p w14:paraId="6601C64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26F7C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jc w:val="center"/>
        </w:trPr>
        <w:tc>
          <w:tcPr>
            <w:tcW w:w="1629" w:type="dxa"/>
            <w:gridSpan w:val="2"/>
            <w:shd w:val="clear" w:color="auto" w:fill="auto"/>
          </w:tcPr>
          <w:p w14:paraId="7FFA0F1B">
            <w:pPr>
              <w:keepNext w:val="0"/>
              <w:keepLines w:val="0"/>
              <w:pageBreakBefore w:val="0"/>
              <w:widowControl w:val="0"/>
              <w:kinsoku w:val="0"/>
              <w:wordWrap/>
              <w:overflowPunct/>
              <w:topLinePunct w:val="0"/>
              <w:autoSpaceDE w:val="0"/>
              <w:autoSpaceDN w:val="0"/>
              <w:bidi w:val="0"/>
              <w:adjustRightInd w:val="0"/>
              <w:snapToGrid w:val="0"/>
              <w:spacing w:line="400" w:lineRule="exact"/>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7" w:type="dxa"/>
            <w:gridSpan w:val="2"/>
            <w:shd w:val="clear" w:color="auto" w:fill="auto"/>
          </w:tcPr>
          <w:p w14:paraId="37B8B37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1EF761DC">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1FEB12F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7AE40F5D">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49E08AEC">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45B01A0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69C88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7" w:hRule="atLeast"/>
          <w:jc w:val="center"/>
        </w:trPr>
        <w:tc>
          <w:tcPr>
            <w:tcW w:w="1629" w:type="dxa"/>
            <w:gridSpan w:val="2"/>
            <w:shd w:val="clear" w:color="auto" w:fill="auto"/>
          </w:tcPr>
          <w:p w14:paraId="56306511">
            <w:pPr>
              <w:keepNext w:val="0"/>
              <w:keepLines w:val="0"/>
              <w:pageBreakBefore w:val="0"/>
              <w:widowControl w:val="0"/>
              <w:kinsoku w:val="0"/>
              <w:wordWrap/>
              <w:overflowPunct/>
              <w:topLinePunct w:val="0"/>
              <w:autoSpaceDE w:val="0"/>
              <w:autoSpaceDN w:val="0"/>
              <w:bidi w:val="0"/>
              <w:adjustRightInd w:val="0"/>
              <w:snapToGrid w:val="0"/>
              <w:spacing w:line="400" w:lineRule="exact"/>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7" w:type="dxa"/>
            <w:gridSpan w:val="2"/>
            <w:shd w:val="clear" w:color="auto" w:fill="auto"/>
          </w:tcPr>
          <w:p w14:paraId="060A34A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2BEA23E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5AFBFD0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39082304">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572CF62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4B03B8E7">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14A04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29" w:type="dxa"/>
            <w:gridSpan w:val="2"/>
            <w:shd w:val="clear" w:color="auto" w:fill="auto"/>
          </w:tcPr>
          <w:p w14:paraId="42BD3B80">
            <w:pPr>
              <w:keepNext w:val="0"/>
              <w:keepLines w:val="0"/>
              <w:pageBreakBefore w:val="0"/>
              <w:widowControl w:val="0"/>
              <w:kinsoku w:val="0"/>
              <w:wordWrap/>
              <w:overflowPunct/>
              <w:topLinePunct w:val="0"/>
              <w:autoSpaceDE w:val="0"/>
              <w:autoSpaceDN w:val="0"/>
              <w:bidi w:val="0"/>
              <w:adjustRightInd w:val="0"/>
              <w:snapToGrid w:val="0"/>
              <w:spacing w:line="400" w:lineRule="exact"/>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7" w:type="dxa"/>
            <w:gridSpan w:val="2"/>
            <w:shd w:val="clear" w:color="auto" w:fill="auto"/>
          </w:tcPr>
          <w:p w14:paraId="2609CD9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06C167BF">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7DB87933">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40B5CEA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11EFBC09">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7D8B62B9">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07E47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7" w:hRule="atLeast"/>
          <w:jc w:val="center"/>
        </w:trPr>
        <w:tc>
          <w:tcPr>
            <w:tcW w:w="1629" w:type="dxa"/>
            <w:gridSpan w:val="2"/>
            <w:shd w:val="clear" w:color="auto" w:fill="auto"/>
          </w:tcPr>
          <w:p w14:paraId="58CB3A08">
            <w:pPr>
              <w:keepNext w:val="0"/>
              <w:keepLines w:val="0"/>
              <w:pageBreakBefore w:val="0"/>
              <w:widowControl w:val="0"/>
              <w:kinsoku w:val="0"/>
              <w:wordWrap/>
              <w:overflowPunct/>
              <w:topLinePunct w:val="0"/>
              <w:autoSpaceDE w:val="0"/>
              <w:autoSpaceDN w:val="0"/>
              <w:bidi w:val="0"/>
              <w:adjustRightInd w:val="0"/>
              <w:snapToGrid w:val="0"/>
              <w:spacing w:line="400" w:lineRule="exact"/>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7" w:type="dxa"/>
            <w:gridSpan w:val="2"/>
            <w:shd w:val="clear" w:color="auto" w:fill="auto"/>
          </w:tcPr>
          <w:p w14:paraId="1D7244F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2F0342CF">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7513AD80">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67C7E8E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1F2AAA6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5396D82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3BE30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1629" w:type="dxa"/>
            <w:gridSpan w:val="2"/>
            <w:shd w:val="clear" w:color="auto" w:fill="auto"/>
          </w:tcPr>
          <w:p w14:paraId="4B378E52">
            <w:pPr>
              <w:keepNext w:val="0"/>
              <w:keepLines w:val="0"/>
              <w:pageBreakBefore w:val="0"/>
              <w:widowControl w:val="0"/>
              <w:kinsoku w:val="0"/>
              <w:wordWrap/>
              <w:overflowPunct/>
              <w:topLinePunct w:val="0"/>
              <w:autoSpaceDE w:val="0"/>
              <w:autoSpaceDN w:val="0"/>
              <w:bidi w:val="0"/>
              <w:adjustRightInd w:val="0"/>
              <w:snapToGrid w:val="0"/>
              <w:spacing w:line="400" w:lineRule="exact"/>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7" w:type="dxa"/>
            <w:gridSpan w:val="2"/>
            <w:shd w:val="clear" w:color="auto" w:fill="auto"/>
          </w:tcPr>
          <w:p w14:paraId="2161F52A">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1F6D4CC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546ED01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454BED5C">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6C4D3728">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58D7930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276DF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4" w:hRule="atLeast"/>
          <w:jc w:val="center"/>
        </w:trPr>
        <w:tc>
          <w:tcPr>
            <w:tcW w:w="1629" w:type="dxa"/>
            <w:gridSpan w:val="2"/>
            <w:shd w:val="clear" w:color="auto" w:fill="auto"/>
          </w:tcPr>
          <w:p w14:paraId="35216DB0">
            <w:pPr>
              <w:keepNext w:val="0"/>
              <w:keepLines w:val="0"/>
              <w:pageBreakBefore w:val="0"/>
              <w:widowControl w:val="0"/>
              <w:kinsoku w:val="0"/>
              <w:wordWrap/>
              <w:overflowPunct/>
              <w:topLinePunct w:val="0"/>
              <w:autoSpaceDE w:val="0"/>
              <w:autoSpaceDN w:val="0"/>
              <w:bidi w:val="0"/>
              <w:adjustRightInd w:val="0"/>
              <w:snapToGrid w:val="0"/>
              <w:spacing w:line="400" w:lineRule="exact"/>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7" w:type="dxa"/>
            <w:gridSpan w:val="2"/>
            <w:shd w:val="clear" w:color="auto" w:fill="auto"/>
          </w:tcPr>
          <w:p w14:paraId="50290FF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3189A11A">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179972B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5168BAB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71DC224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07BC23BA">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7AC3E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4" w:hRule="atLeast"/>
          <w:jc w:val="center"/>
        </w:trPr>
        <w:tc>
          <w:tcPr>
            <w:tcW w:w="1629" w:type="dxa"/>
            <w:gridSpan w:val="2"/>
            <w:shd w:val="clear" w:color="auto" w:fill="auto"/>
          </w:tcPr>
          <w:p w14:paraId="39681A4E">
            <w:pPr>
              <w:keepNext w:val="0"/>
              <w:keepLines w:val="0"/>
              <w:pageBreakBefore w:val="0"/>
              <w:widowControl w:val="0"/>
              <w:kinsoku w:val="0"/>
              <w:wordWrap/>
              <w:overflowPunct/>
              <w:topLinePunct w:val="0"/>
              <w:autoSpaceDE w:val="0"/>
              <w:autoSpaceDN w:val="0"/>
              <w:bidi w:val="0"/>
              <w:adjustRightInd w:val="0"/>
              <w:snapToGrid w:val="0"/>
              <w:spacing w:line="400" w:lineRule="exact"/>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7" w:type="dxa"/>
            <w:gridSpan w:val="2"/>
            <w:shd w:val="clear" w:color="auto" w:fill="auto"/>
          </w:tcPr>
          <w:p w14:paraId="5DD3809A">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683D0F7E">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14535C9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7D636DD3">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0DA6ED62">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7F8E4A1A">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75055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2"/>
            <w:shd w:val="clear" w:color="auto" w:fill="auto"/>
          </w:tcPr>
          <w:p w14:paraId="0C1D6923">
            <w:pPr>
              <w:keepNext w:val="0"/>
              <w:keepLines w:val="0"/>
              <w:pageBreakBefore w:val="0"/>
              <w:widowControl w:val="0"/>
              <w:kinsoku w:val="0"/>
              <w:wordWrap/>
              <w:overflowPunct/>
              <w:topLinePunct w:val="0"/>
              <w:autoSpaceDE w:val="0"/>
              <w:autoSpaceDN w:val="0"/>
              <w:bidi w:val="0"/>
              <w:adjustRightInd w:val="0"/>
              <w:snapToGrid w:val="0"/>
              <w:spacing w:line="400" w:lineRule="exact"/>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7" w:type="dxa"/>
            <w:gridSpan w:val="2"/>
            <w:shd w:val="clear" w:color="auto" w:fill="auto"/>
          </w:tcPr>
          <w:p w14:paraId="54902EF1">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79653D4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2FE0117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5390620D">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02C9905F">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0D5574A4">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r w14:paraId="79060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29" w:type="dxa"/>
            <w:gridSpan w:val="2"/>
            <w:shd w:val="clear" w:color="auto" w:fill="auto"/>
          </w:tcPr>
          <w:p w14:paraId="2576BCD9">
            <w:pPr>
              <w:keepNext w:val="0"/>
              <w:keepLines w:val="0"/>
              <w:pageBreakBefore w:val="0"/>
              <w:widowControl w:val="0"/>
              <w:kinsoku w:val="0"/>
              <w:wordWrap/>
              <w:overflowPunct/>
              <w:topLinePunct w:val="0"/>
              <w:autoSpaceDE w:val="0"/>
              <w:autoSpaceDN w:val="0"/>
              <w:bidi w:val="0"/>
              <w:adjustRightInd w:val="0"/>
              <w:snapToGrid w:val="0"/>
              <w:spacing w:line="400" w:lineRule="exact"/>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7" w:type="dxa"/>
            <w:gridSpan w:val="2"/>
            <w:shd w:val="clear" w:color="auto" w:fill="auto"/>
          </w:tcPr>
          <w:p w14:paraId="2534701B">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978" w:type="dxa"/>
            <w:gridSpan w:val="3"/>
            <w:shd w:val="clear" w:color="auto" w:fill="auto"/>
          </w:tcPr>
          <w:p w14:paraId="43F7372D">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329" w:type="dxa"/>
            <w:gridSpan w:val="2"/>
            <w:shd w:val="clear" w:color="auto" w:fill="auto"/>
          </w:tcPr>
          <w:p w14:paraId="02E1CE8F">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633" w:type="dxa"/>
            <w:gridSpan w:val="3"/>
            <w:shd w:val="clear" w:color="auto" w:fill="auto"/>
          </w:tcPr>
          <w:p w14:paraId="15EB86F8">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1482" w:type="dxa"/>
            <w:gridSpan w:val="2"/>
            <w:shd w:val="clear" w:color="auto" w:fill="auto"/>
          </w:tcPr>
          <w:p w14:paraId="6A205AA6">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c>
          <w:tcPr>
            <w:tcW w:w="25" w:type="dxa"/>
            <w:tcBorders>
              <w:top w:val="nil"/>
              <w:bottom w:val="nil"/>
              <w:right w:val="nil"/>
            </w:tcBorders>
            <w:shd w:val="clear" w:color="auto" w:fill="auto"/>
          </w:tcPr>
          <w:p w14:paraId="6B9C3EB5">
            <w:pPr>
              <w:keepNext w:val="0"/>
              <w:keepLines w:val="0"/>
              <w:pageBreakBefore w:val="0"/>
              <w:widowControl w:val="0"/>
              <w:wordWrap/>
              <w:overflowPunct/>
              <w:topLinePunct w:val="0"/>
              <w:bidi w:val="0"/>
              <w:spacing w:line="400" w:lineRule="exact"/>
              <w:rPr>
                <w:rFonts w:ascii="宋体" w:hAnsi="宋体" w:cs="宋体"/>
                <w:color w:val="auto"/>
                <w:sz w:val="24"/>
                <w:highlight w:val="none"/>
              </w:rPr>
            </w:pPr>
          </w:p>
        </w:tc>
      </w:tr>
    </w:tbl>
    <w:p w14:paraId="57520777">
      <w:pPr>
        <w:keepNext w:val="0"/>
        <w:keepLines w:val="0"/>
        <w:pageBreakBefore w:val="0"/>
        <w:widowControl w:val="0"/>
        <w:wordWrap/>
        <w:overflowPunct/>
        <w:topLinePunct w:val="0"/>
        <w:bidi w:val="0"/>
        <w:spacing w:line="400" w:lineRule="exact"/>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5DE1572D">
      <w:pPr>
        <w:keepNext w:val="0"/>
        <w:keepLines w:val="0"/>
        <w:pageBreakBefore w:val="0"/>
        <w:widowControl w:val="0"/>
        <w:wordWrap/>
        <w:overflowPunct/>
        <w:topLinePunct w:val="0"/>
        <w:bidi w:val="0"/>
        <w:spacing w:line="400" w:lineRule="exact"/>
        <w:ind w:left="818"/>
        <w:rPr>
          <w:rFonts w:ascii="宋体" w:hAnsi="宋体" w:cs="宋体"/>
          <w:color w:val="auto"/>
          <w:sz w:val="24"/>
          <w:highlight w:val="none"/>
        </w:rPr>
      </w:pPr>
      <w:r>
        <w:rPr>
          <w:rFonts w:hint="eastAsia" w:ascii="宋体" w:hAnsi="宋体" w:cs="宋体"/>
          <w:color w:val="auto"/>
          <w:spacing w:val="-3"/>
          <w:sz w:val="24"/>
          <w:highlight w:val="none"/>
        </w:rPr>
        <w:t>1.项目数可以根据需要增加。</w:t>
      </w:r>
    </w:p>
    <w:p w14:paraId="173DC6A3">
      <w:pPr>
        <w:keepNext w:val="0"/>
        <w:keepLines w:val="0"/>
        <w:pageBreakBefore w:val="0"/>
        <w:widowControl w:val="0"/>
        <w:wordWrap/>
        <w:overflowPunct/>
        <w:topLinePunct w:val="0"/>
        <w:bidi w:val="0"/>
        <w:spacing w:line="400" w:lineRule="exact"/>
        <w:ind w:left="805"/>
        <w:rPr>
          <w:rFonts w:ascii="宋体" w:hAnsi="宋体" w:cs="宋体"/>
          <w:color w:val="auto"/>
          <w:sz w:val="24"/>
          <w:highlight w:val="none"/>
        </w:rPr>
      </w:pPr>
      <w:r>
        <w:rPr>
          <w:rFonts w:hint="eastAsia" w:ascii="宋体" w:hAnsi="宋体" w:cs="宋体"/>
          <w:color w:val="auto"/>
          <w:spacing w:val="-3"/>
          <w:sz w:val="24"/>
          <w:highlight w:val="none"/>
        </w:rPr>
        <w:t>2.本表后附项目技术负责人（项目总工）</w:t>
      </w:r>
      <w:r>
        <w:rPr>
          <w:rFonts w:hint="eastAsia" w:ascii="宋体" w:hAnsi="宋体" w:cs="宋体"/>
          <w:color w:val="auto"/>
          <w:spacing w:val="-36"/>
          <w:sz w:val="24"/>
          <w:highlight w:val="none"/>
        </w:rPr>
        <w:t xml:space="preserve"> </w:t>
      </w:r>
      <w:r>
        <w:rPr>
          <w:rFonts w:hint="eastAsia" w:ascii="宋体" w:hAnsi="宋体" w:cs="宋体"/>
          <w:color w:val="auto"/>
          <w:spacing w:val="-3"/>
          <w:sz w:val="24"/>
          <w:highlight w:val="none"/>
        </w:rPr>
        <w:t>的学历证、本表所列证书复</w:t>
      </w:r>
      <w:r>
        <w:rPr>
          <w:rFonts w:hint="eastAsia" w:ascii="宋体" w:hAnsi="宋体" w:cs="宋体"/>
          <w:color w:val="auto"/>
          <w:spacing w:val="-4"/>
          <w:sz w:val="24"/>
          <w:highlight w:val="none"/>
        </w:rPr>
        <w:t>印件并加盖供应商公章。</w:t>
      </w:r>
    </w:p>
    <w:p w14:paraId="6A73FDDD">
      <w:pPr>
        <w:spacing w:line="360" w:lineRule="auto"/>
        <w:rPr>
          <w:rFonts w:ascii="宋体" w:hAnsi="宋体"/>
          <w:color w:val="auto"/>
          <w:highlight w:val="none"/>
        </w:rPr>
      </w:pPr>
      <w:r>
        <w:rPr>
          <w:rFonts w:hint="eastAsia" w:ascii="宋体" w:hAnsi="宋体"/>
          <w:color w:val="auto"/>
          <w:sz w:val="24"/>
          <w:highlight w:val="none"/>
        </w:rPr>
        <w:br w:type="page"/>
      </w:r>
    </w:p>
    <w:p w14:paraId="59E1EA6A">
      <w:pPr>
        <w:spacing w:line="360" w:lineRule="auto"/>
        <w:ind w:left="2739"/>
        <w:rPr>
          <w:rFonts w:ascii="宋体" w:hAnsi="宋体" w:cs="宋体"/>
          <w:color w:val="auto"/>
          <w:sz w:val="31"/>
          <w:szCs w:val="31"/>
          <w:highlight w:val="none"/>
        </w:rPr>
      </w:pPr>
      <w:bookmarkStart w:id="33" w:name="_Toc28941"/>
      <w:bookmarkStart w:id="34" w:name="_Toc4741"/>
      <w:r>
        <w:rPr>
          <w:rFonts w:hint="eastAsia" w:ascii="宋体" w:hAnsi="宋体" w:cs="宋体"/>
          <w:color w:val="auto"/>
          <w:spacing w:val="10"/>
          <w:sz w:val="31"/>
          <w:szCs w:val="31"/>
          <w:highlight w:val="none"/>
        </w:rPr>
        <w:t>专职安全生产管理人员简历表</w:t>
      </w:r>
      <w:bookmarkEnd w:id="33"/>
      <w:bookmarkEnd w:id="34"/>
    </w:p>
    <w:p w14:paraId="37650A60">
      <w:pPr>
        <w:spacing w:line="360" w:lineRule="auto"/>
        <w:rPr>
          <w:rFonts w:ascii="宋体" w:hAnsi="宋体" w:cs="宋体"/>
          <w:color w:val="auto"/>
          <w:highlight w:val="none"/>
        </w:rPr>
      </w:pPr>
    </w:p>
    <w:tbl>
      <w:tblPr>
        <w:tblStyle w:val="40"/>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9"/>
        <w:gridCol w:w="429"/>
        <w:gridCol w:w="843"/>
        <w:gridCol w:w="704"/>
        <w:gridCol w:w="520"/>
        <w:gridCol w:w="1417"/>
        <w:gridCol w:w="1370"/>
        <w:gridCol w:w="49"/>
        <w:gridCol w:w="459"/>
        <w:gridCol w:w="1128"/>
        <w:gridCol w:w="45"/>
        <w:gridCol w:w="1437"/>
        <w:gridCol w:w="23"/>
      </w:tblGrid>
      <w:tr w14:paraId="13496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00" w:type="dxa"/>
            <w:shd w:val="clear" w:color="auto" w:fill="auto"/>
          </w:tcPr>
          <w:p w14:paraId="65AA62DA">
            <w:pPr>
              <w:kinsoku w:val="0"/>
              <w:autoSpaceDE w:val="0"/>
              <w:autoSpaceDN w:val="0"/>
              <w:adjustRightInd w:val="0"/>
              <w:snapToGrid w:val="0"/>
              <w:spacing w:line="360" w:lineRule="auto"/>
              <w:ind w:left="38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498" w:type="dxa"/>
            <w:gridSpan w:val="4"/>
            <w:shd w:val="clear" w:color="auto" w:fill="auto"/>
          </w:tcPr>
          <w:p w14:paraId="35FAFE3E">
            <w:pPr>
              <w:spacing w:line="360" w:lineRule="auto"/>
              <w:rPr>
                <w:rFonts w:ascii="宋体" w:hAnsi="宋体" w:cs="宋体"/>
                <w:color w:val="auto"/>
                <w:sz w:val="24"/>
                <w:highlight w:val="none"/>
              </w:rPr>
            </w:pPr>
          </w:p>
        </w:tc>
        <w:tc>
          <w:tcPr>
            <w:tcW w:w="1417" w:type="dxa"/>
            <w:shd w:val="clear" w:color="auto" w:fill="auto"/>
          </w:tcPr>
          <w:p w14:paraId="767F6EF1">
            <w:pPr>
              <w:kinsoku w:val="0"/>
              <w:autoSpaceDE w:val="0"/>
              <w:autoSpaceDN w:val="0"/>
              <w:adjustRightInd w:val="0"/>
              <w:snapToGrid w:val="0"/>
              <w:spacing w:line="360" w:lineRule="auto"/>
              <w:ind w:left="73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878" w:type="dxa"/>
            <w:gridSpan w:val="3"/>
            <w:shd w:val="clear" w:color="auto" w:fill="auto"/>
          </w:tcPr>
          <w:p w14:paraId="0F35D48C">
            <w:pPr>
              <w:spacing w:line="360" w:lineRule="auto"/>
              <w:rPr>
                <w:rFonts w:ascii="宋体" w:hAnsi="宋体" w:cs="宋体"/>
                <w:color w:val="auto"/>
                <w:sz w:val="24"/>
                <w:highlight w:val="none"/>
              </w:rPr>
            </w:pPr>
          </w:p>
        </w:tc>
        <w:tc>
          <w:tcPr>
            <w:tcW w:w="1128" w:type="dxa"/>
            <w:shd w:val="clear" w:color="auto" w:fill="auto"/>
          </w:tcPr>
          <w:p w14:paraId="46587876">
            <w:pPr>
              <w:kinsoku w:val="0"/>
              <w:autoSpaceDE w:val="0"/>
              <w:autoSpaceDN w:val="0"/>
              <w:adjustRightInd w:val="0"/>
              <w:snapToGrid w:val="0"/>
              <w:spacing w:line="360" w:lineRule="auto"/>
              <w:ind w:left="33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2" w:type="dxa"/>
            <w:gridSpan w:val="3"/>
            <w:shd w:val="clear" w:color="auto" w:fill="auto"/>
          </w:tcPr>
          <w:p w14:paraId="37B88D0F">
            <w:pPr>
              <w:spacing w:line="360" w:lineRule="auto"/>
              <w:rPr>
                <w:rFonts w:ascii="宋体" w:hAnsi="宋体" w:cs="宋体"/>
                <w:color w:val="auto"/>
                <w:sz w:val="24"/>
                <w:highlight w:val="none"/>
              </w:rPr>
            </w:pPr>
          </w:p>
        </w:tc>
      </w:tr>
      <w:tr w14:paraId="36E36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5DEE6FF7">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498" w:type="dxa"/>
            <w:gridSpan w:val="4"/>
            <w:shd w:val="clear" w:color="auto" w:fill="auto"/>
          </w:tcPr>
          <w:p w14:paraId="224D33BF">
            <w:pPr>
              <w:kinsoku w:val="0"/>
              <w:autoSpaceDE w:val="0"/>
              <w:autoSpaceDN w:val="0"/>
              <w:adjustRightInd w:val="0"/>
              <w:snapToGrid w:val="0"/>
              <w:spacing w:line="360" w:lineRule="auto"/>
              <w:ind w:left="9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专职安全生产管理人员</w:t>
            </w:r>
          </w:p>
        </w:tc>
        <w:tc>
          <w:tcPr>
            <w:tcW w:w="1417" w:type="dxa"/>
            <w:shd w:val="clear" w:color="auto" w:fill="auto"/>
          </w:tcPr>
          <w:p w14:paraId="4D5B8675">
            <w:pPr>
              <w:kinsoku w:val="0"/>
              <w:autoSpaceDE w:val="0"/>
              <w:autoSpaceDN w:val="0"/>
              <w:adjustRightInd w:val="0"/>
              <w:snapToGrid w:val="0"/>
              <w:spacing w:line="360" w:lineRule="auto"/>
              <w:ind w:left="73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878" w:type="dxa"/>
            <w:gridSpan w:val="3"/>
            <w:shd w:val="clear" w:color="auto" w:fill="auto"/>
          </w:tcPr>
          <w:p w14:paraId="10A99BB2">
            <w:pPr>
              <w:spacing w:line="360" w:lineRule="auto"/>
              <w:rPr>
                <w:rFonts w:ascii="宋体" w:hAnsi="宋体" w:cs="宋体"/>
                <w:color w:val="auto"/>
                <w:sz w:val="24"/>
                <w:highlight w:val="none"/>
              </w:rPr>
            </w:pPr>
          </w:p>
        </w:tc>
        <w:tc>
          <w:tcPr>
            <w:tcW w:w="1128" w:type="dxa"/>
            <w:shd w:val="clear" w:color="auto" w:fill="auto"/>
          </w:tcPr>
          <w:p w14:paraId="6A21C055">
            <w:pPr>
              <w:kinsoku w:val="0"/>
              <w:autoSpaceDE w:val="0"/>
              <w:autoSpaceDN w:val="0"/>
              <w:adjustRightInd w:val="0"/>
              <w:snapToGrid w:val="0"/>
              <w:spacing w:line="360" w:lineRule="auto"/>
              <w:ind w:left="3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2" w:type="dxa"/>
            <w:gridSpan w:val="3"/>
            <w:shd w:val="clear" w:color="auto" w:fill="auto"/>
          </w:tcPr>
          <w:p w14:paraId="6FF46684">
            <w:pPr>
              <w:spacing w:line="360" w:lineRule="auto"/>
              <w:rPr>
                <w:rFonts w:ascii="宋体" w:hAnsi="宋体" w:cs="宋体"/>
                <w:color w:val="auto"/>
                <w:sz w:val="24"/>
                <w:highlight w:val="none"/>
              </w:rPr>
            </w:pPr>
          </w:p>
        </w:tc>
      </w:tr>
      <w:tr w14:paraId="6352F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4E454124">
            <w:pPr>
              <w:kinsoku w:val="0"/>
              <w:autoSpaceDE w:val="0"/>
              <w:autoSpaceDN w:val="0"/>
              <w:adjustRightInd w:val="0"/>
              <w:snapToGrid w:val="0"/>
              <w:spacing w:line="360" w:lineRule="auto"/>
              <w:ind w:left="391" w:right="189" w:hanging="21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498" w:type="dxa"/>
            <w:gridSpan w:val="4"/>
            <w:shd w:val="clear" w:color="auto" w:fill="auto"/>
          </w:tcPr>
          <w:p w14:paraId="696B6A33">
            <w:pPr>
              <w:spacing w:line="360" w:lineRule="auto"/>
              <w:rPr>
                <w:rFonts w:ascii="宋体" w:hAnsi="宋体" w:cs="宋体"/>
                <w:color w:val="auto"/>
                <w:sz w:val="24"/>
                <w:highlight w:val="none"/>
              </w:rPr>
            </w:pPr>
          </w:p>
        </w:tc>
        <w:tc>
          <w:tcPr>
            <w:tcW w:w="1417" w:type="dxa"/>
            <w:shd w:val="clear" w:color="auto" w:fill="auto"/>
          </w:tcPr>
          <w:p w14:paraId="7E5EE817">
            <w:pPr>
              <w:kinsoku w:val="0"/>
              <w:autoSpaceDE w:val="0"/>
              <w:autoSpaceDN w:val="0"/>
              <w:adjustRightInd w:val="0"/>
              <w:snapToGrid w:val="0"/>
              <w:spacing w:line="360" w:lineRule="auto"/>
              <w:ind w:left="31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878" w:type="dxa"/>
            <w:gridSpan w:val="3"/>
            <w:shd w:val="clear" w:color="auto" w:fill="auto"/>
          </w:tcPr>
          <w:p w14:paraId="123B0ED4">
            <w:pPr>
              <w:spacing w:line="360" w:lineRule="auto"/>
              <w:rPr>
                <w:rFonts w:ascii="宋体" w:hAnsi="宋体" w:cs="宋体"/>
                <w:color w:val="auto"/>
                <w:sz w:val="24"/>
                <w:highlight w:val="none"/>
              </w:rPr>
            </w:pPr>
          </w:p>
        </w:tc>
        <w:tc>
          <w:tcPr>
            <w:tcW w:w="1128" w:type="dxa"/>
            <w:shd w:val="clear" w:color="auto" w:fill="auto"/>
          </w:tcPr>
          <w:p w14:paraId="113FD6F1">
            <w:pPr>
              <w:kinsoku w:val="0"/>
              <w:autoSpaceDE w:val="0"/>
              <w:autoSpaceDN w:val="0"/>
              <w:adjustRightInd w:val="0"/>
              <w:snapToGrid w:val="0"/>
              <w:spacing w:line="360" w:lineRule="auto"/>
              <w:ind w:left="13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2" w:type="dxa"/>
            <w:gridSpan w:val="3"/>
            <w:shd w:val="clear" w:color="auto" w:fill="auto"/>
          </w:tcPr>
          <w:p w14:paraId="769A2730">
            <w:pPr>
              <w:spacing w:line="360" w:lineRule="auto"/>
              <w:rPr>
                <w:rFonts w:ascii="宋体" w:hAnsi="宋体" w:cs="宋体"/>
                <w:color w:val="auto"/>
                <w:sz w:val="24"/>
                <w:highlight w:val="none"/>
              </w:rPr>
            </w:pPr>
          </w:p>
        </w:tc>
      </w:tr>
      <w:tr w14:paraId="6376C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3CC36E76">
            <w:pPr>
              <w:kinsoku w:val="0"/>
              <w:autoSpaceDE w:val="0"/>
              <w:autoSpaceDN w:val="0"/>
              <w:adjustRightInd w:val="0"/>
              <w:snapToGrid w:val="0"/>
              <w:spacing w:line="360" w:lineRule="auto"/>
              <w:ind w:left="421" w:right="151" w:hanging="2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年限</w:t>
            </w:r>
          </w:p>
        </w:tc>
        <w:tc>
          <w:tcPr>
            <w:tcW w:w="2498" w:type="dxa"/>
            <w:gridSpan w:val="4"/>
            <w:shd w:val="clear" w:color="auto" w:fill="auto"/>
          </w:tcPr>
          <w:p w14:paraId="18C68C69">
            <w:pPr>
              <w:spacing w:line="360" w:lineRule="auto"/>
              <w:rPr>
                <w:rFonts w:ascii="宋体" w:hAnsi="宋体" w:cs="宋体"/>
                <w:color w:val="auto"/>
                <w:sz w:val="24"/>
                <w:highlight w:val="none"/>
              </w:rPr>
            </w:pPr>
          </w:p>
        </w:tc>
        <w:tc>
          <w:tcPr>
            <w:tcW w:w="1417" w:type="dxa"/>
            <w:shd w:val="clear" w:color="auto" w:fill="auto"/>
          </w:tcPr>
          <w:p w14:paraId="5E7C1501">
            <w:pPr>
              <w:kinsoku w:val="0"/>
              <w:autoSpaceDE w:val="0"/>
              <w:autoSpaceDN w:val="0"/>
              <w:adjustRightInd w:val="0"/>
              <w:snapToGrid w:val="0"/>
              <w:spacing w:line="360" w:lineRule="auto"/>
              <w:ind w:left="544" w:right="179" w:hanging="30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w:t>
            </w:r>
            <w:r>
              <w:rPr>
                <w:rFonts w:hint="eastAsia" w:ascii="宋体" w:hAnsi="宋体" w:cs="宋体"/>
                <w:snapToGrid w:val="0"/>
                <w:color w:val="auto"/>
                <w:kern w:val="0"/>
                <w:sz w:val="24"/>
                <w:highlight w:val="none"/>
                <w:lang w:eastAsia="en-US"/>
              </w:rPr>
              <w:t xml:space="preserve"> 码</w:t>
            </w:r>
          </w:p>
        </w:tc>
        <w:tc>
          <w:tcPr>
            <w:tcW w:w="4508" w:type="dxa"/>
            <w:gridSpan w:val="7"/>
            <w:shd w:val="clear" w:color="auto" w:fill="auto"/>
          </w:tcPr>
          <w:p w14:paraId="67DBFAE6">
            <w:pPr>
              <w:spacing w:line="360" w:lineRule="auto"/>
              <w:rPr>
                <w:rFonts w:ascii="宋体" w:hAnsi="宋体" w:cs="宋体"/>
                <w:color w:val="auto"/>
                <w:sz w:val="24"/>
                <w:highlight w:val="none"/>
              </w:rPr>
            </w:pPr>
          </w:p>
        </w:tc>
      </w:tr>
      <w:tr w14:paraId="7FD0B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2C0A527B">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tcPr>
          <w:p w14:paraId="41C78123">
            <w:pPr>
              <w:kinsoku w:val="0"/>
              <w:autoSpaceDE w:val="0"/>
              <w:autoSpaceDN w:val="0"/>
              <w:adjustRightInd w:val="0"/>
              <w:snapToGrid w:val="0"/>
              <w:spacing w:line="360" w:lineRule="auto"/>
              <w:ind w:left="26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4" w:type="dxa"/>
            <w:gridSpan w:val="2"/>
            <w:shd w:val="clear" w:color="auto" w:fill="auto"/>
          </w:tcPr>
          <w:p w14:paraId="3A3C431D">
            <w:pPr>
              <w:kinsoku w:val="0"/>
              <w:autoSpaceDE w:val="0"/>
              <w:autoSpaceDN w:val="0"/>
              <w:adjustRightInd w:val="0"/>
              <w:snapToGrid w:val="0"/>
              <w:spacing w:line="360" w:lineRule="auto"/>
              <w:ind w:left="45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7" w:type="dxa"/>
            <w:shd w:val="clear" w:color="auto" w:fill="auto"/>
          </w:tcPr>
          <w:p w14:paraId="282FF7AE">
            <w:pPr>
              <w:kinsoku w:val="0"/>
              <w:autoSpaceDE w:val="0"/>
              <w:autoSpaceDN w:val="0"/>
              <w:adjustRightInd w:val="0"/>
              <w:snapToGrid w:val="0"/>
              <w:spacing w:line="360" w:lineRule="auto"/>
              <w:ind w:left="33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9" w:type="dxa"/>
            <w:gridSpan w:val="2"/>
            <w:shd w:val="clear" w:color="auto" w:fill="auto"/>
          </w:tcPr>
          <w:p w14:paraId="312A9079">
            <w:pPr>
              <w:kinsoku w:val="0"/>
              <w:autoSpaceDE w:val="0"/>
              <w:autoSpaceDN w:val="0"/>
              <w:adjustRightInd w:val="0"/>
              <w:snapToGrid w:val="0"/>
              <w:spacing w:line="360" w:lineRule="auto"/>
              <w:ind w:left="33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tcPr>
          <w:p w14:paraId="567526B2">
            <w:pPr>
              <w:kinsoku w:val="0"/>
              <w:autoSpaceDE w:val="0"/>
              <w:autoSpaceDN w:val="0"/>
              <w:adjustRightInd w:val="0"/>
              <w:snapToGrid w:val="0"/>
              <w:spacing w:line="360" w:lineRule="auto"/>
              <w:ind w:left="4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57" w:type="dxa"/>
            <w:gridSpan w:val="2"/>
            <w:shd w:val="clear" w:color="auto" w:fill="auto"/>
          </w:tcPr>
          <w:p w14:paraId="0E0135C4">
            <w:pPr>
              <w:kinsoku w:val="0"/>
              <w:autoSpaceDE w:val="0"/>
              <w:autoSpaceDN w:val="0"/>
              <w:adjustRightInd w:val="0"/>
              <w:snapToGrid w:val="0"/>
              <w:spacing w:line="360" w:lineRule="auto"/>
              <w:ind w:left="22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75D0A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1200" w:type="dxa"/>
            <w:shd w:val="clear" w:color="auto" w:fill="auto"/>
          </w:tcPr>
          <w:p w14:paraId="27C06B9D">
            <w:pPr>
              <w:kinsoku w:val="0"/>
              <w:autoSpaceDE w:val="0"/>
              <w:autoSpaceDN w:val="0"/>
              <w:adjustRightInd w:val="0"/>
              <w:snapToGrid w:val="0"/>
              <w:spacing w:line="360" w:lineRule="auto"/>
              <w:ind w:left="21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716AC0D5">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2123E8EC">
            <w:pPr>
              <w:kinsoku w:val="0"/>
              <w:autoSpaceDE w:val="0"/>
              <w:autoSpaceDN w:val="0"/>
              <w:adjustRightInd w:val="0"/>
              <w:snapToGrid w:val="0"/>
              <w:spacing w:line="360" w:lineRule="auto"/>
              <w:ind w:left="42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tcPr>
          <w:p w14:paraId="51235316">
            <w:pPr>
              <w:spacing w:line="360" w:lineRule="auto"/>
              <w:rPr>
                <w:rFonts w:ascii="宋体" w:hAnsi="宋体" w:cs="宋体"/>
                <w:color w:val="auto"/>
                <w:sz w:val="24"/>
                <w:highlight w:val="none"/>
              </w:rPr>
            </w:pPr>
          </w:p>
        </w:tc>
        <w:tc>
          <w:tcPr>
            <w:tcW w:w="1224" w:type="dxa"/>
            <w:gridSpan w:val="2"/>
            <w:shd w:val="clear" w:color="auto" w:fill="auto"/>
          </w:tcPr>
          <w:p w14:paraId="1DB4B3CB">
            <w:pPr>
              <w:spacing w:line="360" w:lineRule="auto"/>
              <w:rPr>
                <w:rFonts w:ascii="宋体" w:hAnsi="宋体" w:cs="宋体"/>
                <w:color w:val="auto"/>
                <w:sz w:val="24"/>
                <w:highlight w:val="none"/>
              </w:rPr>
            </w:pPr>
          </w:p>
          <w:p w14:paraId="22A89E1E">
            <w:pPr>
              <w:kinsoku w:val="0"/>
              <w:autoSpaceDE w:val="0"/>
              <w:autoSpaceDN w:val="0"/>
              <w:adjustRightInd w:val="0"/>
              <w:snapToGrid w:val="0"/>
              <w:spacing w:line="360" w:lineRule="auto"/>
              <w:ind w:left="45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C</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类</w:t>
            </w:r>
          </w:p>
        </w:tc>
        <w:tc>
          <w:tcPr>
            <w:tcW w:w="1417" w:type="dxa"/>
            <w:shd w:val="clear" w:color="auto" w:fill="auto"/>
          </w:tcPr>
          <w:p w14:paraId="05039FB1">
            <w:pPr>
              <w:spacing w:line="360" w:lineRule="auto"/>
              <w:rPr>
                <w:rFonts w:ascii="宋体" w:hAnsi="宋体" w:cs="宋体"/>
                <w:color w:val="auto"/>
                <w:sz w:val="24"/>
                <w:highlight w:val="none"/>
              </w:rPr>
            </w:pPr>
          </w:p>
        </w:tc>
        <w:tc>
          <w:tcPr>
            <w:tcW w:w="1419" w:type="dxa"/>
            <w:gridSpan w:val="2"/>
            <w:shd w:val="clear" w:color="auto" w:fill="auto"/>
          </w:tcPr>
          <w:p w14:paraId="238B2A05">
            <w:pPr>
              <w:spacing w:line="360" w:lineRule="auto"/>
              <w:rPr>
                <w:rFonts w:ascii="宋体" w:hAnsi="宋体" w:cs="宋体"/>
                <w:color w:val="auto"/>
                <w:sz w:val="24"/>
                <w:highlight w:val="none"/>
              </w:rPr>
            </w:pPr>
          </w:p>
        </w:tc>
        <w:tc>
          <w:tcPr>
            <w:tcW w:w="1632" w:type="dxa"/>
            <w:gridSpan w:val="3"/>
            <w:shd w:val="clear" w:color="auto" w:fill="auto"/>
          </w:tcPr>
          <w:p w14:paraId="1EABC3C1">
            <w:pPr>
              <w:spacing w:line="360" w:lineRule="auto"/>
              <w:rPr>
                <w:rFonts w:ascii="宋体" w:hAnsi="宋体" w:cs="宋体"/>
                <w:color w:val="auto"/>
                <w:sz w:val="24"/>
                <w:highlight w:val="none"/>
              </w:rPr>
            </w:pPr>
          </w:p>
        </w:tc>
        <w:tc>
          <w:tcPr>
            <w:tcW w:w="1457" w:type="dxa"/>
            <w:gridSpan w:val="2"/>
            <w:shd w:val="clear" w:color="auto" w:fill="auto"/>
          </w:tcPr>
          <w:p w14:paraId="4F5A0871">
            <w:pPr>
              <w:spacing w:line="360" w:lineRule="auto"/>
              <w:rPr>
                <w:rFonts w:ascii="宋体" w:hAnsi="宋体" w:cs="宋体"/>
                <w:color w:val="auto"/>
                <w:sz w:val="24"/>
                <w:highlight w:val="none"/>
              </w:rPr>
            </w:pPr>
          </w:p>
        </w:tc>
      </w:tr>
      <w:tr w14:paraId="39509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3AD27756">
            <w:pPr>
              <w:spacing w:line="360" w:lineRule="auto"/>
              <w:rPr>
                <w:rFonts w:ascii="宋体" w:hAnsi="宋体" w:cs="宋体"/>
                <w:color w:val="auto"/>
                <w:sz w:val="24"/>
                <w:highlight w:val="none"/>
              </w:rPr>
            </w:pPr>
          </w:p>
        </w:tc>
        <w:tc>
          <w:tcPr>
            <w:tcW w:w="1274" w:type="dxa"/>
            <w:gridSpan w:val="2"/>
            <w:shd w:val="clear" w:color="auto" w:fill="auto"/>
          </w:tcPr>
          <w:p w14:paraId="15D58D61">
            <w:pPr>
              <w:spacing w:line="360" w:lineRule="auto"/>
              <w:rPr>
                <w:rFonts w:ascii="宋体" w:hAnsi="宋体" w:cs="宋体"/>
                <w:color w:val="auto"/>
                <w:sz w:val="24"/>
                <w:highlight w:val="none"/>
              </w:rPr>
            </w:pPr>
          </w:p>
        </w:tc>
        <w:tc>
          <w:tcPr>
            <w:tcW w:w="1224" w:type="dxa"/>
            <w:gridSpan w:val="2"/>
            <w:shd w:val="clear" w:color="auto" w:fill="auto"/>
          </w:tcPr>
          <w:p w14:paraId="16E780B2">
            <w:pPr>
              <w:spacing w:line="360" w:lineRule="auto"/>
              <w:rPr>
                <w:rFonts w:ascii="宋体" w:hAnsi="宋体" w:cs="宋体"/>
                <w:color w:val="auto"/>
                <w:sz w:val="24"/>
                <w:highlight w:val="none"/>
              </w:rPr>
            </w:pPr>
          </w:p>
        </w:tc>
        <w:tc>
          <w:tcPr>
            <w:tcW w:w="1417" w:type="dxa"/>
            <w:shd w:val="clear" w:color="auto" w:fill="auto"/>
          </w:tcPr>
          <w:p w14:paraId="3D75329D">
            <w:pPr>
              <w:spacing w:line="360" w:lineRule="auto"/>
              <w:rPr>
                <w:rFonts w:ascii="宋体" w:hAnsi="宋体" w:cs="宋体"/>
                <w:color w:val="auto"/>
                <w:sz w:val="24"/>
                <w:highlight w:val="none"/>
              </w:rPr>
            </w:pPr>
          </w:p>
        </w:tc>
        <w:tc>
          <w:tcPr>
            <w:tcW w:w="1419" w:type="dxa"/>
            <w:gridSpan w:val="2"/>
            <w:shd w:val="clear" w:color="auto" w:fill="auto"/>
          </w:tcPr>
          <w:p w14:paraId="651A3063">
            <w:pPr>
              <w:spacing w:line="360" w:lineRule="auto"/>
              <w:rPr>
                <w:rFonts w:ascii="宋体" w:hAnsi="宋体" w:cs="宋体"/>
                <w:color w:val="auto"/>
                <w:sz w:val="24"/>
                <w:highlight w:val="none"/>
              </w:rPr>
            </w:pPr>
          </w:p>
        </w:tc>
        <w:tc>
          <w:tcPr>
            <w:tcW w:w="1632" w:type="dxa"/>
            <w:gridSpan w:val="3"/>
            <w:shd w:val="clear" w:color="auto" w:fill="auto"/>
          </w:tcPr>
          <w:p w14:paraId="2BBFB552">
            <w:pPr>
              <w:spacing w:line="360" w:lineRule="auto"/>
              <w:rPr>
                <w:rFonts w:ascii="宋体" w:hAnsi="宋体" w:cs="宋体"/>
                <w:color w:val="auto"/>
                <w:sz w:val="24"/>
                <w:highlight w:val="none"/>
              </w:rPr>
            </w:pPr>
          </w:p>
        </w:tc>
        <w:tc>
          <w:tcPr>
            <w:tcW w:w="1457" w:type="dxa"/>
            <w:gridSpan w:val="2"/>
            <w:shd w:val="clear" w:color="auto" w:fill="auto"/>
          </w:tcPr>
          <w:p w14:paraId="2DEDFB8D">
            <w:pPr>
              <w:spacing w:line="360" w:lineRule="auto"/>
              <w:rPr>
                <w:rFonts w:ascii="宋体" w:hAnsi="宋体" w:cs="宋体"/>
                <w:color w:val="auto"/>
                <w:sz w:val="24"/>
                <w:highlight w:val="none"/>
              </w:rPr>
            </w:pPr>
          </w:p>
        </w:tc>
      </w:tr>
      <w:tr w14:paraId="3E792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3"/>
            <w:shd w:val="clear" w:color="auto" w:fill="auto"/>
          </w:tcPr>
          <w:p w14:paraId="176D754C">
            <w:pPr>
              <w:kinsoku w:val="0"/>
              <w:autoSpaceDE w:val="0"/>
              <w:autoSpaceDN w:val="0"/>
              <w:adjustRightInd w:val="0"/>
              <w:snapToGrid w:val="0"/>
              <w:spacing w:line="36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4CAE9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0EBEBC91">
            <w:pPr>
              <w:spacing w:line="360" w:lineRule="auto"/>
              <w:rPr>
                <w:rFonts w:ascii="宋体" w:hAnsi="宋体" w:cs="宋体"/>
                <w:color w:val="auto"/>
                <w:sz w:val="24"/>
                <w:highlight w:val="none"/>
              </w:rPr>
            </w:pPr>
          </w:p>
        </w:tc>
        <w:tc>
          <w:tcPr>
            <w:tcW w:w="1548" w:type="dxa"/>
            <w:gridSpan w:val="2"/>
            <w:shd w:val="clear" w:color="auto" w:fill="auto"/>
          </w:tcPr>
          <w:p w14:paraId="3740203B">
            <w:pPr>
              <w:kinsoku w:val="0"/>
              <w:autoSpaceDE w:val="0"/>
              <w:autoSpaceDN w:val="0"/>
              <w:adjustRightInd w:val="0"/>
              <w:snapToGrid w:val="0"/>
              <w:spacing w:line="360" w:lineRule="auto"/>
              <w:ind w:left="4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37" w:type="dxa"/>
            <w:gridSpan w:val="2"/>
            <w:shd w:val="clear" w:color="auto" w:fill="auto"/>
          </w:tcPr>
          <w:p w14:paraId="612FB020">
            <w:pPr>
              <w:kinsoku w:val="0"/>
              <w:autoSpaceDE w:val="0"/>
              <w:autoSpaceDN w:val="0"/>
              <w:adjustRightInd w:val="0"/>
              <w:snapToGrid w:val="0"/>
              <w:spacing w:line="360" w:lineRule="auto"/>
              <w:ind w:left="63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70" w:type="dxa"/>
            <w:shd w:val="clear" w:color="auto" w:fill="auto"/>
          </w:tcPr>
          <w:p w14:paraId="015D484A">
            <w:pPr>
              <w:kinsoku w:val="0"/>
              <w:autoSpaceDE w:val="0"/>
              <w:autoSpaceDN w:val="0"/>
              <w:adjustRightInd w:val="0"/>
              <w:snapToGrid w:val="0"/>
              <w:spacing w:line="360" w:lineRule="auto"/>
              <w:ind w:left="45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6" w:type="dxa"/>
            <w:gridSpan w:val="3"/>
            <w:shd w:val="clear" w:color="auto" w:fill="auto"/>
          </w:tcPr>
          <w:p w14:paraId="7C7695CF">
            <w:pPr>
              <w:kinsoku w:val="0"/>
              <w:autoSpaceDE w:val="0"/>
              <w:autoSpaceDN w:val="0"/>
              <w:adjustRightInd w:val="0"/>
              <w:snapToGrid w:val="0"/>
              <w:spacing w:line="360" w:lineRule="auto"/>
              <w:ind w:left="53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tcPr>
          <w:p w14:paraId="2B08AB67">
            <w:pPr>
              <w:kinsoku w:val="0"/>
              <w:autoSpaceDE w:val="0"/>
              <w:autoSpaceDN w:val="0"/>
              <w:adjustRightInd w:val="0"/>
              <w:snapToGrid w:val="0"/>
              <w:spacing w:line="360" w:lineRule="auto"/>
              <w:ind w:left="55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0" w:type="dxa"/>
            <w:tcBorders>
              <w:top w:val="single" w:color="FFFFFF" w:sz="2" w:space="0"/>
              <w:bottom w:val="nil"/>
              <w:right w:val="nil"/>
            </w:tcBorders>
            <w:shd w:val="clear" w:color="auto" w:fill="auto"/>
          </w:tcPr>
          <w:p w14:paraId="34664B87">
            <w:pPr>
              <w:spacing w:line="360" w:lineRule="auto"/>
              <w:rPr>
                <w:rFonts w:ascii="宋体" w:hAnsi="宋体" w:cs="宋体"/>
                <w:color w:val="auto"/>
                <w:sz w:val="24"/>
                <w:highlight w:val="none"/>
              </w:rPr>
            </w:pPr>
          </w:p>
        </w:tc>
      </w:tr>
      <w:tr w14:paraId="15735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3EE89DF1">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tcPr>
          <w:p w14:paraId="7390E9BD">
            <w:pPr>
              <w:spacing w:line="360" w:lineRule="auto"/>
              <w:rPr>
                <w:rFonts w:ascii="宋体" w:hAnsi="宋体" w:cs="宋体"/>
                <w:color w:val="auto"/>
                <w:sz w:val="24"/>
                <w:highlight w:val="none"/>
              </w:rPr>
            </w:pPr>
          </w:p>
        </w:tc>
        <w:tc>
          <w:tcPr>
            <w:tcW w:w="1937" w:type="dxa"/>
            <w:gridSpan w:val="2"/>
            <w:shd w:val="clear" w:color="auto" w:fill="auto"/>
          </w:tcPr>
          <w:p w14:paraId="57510384">
            <w:pPr>
              <w:spacing w:line="360" w:lineRule="auto"/>
              <w:rPr>
                <w:rFonts w:ascii="宋体" w:hAnsi="宋体" w:cs="宋体"/>
                <w:color w:val="auto"/>
                <w:sz w:val="24"/>
                <w:highlight w:val="none"/>
              </w:rPr>
            </w:pPr>
          </w:p>
        </w:tc>
        <w:tc>
          <w:tcPr>
            <w:tcW w:w="1370" w:type="dxa"/>
            <w:shd w:val="clear" w:color="auto" w:fill="auto"/>
          </w:tcPr>
          <w:p w14:paraId="03D9EA99">
            <w:pPr>
              <w:spacing w:line="360" w:lineRule="auto"/>
              <w:rPr>
                <w:rFonts w:ascii="宋体" w:hAnsi="宋体" w:cs="宋体"/>
                <w:color w:val="auto"/>
                <w:sz w:val="24"/>
                <w:highlight w:val="none"/>
              </w:rPr>
            </w:pPr>
          </w:p>
        </w:tc>
        <w:tc>
          <w:tcPr>
            <w:tcW w:w="1636" w:type="dxa"/>
            <w:gridSpan w:val="3"/>
            <w:shd w:val="clear" w:color="auto" w:fill="auto"/>
          </w:tcPr>
          <w:p w14:paraId="55516336">
            <w:pPr>
              <w:spacing w:line="360" w:lineRule="auto"/>
              <w:rPr>
                <w:rFonts w:ascii="宋体" w:hAnsi="宋体" w:cs="宋体"/>
                <w:color w:val="auto"/>
                <w:sz w:val="24"/>
                <w:highlight w:val="none"/>
              </w:rPr>
            </w:pPr>
          </w:p>
        </w:tc>
        <w:tc>
          <w:tcPr>
            <w:tcW w:w="1482" w:type="dxa"/>
            <w:gridSpan w:val="2"/>
            <w:shd w:val="clear" w:color="auto" w:fill="auto"/>
          </w:tcPr>
          <w:p w14:paraId="33C53F4C">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719C9ED3">
            <w:pPr>
              <w:spacing w:line="360" w:lineRule="auto"/>
              <w:rPr>
                <w:rFonts w:ascii="宋体" w:hAnsi="宋体" w:cs="宋体"/>
                <w:color w:val="auto"/>
                <w:sz w:val="24"/>
                <w:highlight w:val="none"/>
              </w:rPr>
            </w:pPr>
          </w:p>
        </w:tc>
      </w:tr>
      <w:tr w14:paraId="35C10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7D27CFCB">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tcPr>
          <w:p w14:paraId="00B25948">
            <w:pPr>
              <w:spacing w:line="360" w:lineRule="auto"/>
              <w:rPr>
                <w:rFonts w:ascii="宋体" w:hAnsi="宋体" w:cs="宋体"/>
                <w:color w:val="auto"/>
                <w:sz w:val="24"/>
                <w:highlight w:val="none"/>
              </w:rPr>
            </w:pPr>
          </w:p>
        </w:tc>
        <w:tc>
          <w:tcPr>
            <w:tcW w:w="1937" w:type="dxa"/>
            <w:gridSpan w:val="2"/>
            <w:shd w:val="clear" w:color="auto" w:fill="auto"/>
          </w:tcPr>
          <w:p w14:paraId="09E34AFA">
            <w:pPr>
              <w:spacing w:line="360" w:lineRule="auto"/>
              <w:rPr>
                <w:rFonts w:ascii="宋体" w:hAnsi="宋体" w:cs="宋体"/>
                <w:color w:val="auto"/>
                <w:sz w:val="24"/>
                <w:highlight w:val="none"/>
              </w:rPr>
            </w:pPr>
          </w:p>
        </w:tc>
        <w:tc>
          <w:tcPr>
            <w:tcW w:w="1370" w:type="dxa"/>
            <w:shd w:val="clear" w:color="auto" w:fill="auto"/>
          </w:tcPr>
          <w:p w14:paraId="0A3ECA6E">
            <w:pPr>
              <w:spacing w:line="360" w:lineRule="auto"/>
              <w:rPr>
                <w:rFonts w:ascii="宋体" w:hAnsi="宋体" w:cs="宋体"/>
                <w:color w:val="auto"/>
                <w:sz w:val="24"/>
                <w:highlight w:val="none"/>
              </w:rPr>
            </w:pPr>
          </w:p>
        </w:tc>
        <w:tc>
          <w:tcPr>
            <w:tcW w:w="1636" w:type="dxa"/>
            <w:gridSpan w:val="3"/>
            <w:shd w:val="clear" w:color="auto" w:fill="auto"/>
          </w:tcPr>
          <w:p w14:paraId="44B3488A">
            <w:pPr>
              <w:spacing w:line="360" w:lineRule="auto"/>
              <w:rPr>
                <w:rFonts w:ascii="宋体" w:hAnsi="宋体" w:cs="宋体"/>
                <w:color w:val="auto"/>
                <w:sz w:val="24"/>
                <w:highlight w:val="none"/>
              </w:rPr>
            </w:pPr>
          </w:p>
        </w:tc>
        <w:tc>
          <w:tcPr>
            <w:tcW w:w="1482" w:type="dxa"/>
            <w:gridSpan w:val="2"/>
            <w:shd w:val="clear" w:color="auto" w:fill="auto"/>
          </w:tcPr>
          <w:p w14:paraId="19FDE118">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35CDD555">
            <w:pPr>
              <w:spacing w:line="360" w:lineRule="auto"/>
              <w:rPr>
                <w:rFonts w:ascii="宋体" w:hAnsi="宋体" w:cs="宋体"/>
                <w:color w:val="auto"/>
                <w:sz w:val="24"/>
                <w:highlight w:val="none"/>
              </w:rPr>
            </w:pPr>
          </w:p>
        </w:tc>
      </w:tr>
      <w:tr w14:paraId="27386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2D1C7A4F">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tcPr>
          <w:p w14:paraId="57A11697">
            <w:pPr>
              <w:spacing w:line="360" w:lineRule="auto"/>
              <w:rPr>
                <w:rFonts w:ascii="宋体" w:hAnsi="宋体" w:cs="宋体"/>
                <w:color w:val="auto"/>
                <w:sz w:val="24"/>
                <w:highlight w:val="none"/>
              </w:rPr>
            </w:pPr>
          </w:p>
        </w:tc>
        <w:tc>
          <w:tcPr>
            <w:tcW w:w="1937" w:type="dxa"/>
            <w:gridSpan w:val="2"/>
            <w:shd w:val="clear" w:color="auto" w:fill="auto"/>
          </w:tcPr>
          <w:p w14:paraId="05229FC0">
            <w:pPr>
              <w:spacing w:line="360" w:lineRule="auto"/>
              <w:rPr>
                <w:rFonts w:ascii="宋体" w:hAnsi="宋体" w:cs="宋体"/>
                <w:color w:val="auto"/>
                <w:sz w:val="24"/>
                <w:highlight w:val="none"/>
              </w:rPr>
            </w:pPr>
          </w:p>
        </w:tc>
        <w:tc>
          <w:tcPr>
            <w:tcW w:w="1370" w:type="dxa"/>
            <w:shd w:val="clear" w:color="auto" w:fill="auto"/>
          </w:tcPr>
          <w:p w14:paraId="2498C4FC">
            <w:pPr>
              <w:spacing w:line="360" w:lineRule="auto"/>
              <w:rPr>
                <w:rFonts w:ascii="宋体" w:hAnsi="宋体" w:cs="宋体"/>
                <w:color w:val="auto"/>
                <w:sz w:val="24"/>
                <w:highlight w:val="none"/>
              </w:rPr>
            </w:pPr>
          </w:p>
        </w:tc>
        <w:tc>
          <w:tcPr>
            <w:tcW w:w="1636" w:type="dxa"/>
            <w:gridSpan w:val="3"/>
            <w:shd w:val="clear" w:color="auto" w:fill="auto"/>
          </w:tcPr>
          <w:p w14:paraId="70A61C51">
            <w:pPr>
              <w:spacing w:line="360" w:lineRule="auto"/>
              <w:rPr>
                <w:rFonts w:ascii="宋体" w:hAnsi="宋体" w:cs="宋体"/>
                <w:color w:val="auto"/>
                <w:sz w:val="24"/>
                <w:highlight w:val="none"/>
              </w:rPr>
            </w:pPr>
          </w:p>
        </w:tc>
        <w:tc>
          <w:tcPr>
            <w:tcW w:w="1482" w:type="dxa"/>
            <w:gridSpan w:val="2"/>
            <w:shd w:val="clear" w:color="auto" w:fill="auto"/>
          </w:tcPr>
          <w:p w14:paraId="5791AE46">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29EB78F6">
            <w:pPr>
              <w:spacing w:line="360" w:lineRule="auto"/>
              <w:rPr>
                <w:rFonts w:ascii="宋体" w:hAnsi="宋体" w:cs="宋体"/>
                <w:color w:val="auto"/>
                <w:sz w:val="24"/>
                <w:highlight w:val="none"/>
              </w:rPr>
            </w:pPr>
          </w:p>
        </w:tc>
      </w:tr>
      <w:tr w14:paraId="5DA8C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46715819">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tcPr>
          <w:p w14:paraId="451FAEEB">
            <w:pPr>
              <w:spacing w:line="360" w:lineRule="auto"/>
              <w:rPr>
                <w:rFonts w:ascii="宋体" w:hAnsi="宋体" w:cs="宋体"/>
                <w:color w:val="auto"/>
                <w:sz w:val="24"/>
                <w:highlight w:val="none"/>
              </w:rPr>
            </w:pPr>
          </w:p>
        </w:tc>
        <w:tc>
          <w:tcPr>
            <w:tcW w:w="1937" w:type="dxa"/>
            <w:gridSpan w:val="2"/>
            <w:shd w:val="clear" w:color="auto" w:fill="auto"/>
          </w:tcPr>
          <w:p w14:paraId="74BB25BF">
            <w:pPr>
              <w:spacing w:line="360" w:lineRule="auto"/>
              <w:rPr>
                <w:rFonts w:ascii="宋体" w:hAnsi="宋体" w:cs="宋体"/>
                <w:color w:val="auto"/>
                <w:sz w:val="24"/>
                <w:highlight w:val="none"/>
              </w:rPr>
            </w:pPr>
          </w:p>
        </w:tc>
        <w:tc>
          <w:tcPr>
            <w:tcW w:w="1370" w:type="dxa"/>
            <w:shd w:val="clear" w:color="auto" w:fill="auto"/>
          </w:tcPr>
          <w:p w14:paraId="014D052E">
            <w:pPr>
              <w:spacing w:line="360" w:lineRule="auto"/>
              <w:rPr>
                <w:rFonts w:ascii="宋体" w:hAnsi="宋体" w:cs="宋体"/>
                <w:color w:val="auto"/>
                <w:sz w:val="24"/>
                <w:highlight w:val="none"/>
              </w:rPr>
            </w:pPr>
          </w:p>
        </w:tc>
        <w:tc>
          <w:tcPr>
            <w:tcW w:w="1636" w:type="dxa"/>
            <w:gridSpan w:val="3"/>
            <w:shd w:val="clear" w:color="auto" w:fill="auto"/>
          </w:tcPr>
          <w:p w14:paraId="5808D0A9">
            <w:pPr>
              <w:spacing w:line="360" w:lineRule="auto"/>
              <w:rPr>
                <w:rFonts w:ascii="宋体" w:hAnsi="宋体" w:cs="宋体"/>
                <w:color w:val="auto"/>
                <w:sz w:val="24"/>
                <w:highlight w:val="none"/>
              </w:rPr>
            </w:pPr>
          </w:p>
        </w:tc>
        <w:tc>
          <w:tcPr>
            <w:tcW w:w="1482" w:type="dxa"/>
            <w:gridSpan w:val="2"/>
            <w:shd w:val="clear" w:color="auto" w:fill="auto"/>
          </w:tcPr>
          <w:p w14:paraId="723F5C88">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5ECE6513">
            <w:pPr>
              <w:spacing w:line="360" w:lineRule="auto"/>
              <w:rPr>
                <w:rFonts w:ascii="宋体" w:hAnsi="宋体" w:cs="宋体"/>
                <w:color w:val="auto"/>
                <w:sz w:val="24"/>
                <w:highlight w:val="none"/>
              </w:rPr>
            </w:pPr>
          </w:p>
        </w:tc>
      </w:tr>
      <w:tr w14:paraId="50310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7E48B52A">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tcPr>
          <w:p w14:paraId="4EE908E5">
            <w:pPr>
              <w:spacing w:line="360" w:lineRule="auto"/>
              <w:rPr>
                <w:rFonts w:ascii="宋体" w:hAnsi="宋体" w:cs="宋体"/>
                <w:color w:val="auto"/>
                <w:sz w:val="24"/>
                <w:highlight w:val="none"/>
              </w:rPr>
            </w:pPr>
          </w:p>
        </w:tc>
        <w:tc>
          <w:tcPr>
            <w:tcW w:w="1937" w:type="dxa"/>
            <w:gridSpan w:val="2"/>
            <w:shd w:val="clear" w:color="auto" w:fill="auto"/>
          </w:tcPr>
          <w:p w14:paraId="536CE6E4">
            <w:pPr>
              <w:spacing w:line="360" w:lineRule="auto"/>
              <w:rPr>
                <w:rFonts w:ascii="宋体" w:hAnsi="宋体" w:cs="宋体"/>
                <w:color w:val="auto"/>
                <w:sz w:val="24"/>
                <w:highlight w:val="none"/>
              </w:rPr>
            </w:pPr>
          </w:p>
        </w:tc>
        <w:tc>
          <w:tcPr>
            <w:tcW w:w="1370" w:type="dxa"/>
            <w:shd w:val="clear" w:color="auto" w:fill="auto"/>
          </w:tcPr>
          <w:p w14:paraId="58B527FB">
            <w:pPr>
              <w:spacing w:line="360" w:lineRule="auto"/>
              <w:rPr>
                <w:rFonts w:ascii="宋体" w:hAnsi="宋体" w:cs="宋体"/>
                <w:color w:val="auto"/>
                <w:sz w:val="24"/>
                <w:highlight w:val="none"/>
              </w:rPr>
            </w:pPr>
          </w:p>
        </w:tc>
        <w:tc>
          <w:tcPr>
            <w:tcW w:w="1636" w:type="dxa"/>
            <w:gridSpan w:val="3"/>
            <w:shd w:val="clear" w:color="auto" w:fill="auto"/>
          </w:tcPr>
          <w:p w14:paraId="4B3D1082">
            <w:pPr>
              <w:spacing w:line="360" w:lineRule="auto"/>
              <w:rPr>
                <w:rFonts w:ascii="宋体" w:hAnsi="宋体" w:cs="宋体"/>
                <w:color w:val="auto"/>
                <w:sz w:val="24"/>
                <w:highlight w:val="none"/>
              </w:rPr>
            </w:pPr>
          </w:p>
        </w:tc>
        <w:tc>
          <w:tcPr>
            <w:tcW w:w="1482" w:type="dxa"/>
            <w:gridSpan w:val="2"/>
            <w:shd w:val="clear" w:color="auto" w:fill="auto"/>
          </w:tcPr>
          <w:p w14:paraId="4AEE4B82">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4B76605">
            <w:pPr>
              <w:spacing w:line="360" w:lineRule="auto"/>
              <w:rPr>
                <w:rFonts w:ascii="宋体" w:hAnsi="宋体" w:cs="宋体"/>
                <w:color w:val="auto"/>
                <w:sz w:val="24"/>
                <w:highlight w:val="none"/>
              </w:rPr>
            </w:pPr>
          </w:p>
        </w:tc>
      </w:tr>
      <w:tr w14:paraId="52EA9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27824139">
            <w:pPr>
              <w:kinsoku w:val="0"/>
              <w:autoSpaceDE w:val="0"/>
              <w:autoSpaceDN w:val="0"/>
              <w:adjustRightInd w:val="0"/>
              <w:snapToGrid w:val="0"/>
              <w:spacing w:line="36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tcPr>
          <w:p w14:paraId="104875E4">
            <w:pPr>
              <w:spacing w:line="360" w:lineRule="auto"/>
              <w:rPr>
                <w:rFonts w:ascii="宋体" w:hAnsi="宋体" w:cs="宋体"/>
                <w:color w:val="auto"/>
                <w:sz w:val="24"/>
                <w:highlight w:val="none"/>
              </w:rPr>
            </w:pPr>
          </w:p>
        </w:tc>
        <w:tc>
          <w:tcPr>
            <w:tcW w:w="1937" w:type="dxa"/>
            <w:gridSpan w:val="2"/>
            <w:shd w:val="clear" w:color="auto" w:fill="auto"/>
          </w:tcPr>
          <w:p w14:paraId="1E74ABC8">
            <w:pPr>
              <w:spacing w:line="360" w:lineRule="auto"/>
              <w:rPr>
                <w:rFonts w:ascii="宋体" w:hAnsi="宋体" w:cs="宋体"/>
                <w:color w:val="auto"/>
                <w:sz w:val="24"/>
                <w:highlight w:val="none"/>
              </w:rPr>
            </w:pPr>
          </w:p>
        </w:tc>
        <w:tc>
          <w:tcPr>
            <w:tcW w:w="1370" w:type="dxa"/>
            <w:shd w:val="clear" w:color="auto" w:fill="auto"/>
          </w:tcPr>
          <w:p w14:paraId="024E08D2">
            <w:pPr>
              <w:spacing w:line="360" w:lineRule="auto"/>
              <w:rPr>
                <w:rFonts w:ascii="宋体" w:hAnsi="宋体" w:cs="宋体"/>
                <w:color w:val="auto"/>
                <w:sz w:val="24"/>
                <w:highlight w:val="none"/>
              </w:rPr>
            </w:pPr>
          </w:p>
        </w:tc>
        <w:tc>
          <w:tcPr>
            <w:tcW w:w="1636" w:type="dxa"/>
            <w:gridSpan w:val="3"/>
            <w:shd w:val="clear" w:color="auto" w:fill="auto"/>
          </w:tcPr>
          <w:p w14:paraId="1430E552">
            <w:pPr>
              <w:spacing w:line="360" w:lineRule="auto"/>
              <w:rPr>
                <w:rFonts w:ascii="宋体" w:hAnsi="宋体" w:cs="宋体"/>
                <w:color w:val="auto"/>
                <w:sz w:val="24"/>
                <w:highlight w:val="none"/>
              </w:rPr>
            </w:pPr>
          </w:p>
        </w:tc>
        <w:tc>
          <w:tcPr>
            <w:tcW w:w="1482" w:type="dxa"/>
            <w:gridSpan w:val="2"/>
            <w:shd w:val="clear" w:color="auto" w:fill="auto"/>
          </w:tcPr>
          <w:p w14:paraId="228F3EDE">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7CD9406">
            <w:pPr>
              <w:spacing w:line="360" w:lineRule="auto"/>
              <w:rPr>
                <w:rFonts w:ascii="宋体" w:hAnsi="宋体" w:cs="宋体"/>
                <w:color w:val="auto"/>
                <w:sz w:val="24"/>
                <w:highlight w:val="none"/>
              </w:rPr>
            </w:pPr>
          </w:p>
        </w:tc>
      </w:tr>
      <w:tr w14:paraId="79C83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21E1F059">
            <w:pPr>
              <w:kinsoku w:val="0"/>
              <w:autoSpaceDE w:val="0"/>
              <w:autoSpaceDN w:val="0"/>
              <w:adjustRightInd w:val="0"/>
              <w:snapToGrid w:val="0"/>
              <w:spacing w:line="36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tcPr>
          <w:p w14:paraId="6AC70F65">
            <w:pPr>
              <w:spacing w:line="360" w:lineRule="auto"/>
              <w:rPr>
                <w:rFonts w:ascii="宋体" w:hAnsi="宋体" w:cs="宋体"/>
                <w:color w:val="auto"/>
                <w:sz w:val="24"/>
                <w:highlight w:val="none"/>
              </w:rPr>
            </w:pPr>
          </w:p>
        </w:tc>
        <w:tc>
          <w:tcPr>
            <w:tcW w:w="1937" w:type="dxa"/>
            <w:gridSpan w:val="2"/>
            <w:shd w:val="clear" w:color="auto" w:fill="auto"/>
          </w:tcPr>
          <w:p w14:paraId="58AACC85">
            <w:pPr>
              <w:spacing w:line="360" w:lineRule="auto"/>
              <w:rPr>
                <w:rFonts w:ascii="宋体" w:hAnsi="宋体" w:cs="宋体"/>
                <w:color w:val="auto"/>
                <w:sz w:val="24"/>
                <w:highlight w:val="none"/>
              </w:rPr>
            </w:pPr>
          </w:p>
        </w:tc>
        <w:tc>
          <w:tcPr>
            <w:tcW w:w="1370" w:type="dxa"/>
            <w:shd w:val="clear" w:color="auto" w:fill="auto"/>
          </w:tcPr>
          <w:p w14:paraId="69E95017">
            <w:pPr>
              <w:spacing w:line="360" w:lineRule="auto"/>
              <w:rPr>
                <w:rFonts w:ascii="宋体" w:hAnsi="宋体" w:cs="宋体"/>
                <w:color w:val="auto"/>
                <w:sz w:val="24"/>
                <w:highlight w:val="none"/>
              </w:rPr>
            </w:pPr>
          </w:p>
        </w:tc>
        <w:tc>
          <w:tcPr>
            <w:tcW w:w="1636" w:type="dxa"/>
            <w:gridSpan w:val="3"/>
            <w:shd w:val="clear" w:color="auto" w:fill="auto"/>
          </w:tcPr>
          <w:p w14:paraId="0E95D2EA">
            <w:pPr>
              <w:spacing w:line="360" w:lineRule="auto"/>
              <w:rPr>
                <w:rFonts w:ascii="宋体" w:hAnsi="宋体" w:cs="宋体"/>
                <w:color w:val="auto"/>
                <w:sz w:val="24"/>
                <w:highlight w:val="none"/>
              </w:rPr>
            </w:pPr>
          </w:p>
        </w:tc>
        <w:tc>
          <w:tcPr>
            <w:tcW w:w="1482" w:type="dxa"/>
            <w:gridSpan w:val="2"/>
            <w:shd w:val="clear" w:color="auto" w:fill="auto"/>
          </w:tcPr>
          <w:p w14:paraId="46CE6B61">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3A82D3C0">
            <w:pPr>
              <w:spacing w:line="360" w:lineRule="auto"/>
              <w:rPr>
                <w:rFonts w:ascii="宋体" w:hAnsi="宋体" w:cs="宋体"/>
                <w:color w:val="auto"/>
                <w:sz w:val="24"/>
                <w:highlight w:val="none"/>
              </w:rPr>
            </w:pPr>
          </w:p>
        </w:tc>
      </w:tr>
      <w:tr w14:paraId="35DF0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2DDAB82D">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tcPr>
          <w:p w14:paraId="18F689D5">
            <w:pPr>
              <w:spacing w:line="360" w:lineRule="auto"/>
              <w:rPr>
                <w:rFonts w:ascii="宋体" w:hAnsi="宋体" w:cs="宋体"/>
                <w:color w:val="auto"/>
                <w:sz w:val="24"/>
                <w:highlight w:val="none"/>
              </w:rPr>
            </w:pPr>
          </w:p>
        </w:tc>
        <w:tc>
          <w:tcPr>
            <w:tcW w:w="1937" w:type="dxa"/>
            <w:gridSpan w:val="2"/>
            <w:shd w:val="clear" w:color="auto" w:fill="auto"/>
          </w:tcPr>
          <w:p w14:paraId="6ABB3924">
            <w:pPr>
              <w:spacing w:line="360" w:lineRule="auto"/>
              <w:rPr>
                <w:rFonts w:ascii="宋体" w:hAnsi="宋体" w:cs="宋体"/>
                <w:color w:val="auto"/>
                <w:sz w:val="24"/>
                <w:highlight w:val="none"/>
              </w:rPr>
            </w:pPr>
          </w:p>
        </w:tc>
        <w:tc>
          <w:tcPr>
            <w:tcW w:w="1370" w:type="dxa"/>
            <w:shd w:val="clear" w:color="auto" w:fill="auto"/>
          </w:tcPr>
          <w:p w14:paraId="7EC402F7">
            <w:pPr>
              <w:spacing w:line="360" w:lineRule="auto"/>
              <w:rPr>
                <w:rFonts w:ascii="宋体" w:hAnsi="宋体" w:cs="宋体"/>
                <w:color w:val="auto"/>
                <w:sz w:val="24"/>
                <w:highlight w:val="none"/>
              </w:rPr>
            </w:pPr>
          </w:p>
        </w:tc>
        <w:tc>
          <w:tcPr>
            <w:tcW w:w="1636" w:type="dxa"/>
            <w:gridSpan w:val="3"/>
            <w:shd w:val="clear" w:color="auto" w:fill="auto"/>
          </w:tcPr>
          <w:p w14:paraId="037CDB97">
            <w:pPr>
              <w:spacing w:line="360" w:lineRule="auto"/>
              <w:rPr>
                <w:rFonts w:ascii="宋体" w:hAnsi="宋体" w:cs="宋体"/>
                <w:color w:val="auto"/>
                <w:sz w:val="24"/>
                <w:highlight w:val="none"/>
              </w:rPr>
            </w:pPr>
          </w:p>
        </w:tc>
        <w:tc>
          <w:tcPr>
            <w:tcW w:w="1482" w:type="dxa"/>
            <w:gridSpan w:val="2"/>
            <w:shd w:val="clear" w:color="auto" w:fill="auto"/>
          </w:tcPr>
          <w:p w14:paraId="6AF0D8E6">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12715A2">
            <w:pPr>
              <w:spacing w:line="360" w:lineRule="auto"/>
              <w:rPr>
                <w:rFonts w:ascii="宋体" w:hAnsi="宋体" w:cs="宋体"/>
                <w:color w:val="auto"/>
                <w:sz w:val="24"/>
                <w:highlight w:val="none"/>
              </w:rPr>
            </w:pPr>
          </w:p>
        </w:tc>
      </w:tr>
      <w:tr w14:paraId="25D19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47BC0AE0">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tcPr>
          <w:p w14:paraId="5BB8F099">
            <w:pPr>
              <w:spacing w:line="360" w:lineRule="auto"/>
              <w:rPr>
                <w:rFonts w:ascii="宋体" w:hAnsi="宋体" w:cs="宋体"/>
                <w:color w:val="auto"/>
                <w:sz w:val="24"/>
                <w:highlight w:val="none"/>
              </w:rPr>
            </w:pPr>
          </w:p>
        </w:tc>
        <w:tc>
          <w:tcPr>
            <w:tcW w:w="1937" w:type="dxa"/>
            <w:gridSpan w:val="2"/>
            <w:shd w:val="clear" w:color="auto" w:fill="auto"/>
          </w:tcPr>
          <w:p w14:paraId="48B64310">
            <w:pPr>
              <w:spacing w:line="360" w:lineRule="auto"/>
              <w:rPr>
                <w:rFonts w:ascii="宋体" w:hAnsi="宋体" w:cs="宋体"/>
                <w:color w:val="auto"/>
                <w:sz w:val="24"/>
                <w:highlight w:val="none"/>
              </w:rPr>
            </w:pPr>
          </w:p>
        </w:tc>
        <w:tc>
          <w:tcPr>
            <w:tcW w:w="1370" w:type="dxa"/>
            <w:shd w:val="clear" w:color="auto" w:fill="auto"/>
          </w:tcPr>
          <w:p w14:paraId="2BC3FA49">
            <w:pPr>
              <w:spacing w:line="360" w:lineRule="auto"/>
              <w:rPr>
                <w:rFonts w:ascii="宋体" w:hAnsi="宋体" w:cs="宋体"/>
                <w:color w:val="auto"/>
                <w:sz w:val="24"/>
                <w:highlight w:val="none"/>
              </w:rPr>
            </w:pPr>
          </w:p>
        </w:tc>
        <w:tc>
          <w:tcPr>
            <w:tcW w:w="1636" w:type="dxa"/>
            <w:gridSpan w:val="3"/>
            <w:shd w:val="clear" w:color="auto" w:fill="auto"/>
          </w:tcPr>
          <w:p w14:paraId="30F8C9F7">
            <w:pPr>
              <w:spacing w:line="360" w:lineRule="auto"/>
              <w:rPr>
                <w:rFonts w:ascii="宋体" w:hAnsi="宋体" w:cs="宋体"/>
                <w:color w:val="auto"/>
                <w:sz w:val="24"/>
                <w:highlight w:val="none"/>
              </w:rPr>
            </w:pPr>
          </w:p>
        </w:tc>
        <w:tc>
          <w:tcPr>
            <w:tcW w:w="1482" w:type="dxa"/>
            <w:gridSpan w:val="2"/>
            <w:shd w:val="clear" w:color="auto" w:fill="auto"/>
          </w:tcPr>
          <w:p w14:paraId="243777F3">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48F2B9C1">
            <w:pPr>
              <w:spacing w:line="360" w:lineRule="auto"/>
              <w:rPr>
                <w:rFonts w:ascii="宋体" w:hAnsi="宋体" w:cs="宋体"/>
                <w:color w:val="auto"/>
                <w:sz w:val="24"/>
                <w:highlight w:val="none"/>
              </w:rPr>
            </w:pPr>
          </w:p>
        </w:tc>
      </w:tr>
    </w:tbl>
    <w:p w14:paraId="73CEEA9B">
      <w:pPr>
        <w:spacing w:line="360" w:lineRule="auto"/>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6248EDDD">
      <w:pPr>
        <w:adjustRightInd w:val="0"/>
        <w:snapToGrid w:val="0"/>
        <w:spacing w:line="360" w:lineRule="auto"/>
        <w:rPr>
          <w:rFonts w:ascii="宋体" w:hAnsi="宋体" w:cs="宋体"/>
          <w:color w:val="auto"/>
          <w:sz w:val="24"/>
          <w:highlight w:val="none"/>
        </w:rPr>
      </w:pPr>
      <w:r>
        <w:rPr>
          <w:rFonts w:hint="eastAsia" w:ascii="宋体" w:hAnsi="宋体" w:cs="宋体"/>
          <w:color w:val="auto"/>
          <w:spacing w:val="-1"/>
          <w:sz w:val="24"/>
          <w:highlight w:val="none"/>
        </w:rPr>
        <w:t>1.供应商可以根据项目情况增减表格内容，项目数可以根据需要</w:t>
      </w:r>
      <w:r>
        <w:rPr>
          <w:rFonts w:hint="eastAsia" w:ascii="宋体" w:hAnsi="宋体" w:cs="宋体"/>
          <w:color w:val="auto"/>
          <w:spacing w:val="-2"/>
          <w:sz w:val="24"/>
          <w:highlight w:val="none"/>
        </w:rPr>
        <w:t>增加。</w:t>
      </w:r>
    </w:p>
    <w:p w14:paraId="0810B9D6">
      <w:pPr>
        <w:adjustRightInd w:val="0"/>
        <w:snapToGrid w:val="0"/>
        <w:spacing w:line="360" w:lineRule="auto"/>
        <w:rPr>
          <w:rFonts w:ascii="宋体" w:hAnsi="宋体" w:cs="宋体"/>
          <w:color w:val="auto"/>
          <w:spacing w:val="-4"/>
          <w:sz w:val="24"/>
          <w:highlight w:val="none"/>
        </w:rPr>
      </w:pPr>
      <w:r>
        <w:rPr>
          <w:rFonts w:hint="eastAsia" w:ascii="宋体" w:hAnsi="宋体" w:cs="宋体"/>
          <w:color w:val="auto"/>
          <w:spacing w:val="-3"/>
          <w:position w:val="19"/>
          <w:sz w:val="24"/>
          <w:highlight w:val="none"/>
        </w:rPr>
        <w:t>2.本表后附专职安全生产管理人员的学历证、安全生产考核合格证（C</w:t>
      </w:r>
      <w:r>
        <w:rPr>
          <w:rFonts w:hint="eastAsia" w:ascii="宋体" w:hAnsi="宋体" w:cs="宋体"/>
          <w:color w:val="auto"/>
          <w:spacing w:val="-34"/>
          <w:position w:val="19"/>
          <w:sz w:val="24"/>
          <w:highlight w:val="none"/>
        </w:rPr>
        <w:t xml:space="preserve"> </w:t>
      </w:r>
      <w:r>
        <w:rPr>
          <w:rFonts w:hint="eastAsia" w:ascii="宋体" w:hAnsi="宋体" w:cs="宋体"/>
          <w:color w:val="auto"/>
          <w:spacing w:val="-3"/>
          <w:position w:val="19"/>
          <w:sz w:val="24"/>
          <w:highlight w:val="none"/>
        </w:rPr>
        <w:t>类）、本表所列证书复印件</w:t>
      </w:r>
    </w:p>
    <w:p w14:paraId="2A28D714">
      <w:pPr>
        <w:spacing w:line="360" w:lineRule="auto"/>
        <w:rPr>
          <w:rFonts w:ascii="宋体" w:hAnsi="宋体"/>
          <w:color w:val="auto"/>
          <w:sz w:val="24"/>
          <w:highlight w:val="none"/>
        </w:rPr>
      </w:pPr>
    </w:p>
    <w:p w14:paraId="76137551">
      <w:pPr>
        <w:pStyle w:val="25"/>
        <w:spacing w:line="360" w:lineRule="auto"/>
        <w:rPr>
          <w:rFonts w:hAnsi="宋体"/>
          <w:color w:val="auto"/>
          <w:sz w:val="24"/>
          <w:szCs w:val="24"/>
          <w:highlight w:val="none"/>
        </w:rPr>
      </w:pPr>
    </w:p>
    <w:p w14:paraId="638C5052">
      <w:pPr>
        <w:pStyle w:val="25"/>
        <w:spacing w:line="360" w:lineRule="auto"/>
        <w:rPr>
          <w:rFonts w:hAnsi="宋体"/>
          <w:color w:val="auto"/>
          <w:sz w:val="24"/>
          <w:szCs w:val="24"/>
          <w:highlight w:val="none"/>
        </w:rPr>
      </w:pPr>
    </w:p>
    <w:p w14:paraId="166CCCD1">
      <w:pPr>
        <w:pStyle w:val="25"/>
        <w:spacing w:line="360" w:lineRule="auto"/>
        <w:rPr>
          <w:rFonts w:hAnsi="宋体"/>
          <w:color w:val="auto"/>
          <w:sz w:val="24"/>
          <w:szCs w:val="24"/>
          <w:highlight w:val="none"/>
        </w:rPr>
      </w:pPr>
      <w:r>
        <w:rPr>
          <w:rFonts w:hint="eastAsia" w:hAnsi="宋体"/>
          <w:color w:val="auto"/>
          <w:sz w:val="24"/>
          <w:szCs w:val="24"/>
          <w:highlight w:val="none"/>
        </w:rPr>
        <w:t xml:space="preserve">                        </w:t>
      </w:r>
    </w:p>
    <w:p w14:paraId="01818A2A">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4D89C67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68C30BF1">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27C1707">
      <w:pPr>
        <w:pStyle w:val="25"/>
        <w:spacing w:line="360" w:lineRule="auto"/>
        <w:rPr>
          <w:rFonts w:hAnsi="宋体"/>
          <w:color w:val="auto"/>
          <w:sz w:val="24"/>
          <w:szCs w:val="24"/>
          <w:highlight w:val="none"/>
        </w:rPr>
      </w:pP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p>
    <w:p w14:paraId="5CFE8E5A">
      <w:pPr>
        <w:adjustRightInd w:val="0"/>
        <w:snapToGrid w:val="0"/>
        <w:spacing w:line="360" w:lineRule="auto"/>
        <w:ind w:right="1470" w:rightChars="700"/>
        <w:rPr>
          <w:rFonts w:ascii="宋体" w:hAnsi="宋体" w:cs="宋体"/>
          <w:b/>
          <w:bCs/>
          <w:color w:val="auto"/>
          <w:spacing w:val="9"/>
          <w:sz w:val="24"/>
          <w:highlight w:val="none"/>
        </w:rPr>
      </w:pPr>
      <w:r>
        <w:rPr>
          <w:rFonts w:ascii="宋体" w:hAnsi="宋体"/>
          <w:color w:val="auto"/>
          <w:sz w:val="24"/>
          <w:highlight w:val="none"/>
        </w:rPr>
        <w:br w:type="page"/>
      </w:r>
      <w:r>
        <w:rPr>
          <w:rFonts w:hint="eastAsia" w:ascii="宋体" w:hAnsi="宋体" w:cs="宋体"/>
          <w:b/>
          <w:bCs/>
          <w:color w:val="auto"/>
          <w:spacing w:val="9"/>
          <w:sz w:val="24"/>
          <w:highlight w:val="none"/>
        </w:rPr>
        <w:t>附件11</w:t>
      </w:r>
    </w:p>
    <w:p w14:paraId="1A37EE61">
      <w:pPr>
        <w:spacing w:line="360" w:lineRule="auto"/>
        <w:ind w:left="2904"/>
        <w:rPr>
          <w:rFonts w:ascii="宋体" w:hAnsi="宋体" w:cs="宋体"/>
          <w:b/>
          <w:bCs/>
          <w:color w:val="auto"/>
          <w:sz w:val="43"/>
          <w:szCs w:val="43"/>
          <w:highlight w:val="none"/>
        </w:rPr>
      </w:pPr>
      <w:r>
        <w:rPr>
          <w:rFonts w:hint="eastAsia" w:ascii="宋体" w:hAnsi="宋体" w:cs="宋体"/>
          <w:b/>
          <w:bCs/>
          <w:color w:val="auto"/>
          <w:spacing w:val="9"/>
          <w:sz w:val="43"/>
          <w:szCs w:val="43"/>
          <w:highlight w:val="none"/>
        </w:rPr>
        <w:t>拟分包项目情况表</w:t>
      </w:r>
    </w:p>
    <w:p w14:paraId="420F6229">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rPr>
      </w:pPr>
    </w:p>
    <w:p w14:paraId="7468A1C1">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2AA02A58">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17305ABC">
      <w:pPr>
        <w:spacing w:line="360" w:lineRule="auto"/>
        <w:ind w:left="233"/>
        <w:rPr>
          <w:rFonts w:ascii="宋体" w:hAnsi="宋体" w:cs="宋体"/>
          <w:color w:val="auto"/>
          <w:sz w:val="24"/>
          <w:highlight w:val="none"/>
        </w:rPr>
      </w:pPr>
      <w:r>
        <w:rPr>
          <w:rFonts w:hint="eastAsia" w:ascii="宋体" w:hAnsi="宋体" w:cs="宋体"/>
          <w:color w:val="auto"/>
          <w:spacing w:val="-27"/>
          <w:sz w:val="24"/>
          <w:highlight w:val="none"/>
        </w:rPr>
        <w:t>分标（如有）：</w:t>
      </w:r>
      <w:r>
        <w:rPr>
          <w:rFonts w:hint="eastAsia" w:ascii="宋体" w:hAnsi="宋体" w:cs="宋体"/>
          <w:color w:val="auto"/>
          <w:spacing w:val="55"/>
          <w:sz w:val="24"/>
          <w:highlight w:val="none"/>
        </w:rPr>
        <w:t xml:space="preserve"> </w:t>
      </w:r>
      <w:r>
        <w:rPr>
          <w:rFonts w:hint="eastAsia" w:ascii="宋体" w:hAnsi="宋体" w:cs="宋体"/>
          <w:color w:val="auto"/>
          <w:sz w:val="24"/>
          <w:highlight w:val="none"/>
          <w:u w:val="single"/>
        </w:rPr>
        <w:t xml:space="preserve">                 </w:t>
      </w:r>
    </w:p>
    <w:p w14:paraId="19609C25">
      <w:pPr>
        <w:spacing w:line="360" w:lineRule="auto"/>
        <w:rPr>
          <w:rFonts w:ascii="宋体" w:hAnsi="宋体" w:cs="宋体"/>
          <w:color w:val="auto"/>
          <w:sz w:val="24"/>
          <w:highlight w:val="none"/>
        </w:rPr>
      </w:pPr>
    </w:p>
    <w:tbl>
      <w:tblPr>
        <w:tblStyle w:val="40"/>
        <w:tblW w:w="931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93"/>
        <w:gridCol w:w="751"/>
        <w:gridCol w:w="947"/>
        <w:gridCol w:w="1123"/>
        <w:gridCol w:w="1091"/>
        <w:gridCol w:w="1195"/>
        <w:gridCol w:w="1269"/>
        <w:gridCol w:w="676"/>
      </w:tblGrid>
      <w:tr w14:paraId="49439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restart"/>
            <w:tcBorders>
              <w:bottom w:val="nil"/>
            </w:tcBorders>
            <w:shd w:val="clear" w:color="auto" w:fill="auto"/>
            <w:vAlign w:val="center"/>
          </w:tcPr>
          <w:p w14:paraId="0AD46672">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序号</w:t>
            </w:r>
          </w:p>
        </w:tc>
        <w:tc>
          <w:tcPr>
            <w:tcW w:w="1693" w:type="dxa"/>
            <w:vMerge w:val="restart"/>
            <w:tcBorders>
              <w:bottom w:val="nil"/>
            </w:tcBorders>
            <w:shd w:val="clear" w:color="auto" w:fill="auto"/>
            <w:vAlign w:val="center"/>
          </w:tcPr>
          <w:p w14:paraId="5FAA17D1">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拟分包项目名</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1"/>
                <w:kern w:val="0"/>
                <w:sz w:val="24"/>
                <w:highlight w:val="none"/>
              </w:rPr>
              <w:t>称、范围及理由</w:t>
            </w:r>
          </w:p>
        </w:tc>
        <w:tc>
          <w:tcPr>
            <w:tcW w:w="6376" w:type="dxa"/>
            <w:gridSpan w:val="6"/>
            <w:shd w:val="clear" w:color="auto" w:fill="auto"/>
          </w:tcPr>
          <w:p w14:paraId="3E8D19F3">
            <w:pPr>
              <w:kinsoku w:val="0"/>
              <w:autoSpaceDE w:val="0"/>
              <w:autoSpaceDN w:val="0"/>
              <w:adjustRightInd w:val="0"/>
              <w:snapToGrid w:val="0"/>
              <w:spacing w:line="360" w:lineRule="auto"/>
              <w:ind w:left="266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w:t>
            </w:r>
          </w:p>
        </w:tc>
        <w:tc>
          <w:tcPr>
            <w:tcW w:w="676" w:type="dxa"/>
            <w:vMerge w:val="restart"/>
            <w:tcBorders>
              <w:bottom w:val="nil"/>
            </w:tcBorders>
            <w:shd w:val="clear" w:color="auto" w:fill="auto"/>
          </w:tcPr>
          <w:p w14:paraId="1A5C04C4">
            <w:pPr>
              <w:spacing w:line="360" w:lineRule="auto"/>
              <w:rPr>
                <w:rFonts w:ascii="宋体" w:hAnsi="宋体" w:cs="宋体"/>
                <w:color w:val="auto"/>
                <w:sz w:val="24"/>
                <w:highlight w:val="none"/>
              </w:rPr>
            </w:pPr>
          </w:p>
          <w:p w14:paraId="5D6440B5">
            <w:pPr>
              <w:kinsoku w:val="0"/>
              <w:autoSpaceDE w:val="0"/>
              <w:autoSpaceDN w:val="0"/>
              <w:adjustRightInd w:val="0"/>
              <w:snapToGrid w:val="0"/>
              <w:spacing w:line="360" w:lineRule="auto"/>
              <w:ind w:left="13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备注</w:t>
            </w:r>
          </w:p>
        </w:tc>
      </w:tr>
      <w:tr w14:paraId="4628C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1" w:type="dxa"/>
            <w:vMerge w:val="continue"/>
            <w:tcBorders>
              <w:top w:val="nil"/>
            </w:tcBorders>
            <w:shd w:val="clear" w:color="auto" w:fill="auto"/>
            <w:textDirection w:val="tbRlV"/>
          </w:tcPr>
          <w:p w14:paraId="042C90D0">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61AC8095">
            <w:pPr>
              <w:spacing w:line="360" w:lineRule="auto"/>
              <w:rPr>
                <w:rFonts w:ascii="宋体" w:hAnsi="宋体" w:cs="宋体"/>
                <w:color w:val="auto"/>
                <w:sz w:val="24"/>
                <w:highlight w:val="none"/>
              </w:rPr>
            </w:pPr>
          </w:p>
        </w:tc>
        <w:tc>
          <w:tcPr>
            <w:tcW w:w="1698" w:type="dxa"/>
            <w:gridSpan w:val="2"/>
            <w:shd w:val="clear" w:color="auto" w:fill="auto"/>
          </w:tcPr>
          <w:p w14:paraId="50F0AEFF">
            <w:pPr>
              <w:kinsoku w:val="0"/>
              <w:autoSpaceDE w:val="0"/>
              <w:autoSpaceDN w:val="0"/>
              <w:adjustRightInd w:val="0"/>
              <w:snapToGrid w:val="0"/>
              <w:spacing w:line="360" w:lineRule="auto"/>
              <w:ind w:left="12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拟选分包人名称</w:t>
            </w:r>
          </w:p>
        </w:tc>
        <w:tc>
          <w:tcPr>
            <w:tcW w:w="1123" w:type="dxa"/>
            <w:shd w:val="clear" w:color="auto" w:fill="auto"/>
          </w:tcPr>
          <w:p w14:paraId="207E0A9A">
            <w:pPr>
              <w:kinsoku w:val="0"/>
              <w:autoSpaceDE w:val="0"/>
              <w:autoSpaceDN w:val="0"/>
              <w:adjustRightInd w:val="0"/>
              <w:snapToGrid w:val="0"/>
              <w:spacing w:line="360" w:lineRule="auto"/>
              <w:ind w:left="1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注册地点</w:t>
            </w:r>
          </w:p>
        </w:tc>
        <w:tc>
          <w:tcPr>
            <w:tcW w:w="1091" w:type="dxa"/>
            <w:shd w:val="clear" w:color="auto" w:fill="auto"/>
          </w:tcPr>
          <w:p w14:paraId="3C048095">
            <w:pPr>
              <w:kinsoku w:val="0"/>
              <w:autoSpaceDE w:val="0"/>
              <w:autoSpaceDN w:val="0"/>
              <w:adjustRightInd w:val="0"/>
              <w:snapToGrid w:val="0"/>
              <w:spacing w:line="360" w:lineRule="auto"/>
              <w:ind w:left="13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企业资质</w:t>
            </w:r>
          </w:p>
        </w:tc>
        <w:tc>
          <w:tcPr>
            <w:tcW w:w="1195" w:type="dxa"/>
            <w:shd w:val="clear" w:color="auto" w:fill="auto"/>
          </w:tcPr>
          <w:p w14:paraId="427F3886">
            <w:pPr>
              <w:kinsoku w:val="0"/>
              <w:autoSpaceDE w:val="0"/>
              <w:autoSpaceDN w:val="0"/>
              <w:adjustRightInd w:val="0"/>
              <w:snapToGrid w:val="0"/>
              <w:spacing w:line="360" w:lineRule="auto"/>
              <w:ind w:left="18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有关业绩</w:t>
            </w:r>
          </w:p>
        </w:tc>
        <w:tc>
          <w:tcPr>
            <w:tcW w:w="1269" w:type="dxa"/>
            <w:shd w:val="clear" w:color="auto" w:fill="auto"/>
          </w:tcPr>
          <w:p w14:paraId="292CB2FF">
            <w:pPr>
              <w:kinsoku w:val="0"/>
              <w:autoSpaceDE w:val="0"/>
              <w:autoSpaceDN w:val="0"/>
              <w:adjustRightInd w:val="0"/>
              <w:snapToGrid w:val="0"/>
              <w:spacing w:line="360" w:lineRule="auto"/>
              <w:ind w:left="11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拟分包金额</w:t>
            </w:r>
          </w:p>
        </w:tc>
        <w:tc>
          <w:tcPr>
            <w:tcW w:w="676" w:type="dxa"/>
            <w:vMerge w:val="continue"/>
            <w:tcBorders>
              <w:top w:val="nil"/>
            </w:tcBorders>
            <w:shd w:val="clear" w:color="auto" w:fill="auto"/>
          </w:tcPr>
          <w:p w14:paraId="2D1FCCF5">
            <w:pPr>
              <w:spacing w:line="360" w:lineRule="auto"/>
              <w:rPr>
                <w:rFonts w:ascii="宋体" w:hAnsi="宋体" w:cs="宋体"/>
                <w:color w:val="auto"/>
                <w:sz w:val="24"/>
                <w:highlight w:val="none"/>
              </w:rPr>
            </w:pPr>
          </w:p>
        </w:tc>
      </w:tr>
      <w:tr w14:paraId="5B63E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7B6AF87C">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2D86BB27">
            <w:pPr>
              <w:spacing w:line="360" w:lineRule="auto"/>
              <w:rPr>
                <w:rFonts w:ascii="宋体" w:hAnsi="宋体" w:cs="宋体"/>
                <w:color w:val="auto"/>
                <w:sz w:val="24"/>
                <w:highlight w:val="none"/>
              </w:rPr>
            </w:pPr>
          </w:p>
        </w:tc>
        <w:tc>
          <w:tcPr>
            <w:tcW w:w="751" w:type="dxa"/>
            <w:shd w:val="clear" w:color="auto" w:fill="auto"/>
          </w:tcPr>
          <w:p w14:paraId="59C8BAA2">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1CA3D91E">
            <w:pPr>
              <w:spacing w:line="360" w:lineRule="auto"/>
              <w:rPr>
                <w:rFonts w:ascii="宋体" w:hAnsi="宋体" w:cs="宋体"/>
                <w:color w:val="auto"/>
                <w:sz w:val="24"/>
                <w:highlight w:val="none"/>
              </w:rPr>
            </w:pPr>
          </w:p>
        </w:tc>
        <w:tc>
          <w:tcPr>
            <w:tcW w:w="1123" w:type="dxa"/>
            <w:shd w:val="clear" w:color="auto" w:fill="auto"/>
          </w:tcPr>
          <w:p w14:paraId="65DB5835">
            <w:pPr>
              <w:spacing w:line="360" w:lineRule="auto"/>
              <w:rPr>
                <w:rFonts w:ascii="宋体" w:hAnsi="宋体" w:cs="宋体"/>
                <w:color w:val="auto"/>
                <w:sz w:val="24"/>
                <w:highlight w:val="none"/>
              </w:rPr>
            </w:pPr>
          </w:p>
        </w:tc>
        <w:tc>
          <w:tcPr>
            <w:tcW w:w="1091" w:type="dxa"/>
            <w:shd w:val="clear" w:color="auto" w:fill="auto"/>
          </w:tcPr>
          <w:p w14:paraId="63FF2CB5">
            <w:pPr>
              <w:spacing w:line="360" w:lineRule="auto"/>
              <w:rPr>
                <w:rFonts w:ascii="宋体" w:hAnsi="宋体" w:cs="宋体"/>
                <w:color w:val="auto"/>
                <w:sz w:val="24"/>
                <w:highlight w:val="none"/>
              </w:rPr>
            </w:pPr>
          </w:p>
        </w:tc>
        <w:tc>
          <w:tcPr>
            <w:tcW w:w="1195" w:type="dxa"/>
            <w:shd w:val="clear" w:color="auto" w:fill="auto"/>
          </w:tcPr>
          <w:p w14:paraId="2F56226B">
            <w:pPr>
              <w:spacing w:line="360" w:lineRule="auto"/>
              <w:rPr>
                <w:rFonts w:ascii="宋体" w:hAnsi="宋体" w:cs="宋体"/>
                <w:color w:val="auto"/>
                <w:sz w:val="24"/>
                <w:highlight w:val="none"/>
              </w:rPr>
            </w:pPr>
          </w:p>
        </w:tc>
        <w:tc>
          <w:tcPr>
            <w:tcW w:w="1269" w:type="dxa"/>
            <w:shd w:val="clear" w:color="auto" w:fill="auto"/>
          </w:tcPr>
          <w:p w14:paraId="46867363">
            <w:pPr>
              <w:spacing w:line="360" w:lineRule="auto"/>
              <w:rPr>
                <w:rFonts w:ascii="宋体" w:hAnsi="宋体" w:cs="宋体"/>
                <w:color w:val="auto"/>
                <w:sz w:val="24"/>
                <w:highlight w:val="none"/>
              </w:rPr>
            </w:pPr>
          </w:p>
        </w:tc>
        <w:tc>
          <w:tcPr>
            <w:tcW w:w="676" w:type="dxa"/>
            <w:shd w:val="clear" w:color="auto" w:fill="auto"/>
          </w:tcPr>
          <w:p w14:paraId="56C4D78B">
            <w:pPr>
              <w:spacing w:line="360" w:lineRule="auto"/>
              <w:rPr>
                <w:rFonts w:ascii="宋体" w:hAnsi="宋体" w:cs="宋体"/>
                <w:color w:val="auto"/>
                <w:sz w:val="24"/>
                <w:highlight w:val="none"/>
              </w:rPr>
            </w:pPr>
          </w:p>
        </w:tc>
      </w:tr>
      <w:tr w14:paraId="0737F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40A1E949">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30060B31">
            <w:pPr>
              <w:spacing w:line="360" w:lineRule="auto"/>
              <w:rPr>
                <w:rFonts w:ascii="宋体" w:hAnsi="宋体" w:cs="宋体"/>
                <w:color w:val="auto"/>
                <w:sz w:val="24"/>
                <w:highlight w:val="none"/>
              </w:rPr>
            </w:pPr>
          </w:p>
        </w:tc>
        <w:tc>
          <w:tcPr>
            <w:tcW w:w="751" w:type="dxa"/>
            <w:shd w:val="clear" w:color="auto" w:fill="auto"/>
          </w:tcPr>
          <w:p w14:paraId="47919D9B">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70D814A9">
            <w:pPr>
              <w:spacing w:line="360" w:lineRule="auto"/>
              <w:rPr>
                <w:rFonts w:ascii="宋体" w:hAnsi="宋体" w:cs="宋体"/>
                <w:color w:val="auto"/>
                <w:sz w:val="24"/>
                <w:highlight w:val="none"/>
              </w:rPr>
            </w:pPr>
          </w:p>
        </w:tc>
        <w:tc>
          <w:tcPr>
            <w:tcW w:w="1123" w:type="dxa"/>
            <w:shd w:val="clear" w:color="auto" w:fill="auto"/>
          </w:tcPr>
          <w:p w14:paraId="5617E5C4">
            <w:pPr>
              <w:spacing w:line="360" w:lineRule="auto"/>
              <w:rPr>
                <w:rFonts w:ascii="宋体" w:hAnsi="宋体" w:cs="宋体"/>
                <w:color w:val="auto"/>
                <w:sz w:val="24"/>
                <w:highlight w:val="none"/>
              </w:rPr>
            </w:pPr>
          </w:p>
        </w:tc>
        <w:tc>
          <w:tcPr>
            <w:tcW w:w="1091" w:type="dxa"/>
            <w:shd w:val="clear" w:color="auto" w:fill="auto"/>
          </w:tcPr>
          <w:p w14:paraId="270A0B79">
            <w:pPr>
              <w:spacing w:line="360" w:lineRule="auto"/>
              <w:rPr>
                <w:rFonts w:ascii="宋体" w:hAnsi="宋体" w:cs="宋体"/>
                <w:color w:val="auto"/>
                <w:sz w:val="24"/>
                <w:highlight w:val="none"/>
              </w:rPr>
            </w:pPr>
          </w:p>
        </w:tc>
        <w:tc>
          <w:tcPr>
            <w:tcW w:w="1195" w:type="dxa"/>
            <w:shd w:val="clear" w:color="auto" w:fill="auto"/>
          </w:tcPr>
          <w:p w14:paraId="4BB2D6E4">
            <w:pPr>
              <w:spacing w:line="360" w:lineRule="auto"/>
              <w:rPr>
                <w:rFonts w:ascii="宋体" w:hAnsi="宋体" w:cs="宋体"/>
                <w:color w:val="auto"/>
                <w:sz w:val="24"/>
                <w:highlight w:val="none"/>
              </w:rPr>
            </w:pPr>
          </w:p>
        </w:tc>
        <w:tc>
          <w:tcPr>
            <w:tcW w:w="1269" w:type="dxa"/>
            <w:shd w:val="clear" w:color="auto" w:fill="auto"/>
          </w:tcPr>
          <w:p w14:paraId="593CC384">
            <w:pPr>
              <w:spacing w:line="360" w:lineRule="auto"/>
              <w:rPr>
                <w:rFonts w:ascii="宋体" w:hAnsi="宋体" w:cs="宋体"/>
                <w:color w:val="auto"/>
                <w:sz w:val="24"/>
                <w:highlight w:val="none"/>
              </w:rPr>
            </w:pPr>
          </w:p>
        </w:tc>
        <w:tc>
          <w:tcPr>
            <w:tcW w:w="676" w:type="dxa"/>
            <w:shd w:val="clear" w:color="auto" w:fill="auto"/>
          </w:tcPr>
          <w:p w14:paraId="091DAAF0">
            <w:pPr>
              <w:spacing w:line="360" w:lineRule="auto"/>
              <w:rPr>
                <w:rFonts w:ascii="宋体" w:hAnsi="宋体" w:cs="宋体"/>
                <w:color w:val="auto"/>
                <w:sz w:val="24"/>
                <w:highlight w:val="none"/>
              </w:rPr>
            </w:pPr>
          </w:p>
        </w:tc>
      </w:tr>
      <w:tr w14:paraId="428AF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tcBorders>
            <w:shd w:val="clear" w:color="auto" w:fill="auto"/>
          </w:tcPr>
          <w:p w14:paraId="1C94319F">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7E1428B4">
            <w:pPr>
              <w:spacing w:line="360" w:lineRule="auto"/>
              <w:rPr>
                <w:rFonts w:ascii="宋体" w:hAnsi="宋体" w:cs="宋体"/>
                <w:color w:val="auto"/>
                <w:sz w:val="24"/>
                <w:highlight w:val="none"/>
              </w:rPr>
            </w:pPr>
          </w:p>
        </w:tc>
        <w:tc>
          <w:tcPr>
            <w:tcW w:w="751" w:type="dxa"/>
            <w:shd w:val="clear" w:color="auto" w:fill="auto"/>
          </w:tcPr>
          <w:p w14:paraId="5983995F">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462E1346">
            <w:pPr>
              <w:spacing w:line="360" w:lineRule="auto"/>
              <w:rPr>
                <w:rFonts w:ascii="宋体" w:hAnsi="宋体" w:cs="宋体"/>
                <w:color w:val="auto"/>
                <w:sz w:val="24"/>
                <w:highlight w:val="none"/>
              </w:rPr>
            </w:pPr>
          </w:p>
        </w:tc>
        <w:tc>
          <w:tcPr>
            <w:tcW w:w="1123" w:type="dxa"/>
            <w:shd w:val="clear" w:color="auto" w:fill="auto"/>
          </w:tcPr>
          <w:p w14:paraId="06C9D197">
            <w:pPr>
              <w:spacing w:line="360" w:lineRule="auto"/>
              <w:rPr>
                <w:rFonts w:ascii="宋体" w:hAnsi="宋体" w:cs="宋体"/>
                <w:color w:val="auto"/>
                <w:sz w:val="24"/>
                <w:highlight w:val="none"/>
              </w:rPr>
            </w:pPr>
          </w:p>
        </w:tc>
        <w:tc>
          <w:tcPr>
            <w:tcW w:w="1091" w:type="dxa"/>
            <w:shd w:val="clear" w:color="auto" w:fill="auto"/>
          </w:tcPr>
          <w:p w14:paraId="76A7F60B">
            <w:pPr>
              <w:spacing w:line="360" w:lineRule="auto"/>
              <w:rPr>
                <w:rFonts w:ascii="宋体" w:hAnsi="宋体" w:cs="宋体"/>
                <w:color w:val="auto"/>
                <w:sz w:val="24"/>
                <w:highlight w:val="none"/>
              </w:rPr>
            </w:pPr>
          </w:p>
        </w:tc>
        <w:tc>
          <w:tcPr>
            <w:tcW w:w="1195" w:type="dxa"/>
            <w:shd w:val="clear" w:color="auto" w:fill="auto"/>
          </w:tcPr>
          <w:p w14:paraId="7BC40C44">
            <w:pPr>
              <w:spacing w:line="360" w:lineRule="auto"/>
              <w:rPr>
                <w:rFonts w:ascii="宋体" w:hAnsi="宋体" w:cs="宋体"/>
                <w:color w:val="auto"/>
                <w:sz w:val="24"/>
                <w:highlight w:val="none"/>
              </w:rPr>
            </w:pPr>
          </w:p>
        </w:tc>
        <w:tc>
          <w:tcPr>
            <w:tcW w:w="1269" w:type="dxa"/>
            <w:shd w:val="clear" w:color="auto" w:fill="auto"/>
          </w:tcPr>
          <w:p w14:paraId="70F5B6D2">
            <w:pPr>
              <w:spacing w:line="360" w:lineRule="auto"/>
              <w:rPr>
                <w:rFonts w:ascii="宋体" w:hAnsi="宋体" w:cs="宋体"/>
                <w:color w:val="auto"/>
                <w:sz w:val="24"/>
                <w:highlight w:val="none"/>
              </w:rPr>
            </w:pPr>
          </w:p>
        </w:tc>
        <w:tc>
          <w:tcPr>
            <w:tcW w:w="676" w:type="dxa"/>
            <w:shd w:val="clear" w:color="auto" w:fill="auto"/>
          </w:tcPr>
          <w:p w14:paraId="13FFF4FE">
            <w:pPr>
              <w:spacing w:line="360" w:lineRule="auto"/>
              <w:rPr>
                <w:rFonts w:ascii="宋体" w:hAnsi="宋体" w:cs="宋体"/>
                <w:color w:val="auto"/>
                <w:sz w:val="24"/>
                <w:highlight w:val="none"/>
              </w:rPr>
            </w:pPr>
          </w:p>
        </w:tc>
      </w:tr>
      <w:tr w14:paraId="3B264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27F7F274">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0A707F2A">
            <w:pPr>
              <w:spacing w:line="360" w:lineRule="auto"/>
              <w:rPr>
                <w:rFonts w:ascii="宋体" w:hAnsi="宋体" w:cs="宋体"/>
                <w:color w:val="auto"/>
                <w:sz w:val="24"/>
                <w:highlight w:val="none"/>
              </w:rPr>
            </w:pPr>
          </w:p>
        </w:tc>
        <w:tc>
          <w:tcPr>
            <w:tcW w:w="751" w:type="dxa"/>
            <w:shd w:val="clear" w:color="auto" w:fill="auto"/>
          </w:tcPr>
          <w:p w14:paraId="4C32D9AF">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72A25037">
            <w:pPr>
              <w:spacing w:line="360" w:lineRule="auto"/>
              <w:rPr>
                <w:rFonts w:ascii="宋体" w:hAnsi="宋体" w:cs="宋体"/>
                <w:color w:val="auto"/>
                <w:sz w:val="24"/>
                <w:highlight w:val="none"/>
              </w:rPr>
            </w:pPr>
          </w:p>
        </w:tc>
        <w:tc>
          <w:tcPr>
            <w:tcW w:w="1123" w:type="dxa"/>
            <w:shd w:val="clear" w:color="auto" w:fill="auto"/>
          </w:tcPr>
          <w:p w14:paraId="39DB65C2">
            <w:pPr>
              <w:spacing w:line="360" w:lineRule="auto"/>
              <w:rPr>
                <w:rFonts w:ascii="宋体" w:hAnsi="宋体" w:cs="宋体"/>
                <w:color w:val="auto"/>
                <w:sz w:val="24"/>
                <w:highlight w:val="none"/>
              </w:rPr>
            </w:pPr>
          </w:p>
        </w:tc>
        <w:tc>
          <w:tcPr>
            <w:tcW w:w="1091" w:type="dxa"/>
            <w:shd w:val="clear" w:color="auto" w:fill="auto"/>
          </w:tcPr>
          <w:p w14:paraId="5DBE4A41">
            <w:pPr>
              <w:spacing w:line="360" w:lineRule="auto"/>
              <w:rPr>
                <w:rFonts w:ascii="宋体" w:hAnsi="宋体" w:cs="宋体"/>
                <w:color w:val="auto"/>
                <w:sz w:val="24"/>
                <w:highlight w:val="none"/>
              </w:rPr>
            </w:pPr>
          </w:p>
        </w:tc>
        <w:tc>
          <w:tcPr>
            <w:tcW w:w="1195" w:type="dxa"/>
            <w:shd w:val="clear" w:color="auto" w:fill="auto"/>
          </w:tcPr>
          <w:p w14:paraId="3CAA823D">
            <w:pPr>
              <w:spacing w:line="360" w:lineRule="auto"/>
              <w:rPr>
                <w:rFonts w:ascii="宋体" w:hAnsi="宋体" w:cs="宋体"/>
                <w:color w:val="auto"/>
                <w:sz w:val="24"/>
                <w:highlight w:val="none"/>
              </w:rPr>
            </w:pPr>
          </w:p>
        </w:tc>
        <w:tc>
          <w:tcPr>
            <w:tcW w:w="1269" w:type="dxa"/>
            <w:shd w:val="clear" w:color="auto" w:fill="auto"/>
          </w:tcPr>
          <w:p w14:paraId="39ECC5E1">
            <w:pPr>
              <w:spacing w:line="360" w:lineRule="auto"/>
              <w:rPr>
                <w:rFonts w:ascii="宋体" w:hAnsi="宋体" w:cs="宋体"/>
                <w:color w:val="auto"/>
                <w:sz w:val="24"/>
                <w:highlight w:val="none"/>
              </w:rPr>
            </w:pPr>
          </w:p>
        </w:tc>
        <w:tc>
          <w:tcPr>
            <w:tcW w:w="676" w:type="dxa"/>
            <w:shd w:val="clear" w:color="auto" w:fill="auto"/>
          </w:tcPr>
          <w:p w14:paraId="3843D186">
            <w:pPr>
              <w:spacing w:line="360" w:lineRule="auto"/>
              <w:rPr>
                <w:rFonts w:ascii="宋体" w:hAnsi="宋体" w:cs="宋体"/>
                <w:color w:val="auto"/>
                <w:sz w:val="24"/>
                <w:highlight w:val="none"/>
              </w:rPr>
            </w:pPr>
          </w:p>
        </w:tc>
      </w:tr>
      <w:tr w14:paraId="2F706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46F64933">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2819D721">
            <w:pPr>
              <w:spacing w:line="360" w:lineRule="auto"/>
              <w:rPr>
                <w:rFonts w:ascii="宋体" w:hAnsi="宋体" w:cs="宋体"/>
                <w:color w:val="auto"/>
                <w:sz w:val="24"/>
                <w:highlight w:val="none"/>
              </w:rPr>
            </w:pPr>
          </w:p>
        </w:tc>
        <w:tc>
          <w:tcPr>
            <w:tcW w:w="751" w:type="dxa"/>
            <w:shd w:val="clear" w:color="auto" w:fill="auto"/>
          </w:tcPr>
          <w:p w14:paraId="1FEED145">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53757759">
            <w:pPr>
              <w:spacing w:line="360" w:lineRule="auto"/>
              <w:rPr>
                <w:rFonts w:ascii="宋体" w:hAnsi="宋体" w:cs="宋体"/>
                <w:color w:val="auto"/>
                <w:sz w:val="24"/>
                <w:highlight w:val="none"/>
              </w:rPr>
            </w:pPr>
          </w:p>
        </w:tc>
        <w:tc>
          <w:tcPr>
            <w:tcW w:w="1123" w:type="dxa"/>
            <w:shd w:val="clear" w:color="auto" w:fill="auto"/>
          </w:tcPr>
          <w:p w14:paraId="06CF5086">
            <w:pPr>
              <w:spacing w:line="360" w:lineRule="auto"/>
              <w:rPr>
                <w:rFonts w:ascii="宋体" w:hAnsi="宋体" w:cs="宋体"/>
                <w:color w:val="auto"/>
                <w:sz w:val="24"/>
                <w:highlight w:val="none"/>
              </w:rPr>
            </w:pPr>
          </w:p>
        </w:tc>
        <w:tc>
          <w:tcPr>
            <w:tcW w:w="1091" w:type="dxa"/>
            <w:shd w:val="clear" w:color="auto" w:fill="auto"/>
          </w:tcPr>
          <w:p w14:paraId="2FA211AC">
            <w:pPr>
              <w:spacing w:line="360" w:lineRule="auto"/>
              <w:rPr>
                <w:rFonts w:ascii="宋体" w:hAnsi="宋体" w:cs="宋体"/>
                <w:color w:val="auto"/>
                <w:sz w:val="24"/>
                <w:highlight w:val="none"/>
              </w:rPr>
            </w:pPr>
          </w:p>
        </w:tc>
        <w:tc>
          <w:tcPr>
            <w:tcW w:w="1195" w:type="dxa"/>
            <w:shd w:val="clear" w:color="auto" w:fill="auto"/>
          </w:tcPr>
          <w:p w14:paraId="29F06C77">
            <w:pPr>
              <w:spacing w:line="360" w:lineRule="auto"/>
              <w:rPr>
                <w:rFonts w:ascii="宋体" w:hAnsi="宋体" w:cs="宋体"/>
                <w:color w:val="auto"/>
                <w:sz w:val="24"/>
                <w:highlight w:val="none"/>
              </w:rPr>
            </w:pPr>
          </w:p>
        </w:tc>
        <w:tc>
          <w:tcPr>
            <w:tcW w:w="1269" w:type="dxa"/>
            <w:shd w:val="clear" w:color="auto" w:fill="auto"/>
          </w:tcPr>
          <w:p w14:paraId="63550CFD">
            <w:pPr>
              <w:spacing w:line="360" w:lineRule="auto"/>
              <w:rPr>
                <w:rFonts w:ascii="宋体" w:hAnsi="宋体" w:cs="宋体"/>
                <w:color w:val="auto"/>
                <w:sz w:val="24"/>
                <w:highlight w:val="none"/>
              </w:rPr>
            </w:pPr>
          </w:p>
        </w:tc>
        <w:tc>
          <w:tcPr>
            <w:tcW w:w="676" w:type="dxa"/>
            <w:shd w:val="clear" w:color="auto" w:fill="auto"/>
          </w:tcPr>
          <w:p w14:paraId="4409C52A">
            <w:pPr>
              <w:spacing w:line="360" w:lineRule="auto"/>
              <w:rPr>
                <w:rFonts w:ascii="宋体" w:hAnsi="宋体" w:cs="宋体"/>
                <w:color w:val="auto"/>
                <w:sz w:val="24"/>
                <w:highlight w:val="none"/>
              </w:rPr>
            </w:pPr>
          </w:p>
        </w:tc>
      </w:tr>
      <w:tr w14:paraId="10B8C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continue"/>
            <w:tcBorders>
              <w:top w:val="nil"/>
            </w:tcBorders>
            <w:shd w:val="clear" w:color="auto" w:fill="auto"/>
          </w:tcPr>
          <w:p w14:paraId="64EB16A8">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5F475052">
            <w:pPr>
              <w:spacing w:line="360" w:lineRule="auto"/>
              <w:rPr>
                <w:rFonts w:ascii="宋体" w:hAnsi="宋体" w:cs="宋体"/>
                <w:color w:val="auto"/>
                <w:sz w:val="24"/>
                <w:highlight w:val="none"/>
              </w:rPr>
            </w:pPr>
          </w:p>
        </w:tc>
        <w:tc>
          <w:tcPr>
            <w:tcW w:w="751" w:type="dxa"/>
            <w:shd w:val="clear" w:color="auto" w:fill="auto"/>
          </w:tcPr>
          <w:p w14:paraId="2F7EEBC6">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6B06EE58">
            <w:pPr>
              <w:spacing w:line="360" w:lineRule="auto"/>
              <w:rPr>
                <w:rFonts w:ascii="宋体" w:hAnsi="宋体" w:cs="宋体"/>
                <w:color w:val="auto"/>
                <w:sz w:val="24"/>
                <w:highlight w:val="none"/>
              </w:rPr>
            </w:pPr>
          </w:p>
        </w:tc>
        <w:tc>
          <w:tcPr>
            <w:tcW w:w="1123" w:type="dxa"/>
            <w:shd w:val="clear" w:color="auto" w:fill="auto"/>
          </w:tcPr>
          <w:p w14:paraId="16D3658B">
            <w:pPr>
              <w:spacing w:line="360" w:lineRule="auto"/>
              <w:rPr>
                <w:rFonts w:ascii="宋体" w:hAnsi="宋体" w:cs="宋体"/>
                <w:color w:val="auto"/>
                <w:sz w:val="24"/>
                <w:highlight w:val="none"/>
              </w:rPr>
            </w:pPr>
          </w:p>
        </w:tc>
        <w:tc>
          <w:tcPr>
            <w:tcW w:w="1091" w:type="dxa"/>
            <w:shd w:val="clear" w:color="auto" w:fill="auto"/>
          </w:tcPr>
          <w:p w14:paraId="368E99EA">
            <w:pPr>
              <w:spacing w:line="360" w:lineRule="auto"/>
              <w:rPr>
                <w:rFonts w:ascii="宋体" w:hAnsi="宋体" w:cs="宋体"/>
                <w:color w:val="auto"/>
                <w:sz w:val="24"/>
                <w:highlight w:val="none"/>
              </w:rPr>
            </w:pPr>
          </w:p>
        </w:tc>
        <w:tc>
          <w:tcPr>
            <w:tcW w:w="1195" w:type="dxa"/>
            <w:shd w:val="clear" w:color="auto" w:fill="auto"/>
          </w:tcPr>
          <w:p w14:paraId="49800623">
            <w:pPr>
              <w:spacing w:line="360" w:lineRule="auto"/>
              <w:rPr>
                <w:rFonts w:ascii="宋体" w:hAnsi="宋体" w:cs="宋体"/>
                <w:color w:val="auto"/>
                <w:sz w:val="24"/>
                <w:highlight w:val="none"/>
              </w:rPr>
            </w:pPr>
          </w:p>
        </w:tc>
        <w:tc>
          <w:tcPr>
            <w:tcW w:w="1269" w:type="dxa"/>
            <w:shd w:val="clear" w:color="auto" w:fill="auto"/>
          </w:tcPr>
          <w:p w14:paraId="765BCD25">
            <w:pPr>
              <w:spacing w:line="360" w:lineRule="auto"/>
              <w:rPr>
                <w:rFonts w:ascii="宋体" w:hAnsi="宋体" w:cs="宋体"/>
                <w:color w:val="auto"/>
                <w:sz w:val="24"/>
                <w:highlight w:val="none"/>
              </w:rPr>
            </w:pPr>
          </w:p>
        </w:tc>
        <w:tc>
          <w:tcPr>
            <w:tcW w:w="676" w:type="dxa"/>
            <w:shd w:val="clear" w:color="auto" w:fill="auto"/>
          </w:tcPr>
          <w:p w14:paraId="362D4E14">
            <w:pPr>
              <w:spacing w:line="360" w:lineRule="auto"/>
              <w:rPr>
                <w:rFonts w:ascii="宋体" w:hAnsi="宋体" w:cs="宋体"/>
                <w:color w:val="auto"/>
                <w:sz w:val="24"/>
                <w:highlight w:val="none"/>
              </w:rPr>
            </w:pPr>
          </w:p>
        </w:tc>
      </w:tr>
    </w:tbl>
    <w:p w14:paraId="6666CCAE">
      <w:pPr>
        <w:spacing w:line="360" w:lineRule="auto"/>
        <w:ind w:left="713"/>
        <w:rPr>
          <w:rFonts w:ascii="宋体" w:hAnsi="宋体" w:cs="宋体"/>
          <w:color w:val="auto"/>
          <w:sz w:val="24"/>
          <w:highlight w:val="none"/>
        </w:rPr>
      </w:pPr>
      <w:r>
        <w:rPr>
          <w:rFonts w:hint="eastAsia" w:ascii="宋体" w:hAnsi="宋体" w:cs="宋体"/>
          <w:color w:val="auto"/>
          <w:spacing w:val="-6"/>
          <w:sz w:val="24"/>
          <w:highlight w:val="none"/>
        </w:rPr>
        <w:t>备注： 1.若无分包计划，则供应商应在本表填写</w:t>
      </w:r>
      <w:r>
        <w:rPr>
          <w:rFonts w:hint="eastAsia" w:ascii="宋体" w:hAnsi="宋体" w:cs="宋体"/>
          <w:color w:val="auto"/>
          <w:spacing w:val="-7"/>
          <w:sz w:val="24"/>
          <w:highlight w:val="none"/>
        </w:rPr>
        <w:t>“无”。</w:t>
      </w:r>
    </w:p>
    <w:p w14:paraId="331949D2">
      <w:pPr>
        <w:spacing w:line="360" w:lineRule="auto"/>
        <w:ind w:firstLine="1428" w:firstLineChars="600"/>
        <w:rPr>
          <w:rFonts w:ascii="宋体" w:hAnsi="宋体" w:cs="宋体"/>
          <w:color w:val="auto"/>
          <w:spacing w:val="-2"/>
          <w:sz w:val="24"/>
          <w:highlight w:val="none"/>
        </w:rPr>
        <w:sectPr>
          <w:pgSz w:w="11906" w:h="16838"/>
          <w:pgMar w:top="1247" w:right="1247" w:bottom="1247" w:left="1247" w:header="851" w:footer="992" w:gutter="0"/>
          <w:pgNumType w:fmt="decimal"/>
          <w:cols w:space="720" w:num="1"/>
          <w:titlePg/>
          <w:docGrid w:linePitch="312" w:charSpace="0"/>
        </w:sectPr>
      </w:pPr>
      <w:r>
        <w:rPr>
          <w:rFonts w:hint="eastAsia" w:ascii="宋体" w:hAnsi="宋体" w:cs="宋体"/>
          <w:color w:val="auto"/>
          <w:spacing w:val="-1"/>
          <w:sz w:val="24"/>
          <w:highlight w:val="none"/>
        </w:rPr>
        <w:t>2.本表所列分包仅限于承包人自行施工范围内的非主体</w:t>
      </w:r>
      <w:r>
        <w:rPr>
          <w:rFonts w:hint="eastAsia" w:ascii="宋体" w:hAnsi="宋体" w:cs="宋体"/>
          <w:color w:val="auto"/>
          <w:spacing w:val="-2"/>
          <w:sz w:val="24"/>
          <w:highlight w:val="none"/>
        </w:rPr>
        <w:t>、非关键工程。</w:t>
      </w:r>
    </w:p>
    <w:p w14:paraId="10080068">
      <w:pPr>
        <w:tabs>
          <w:tab w:val="left" w:pos="5387"/>
        </w:tabs>
        <w:spacing w:line="360" w:lineRule="auto"/>
        <w:jc w:val="left"/>
        <w:rPr>
          <w:rFonts w:ascii="宋体" w:hAnsi="宋体"/>
          <w:b/>
          <w:color w:val="auto"/>
          <w:sz w:val="24"/>
          <w:highlight w:val="none"/>
        </w:rPr>
      </w:pPr>
      <w:r>
        <w:rPr>
          <w:rFonts w:hint="eastAsia" w:ascii="宋体" w:hAnsi="宋体"/>
          <w:b/>
          <w:color w:val="auto"/>
          <w:sz w:val="24"/>
          <w:highlight w:val="none"/>
        </w:rPr>
        <w:t>附件12</w:t>
      </w:r>
    </w:p>
    <w:p w14:paraId="72252714">
      <w:pPr>
        <w:tabs>
          <w:tab w:val="left" w:pos="5387"/>
        </w:tabs>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建设工程项目管理承诺书</w:t>
      </w:r>
    </w:p>
    <w:p w14:paraId="7436F2EB">
      <w:pPr>
        <w:spacing w:line="360" w:lineRule="auto"/>
        <w:jc w:val="lef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61E7FBBE">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作为参与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（工程名称）项目的磋商供应商，根据国家、自治区相关文件规定，我方在此向采购人承诺：</w:t>
      </w:r>
    </w:p>
    <w:p w14:paraId="7270AE68">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1、一旦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6827DE9D">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2834B3F8">
      <w:pPr>
        <w:spacing w:line="360" w:lineRule="auto"/>
        <w:ind w:left="-2" w:leftChars="-1" w:firstLine="513" w:firstLineChars="214"/>
        <w:jc w:val="left"/>
        <w:rPr>
          <w:rFonts w:ascii="宋体" w:hAnsi="宋体" w:cs="宋体"/>
          <w:color w:val="auto"/>
          <w:sz w:val="24"/>
          <w:highlight w:val="none"/>
        </w:rPr>
      </w:pPr>
      <w:r>
        <w:rPr>
          <w:rFonts w:hint="eastAsia" w:ascii="宋体" w:hAnsi="宋体" w:cs="宋体"/>
          <w:color w:val="auto"/>
          <w:sz w:val="24"/>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31FBD958">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10D80602">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F4D36CE">
      <w:pPr>
        <w:pStyle w:val="7"/>
        <w:overflowPunct w:val="0"/>
        <w:spacing w:line="360" w:lineRule="auto"/>
        <w:ind w:firstLine="0"/>
        <w:contextualSpacing/>
        <w:jc w:val="left"/>
        <w:rPr>
          <w:rFonts w:ascii="宋体" w:hAnsi="宋体" w:cs="方正小标宋简体"/>
          <w:color w:val="auto"/>
          <w:sz w:val="24"/>
          <w:szCs w:val="24"/>
          <w:highlight w:val="none"/>
        </w:rPr>
      </w:pPr>
    </w:p>
    <w:p w14:paraId="3BA1193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0C8E3F8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01E7790C">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4653841">
      <w:pPr>
        <w:spacing w:line="360" w:lineRule="auto"/>
        <w:jc w:val="center"/>
        <w:rPr>
          <w:rFonts w:ascii="宋体" w:hAnsi="宋体"/>
          <w:b/>
          <w:color w:val="auto"/>
          <w:sz w:val="28"/>
          <w:szCs w:val="28"/>
          <w:highlight w:val="none"/>
        </w:rPr>
      </w:pPr>
    </w:p>
    <w:p w14:paraId="35370BA3">
      <w:pPr>
        <w:spacing w:line="360" w:lineRule="auto"/>
        <w:jc w:val="center"/>
        <w:rPr>
          <w:rFonts w:ascii="宋体" w:hAnsi="宋体"/>
          <w:b/>
          <w:color w:val="auto"/>
          <w:sz w:val="28"/>
          <w:szCs w:val="28"/>
          <w:highlight w:val="none"/>
        </w:rPr>
      </w:pPr>
    </w:p>
    <w:p w14:paraId="48292A52">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广西壮族自治区建筑工程安全文明施工措施项目清单内容</w:t>
      </w:r>
    </w:p>
    <w:p w14:paraId="487D3CEA">
      <w:pPr>
        <w:spacing w:line="360" w:lineRule="auto"/>
        <w:jc w:val="center"/>
        <w:rPr>
          <w:rFonts w:ascii="宋体" w:hAnsi="宋体"/>
          <w:bCs/>
          <w:color w:val="auto"/>
          <w:sz w:val="24"/>
          <w:highlight w:val="none"/>
        </w:rPr>
      </w:pPr>
      <w:r>
        <w:rPr>
          <w:rFonts w:hint="eastAsia" w:ascii="宋体" w:hAnsi="宋体"/>
          <w:bCs/>
          <w:color w:val="auto"/>
          <w:sz w:val="24"/>
          <w:highlight w:val="none"/>
        </w:rPr>
        <w:t>（桂建质〔2015〕16号文附件一）</w:t>
      </w:r>
    </w:p>
    <w:p w14:paraId="2290D1CD">
      <w:pPr>
        <w:spacing w:line="360" w:lineRule="auto"/>
        <w:jc w:val="center"/>
        <w:rPr>
          <w:rFonts w:ascii="宋体" w:hAnsi="宋体"/>
          <w:b/>
          <w:color w:val="auto"/>
          <w:sz w:val="24"/>
          <w:highlight w:val="none"/>
        </w:rPr>
      </w:pPr>
      <w:r>
        <w:rPr>
          <w:rFonts w:hint="eastAsia" w:ascii="宋体" w:hAnsi="宋体"/>
          <w:b/>
          <w:color w:val="auto"/>
          <w:sz w:val="24"/>
          <w:highlight w:val="none"/>
        </w:rPr>
        <w:t>广西壮族自治区</w:t>
      </w:r>
    </w:p>
    <w:p w14:paraId="1375FFEA">
      <w:pPr>
        <w:spacing w:line="360" w:lineRule="auto"/>
        <w:jc w:val="center"/>
        <w:rPr>
          <w:rFonts w:ascii="宋体" w:hAnsi="宋体"/>
          <w:b/>
          <w:color w:val="auto"/>
          <w:sz w:val="24"/>
          <w:highlight w:val="none"/>
        </w:rPr>
      </w:pPr>
      <w:r>
        <w:rPr>
          <w:rFonts w:hint="eastAsia" w:ascii="宋体" w:hAnsi="宋体"/>
          <w:b/>
          <w:color w:val="auto"/>
          <w:sz w:val="24"/>
          <w:highlight w:val="none"/>
        </w:rPr>
        <w:t>建设工程安全文明施工措施项目清单内容</w:t>
      </w:r>
    </w:p>
    <w:tbl>
      <w:tblPr>
        <w:tblStyle w:val="40"/>
        <w:tblpPr w:leftFromText="180" w:rightFromText="180" w:vertAnchor="text" w:horzAnchor="page" w:tblpX="1320" w:tblpY="4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260"/>
        <w:gridCol w:w="6930"/>
      </w:tblGrid>
      <w:tr w14:paraId="7EAD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blHeader/>
        </w:trPr>
        <w:tc>
          <w:tcPr>
            <w:tcW w:w="738" w:type="dxa"/>
            <w:tcBorders>
              <w:top w:val="single" w:color="auto" w:sz="4" w:space="0"/>
              <w:left w:val="single" w:color="auto" w:sz="4" w:space="0"/>
              <w:bottom w:val="single" w:color="auto" w:sz="4" w:space="0"/>
              <w:right w:val="single" w:color="auto" w:sz="4" w:space="0"/>
            </w:tcBorders>
            <w:vAlign w:val="center"/>
          </w:tcPr>
          <w:p w14:paraId="5342FD39">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类别</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9CF0F40">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6930" w:type="dxa"/>
            <w:tcBorders>
              <w:top w:val="single" w:color="auto" w:sz="4" w:space="0"/>
              <w:left w:val="single" w:color="auto" w:sz="4" w:space="0"/>
              <w:bottom w:val="single" w:color="auto" w:sz="4" w:space="0"/>
              <w:right w:val="single" w:color="auto" w:sz="4" w:space="0"/>
            </w:tcBorders>
            <w:vAlign w:val="center"/>
          </w:tcPr>
          <w:p w14:paraId="038578B7">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主要内容和要求</w:t>
            </w:r>
          </w:p>
        </w:tc>
      </w:tr>
      <w:tr w14:paraId="354E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2239458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文明</w:t>
            </w:r>
          </w:p>
          <w:p w14:paraId="4E5D4DF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w:t>
            </w:r>
          </w:p>
          <w:p w14:paraId="1B6A387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与</w:t>
            </w:r>
          </w:p>
          <w:p w14:paraId="1A89719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环境</w:t>
            </w:r>
          </w:p>
          <w:p w14:paraId="4D4334B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保护</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55239B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安全警示</w:t>
            </w:r>
          </w:p>
          <w:p w14:paraId="1670DC8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标志牌</w:t>
            </w:r>
          </w:p>
        </w:tc>
        <w:tc>
          <w:tcPr>
            <w:tcW w:w="6930" w:type="dxa"/>
            <w:tcBorders>
              <w:top w:val="single" w:color="auto" w:sz="4" w:space="0"/>
              <w:left w:val="single" w:color="auto" w:sz="4" w:space="0"/>
              <w:bottom w:val="single" w:color="auto" w:sz="4" w:space="0"/>
              <w:right w:val="single" w:color="auto" w:sz="4" w:space="0"/>
            </w:tcBorders>
            <w:vAlign w:val="center"/>
          </w:tcPr>
          <w:p w14:paraId="2E3A9E5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在易发伤亡事故（或危险）处设置明显的、符合国家标准要求的安全警示标志牌。</w:t>
            </w:r>
          </w:p>
        </w:tc>
      </w:tr>
      <w:tr w14:paraId="3CA0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2AD4B54">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001DDA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现场围挡</w:t>
            </w:r>
          </w:p>
        </w:tc>
        <w:tc>
          <w:tcPr>
            <w:tcW w:w="6930" w:type="dxa"/>
            <w:tcBorders>
              <w:top w:val="single" w:color="auto" w:sz="4" w:space="0"/>
              <w:left w:val="single" w:color="auto" w:sz="4" w:space="0"/>
              <w:bottom w:val="single" w:color="auto" w:sz="4" w:space="0"/>
              <w:right w:val="single" w:color="auto" w:sz="4" w:space="0"/>
            </w:tcBorders>
            <w:vAlign w:val="center"/>
          </w:tcPr>
          <w:p w14:paraId="4B17428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1.现场采用封闭围挡，高度不小于1.8m。</w:t>
            </w:r>
          </w:p>
          <w:p w14:paraId="7A9191D1">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2.围挡材料可用彩色、定型钢板，砖、砼砌块等墙体。</w:t>
            </w:r>
          </w:p>
        </w:tc>
      </w:tr>
      <w:tr w14:paraId="4E2F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CE09C0A">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EEE55A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七牌二图</w:t>
            </w:r>
          </w:p>
        </w:tc>
        <w:tc>
          <w:tcPr>
            <w:tcW w:w="6930" w:type="dxa"/>
            <w:tcBorders>
              <w:top w:val="single" w:color="auto" w:sz="4" w:space="0"/>
              <w:left w:val="single" w:color="auto" w:sz="4" w:space="0"/>
              <w:bottom w:val="single" w:color="auto" w:sz="4" w:space="0"/>
              <w:right w:val="single" w:color="auto" w:sz="4" w:space="0"/>
            </w:tcBorders>
            <w:vAlign w:val="center"/>
          </w:tcPr>
          <w:p w14:paraId="332FC70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在进门处悬挂工程概况、现场出入制度、管理人员名单及监督电话、安全生产规定、文明施工、消防保卫、节能公示等七牌以及；施工现场总平面图、工程效果图。</w:t>
            </w:r>
          </w:p>
        </w:tc>
      </w:tr>
      <w:tr w14:paraId="6966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2544B13">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73D033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企业标志</w:t>
            </w:r>
          </w:p>
        </w:tc>
        <w:tc>
          <w:tcPr>
            <w:tcW w:w="6930" w:type="dxa"/>
            <w:tcBorders>
              <w:top w:val="single" w:color="auto" w:sz="4" w:space="0"/>
              <w:left w:val="single" w:color="auto" w:sz="4" w:space="0"/>
              <w:bottom w:val="single" w:color="auto" w:sz="4" w:space="0"/>
              <w:right w:val="single" w:color="auto" w:sz="4" w:space="0"/>
            </w:tcBorders>
            <w:vAlign w:val="center"/>
          </w:tcPr>
          <w:p w14:paraId="6A86439E">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现场出入的大门应设有本企业标志或企业标识。</w:t>
            </w:r>
          </w:p>
        </w:tc>
      </w:tr>
      <w:tr w14:paraId="076D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B549BD1">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16AD9A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场容场貌</w:t>
            </w:r>
          </w:p>
        </w:tc>
        <w:tc>
          <w:tcPr>
            <w:tcW w:w="6930" w:type="dxa"/>
            <w:tcBorders>
              <w:top w:val="single" w:color="auto" w:sz="4" w:space="0"/>
              <w:left w:val="single" w:color="auto" w:sz="4" w:space="0"/>
              <w:bottom w:val="single" w:color="auto" w:sz="4" w:space="0"/>
              <w:right w:val="single" w:color="auto" w:sz="4" w:space="0"/>
            </w:tcBorders>
            <w:vAlign w:val="center"/>
          </w:tcPr>
          <w:p w14:paraId="6862AED9">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1.道路畅通；</w:t>
            </w:r>
          </w:p>
          <w:p w14:paraId="387E6E5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2.排水沟、排水设施畅通；</w:t>
            </w:r>
          </w:p>
          <w:p w14:paraId="210F65B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3.工地地面硬化处理（办公区，生活区，现场道路，材料堆放、混凝土搅拌、砂浆搅拌、钢筋加工等场地，外脚手架基础等）。</w:t>
            </w:r>
          </w:p>
        </w:tc>
      </w:tr>
      <w:tr w14:paraId="4660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35E072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6C6961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材料堆放</w:t>
            </w:r>
          </w:p>
        </w:tc>
        <w:tc>
          <w:tcPr>
            <w:tcW w:w="6930" w:type="dxa"/>
            <w:tcBorders>
              <w:top w:val="single" w:color="auto" w:sz="4" w:space="0"/>
              <w:left w:val="single" w:color="auto" w:sz="4" w:space="0"/>
              <w:bottom w:val="single" w:color="auto" w:sz="4" w:space="0"/>
              <w:right w:val="single" w:color="auto" w:sz="4" w:space="0"/>
            </w:tcBorders>
            <w:vAlign w:val="center"/>
          </w:tcPr>
          <w:p w14:paraId="187B945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（1）材料、构件、料具等堆放时，悬挂有名称、品种、规格等标牌；</w:t>
            </w:r>
          </w:p>
          <w:p w14:paraId="63CEB25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（2）水泥和其他易飞扬细颗粒建筑材料应封闭存放或采取覆盖等措施；</w:t>
            </w:r>
          </w:p>
          <w:p w14:paraId="280904B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（3）易燃、易爆和有毒有害物品分类存放。</w:t>
            </w:r>
          </w:p>
        </w:tc>
      </w:tr>
      <w:tr w14:paraId="79AA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52DE63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F8CDAD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现场防火</w:t>
            </w:r>
          </w:p>
        </w:tc>
        <w:tc>
          <w:tcPr>
            <w:tcW w:w="6930" w:type="dxa"/>
            <w:tcBorders>
              <w:top w:val="single" w:color="auto" w:sz="4" w:space="0"/>
              <w:left w:val="single" w:color="auto" w:sz="4" w:space="0"/>
              <w:bottom w:val="single" w:color="auto" w:sz="4" w:space="0"/>
              <w:right w:val="single" w:color="auto" w:sz="4" w:space="0"/>
            </w:tcBorders>
            <w:vAlign w:val="center"/>
          </w:tcPr>
          <w:p w14:paraId="4D903F8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消防器材配置合理，符合消防要求。</w:t>
            </w:r>
          </w:p>
        </w:tc>
      </w:tr>
      <w:tr w14:paraId="5071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970296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5FB4952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垃圾清运</w:t>
            </w:r>
          </w:p>
        </w:tc>
        <w:tc>
          <w:tcPr>
            <w:tcW w:w="6930" w:type="dxa"/>
            <w:tcBorders>
              <w:top w:val="single" w:color="auto" w:sz="4" w:space="0"/>
              <w:left w:val="single" w:color="auto" w:sz="4" w:space="0"/>
              <w:bottom w:val="single" w:color="auto" w:sz="4" w:space="0"/>
              <w:right w:val="single" w:color="auto" w:sz="4" w:space="0"/>
            </w:tcBorders>
            <w:vAlign w:val="center"/>
          </w:tcPr>
          <w:p w14:paraId="179D847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1.施工现场应设置密闭式垃圾站，施工垃圾、生活垃圾应分类存放。</w:t>
            </w:r>
          </w:p>
          <w:p w14:paraId="1A726BB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2.施工垃圾必须采用相应容器或管道运输。</w:t>
            </w:r>
          </w:p>
        </w:tc>
      </w:tr>
      <w:tr w14:paraId="4D3B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81D22D4">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E66C13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宣传栏、环保及不扰民措施</w:t>
            </w:r>
          </w:p>
        </w:tc>
        <w:tc>
          <w:tcPr>
            <w:tcW w:w="6930" w:type="dxa"/>
            <w:tcBorders>
              <w:top w:val="single" w:color="auto" w:sz="4" w:space="0"/>
              <w:left w:val="single" w:color="auto" w:sz="4" w:space="0"/>
              <w:bottom w:val="single" w:color="auto" w:sz="4" w:space="0"/>
              <w:right w:val="single" w:color="auto" w:sz="4" w:space="0"/>
            </w:tcBorders>
            <w:vAlign w:val="center"/>
          </w:tcPr>
          <w:p w14:paraId="2FD9757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宣传栏、安全宣传标语等，洗车（防止污染市区道路）、粉尘、噪声控制，排污（污水、废气）措施等。</w:t>
            </w:r>
          </w:p>
        </w:tc>
      </w:tr>
      <w:tr w14:paraId="13D8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5D02523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临时设施</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526D26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现场办公</w:t>
            </w:r>
          </w:p>
          <w:p w14:paraId="04DC4117">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生活设施</w:t>
            </w:r>
          </w:p>
        </w:tc>
        <w:tc>
          <w:tcPr>
            <w:tcW w:w="6930" w:type="dxa"/>
            <w:tcBorders>
              <w:top w:val="single" w:color="auto" w:sz="4" w:space="0"/>
              <w:left w:val="single" w:color="auto" w:sz="4" w:space="0"/>
              <w:bottom w:val="single" w:color="auto" w:sz="4" w:space="0"/>
              <w:right w:val="single" w:color="auto" w:sz="4" w:space="0"/>
            </w:tcBorders>
            <w:vAlign w:val="center"/>
          </w:tcPr>
          <w:p w14:paraId="202D09E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1.施工现场办公、生活区与作业区分开设置，保持安全距离。</w:t>
            </w:r>
          </w:p>
          <w:p w14:paraId="28EA018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2.工地办公室、现场宿舍、食堂、厕所、饮水、沐浴、休息场所等符合卫生、消防安全要求；</w:t>
            </w:r>
          </w:p>
        </w:tc>
      </w:tr>
      <w:tr w14:paraId="6840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152F6B2">
            <w:pPr>
              <w:spacing w:line="360" w:lineRule="auto"/>
              <w:jc w:val="center"/>
              <w:rPr>
                <w:rFonts w:ascii="宋体" w:hAnsi="宋体" w:cs="宋体"/>
                <w:bCs/>
                <w:color w:val="auto"/>
                <w:sz w:val="24"/>
                <w:highlight w:val="none"/>
              </w:rPr>
            </w:pP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7DAA777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施工现场</w:t>
            </w:r>
          </w:p>
          <w:p w14:paraId="292EA30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临时用电</w:t>
            </w:r>
          </w:p>
        </w:tc>
        <w:tc>
          <w:tcPr>
            <w:tcW w:w="1260" w:type="dxa"/>
            <w:tcBorders>
              <w:top w:val="single" w:color="auto" w:sz="4" w:space="0"/>
              <w:left w:val="single" w:color="auto" w:sz="4" w:space="0"/>
              <w:bottom w:val="single" w:color="auto" w:sz="4" w:space="0"/>
              <w:right w:val="single" w:color="auto" w:sz="4" w:space="0"/>
            </w:tcBorders>
            <w:vAlign w:val="center"/>
          </w:tcPr>
          <w:p w14:paraId="69C9C3E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配电线路</w:t>
            </w:r>
          </w:p>
        </w:tc>
        <w:tc>
          <w:tcPr>
            <w:tcW w:w="6930" w:type="dxa"/>
            <w:tcBorders>
              <w:top w:val="single" w:color="auto" w:sz="4" w:space="0"/>
              <w:left w:val="single" w:color="auto" w:sz="4" w:space="0"/>
              <w:bottom w:val="single" w:color="auto" w:sz="4" w:space="0"/>
              <w:right w:val="single" w:color="auto" w:sz="4" w:space="0"/>
            </w:tcBorders>
            <w:vAlign w:val="center"/>
          </w:tcPr>
          <w:p w14:paraId="638115C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1.按照TN-S系统要求配备五芯电缆、四芯电缆和三芯电缆。</w:t>
            </w:r>
          </w:p>
          <w:p w14:paraId="548B6BC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2.按要求架设临时用电线路的电杆、横担、瓷夹、瓷瓶等，或电缆埋地的地沟。</w:t>
            </w:r>
          </w:p>
          <w:p w14:paraId="74C1051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3.对靠近施工现场的外电线路，设置木质、塑料等绝缘体的防护设施。</w:t>
            </w:r>
          </w:p>
        </w:tc>
      </w:tr>
      <w:tr w14:paraId="2887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EA55C28">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FFDF0B6">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45505BE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配电箱</w:t>
            </w:r>
          </w:p>
          <w:p w14:paraId="3E3006D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开关箱</w:t>
            </w:r>
          </w:p>
        </w:tc>
        <w:tc>
          <w:tcPr>
            <w:tcW w:w="6930" w:type="dxa"/>
            <w:tcBorders>
              <w:top w:val="single" w:color="auto" w:sz="4" w:space="0"/>
              <w:left w:val="single" w:color="auto" w:sz="4" w:space="0"/>
              <w:bottom w:val="single" w:color="auto" w:sz="4" w:space="0"/>
              <w:right w:val="single" w:color="auto" w:sz="4" w:space="0"/>
            </w:tcBorders>
            <w:vAlign w:val="center"/>
          </w:tcPr>
          <w:p w14:paraId="7D775D5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1.按三级配电要求，配备总配电箱、分配电箱、开关箱三类（铁质）标准电箱。开关箱应符合一机、一箱、一闸、一漏。三类电箱中的各类电器应是合格品。</w:t>
            </w:r>
          </w:p>
          <w:p w14:paraId="2D182A5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2.按两级保护的要求，选取符合容量要求和质量合格的总配电箱和开关箱中的漏电保护器。</w:t>
            </w:r>
          </w:p>
          <w:p w14:paraId="4E00049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3.对大型、落地式分配电箱、开关箱设置防护棚和通透式围挡。</w:t>
            </w:r>
          </w:p>
        </w:tc>
      </w:tr>
      <w:tr w14:paraId="46E0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10EB424">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25C2E3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4A2067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接地装置</w:t>
            </w:r>
          </w:p>
        </w:tc>
        <w:tc>
          <w:tcPr>
            <w:tcW w:w="6930" w:type="dxa"/>
            <w:tcBorders>
              <w:top w:val="single" w:color="auto" w:sz="4" w:space="0"/>
              <w:left w:val="single" w:color="auto" w:sz="4" w:space="0"/>
              <w:bottom w:val="single" w:color="auto" w:sz="4" w:space="0"/>
              <w:right w:val="single" w:color="auto" w:sz="4" w:space="0"/>
            </w:tcBorders>
            <w:vAlign w:val="center"/>
          </w:tcPr>
          <w:p w14:paraId="4287C4B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施工现场应设置不少于三处的接地保护装置。</w:t>
            </w:r>
          </w:p>
        </w:tc>
      </w:tr>
      <w:tr w14:paraId="4EDD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CCF9491">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722A394">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C87602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现场变配电装置</w:t>
            </w:r>
          </w:p>
        </w:tc>
        <w:tc>
          <w:tcPr>
            <w:tcW w:w="6930" w:type="dxa"/>
            <w:tcBorders>
              <w:top w:val="single" w:color="auto" w:sz="4" w:space="0"/>
              <w:left w:val="single" w:color="auto" w:sz="4" w:space="0"/>
              <w:bottom w:val="single" w:color="auto" w:sz="4" w:space="0"/>
              <w:right w:val="single" w:color="auto" w:sz="4" w:space="0"/>
            </w:tcBorders>
            <w:vAlign w:val="center"/>
          </w:tcPr>
          <w:p w14:paraId="156AE15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总配电室建筑材料必须达到三级防火要求，室内做硬地坪、电缆沟、吊顶。</w:t>
            </w:r>
          </w:p>
        </w:tc>
      </w:tr>
      <w:tr w14:paraId="467F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30660B3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安全施工</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3921B73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临边洞口交叉高处作业防护</w:t>
            </w:r>
          </w:p>
        </w:tc>
        <w:tc>
          <w:tcPr>
            <w:tcW w:w="1260" w:type="dxa"/>
            <w:tcBorders>
              <w:top w:val="single" w:color="auto" w:sz="4" w:space="0"/>
              <w:left w:val="single" w:color="auto" w:sz="4" w:space="0"/>
              <w:bottom w:val="single" w:color="auto" w:sz="4" w:space="0"/>
              <w:right w:val="single" w:color="auto" w:sz="4" w:space="0"/>
            </w:tcBorders>
            <w:vAlign w:val="center"/>
          </w:tcPr>
          <w:p w14:paraId="1024FFB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楼层、屋面、阳台等临边</w:t>
            </w:r>
          </w:p>
        </w:tc>
        <w:tc>
          <w:tcPr>
            <w:tcW w:w="6930" w:type="dxa"/>
            <w:tcBorders>
              <w:top w:val="single" w:color="auto" w:sz="4" w:space="0"/>
              <w:left w:val="single" w:color="auto" w:sz="4" w:space="0"/>
              <w:bottom w:val="single" w:color="auto" w:sz="4" w:space="0"/>
              <w:right w:val="single" w:color="auto" w:sz="4" w:space="0"/>
            </w:tcBorders>
            <w:vAlign w:val="center"/>
          </w:tcPr>
          <w:p w14:paraId="6E95E5F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 xml:space="preserve">设两道防护栏杆和18cm高的踢脚板，用密目式安全立网全封闭。 </w:t>
            </w:r>
          </w:p>
        </w:tc>
      </w:tr>
      <w:tr w14:paraId="3334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AE123B8">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1B0AE956">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F69388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通道口</w:t>
            </w:r>
          </w:p>
        </w:tc>
        <w:tc>
          <w:tcPr>
            <w:tcW w:w="6930" w:type="dxa"/>
            <w:tcBorders>
              <w:top w:val="single" w:color="auto" w:sz="4" w:space="0"/>
              <w:left w:val="single" w:color="auto" w:sz="4" w:space="0"/>
              <w:bottom w:val="single" w:color="auto" w:sz="4" w:space="0"/>
              <w:right w:val="single" w:color="auto" w:sz="4" w:space="0"/>
            </w:tcBorders>
            <w:vAlign w:val="center"/>
          </w:tcPr>
          <w:p w14:paraId="676420E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设防护棚，防护棚应为不小于5cm厚的木板或两道相距50cm的竹笆。两侧应沿栏杆架用密目式安全网封闭。</w:t>
            </w:r>
          </w:p>
        </w:tc>
      </w:tr>
      <w:tr w14:paraId="56BF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FE065EF">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1F0CF400">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09C940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预留洞口</w:t>
            </w:r>
          </w:p>
        </w:tc>
        <w:tc>
          <w:tcPr>
            <w:tcW w:w="6930" w:type="dxa"/>
            <w:tcBorders>
              <w:top w:val="single" w:color="auto" w:sz="4" w:space="0"/>
              <w:left w:val="single" w:color="auto" w:sz="4" w:space="0"/>
              <w:bottom w:val="single" w:color="auto" w:sz="4" w:space="0"/>
              <w:right w:val="single" w:color="auto" w:sz="4" w:space="0"/>
            </w:tcBorders>
            <w:vAlign w:val="center"/>
          </w:tcPr>
          <w:p w14:paraId="53D36661">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用硬质材料全封闭；短边超过1.5m长的洞口，除封闭外四周还应设有防护栏杆。</w:t>
            </w:r>
          </w:p>
        </w:tc>
      </w:tr>
      <w:tr w14:paraId="3652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92EA9E4">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886E1D1">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C4253E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电梯井口</w:t>
            </w:r>
          </w:p>
        </w:tc>
        <w:tc>
          <w:tcPr>
            <w:tcW w:w="6930" w:type="dxa"/>
            <w:tcBorders>
              <w:top w:val="single" w:color="auto" w:sz="4" w:space="0"/>
              <w:left w:val="single" w:color="auto" w:sz="4" w:space="0"/>
              <w:bottom w:val="single" w:color="auto" w:sz="4" w:space="0"/>
              <w:right w:val="single" w:color="auto" w:sz="4" w:space="0"/>
            </w:tcBorders>
            <w:vAlign w:val="center"/>
          </w:tcPr>
          <w:p w14:paraId="711593C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设置定型化、工具化的防护门。在电梯井内每隔2层（不大于10m）设置一道水平防护。</w:t>
            </w:r>
          </w:p>
        </w:tc>
      </w:tr>
      <w:tr w14:paraId="24C8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988F5F7">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489AD6E7">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1CB837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楼梯边</w:t>
            </w:r>
          </w:p>
        </w:tc>
        <w:tc>
          <w:tcPr>
            <w:tcW w:w="6930" w:type="dxa"/>
            <w:tcBorders>
              <w:top w:val="single" w:color="auto" w:sz="4" w:space="0"/>
              <w:left w:val="single" w:color="auto" w:sz="4" w:space="0"/>
              <w:bottom w:val="single" w:color="auto" w:sz="4" w:space="0"/>
              <w:right w:val="single" w:color="auto" w:sz="4" w:space="0"/>
            </w:tcBorders>
            <w:vAlign w:val="center"/>
          </w:tcPr>
          <w:p w14:paraId="7744219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设1.2m高的定型化、工具化、标准化的防护栏，18cm高的踢脚板。</w:t>
            </w:r>
          </w:p>
        </w:tc>
      </w:tr>
      <w:tr w14:paraId="1168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DC17F83">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00DEC44B">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ADDA5F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垂直方向交叉作业</w:t>
            </w:r>
          </w:p>
        </w:tc>
        <w:tc>
          <w:tcPr>
            <w:tcW w:w="6930" w:type="dxa"/>
            <w:tcBorders>
              <w:top w:val="single" w:color="auto" w:sz="4" w:space="0"/>
              <w:left w:val="single" w:color="auto" w:sz="4" w:space="0"/>
              <w:bottom w:val="single" w:color="auto" w:sz="4" w:space="0"/>
              <w:right w:val="single" w:color="auto" w:sz="4" w:space="0"/>
            </w:tcBorders>
            <w:vAlign w:val="center"/>
          </w:tcPr>
          <w:p w14:paraId="322F42F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设置防护隔离棚或其他设施。</w:t>
            </w:r>
          </w:p>
        </w:tc>
      </w:tr>
      <w:tr w14:paraId="608A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282484A">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75785DA2">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A78929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高空作业</w:t>
            </w:r>
          </w:p>
        </w:tc>
        <w:tc>
          <w:tcPr>
            <w:tcW w:w="6930" w:type="dxa"/>
            <w:tcBorders>
              <w:top w:val="single" w:color="auto" w:sz="4" w:space="0"/>
              <w:left w:val="single" w:color="auto" w:sz="4" w:space="0"/>
              <w:bottom w:val="single" w:color="auto" w:sz="4" w:space="0"/>
              <w:right w:val="single" w:color="auto" w:sz="4" w:space="0"/>
            </w:tcBorders>
            <w:vAlign w:val="center"/>
          </w:tcPr>
          <w:p w14:paraId="32D25F88">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有悬挂安全带的悬索或其他设施；有操作平台；有上下的梯子或其他形式的通道。</w:t>
            </w:r>
          </w:p>
        </w:tc>
      </w:tr>
      <w:tr w14:paraId="74FC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19144D3">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1A9099B3">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2F5CEA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基坑、物料平台</w:t>
            </w:r>
          </w:p>
        </w:tc>
        <w:tc>
          <w:tcPr>
            <w:tcW w:w="6930" w:type="dxa"/>
            <w:tcBorders>
              <w:top w:val="single" w:color="auto" w:sz="4" w:space="0"/>
              <w:left w:val="single" w:color="auto" w:sz="4" w:space="0"/>
              <w:bottom w:val="single" w:color="auto" w:sz="4" w:space="0"/>
              <w:right w:val="single" w:color="auto" w:sz="4" w:space="0"/>
            </w:tcBorders>
            <w:vAlign w:val="center"/>
          </w:tcPr>
          <w:p w14:paraId="02132CD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设1.2m高标准化的防护栏，用密目式安全立网封闭，悬挂标识。</w:t>
            </w:r>
          </w:p>
        </w:tc>
      </w:tr>
      <w:tr w14:paraId="4541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55D2FAF">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949CC4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安全防护用品</w:t>
            </w:r>
          </w:p>
        </w:tc>
        <w:tc>
          <w:tcPr>
            <w:tcW w:w="6930" w:type="dxa"/>
            <w:tcBorders>
              <w:top w:val="single" w:color="auto" w:sz="4" w:space="0"/>
              <w:left w:val="single" w:color="auto" w:sz="4" w:space="0"/>
              <w:bottom w:val="single" w:color="auto" w:sz="4" w:space="0"/>
              <w:right w:val="single" w:color="auto" w:sz="4" w:space="0"/>
            </w:tcBorders>
            <w:vAlign w:val="center"/>
          </w:tcPr>
          <w:p w14:paraId="23D6A9C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安全帽、安全带、特种作业人员（电工、焊工、架子工等）防护服装、用品等。</w:t>
            </w:r>
          </w:p>
        </w:tc>
      </w:tr>
      <w:tr w14:paraId="168E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55D930A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其他</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61F81667">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机械设备防护</w:t>
            </w:r>
          </w:p>
        </w:tc>
        <w:tc>
          <w:tcPr>
            <w:tcW w:w="1260" w:type="dxa"/>
            <w:tcBorders>
              <w:top w:val="single" w:color="auto" w:sz="4" w:space="0"/>
              <w:left w:val="single" w:color="auto" w:sz="4" w:space="0"/>
              <w:bottom w:val="single" w:color="auto" w:sz="4" w:space="0"/>
              <w:right w:val="single" w:color="auto" w:sz="4" w:space="0"/>
            </w:tcBorders>
            <w:vAlign w:val="center"/>
          </w:tcPr>
          <w:p w14:paraId="051514F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中小型机械</w:t>
            </w:r>
          </w:p>
        </w:tc>
        <w:tc>
          <w:tcPr>
            <w:tcW w:w="6930" w:type="dxa"/>
            <w:tcBorders>
              <w:top w:val="single" w:color="auto" w:sz="4" w:space="0"/>
              <w:left w:val="single" w:color="auto" w:sz="4" w:space="0"/>
              <w:bottom w:val="single" w:color="auto" w:sz="4" w:space="0"/>
              <w:right w:val="single" w:color="auto" w:sz="4" w:space="0"/>
            </w:tcBorders>
            <w:vAlign w:val="center"/>
          </w:tcPr>
          <w:p w14:paraId="3C888B8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设防护棚（同通道口防护并有防雨措施）。</w:t>
            </w:r>
          </w:p>
        </w:tc>
      </w:tr>
      <w:tr w14:paraId="68D3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497DE7D">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61317D2C">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947E37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垂直运输设备防护</w:t>
            </w:r>
          </w:p>
        </w:tc>
        <w:tc>
          <w:tcPr>
            <w:tcW w:w="6930" w:type="dxa"/>
            <w:tcBorders>
              <w:top w:val="single" w:color="auto" w:sz="4" w:space="0"/>
              <w:left w:val="single" w:color="auto" w:sz="4" w:space="0"/>
              <w:bottom w:val="single" w:color="auto" w:sz="4" w:space="0"/>
              <w:right w:val="single" w:color="auto" w:sz="4" w:space="0"/>
            </w:tcBorders>
            <w:vAlign w:val="center"/>
          </w:tcPr>
          <w:p w14:paraId="021373B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（1）垂直运输设备检测、检验。</w:t>
            </w:r>
          </w:p>
          <w:p w14:paraId="7AD96F8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（2）物料提升机、施工电梯等物料平台搭设、外侧用密目式安全立网全封闭，安全防护门、防护棚等。</w:t>
            </w:r>
          </w:p>
        </w:tc>
      </w:tr>
      <w:tr w14:paraId="024E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CDAE345">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F9976F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专家论证审查</w:t>
            </w:r>
          </w:p>
        </w:tc>
        <w:tc>
          <w:tcPr>
            <w:tcW w:w="6930" w:type="dxa"/>
            <w:tcBorders>
              <w:top w:val="single" w:color="auto" w:sz="4" w:space="0"/>
              <w:left w:val="single" w:color="auto" w:sz="4" w:space="0"/>
              <w:bottom w:val="single" w:color="auto" w:sz="4" w:space="0"/>
              <w:right w:val="single" w:color="auto" w:sz="4" w:space="0"/>
            </w:tcBorders>
            <w:vAlign w:val="center"/>
          </w:tcPr>
          <w:p w14:paraId="5129F55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超过一定规模的危险性较大分部分项工程专家论证审查。</w:t>
            </w:r>
          </w:p>
        </w:tc>
      </w:tr>
      <w:tr w14:paraId="765E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171A987">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3F8E34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应急救援预案</w:t>
            </w:r>
          </w:p>
        </w:tc>
        <w:tc>
          <w:tcPr>
            <w:tcW w:w="6930" w:type="dxa"/>
            <w:tcBorders>
              <w:top w:val="single" w:color="auto" w:sz="4" w:space="0"/>
              <w:left w:val="single" w:color="auto" w:sz="4" w:space="0"/>
              <w:bottom w:val="single" w:color="auto" w:sz="4" w:space="0"/>
              <w:right w:val="single" w:color="auto" w:sz="4" w:space="0"/>
            </w:tcBorders>
            <w:vAlign w:val="center"/>
          </w:tcPr>
          <w:p w14:paraId="616FFBF1">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救援器材准备及演练等。</w:t>
            </w:r>
          </w:p>
        </w:tc>
      </w:tr>
      <w:tr w14:paraId="67F2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E3F7427">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C2A1467">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非正常情况施工</w:t>
            </w:r>
          </w:p>
        </w:tc>
        <w:tc>
          <w:tcPr>
            <w:tcW w:w="6930" w:type="dxa"/>
            <w:tcBorders>
              <w:top w:val="single" w:color="auto" w:sz="4" w:space="0"/>
              <w:left w:val="single" w:color="auto" w:sz="4" w:space="0"/>
              <w:bottom w:val="single" w:color="auto" w:sz="4" w:space="0"/>
              <w:right w:val="single" w:color="auto" w:sz="4" w:space="0"/>
            </w:tcBorders>
            <w:vAlign w:val="center"/>
          </w:tcPr>
          <w:p w14:paraId="6E1CEBD9">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其它特殊情况下的防护费用，如：城市主干道、人流密集、河边等处施工及文物、古建筑、古树保护等。</w:t>
            </w:r>
          </w:p>
        </w:tc>
      </w:tr>
    </w:tbl>
    <w:p w14:paraId="46079D7D">
      <w:pPr>
        <w:spacing w:line="360" w:lineRule="auto"/>
        <w:ind w:firstLine="480" w:firstLineChars="200"/>
        <w:rPr>
          <w:rFonts w:ascii="宋体" w:hAnsi="宋体" w:cs="宋体"/>
          <w:color w:val="auto"/>
          <w:sz w:val="24"/>
          <w:highlight w:val="none"/>
        </w:rPr>
      </w:pPr>
    </w:p>
    <w:p w14:paraId="3C2A11A8">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注：本表所列建筑工程安全、文明施工，是依据现行法律法规及标准规范确定的。如法律法规和标准规范修订，本表所列项目应按照修订后的法律法规和标准规范进行调整。</w:t>
      </w:r>
    </w:p>
    <w:p w14:paraId="2239E466">
      <w:pPr>
        <w:pStyle w:val="18"/>
        <w:spacing w:line="360" w:lineRule="auto"/>
        <w:rPr>
          <w:rFonts w:ascii="宋体" w:hAnsi="宋体"/>
          <w:color w:val="auto"/>
          <w:highlight w:val="none"/>
        </w:rPr>
      </w:pPr>
    </w:p>
    <w:p w14:paraId="611F89EA">
      <w:pPr>
        <w:pStyle w:val="29"/>
        <w:spacing w:line="360" w:lineRule="auto"/>
        <w:rPr>
          <w:rFonts w:ascii="宋体" w:hAnsi="宋体"/>
          <w:color w:val="auto"/>
          <w:highlight w:val="none"/>
        </w:rPr>
      </w:pPr>
    </w:p>
    <w:p w14:paraId="7783891A">
      <w:pPr>
        <w:pStyle w:val="25"/>
        <w:spacing w:line="360" w:lineRule="auto"/>
        <w:rPr>
          <w:rFonts w:hAnsi="宋体"/>
          <w:color w:val="auto"/>
          <w:highlight w:val="none"/>
        </w:rPr>
        <w:sectPr>
          <w:pgSz w:w="11906" w:h="16838"/>
          <w:pgMar w:top="1247" w:right="1247" w:bottom="1247" w:left="1247" w:header="851" w:footer="992" w:gutter="0"/>
          <w:pgNumType w:fmt="decimal"/>
          <w:cols w:space="720" w:num="1"/>
          <w:titlePg/>
          <w:docGrid w:linePitch="312" w:charSpace="0"/>
        </w:sectPr>
      </w:pPr>
    </w:p>
    <w:p w14:paraId="703A0489">
      <w:pPr>
        <w:adjustRightInd w:val="0"/>
        <w:snapToGrid w:val="0"/>
        <w:spacing w:line="360" w:lineRule="auto"/>
        <w:rPr>
          <w:rFonts w:ascii="宋体" w:hAnsi="宋体"/>
          <w:b/>
          <w:color w:val="auto"/>
          <w:szCs w:val="21"/>
          <w:highlight w:val="none"/>
        </w:rPr>
      </w:pPr>
    </w:p>
    <w:p w14:paraId="6B3E62ED">
      <w:pPr>
        <w:adjustRightInd w:val="0"/>
        <w:snapToGrid w:val="0"/>
        <w:spacing w:line="360" w:lineRule="auto"/>
        <w:rPr>
          <w:rFonts w:ascii="宋体" w:hAnsi="宋体"/>
          <w:b/>
          <w:color w:val="auto"/>
          <w:sz w:val="24"/>
          <w:highlight w:val="none"/>
        </w:rPr>
      </w:pPr>
      <w:r>
        <w:rPr>
          <w:rFonts w:hint="eastAsia" w:ascii="宋体" w:hAnsi="宋体"/>
          <w:b/>
          <w:color w:val="auto"/>
          <w:sz w:val="24"/>
          <w:highlight w:val="none"/>
        </w:rPr>
        <w:t>附件13</w:t>
      </w:r>
    </w:p>
    <w:p w14:paraId="5AB3C370">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中小企业声明函（工程）</w:t>
      </w:r>
    </w:p>
    <w:p w14:paraId="43D6B288">
      <w:pPr>
        <w:spacing w:line="360" w:lineRule="auto"/>
        <w:ind w:firstLine="708" w:firstLineChars="294"/>
        <w:rPr>
          <w:rFonts w:ascii="宋体" w:hAnsi="宋体" w:cs="宋体"/>
          <w:b/>
          <w:bCs/>
          <w:color w:val="auto"/>
          <w:sz w:val="24"/>
          <w:highlight w:val="none"/>
        </w:rPr>
      </w:pPr>
    </w:p>
    <w:p w14:paraId="276558F3">
      <w:pPr>
        <w:spacing w:line="360" w:lineRule="auto"/>
        <w:ind w:firstLine="420"/>
        <w:rPr>
          <w:rFonts w:ascii="宋体" w:hAnsi="宋体"/>
          <w:bCs/>
          <w:color w:val="auto"/>
          <w:sz w:val="24"/>
          <w:highlight w:val="none"/>
        </w:rPr>
      </w:pPr>
      <w:r>
        <w:rPr>
          <w:rFonts w:ascii="宋体" w:hAnsi="宋体"/>
          <w:bCs/>
          <w:color w:val="auto"/>
          <w:sz w:val="24"/>
          <w:highlight w:val="none"/>
        </w:rPr>
        <w:t>本公司（联合体）郑重声明，根据《政府采购促进中小企业发展管理办法》（财库﹝2020﹞46 号）的规定，本公司（联合体）参加（单位名称）的（项目名称）采购活动，工程的施工单位全部为符合政策要求的中小企业。相关企业（含联合体中的中小企业、签订分包意向协议的中小企业）的具体情况如下：</w:t>
      </w:r>
    </w:p>
    <w:p w14:paraId="507B16E8">
      <w:pPr>
        <w:spacing w:line="360" w:lineRule="auto"/>
        <w:ind w:firstLine="420"/>
        <w:rPr>
          <w:rFonts w:ascii="宋体" w:hAnsi="宋体"/>
          <w:bCs/>
          <w:color w:val="auto"/>
          <w:sz w:val="24"/>
          <w:highlight w:val="none"/>
        </w:rPr>
      </w:pPr>
      <w:r>
        <w:rPr>
          <w:rFonts w:ascii="宋体" w:hAnsi="宋体"/>
          <w:bCs/>
          <w:color w:val="auto"/>
          <w:sz w:val="24"/>
          <w:highlight w:val="none"/>
        </w:rPr>
        <w:t>1.</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3FA30376">
      <w:pPr>
        <w:spacing w:line="360" w:lineRule="auto"/>
        <w:ind w:firstLine="420"/>
        <w:rPr>
          <w:rFonts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1F7025D2">
      <w:pPr>
        <w:spacing w:line="360" w:lineRule="auto"/>
        <w:ind w:firstLine="420"/>
        <w:rPr>
          <w:rFonts w:ascii="宋体" w:hAnsi="宋体"/>
          <w:bCs/>
          <w:color w:val="auto"/>
          <w:sz w:val="24"/>
          <w:highlight w:val="none"/>
        </w:rPr>
      </w:pPr>
      <w:r>
        <w:rPr>
          <w:rFonts w:hint="eastAsia" w:ascii="宋体" w:hAnsi="宋体"/>
          <w:bCs/>
          <w:color w:val="auto"/>
          <w:sz w:val="24"/>
          <w:highlight w:val="none"/>
        </w:rPr>
        <w:t>……</w:t>
      </w:r>
    </w:p>
    <w:p w14:paraId="60306B1E">
      <w:pPr>
        <w:spacing w:line="360" w:lineRule="auto"/>
        <w:ind w:firstLine="420"/>
        <w:rPr>
          <w:rFonts w:ascii="宋体" w:hAnsi="宋体"/>
          <w:bCs/>
          <w:color w:val="auto"/>
          <w:sz w:val="24"/>
          <w:highlight w:val="none"/>
        </w:rPr>
      </w:pPr>
      <w:r>
        <w:rPr>
          <w:rFonts w:hint="eastAsia" w:ascii="宋体" w:hAnsi="宋体"/>
          <w:bCs/>
          <w:color w:val="auto"/>
          <w:sz w:val="24"/>
          <w:highlight w:val="none"/>
        </w:rPr>
        <w:t>以上企业，不属于大企业的分支机构，不存在控股股东为大企业的情形，也不存在与大企业的负责人为同一人的情形。</w:t>
      </w:r>
    </w:p>
    <w:p w14:paraId="14724A75">
      <w:pPr>
        <w:spacing w:line="360" w:lineRule="auto"/>
        <w:ind w:firstLine="420"/>
        <w:rPr>
          <w:rFonts w:ascii="宋体" w:hAnsi="宋体"/>
          <w:bCs/>
          <w:color w:val="auto"/>
          <w:sz w:val="24"/>
          <w:highlight w:val="none"/>
        </w:rPr>
      </w:pPr>
      <w:r>
        <w:rPr>
          <w:rFonts w:hint="eastAsia" w:ascii="宋体" w:hAnsi="宋体"/>
          <w:bCs/>
          <w:color w:val="auto"/>
          <w:sz w:val="24"/>
          <w:highlight w:val="none"/>
        </w:rPr>
        <w:t>本企业对上述声明内容的真实性负责。如有虚假，将依法承担相应责任。</w:t>
      </w:r>
    </w:p>
    <w:p w14:paraId="58164735">
      <w:pPr>
        <w:adjustRightInd w:val="0"/>
        <w:snapToGrid w:val="0"/>
        <w:spacing w:line="360" w:lineRule="auto"/>
        <w:ind w:firstLine="4200" w:firstLineChars="1750"/>
        <w:jc w:val="left"/>
        <w:rPr>
          <w:rFonts w:ascii="宋体" w:hAnsi="宋体"/>
          <w:color w:val="auto"/>
          <w:sz w:val="24"/>
          <w:highlight w:val="none"/>
        </w:rPr>
      </w:pPr>
    </w:p>
    <w:p w14:paraId="7AB79E2A">
      <w:pPr>
        <w:adjustRightInd w:val="0"/>
        <w:snapToGrid w:val="0"/>
        <w:spacing w:line="360" w:lineRule="auto"/>
        <w:ind w:firstLine="4200" w:firstLineChars="1750"/>
        <w:jc w:val="left"/>
        <w:rPr>
          <w:rFonts w:ascii="宋体" w:hAnsi="宋体"/>
          <w:color w:val="auto"/>
          <w:sz w:val="24"/>
          <w:highlight w:val="none"/>
        </w:rPr>
      </w:pPr>
      <w:r>
        <w:rPr>
          <w:rFonts w:hint="eastAsia" w:ascii="宋体" w:hAnsi="宋体"/>
          <w:color w:val="auto"/>
          <w:sz w:val="24"/>
          <w:highlight w:val="none"/>
        </w:rPr>
        <w:t xml:space="preserve">供应商名称（公章）：                          </w:t>
      </w:r>
    </w:p>
    <w:p w14:paraId="75D9E0B6">
      <w:pPr>
        <w:spacing w:line="360" w:lineRule="auto"/>
        <w:ind w:firstLine="3600" w:firstLineChars="1500"/>
        <w:rPr>
          <w:rFonts w:ascii="宋体" w:hAnsi="宋体"/>
          <w:bCs/>
          <w:color w:val="auto"/>
          <w:sz w:val="24"/>
          <w:highlight w:val="none"/>
        </w:rPr>
      </w:pPr>
      <w:r>
        <w:rPr>
          <w:rFonts w:hint="eastAsia" w:ascii="宋体" w:hAnsi="宋体"/>
          <w:color w:val="auto"/>
          <w:sz w:val="24"/>
          <w:highlight w:val="none"/>
        </w:rPr>
        <w:t xml:space="preserve">     日期：  年   月   日</w:t>
      </w:r>
    </w:p>
    <w:p w14:paraId="1C1FA243">
      <w:pPr>
        <w:spacing w:line="360" w:lineRule="auto"/>
        <w:jc w:val="left"/>
        <w:rPr>
          <w:rFonts w:ascii="宋体" w:hAnsi="宋体"/>
          <w:bCs/>
          <w:color w:val="auto"/>
          <w:sz w:val="24"/>
          <w:highlight w:val="none"/>
        </w:rPr>
      </w:pPr>
    </w:p>
    <w:p w14:paraId="3E8F3173">
      <w:pPr>
        <w:spacing w:line="360" w:lineRule="auto"/>
        <w:jc w:val="left"/>
        <w:rPr>
          <w:rFonts w:ascii="宋体" w:hAnsi="宋体"/>
          <w:bCs/>
          <w:color w:val="auto"/>
          <w:sz w:val="24"/>
          <w:highlight w:val="none"/>
        </w:rPr>
      </w:pPr>
      <w:r>
        <w:rPr>
          <w:rFonts w:hint="eastAsia" w:ascii="宋体" w:hAnsi="宋体"/>
          <w:bCs/>
          <w:color w:val="auto"/>
          <w:sz w:val="24"/>
          <w:highlight w:val="none"/>
        </w:rPr>
        <w:t>注：（</w:t>
      </w:r>
      <w:r>
        <w:rPr>
          <w:rFonts w:ascii="宋体" w:hAnsi="宋体"/>
          <w:bCs/>
          <w:color w:val="auto"/>
          <w:sz w:val="24"/>
          <w:highlight w:val="none"/>
        </w:rPr>
        <w:t>1</w:t>
      </w:r>
      <w:r>
        <w:rPr>
          <w:rFonts w:hint="eastAsia" w:ascii="宋体" w:hAnsi="宋体"/>
          <w:bCs/>
          <w:color w:val="auto"/>
          <w:sz w:val="24"/>
          <w:highlight w:val="none"/>
        </w:rPr>
        <w:t>）如磋商供应商为联合体或分包的，声明函中“项目名称”应填写联合体中中小企业承担的具体内容或者中小企业具体分包内容。</w:t>
      </w:r>
    </w:p>
    <w:p w14:paraId="1A4D2F5F">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2</w:t>
      </w:r>
      <w:r>
        <w:rPr>
          <w:rFonts w:hint="eastAsia" w:ascii="宋体" w:hAnsi="宋体"/>
          <w:bCs/>
          <w:color w:val="auto"/>
          <w:sz w:val="24"/>
          <w:highlight w:val="none"/>
        </w:rPr>
        <w:t>）请根据真实情况出具《中小企业声明函》。</w:t>
      </w:r>
      <w:r>
        <w:rPr>
          <w:rFonts w:hint="eastAsia" w:ascii="宋体" w:hAnsi="宋体"/>
          <w:color w:val="auto"/>
          <w:sz w:val="24"/>
          <w:highlight w:val="none"/>
        </w:rPr>
        <w:t>成交候选人享受《政府采购促进中小企业发展管理办法》（财库〔2020〕46号）</w:t>
      </w:r>
      <w:r>
        <w:rPr>
          <w:rFonts w:hint="eastAsia" w:ascii="宋体" w:hAnsi="宋体" w:cs="宋体"/>
          <w:color w:val="auto"/>
          <w:sz w:val="24"/>
          <w:highlight w:val="none"/>
        </w:rPr>
        <w:t>、</w:t>
      </w:r>
      <w:r>
        <w:rPr>
          <w:rFonts w:hint="eastAsia" w:ascii="宋体" w:hAnsi="宋体" w:cs="宋体"/>
          <w:color w:val="auto"/>
          <w:sz w:val="24"/>
          <w:highlight w:val="none"/>
          <w:lang w:bidi="ar"/>
        </w:rPr>
        <w:t>财政部《关于进一步加大政府采购支持中小企业力度的通知》（财库〔2022〕19号）</w:t>
      </w:r>
      <w:r>
        <w:rPr>
          <w:rFonts w:hint="eastAsia" w:ascii="宋体" w:hAnsi="宋体"/>
          <w:color w:val="auto"/>
          <w:sz w:val="24"/>
          <w:highlight w:val="none"/>
        </w:rPr>
        <w:t>规定的中小企业扶持政策的，采购人、采购代理机构应当随成交结果公开成交供应商的《中小企业声明函》</w:t>
      </w:r>
      <w:r>
        <w:rPr>
          <w:rFonts w:hint="eastAsia" w:ascii="宋体" w:hAnsi="宋体"/>
          <w:bCs/>
          <w:color w:val="auto"/>
          <w:sz w:val="24"/>
          <w:highlight w:val="none"/>
        </w:rPr>
        <w:t>，接受社会监督。</w:t>
      </w:r>
    </w:p>
    <w:p w14:paraId="7CF1FE10">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3</w:t>
      </w:r>
      <w:r>
        <w:rPr>
          <w:rFonts w:hint="eastAsia" w:ascii="宋体" w:hAnsi="宋体"/>
          <w:bCs/>
          <w:color w:val="auto"/>
          <w:sz w:val="24"/>
          <w:highlight w:val="none"/>
        </w:rPr>
        <w:t>）从业人员、营业收入、资产总额填报上一年度数据，无上一年度数据的新成立企业可不填报。</w:t>
      </w:r>
    </w:p>
    <w:p w14:paraId="5B0C0BFE">
      <w:pPr>
        <w:spacing w:line="360" w:lineRule="auto"/>
        <w:ind w:firstLine="6720" w:firstLineChars="3200"/>
        <w:rPr>
          <w:rFonts w:ascii="宋体" w:hAnsi="宋体" w:cs="Courier New"/>
          <w:color w:val="auto"/>
          <w:szCs w:val="21"/>
          <w:highlight w:val="none"/>
        </w:rPr>
      </w:pPr>
    </w:p>
    <w:p w14:paraId="7A4AC507">
      <w:pPr>
        <w:spacing w:line="360" w:lineRule="auto"/>
        <w:ind w:left="420" w:hanging="420"/>
        <w:rPr>
          <w:rFonts w:ascii="宋体" w:hAnsi="宋体"/>
          <w:color w:val="auto"/>
          <w:sz w:val="24"/>
          <w:highlight w:val="none"/>
        </w:rPr>
      </w:pPr>
      <w:r>
        <w:rPr>
          <w:rFonts w:hint="eastAsia" w:ascii="宋体" w:hAnsi="宋体"/>
          <w:b/>
          <w:color w:val="auto"/>
          <w:sz w:val="24"/>
          <w:highlight w:val="none"/>
        </w:rPr>
        <w:t>附件14</w:t>
      </w:r>
    </w:p>
    <w:p w14:paraId="280BDF1D">
      <w:pPr>
        <w:pStyle w:val="36"/>
        <w:widowControl w:val="0"/>
        <w:adjustRightInd w:val="0"/>
        <w:snapToGrid w:val="0"/>
        <w:spacing w:before="0" w:beforeAutospacing="0" w:after="0" w:afterAutospacing="0" w:line="360" w:lineRule="auto"/>
        <w:jc w:val="center"/>
        <w:rPr>
          <w:b/>
          <w:color w:val="auto"/>
          <w:kern w:val="2"/>
          <w:sz w:val="36"/>
          <w:szCs w:val="36"/>
          <w:highlight w:val="none"/>
        </w:rPr>
      </w:pPr>
    </w:p>
    <w:p w14:paraId="4D780AD0">
      <w:pPr>
        <w:pStyle w:val="36"/>
        <w:widowControl w:val="0"/>
        <w:adjustRightInd w:val="0"/>
        <w:snapToGrid w:val="0"/>
        <w:spacing w:before="0" w:beforeAutospacing="0" w:after="0" w:afterAutospacing="0" w:line="360" w:lineRule="auto"/>
        <w:jc w:val="center"/>
        <w:rPr>
          <w:b/>
          <w:color w:val="auto"/>
          <w:kern w:val="2"/>
          <w:sz w:val="36"/>
          <w:szCs w:val="36"/>
          <w:highlight w:val="none"/>
        </w:rPr>
      </w:pPr>
    </w:p>
    <w:p w14:paraId="25AF4237">
      <w:pPr>
        <w:pStyle w:val="36"/>
        <w:widowControl w:val="0"/>
        <w:adjustRightInd w:val="0"/>
        <w:snapToGrid w:val="0"/>
        <w:spacing w:before="0" w:beforeAutospacing="0" w:after="0" w:afterAutospacing="0" w:line="360" w:lineRule="auto"/>
        <w:jc w:val="center"/>
        <w:rPr>
          <w:b/>
          <w:color w:val="auto"/>
          <w:kern w:val="2"/>
          <w:sz w:val="36"/>
          <w:szCs w:val="36"/>
          <w:highlight w:val="none"/>
        </w:rPr>
      </w:pPr>
      <w:r>
        <w:rPr>
          <w:rFonts w:hint="eastAsia"/>
          <w:b/>
          <w:color w:val="auto"/>
          <w:kern w:val="2"/>
          <w:sz w:val="36"/>
          <w:szCs w:val="36"/>
          <w:highlight w:val="none"/>
        </w:rPr>
        <w:t>残疾人福利性单位声明函</w:t>
      </w:r>
    </w:p>
    <w:p w14:paraId="76B6FCDB">
      <w:pPr>
        <w:spacing w:line="360" w:lineRule="auto"/>
        <w:rPr>
          <w:rFonts w:ascii="宋体" w:hAnsi="宋体"/>
          <w:color w:val="auto"/>
          <w:szCs w:val="21"/>
          <w:highlight w:val="none"/>
        </w:rPr>
      </w:pPr>
    </w:p>
    <w:p w14:paraId="0EB3807B">
      <w:pPr>
        <w:spacing w:line="360" w:lineRule="auto"/>
        <w:rPr>
          <w:rFonts w:ascii="宋体" w:hAnsi="宋体"/>
          <w:bCs/>
          <w:color w:val="auto"/>
          <w:spacing w:val="6"/>
          <w:sz w:val="24"/>
          <w:highlight w:val="none"/>
        </w:rPr>
      </w:pPr>
    </w:p>
    <w:p w14:paraId="4DC9C858">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单位的</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项目采购活动由本单位承担工程</w:t>
      </w:r>
      <w:r>
        <w:rPr>
          <w:rFonts w:hint="eastAsia" w:ascii="宋体" w:hAnsi="宋体"/>
          <w:color w:val="auto"/>
          <w:spacing w:val="-6"/>
          <w:sz w:val="24"/>
          <w:highlight w:val="none"/>
        </w:rPr>
        <w:t>。</w:t>
      </w:r>
    </w:p>
    <w:p w14:paraId="76075A38">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6585770A">
      <w:pPr>
        <w:spacing w:line="360" w:lineRule="auto"/>
        <w:ind w:firstLine="480" w:firstLineChars="200"/>
        <w:rPr>
          <w:rFonts w:ascii="宋体" w:hAnsi="宋体"/>
          <w:color w:val="auto"/>
          <w:sz w:val="24"/>
          <w:highlight w:val="none"/>
        </w:rPr>
      </w:pPr>
    </w:p>
    <w:p w14:paraId="4243C8E7">
      <w:pPr>
        <w:spacing w:line="360" w:lineRule="auto"/>
        <w:ind w:firstLine="480" w:firstLineChars="200"/>
        <w:rPr>
          <w:rFonts w:ascii="宋体" w:hAnsi="宋体"/>
          <w:color w:val="auto"/>
          <w:sz w:val="24"/>
          <w:highlight w:val="none"/>
        </w:rPr>
      </w:pPr>
    </w:p>
    <w:p w14:paraId="56472AAA">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                   供应商名称（公章）：                          </w:t>
      </w:r>
    </w:p>
    <w:p w14:paraId="025CA0FC">
      <w:pPr>
        <w:tabs>
          <w:tab w:val="left" w:pos="4860"/>
        </w:tabs>
        <w:spacing w:line="360" w:lineRule="auto"/>
        <w:ind w:right="1560" w:firstLine="480" w:firstLineChars="200"/>
        <w:jc w:val="center"/>
        <w:rPr>
          <w:rFonts w:ascii="宋体" w:hAnsi="宋体"/>
          <w:color w:val="auto"/>
          <w:sz w:val="24"/>
          <w:highlight w:val="none"/>
        </w:rPr>
      </w:pPr>
      <w:r>
        <w:rPr>
          <w:rFonts w:hint="eastAsia" w:ascii="宋体" w:hAnsi="宋体"/>
          <w:color w:val="auto"/>
          <w:sz w:val="24"/>
          <w:highlight w:val="none"/>
        </w:rPr>
        <w:t xml:space="preserve">     日期：  年   月   日</w:t>
      </w:r>
    </w:p>
    <w:p w14:paraId="6BFDA5F8">
      <w:pPr>
        <w:tabs>
          <w:tab w:val="left" w:pos="4860"/>
        </w:tabs>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说明：符合条件的残疾人福利性单位在参加政府采购活动时，应当提供本通知规定的《残疾人福利性单位声明函》，并对声明的真实性负责。</w:t>
      </w:r>
    </w:p>
    <w:p w14:paraId="7744732A">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成交供应商为残疾人福利性单位的，采购人或者其委托的采购代理机构应当随成交结果同时公告其《残疾人福利性单位声明函》，接受社会监督。</w:t>
      </w:r>
    </w:p>
    <w:p w14:paraId="145039B3">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供应商提供的《残疾人福利性单位声明函》与事实不符的，依照《政府采购法》第七十七条第一款的规定追究法律责任。</w:t>
      </w:r>
    </w:p>
    <w:p w14:paraId="0E286E71">
      <w:pPr>
        <w:spacing w:line="360" w:lineRule="auto"/>
        <w:ind w:firstLine="7680" w:firstLineChars="3200"/>
        <w:rPr>
          <w:rFonts w:ascii="宋体" w:hAnsi="宋体" w:cs="Courier New"/>
          <w:color w:val="auto"/>
          <w:sz w:val="24"/>
          <w:highlight w:val="none"/>
        </w:rPr>
      </w:pPr>
    </w:p>
    <w:p w14:paraId="66D0CEF3">
      <w:pPr>
        <w:spacing w:line="360" w:lineRule="auto"/>
        <w:ind w:firstLine="7680" w:firstLineChars="3200"/>
        <w:rPr>
          <w:rFonts w:ascii="宋体" w:hAnsi="宋体" w:cs="Courier New"/>
          <w:color w:val="auto"/>
          <w:sz w:val="24"/>
          <w:highlight w:val="none"/>
        </w:rPr>
      </w:pPr>
    </w:p>
    <w:p w14:paraId="39B96513">
      <w:pPr>
        <w:spacing w:line="360" w:lineRule="auto"/>
        <w:ind w:firstLine="6720" w:firstLineChars="3200"/>
        <w:rPr>
          <w:rFonts w:ascii="宋体" w:hAnsi="宋体" w:cs="Courier New"/>
          <w:color w:val="auto"/>
          <w:szCs w:val="21"/>
          <w:highlight w:val="none"/>
        </w:rPr>
      </w:pPr>
    </w:p>
    <w:p w14:paraId="49460EF9">
      <w:pPr>
        <w:spacing w:line="360" w:lineRule="auto"/>
        <w:ind w:firstLine="6720" w:firstLineChars="3200"/>
        <w:rPr>
          <w:rFonts w:ascii="宋体" w:hAnsi="宋体" w:cs="Courier New"/>
          <w:color w:val="auto"/>
          <w:szCs w:val="21"/>
          <w:highlight w:val="none"/>
        </w:rPr>
      </w:pPr>
    </w:p>
    <w:p w14:paraId="6E46533B">
      <w:pPr>
        <w:spacing w:line="360" w:lineRule="auto"/>
        <w:rPr>
          <w:rFonts w:ascii="宋体" w:hAnsi="宋体" w:cs="宋体"/>
          <w:b/>
          <w:color w:val="auto"/>
          <w:spacing w:val="6"/>
          <w:sz w:val="28"/>
          <w:szCs w:val="28"/>
          <w:highlight w:val="none"/>
        </w:rPr>
      </w:pPr>
    </w:p>
    <w:p w14:paraId="61910B8A">
      <w:pPr>
        <w:spacing w:line="360" w:lineRule="auto"/>
        <w:rPr>
          <w:rFonts w:ascii="宋体" w:hAnsi="宋体" w:cs="宋体"/>
          <w:b/>
          <w:color w:val="auto"/>
          <w:spacing w:val="6"/>
          <w:sz w:val="28"/>
          <w:szCs w:val="28"/>
          <w:highlight w:val="none"/>
        </w:rPr>
      </w:pPr>
      <w:r>
        <w:rPr>
          <w:rFonts w:hint="eastAsia" w:ascii="宋体" w:hAnsi="宋体" w:cs="宋体"/>
          <w:b/>
          <w:color w:val="auto"/>
          <w:spacing w:val="6"/>
          <w:sz w:val="28"/>
          <w:szCs w:val="28"/>
          <w:highlight w:val="none"/>
        </w:rPr>
        <w:br w:type="page"/>
      </w:r>
    </w:p>
    <w:p w14:paraId="15B37C2E">
      <w:pPr>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附件15</w:t>
      </w:r>
    </w:p>
    <w:p w14:paraId="0D0879E1">
      <w:pPr>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质疑函范本格式：</w:t>
      </w:r>
    </w:p>
    <w:p w14:paraId="13523956">
      <w:pPr>
        <w:spacing w:line="360" w:lineRule="auto"/>
        <w:jc w:val="center"/>
        <w:rPr>
          <w:rFonts w:ascii="宋体" w:hAnsi="宋体" w:cs="宋体"/>
          <w:b/>
          <w:color w:val="auto"/>
          <w:spacing w:val="6"/>
          <w:sz w:val="24"/>
          <w:highlight w:val="none"/>
        </w:rPr>
      </w:pPr>
      <w:r>
        <w:rPr>
          <w:rFonts w:hint="eastAsia" w:ascii="宋体" w:hAnsi="宋体" w:cs="宋体"/>
          <w:b/>
          <w:color w:val="auto"/>
          <w:spacing w:val="6"/>
          <w:sz w:val="24"/>
          <w:highlight w:val="none"/>
        </w:rPr>
        <w:t>质疑函范本</w:t>
      </w:r>
    </w:p>
    <w:p w14:paraId="1BFBEC45">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一、质疑供应商基本信息</w:t>
      </w:r>
    </w:p>
    <w:p w14:paraId="3B57A1EB">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质疑供应商：</w:t>
      </w:r>
      <w:r>
        <w:rPr>
          <w:rFonts w:hint="eastAsia" w:ascii="宋体" w:hAnsi="宋体" w:cs="宋体"/>
          <w:color w:val="auto"/>
          <w:sz w:val="24"/>
          <w:highlight w:val="none"/>
          <w:u w:val="dotted"/>
        </w:rPr>
        <w:t xml:space="preserve">                                        </w:t>
      </w:r>
    </w:p>
    <w:p w14:paraId="6DDAE574">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14:paraId="602E1545">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14:paraId="7AFD7A59">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授权代表：</w:t>
      </w:r>
      <w:r>
        <w:rPr>
          <w:rFonts w:hint="eastAsia" w:ascii="宋体" w:hAnsi="宋体" w:cs="宋体"/>
          <w:color w:val="auto"/>
          <w:sz w:val="24"/>
          <w:highlight w:val="none"/>
          <w:u w:val="dotted"/>
        </w:rPr>
        <w:t xml:space="preserve">                                          </w:t>
      </w:r>
    </w:p>
    <w:p w14:paraId="71133ADB">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 xml:space="preserve"> </w:t>
      </w:r>
    </w:p>
    <w:p w14:paraId="190C44B2">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地址： </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14:paraId="1E7A7FC6">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二、质疑项目基本情况</w:t>
      </w:r>
    </w:p>
    <w:p w14:paraId="11813FD6">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质疑项目的名称：</w:t>
      </w:r>
      <w:r>
        <w:rPr>
          <w:rFonts w:hint="eastAsia" w:ascii="宋体" w:hAnsi="宋体" w:cs="宋体"/>
          <w:color w:val="auto"/>
          <w:sz w:val="24"/>
          <w:highlight w:val="none"/>
          <w:u w:val="dotted"/>
        </w:rPr>
        <w:t xml:space="preserve">                                      </w:t>
      </w:r>
    </w:p>
    <w:p w14:paraId="6DE40F16">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质疑项目的编号：</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包号：</w:t>
      </w:r>
      <w:r>
        <w:rPr>
          <w:rFonts w:hint="eastAsia" w:ascii="宋体" w:hAnsi="宋体" w:cs="宋体"/>
          <w:color w:val="auto"/>
          <w:sz w:val="24"/>
          <w:highlight w:val="none"/>
          <w:u w:val="dotted"/>
        </w:rPr>
        <w:t xml:space="preserve">                 </w:t>
      </w:r>
    </w:p>
    <w:p w14:paraId="6175C1C1">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采购人名称：</w:t>
      </w:r>
      <w:r>
        <w:rPr>
          <w:rFonts w:hint="eastAsia" w:ascii="宋体" w:hAnsi="宋体" w:cs="宋体"/>
          <w:color w:val="auto"/>
          <w:sz w:val="24"/>
          <w:highlight w:val="none"/>
          <w:u w:val="dotted"/>
        </w:rPr>
        <w:t xml:space="preserve">                                         </w:t>
      </w:r>
    </w:p>
    <w:p w14:paraId="750BD486">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采购文件获取日期：</w:t>
      </w:r>
      <w:r>
        <w:rPr>
          <w:rFonts w:hint="eastAsia" w:ascii="宋体" w:hAnsi="宋体" w:cs="宋体"/>
          <w:color w:val="auto"/>
          <w:sz w:val="24"/>
          <w:highlight w:val="none"/>
          <w:u w:val="dotted"/>
        </w:rPr>
        <w:t xml:space="preserve">                                           </w:t>
      </w:r>
    </w:p>
    <w:p w14:paraId="5EC947A2">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三、质疑事项具体内容</w:t>
      </w:r>
    </w:p>
    <w:p w14:paraId="00981A53">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质疑事项1：</w:t>
      </w:r>
      <w:r>
        <w:rPr>
          <w:rFonts w:hint="eastAsia" w:ascii="宋体" w:hAnsi="宋体" w:cs="宋体"/>
          <w:color w:val="auto"/>
          <w:sz w:val="24"/>
          <w:highlight w:val="none"/>
          <w:u w:val="dotted"/>
        </w:rPr>
        <w:t xml:space="preserve">                                         </w:t>
      </w:r>
    </w:p>
    <w:p w14:paraId="396069E2">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事实依据：</w:t>
      </w:r>
      <w:r>
        <w:rPr>
          <w:rFonts w:hint="eastAsia" w:ascii="宋体" w:hAnsi="宋体" w:cs="宋体"/>
          <w:color w:val="auto"/>
          <w:sz w:val="24"/>
          <w:highlight w:val="none"/>
          <w:u w:val="dotted"/>
        </w:rPr>
        <w:t xml:space="preserve">                                          </w:t>
      </w:r>
    </w:p>
    <w:p w14:paraId="209219CE">
      <w:pPr>
        <w:snapToGrid w:val="0"/>
        <w:spacing w:line="360" w:lineRule="auto"/>
        <w:rPr>
          <w:rFonts w:ascii="宋体" w:hAnsi="宋体" w:cs="宋体"/>
          <w:color w:val="auto"/>
          <w:sz w:val="24"/>
          <w:highlight w:val="none"/>
        </w:rPr>
      </w:pPr>
      <w:r>
        <w:rPr>
          <w:rFonts w:hint="eastAsia" w:ascii="宋体" w:hAnsi="宋体" w:cs="宋体"/>
          <w:color w:val="auto"/>
          <w:sz w:val="24"/>
          <w:highlight w:val="none"/>
          <w:u w:val="dotted"/>
        </w:rPr>
        <w:t xml:space="preserve">                                                       </w:t>
      </w:r>
    </w:p>
    <w:p w14:paraId="48D07B46">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法律依据：</w:t>
      </w:r>
      <w:r>
        <w:rPr>
          <w:rFonts w:hint="eastAsia" w:ascii="宋体" w:hAnsi="宋体" w:cs="宋体"/>
          <w:color w:val="auto"/>
          <w:sz w:val="24"/>
          <w:highlight w:val="none"/>
          <w:u w:val="dotted"/>
        </w:rPr>
        <w:t xml:space="preserve">                                          </w:t>
      </w:r>
    </w:p>
    <w:p w14:paraId="77F0108A">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u w:val="dotted"/>
        </w:rPr>
        <w:t xml:space="preserve">                                                     </w:t>
      </w:r>
    </w:p>
    <w:p w14:paraId="332CAB89">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质疑事项2</w:t>
      </w:r>
    </w:p>
    <w:p w14:paraId="526D9D4B">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w:t>
      </w:r>
    </w:p>
    <w:p w14:paraId="2D0E36CB">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四、与质疑事项相关的质疑请求</w:t>
      </w:r>
    </w:p>
    <w:p w14:paraId="576722FE">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请求：</w:t>
      </w:r>
      <w:r>
        <w:rPr>
          <w:rFonts w:hint="eastAsia" w:ascii="宋体" w:hAnsi="宋体" w:cs="宋体"/>
          <w:color w:val="auto"/>
          <w:sz w:val="24"/>
          <w:highlight w:val="none"/>
          <w:u w:val="dotted"/>
        </w:rPr>
        <w:t xml:space="preserve">                                               </w:t>
      </w:r>
    </w:p>
    <w:p w14:paraId="307AFDDD">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66618EA2">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日期：    </w:t>
      </w:r>
    </w:p>
    <w:p w14:paraId="731980B7">
      <w:pPr>
        <w:spacing w:line="360" w:lineRule="auto"/>
        <w:jc w:val="center"/>
        <w:rPr>
          <w:rFonts w:ascii="宋体" w:hAnsi="宋体" w:cs="宋体"/>
          <w:b/>
          <w:bCs/>
          <w:color w:val="auto"/>
          <w:sz w:val="24"/>
          <w:highlight w:val="none"/>
        </w:rPr>
      </w:pPr>
    </w:p>
    <w:p w14:paraId="69429DF4">
      <w:pPr>
        <w:spacing w:line="360" w:lineRule="auto"/>
        <w:rPr>
          <w:rFonts w:ascii="宋体" w:hAnsi="宋体" w:cs="宋体"/>
          <w:b/>
          <w:color w:val="auto"/>
          <w:sz w:val="24"/>
          <w:highlight w:val="none"/>
        </w:rPr>
      </w:pPr>
    </w:p>
    <w:p w14:paraId="5D3405F1">
      <w:pPr>
        <w:spacing w:line="360" w:lineRule="auto"/>
        <w:rPr>
          <w:rFonts w:ascii="宋体" w:hAnsi="宋体" w:cs="宋体"/>
          <w:b/>
          <w:color w:val="auto"/>
          <w:sz w:val="24"/>
          <w:highlight w:val="none"/>
        </w:rPr>
      </w:pPr>
    </w:p>
    <w:p w14:paraId="354F83EB">
      <w:pPr>
        <w:spacing w:line="360" w:lineRule="auto"/>
        <w:rPr>
          <w:rFonts w:ascii="宋体" w:hAnsi="宋体" w:cs="宋体"/>
          <w:b/>
          <w:color w:val="auto"/>
          <w:sz w:val="24"/>
          <w:highlight w:val="none"/>
        </w:rPr>
      </w:pPr>
    </w:p>
    <w:p w14:paraId="5158BA91">
      <w:pPr>
        <w:spacing w:line="360" w:lineRule="auto"/>
        <w:rPr>
          <w:rFonts w:ascii="宋体" w:hAnsi="宋体" w:cs="宋体"/>
          <w:b/>
          <w:color w:val="auto"/>
          <w:sz w:val="24"/>
          <w:highlight w:val="none"/>
        </w:rPr>
      </w:pPr>
    </w:p>
    <w:p w14:paraId="152E85C3">
      <w:pPr>
        <w:spacing w:line="360" w:lineRule="auto"/>
        <w:rPr>
          <w:rFonts w:ascii="宋体" w:hAnsi="宋体" w:cs="宋体"/>
          <w:b/>
          <w:color w:val="auto"/>
          <w:sz w:val="24"/>
          <w:highlight w:val="none"/>
        </w:rPr>
      </w:pPr>
    </w:p>
    <w:p w14:paraId="5123BE31">
      <w:pPr>
        <w:spacing w:line="360" w:lineRule="auto"/>
        <w:rPr>
          <w:rFonts w:ascii="宋体" w:hAnsi="宋体" w:cs="宋体"/>
          <w:b/>
          <w:color w:val="auto"/>
          <w:sz w:val="24"/>
          <w:highlight w:val="none"/>
        </w:rPr>
      </w:pPr>
      <w:r>
        <w:rPr>
          <w:rFonts w:hint="eastAsia" w:ascii="宋体" w:hAnsi="宋体" w:cs="宋体"/>
          <w:b/>
          <w:color w:val="auto"/>
          <w:sz w:val="24"/>
          <w:highlight w:val="none"/>
        </w:rPr>
        <w:t>质疑函制作说明：</w:t>
      </w:r>
    </w:p>
    <w:p w14:paraId="1C49913C">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1.供应商提出质疑时，应提交质疑函和必要的证明材料。</w:t>
      </w:r>
    </w:p>
    <w:p w14:paraId="7CBE16CE">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2.质疑供应商若委托代理人进行质疑的，质疑函应按要求列明“授权代表”的有关内容，并在附件中提交由质疑</w:t>
      </w:r>
      <w:r>
        <w:rPr>
          <w:rFonts w:hint="eastAsia" w:ascii="宋体" w:hAnsi="宋体" w:cs="宋体"/>
          <w:color w:val="auto"/>
          <w:kern w:val="0"/>
          <w:sz w:val="24"/>
          <w:highlight w:val="none"/>
        </w:rPr>
        <w:t>供应商签署的授权委托书。授权委托书应载明代理人的姓名或者名称、代理事项、具体权限、期限和相关事项。</w:t>
      </w:r>
    </w:p>
    <w:p w14:paraId="1A4ACEB0">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3.质疑供应商若对项目的某一分包进行质疑，质疑函中应列明具体分包号。</w:t>
      </w:r>
    </w:p>
    <w:p w14:paraId="10FBD5CC">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4.质疑函的质疑事项应具体、明确，并有必要的事实依据和法律依据。</w:t>
      </w:r>
    </w:p>
    <w:p w14:paraId="5B7F2130">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5.质疑函的质疑请求应与质疑事项相关。</w:t>
      </w:r>
    </w:p>
    <w:p w14:paraId="255F5B7A">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447AD076">
      <w:pPr>
        <w:widowControl/>
        <w:spacing w:line="360" w:lineRule="auto"/>
        <w:ind w:firstLine="480" w:firstLineChars="200"/>
        <w:jc w:val="left"/>
        <w:rPr>
          <w:rFonts w:ascii="宋体" w:hAnsi="宋体" w:cs="宋体"/>
          <w:color w:val="auto"/>
          <w:sz w:val="24"/>
          <w:highlight w:val="none"/>
        </w:rPr>
      </w:pPr>
    </w:p>
    <w:p w14:paraId="6A7C463C">
      <w:pPr>
        <w:spacing w:line="360" w:lineRule="auto"/>
        <w:rPr>
          <w:rFonts w:ascii="宋体" w:hAnsi="宋体" w:cs="宋体"/>
          <w:b/>
          <w:color w:val="auto"/>
          <w:spacing w:val="6"/>
          <w:szCs w:val="21"/>
          <w:highlight w:val="none"/>
        </w:rPr>
        <w:sectPr>
          <w:pgSz w:w="11906" w:h="16838"/>
          <w:pgMar w:top="1247" w:right="1247" w:bottom="1247" w:left="1247" w:header="851" w:footer="992" w:gutter="0"/>
          <w:pgNumType w:fmt="decimal"/>
          <w:cols w:space="720" w:num="1"/>
          <w:titlePg/>
          <w:docGrid w:linePitch="312" w:charSpace="0"/>
        </w:sectPr>
      </w:pPr>
    </w:p>
    <w:p w14:paraId="62A3F46A">
      <w:pPr>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附件16</w:t>
      </w:r>
    </w:p>
    <w:p w14:paraId="7845677E">
      <w:pPr>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投诉书范本格式：</w:t>
      </w:r>
    </w:p>
    <w:p w14:paraId="0DE04FBB">
      <w:pPr>
        <w:snapToGrid w:val="0"/>
        <w:spacing w:line="360" w:lineRule="auto"/>
        <w:jc w:val="center"/>
        <w:rPr>
          <w:rFonts w:ascii="宋体" w:hAnsi="宋体" w:cs="宋体"/>
          <w:b/>
          <w:bCs/>
          <w:color w:val="auto"/>
          <w:kern w:val="0"/>
          <w:sz w:val="24"/>
          <w:highlight w:val="none"/>
        </w:rPr>
      </w:pPr>
      <w:r>
        <w:rPr>
          <w:rFonts w:ascii="宋体" w:hAnsi="宋体" w:cs="宋体"/>
          <w:b/>
          <w:bCs/>
          <w:color w:val="auto"/>
          <w:kern w:val="0"/>
          <w:sz w:val="24"/>
          <w:highlight w:val="none"/>
        </w:rPr>
        <w:t>政府采购供应商投诉书范本</w:t>
      </w:r>
    </w:p>
    <w:p w14:paraId="161DB1F5">
      <w:pPr>
        <w:snapToGrid w:val="0"/>
        <w:spacing w:line="360" w:lineRule="auto"/>
        <w:jc w:val="center"/>
        <w:rPr>
          <w:rFonts w:ascii="宋体" w:hAnsi="宋体" w:cs="宋体"/>
          <w:b/>
          <w:bCs/>
          <w:color w:val="auto"/>
          <w:kern w:val="0"/>
          <w:sz w:val="24"/>
          <w:highlight w:val="none"/>
        </w:rPr>
      </w:pPr>
    </w:p>
    <w:p w14:paraId="57052BD8">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一、投诉相关主体基本情况</w:t>
      </w:r>
    </w:p>
    <w:p w14:paraId="1FEC2B78">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投诉人：</w:t>
      </w:r>
    </w:p>
    <w:p w14:paraId="7384AEF0">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地址：    邮编：</w:t>
      </w:r>
    </w:p>
    <w:p w14:paraId="47EF3F9E">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法定代表人/主要负责人：</w:t>
      </w:r>
    </w:p>
    <w:p w14:paraId="5F6DF839">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联系电话：</w:t>
      </w:r>
    </w:p>
    <w:p w14:paraId="3FC89471">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授权代表：联系电话：</w:t>
      </w:r>
    </w:p>
    <w:p w14:paraId="61A974B2">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地址：    邮编：</w:t>
      </w:r>
    </w:p>
    <w:p w14:paraId="4B565361">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被投诉人1：</w:t>
      </w:r>
    </w:p>
    <w:p w14:paraId="48C8C8EF">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地址：    邮编：</w:t>
      </w:r>
    </w:p>
    <w:p w14:paraId="175039F5">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联系人：    联系电话：</w:t>
      </w:r>
    </w:p>
    <w:p w14:paraId="66A14300">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被投诉人2</w:t>
      </w:r>
    </w:p>
    <w:p w14:paraId="3598EE0F">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w:t>
      </w:r>
    </w:p>
    <w:p w14:paraId="17B59364">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相关供应商：</w:t>
      </w:r>
    </w:p>
    <w:p w14:paraId="7839BCCB">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地址：   邮编：</w:t>
      </w:r>
    </w:p>
    <w:p w14:paraId="3507ED2D">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联系人：    联系电话：</w:t>
      </w:r>
    </w:p>
    <w:p w14:paraId="4493F9CC">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二、投诉项目基本情况</w:t>
      </w:r>
    </w:p>
    <w:p w14:paraId="618D9C5C">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采购项目名称：</w:t>
      </w:r>
    </w:p>
    <w:p w14:paraId="2C56EDA6">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采购项目编号：包号：</w:t>
      </w:r>
    </w:p>
    <w:p w14:paraId="2AEFAE88">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采购人名称：</w:t>
      </w:r>
    </w:p>
    <w:p w14:paraId="2A36F982">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代理机构名称：</w:t>
      </w:r>
    </w:p>
    <w:p w14:paraId="6B934D67">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采购文件公告:是/否 公告期限：</w:t>
      </w:r>
    </w:p>
    <w:p w14:paraId="520B86E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采购结果公告:是/否 公告期限：</w:t>
      </w:r>
    </w:p>
    <w:p w14:paraId="56A7BCC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三、质疑基本情况</w:t>
      </w:r>
    </w:p>
    <w:p w14:paraId="1E25BE83">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投诉人于年月 日,向</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rPr>
        <w:t>提出质疑，质疑事项为：</w:t>
      </w:r>
    </w:p>
    <w:p w14:paraId="2AB62EC3">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采购人/代理机构于年月日,就质疑事项作出了答复/没有在法定期限内作出答复。</w:t>
      </w:r>
    </w:p>
    <w:p w14:paraId="581539B0">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四、投诉事项具体内容</w:t>
      </w:r>
    </w:p>
    <w:p w14:paraId="41B77FFD">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投诉事项1：</w:t>
      </w:r>
    </w:p>
    <w:p w14:paraId="5931A601">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事实依据：</w:t>
      </w:r>
    </w:p>
    <w:p w14:paraId="06FEE1D2">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法律依据：</w:t>
      </w:r>
    </w:p>
    <w:p w14:paraId="70BB1B2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投诉事项2</w:t>
      </w:r>
    </w:p>
    <w:p w14:paraId="74730400">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w:t>
      </w:r>
    </w:p>
    <w:p w14:paraId="609FE7FC">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五、与投诉事项相关的投诉请求</w:t>
      </w:r>
    </w:p>
    <w:p w14:paraId="545EF0B4">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请求：</w:t>
      </w:r>
    </w:p>
    <w:p w14:paraId="423BD524">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签字(签章)：公章：</w:t>
      </w:r>
    </w:p>
    <w:p w14:paraId="65D91343">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日期：</w:t>
      </w:r>
    </w:p>
    <w:p w14:paraId="40AFA99C">
      <w:pPr>
        <w:snapToGrid w:val="0"/>
        <w:spacing w:line="360" w:lineRule="auto"/>
        <w:rPr>
          <w:rFonts w:ascii="宋体" w:hAnsi="宋体" w:cs="宋体"/>
          <w:color w:val="auto"/>
          <w:kern w:val="0"/>
          <w:sz w:val="24"/>
          <w:highlight w:val="none"/>
        </w:rPr>
      </w:pPr>
      <w:r>
        <w:rPr>
          <w:rFonts w:hint="eastAsia" w:ascii="宋体" w:hAnsi="宋体" w:cs="宋体"/>
          <w:b/>
          <w:bCs/>
          <w:color w:val="auto"/>
          <w:kern w:val="0"/>
          <w:sz w:val="24"/>
          <w:highlight w:val="none"/>
        </w:rPr>
        <w:t>投诉书制作说明：</w:t>
      </w:r>
    </w:p>
    <w:p w14:paraId="31481E9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1.投诉人提起投诉时，应当提交投诉书和必要的证明材料，并按照被投诉人和与投诉事项有关的供应商数量提供投诉书副本。</w:t>
      </w:r>
    </w:p>
    <w:p w14:paraId="755A55D2">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5DF4F508">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3.投诉人若对项目的某一分包进行投诉，投诉书应列明具体分包号。</w:t>
      </w:r>
    </w:p>
    <w:p w14:paraId="001F411E">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4.投诉书应简要列明质疑事项，质疑函、质疑答复等作为附件材料提供。</w:t>
      </w:r>
    </w:p>
    <w:p w14:paraId="60C4C48E">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5.投诉书的投诉事项应具体、明确，并有必要的事实依据和法律依据。</w:t>
      </w:r>
    </w:p>
    <w:p w14:paraId="2CAF30DB">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6.投诉书的投诉请求应与投诉事项相关。</w:t>
      </w:r>
    </w:p>
    <w:p w14:paraId="493775B2">
      <w:pPr>
        <w:snapToGrid w:val="0"/>
        <w:spacing w:line="360" w:lineRule="auto"/>
        <w:rPr>
          <w:rFonts w:ascii="宋体" w:hAnsi="宋体"/>
          <w:color w:val="auto"/>
          <w:sz w:val="24"/>
          <w:highlight w:val="none"/>
        </w:rPr>
      </w:pPr>
      <w:r>
        <w:rPr>
          <w:rFonts w:hint="eastAsia" w:ascii="宋体" w:hAnsi="宋体" w:cs="宋体"/>
          <w:color w:val="auto"/>
          <w:kern w:val="0"/>
          <w:sz w:val="24"/>
          <w:highlight w:val="none"/>
        </w:rPr>
        <w:t>7.投诉人为自然人的，投诉书应当由本人签字；投诉人为法人或者其他组织的，投诉书应当由法定代表人、主要负责人，或者其授权代表签字或者盖章，并加盖公章。</w:t>
      </w:r>
    </w:p>
    <w:p w14:paraId="43D3F676">
      <w:pPr>
        <w:pStyle w:val="25"/>
        <w:rPr>
          <w:color w:val="auto"/>
          <w:sz w:val="24"/>
          <w:szCs w:val="24"/>
          <w:highlight w:val="none"/>
        </w:rPr>
      </w:pPr>
    </w:p>
    <w:p w14:paraId="65F5CA8E">
      <w:pPr>
        <w:pStyle w:val="25"/>
        <w:rPr>
          <w:color w:val="auto"/>
          <w:highlight w:val="none"/>
        </w:rPr>
      </w:pPr>
    </w:p>
    <w:p w14:paraId="59619C4A">
      <w:pPr>
        <w:pStyle w:val="25"/>
        <w:rPr>
          <w:color w:val="auto"/>
          <w:highlight w:val="none"/>
        </w:rPr>
      </w:pPr>
    </w:p>
    <w:p w14:paraId="3954FED0">
      <w:pPr>
        <w:pStyle w:val="25"/>
        <w:rPr>
          <w:color w:val="auto"/>
          <w:highlight w:val="none"/>
        </w:rPr>
      </w:pPr>
    </w:p>
    <w:p w14:paraId="2149B9DE">
      <w:pPr>
        <w:pStyle w:val="97"/>
        <w:rPr>
          <w:color w:val="auto"/>
          <w:highlight w:val="none"/>
        </w:rPr>
      </w:pPr>
      <w:r>
        <w:rPr>
          <w:color w:val="auto"/>
          <w:highlight w:val="none"/>
        </w:rPr>
        <w:br w:type="page"/>
      </w:r>
    </w:p>
    <w:p w14:paraId="2856B44D">
      <w:pPr>
        <w:pStyle w:val="2"/>
        <w:spacing w:before="0" w:after="0" w:line="240" w:lineRule="auto"/>
        <w:jc w:val="center"/>
        <w:rPr>
          <w:rFonts w:ascii="宋体" w:hAnsi="宋体"/>
          <w:color w:val="auto"/>
          <w:sz w:val="44"/>
          <w:szCs w:val="44"/>
          <w:highlight w:val="none"/>
        </w:rPr>
      </w:pPr>
      <w:bookmarkStart w:id="35" w:name="_Toc176861409"/>
      <w:r>
        <w:rPr>
          <w:rFonts w:hint="eastAsia" w:ascii="宋体" w:hAnsi="宋体"/>
          <w:color w:val="auto"/>
          <w:sz w:val="44"/>
          <w:szCs w:val="44"/>
          <w:highlight w:val="none"/>
        </w:rPr>
        <w:t>第四章  采购项目需求</w:t>
      </w:r>
      <w:bookmarkEnd w:id="35"/>
    </w:p>
    <w:tbl>
      <w:tblPr>
        <w:tblStyle w:val="40"/>
        <w:tblW w:w="10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545"/>
        <w:gridCol w:w="1050"/>
        <w:gridCol w:w="6710"/>
      </w:tblGrid>
      <w:tr w14:paraId="7DB1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05" w:type="dxa"/>
            <w:gridSpan w:val="4"/>
            <w:tcBorders>
              <w:top w:val="single" w:color="auto" w:sz="4" w:space="0"/>
              <w:left w:val="single" w:color="auto" w:sz="4" w:space="0"/>
              <w:bottom w:val="single" w:color="auto" w:sz="4" w:space="0"/>
              <w:right w:val="single" w:color="auto" w:sz="4" w:space="0"/>
            </w:tcBorders>
            <w:noWrap w:val="0"/>
            <w:vAlign w:val="center"/>
          </w:tcPr>
          <w:p w14:paraId="2BBDEB5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32"/>
                <w:szCs w:val="32"/>
                <w:highlight w:val="none"/>
                <w:lang w:val="en-US" w:eastAsia="zh-CN"/>
              </w:rPr>
            </w:pPr>
            <w:r>
              <w:rPr>
                <w:rFonts w:hint="default"/>
                <w:color w:val="auto"/>
                <w:highlight w:val="none"/>
              </w:rPr>
              <w:t>▲</w:t>
            </w:r>
            <w:r>
              <w:rPr>
                <w:rFonts w:hint="eastAsia"/>
                <w:color w:val="auto"/>
                <w:highlight w:val="none"/>
                <w:lang w:val="en-US" w:eastAsia="zh-CN"/>
              </w:rPr>
              <w:t>一、技术要求</w:t>
            </w:r>
          </w:p>
        </w:tc>
      </w:tr>
      <w:tr w14:paraId="1BA0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tcBorders>
              <w:top w:val="single" w:color="auto" w:sz="4" w:space="0"/>
            </w:tcBorders>
            <w:noWrap w:val="0"/>
            <w:vAlign w:val="center"/>
          </w:tcPr>
          <w:p w14:paraId="077A3D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1545" w:type="dxa"/>
            <w:tcBorders>
              <w:top w:val="single" w:color="auto" w:sz="4" w:space="0"/>
            </w:tcBorders>
            <w:noWrap w:val="0"/>
            <w:vAlign w:val="center"/>
          </w:tcPr>
          <w:p w14:paraId="58F2C7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标的名称</w:t>
            </w:r>
          </w:p>
        </w:tc>
        <w:tc>
          <w:tcPr>
            <w:tcW w:w="1050" w:type="dxa"/>
            <w:tcBorders>
              <w:top w:val="single" w:color="auto" w:sz="4" w:space="0"/>
            </w:tcBorders>
            <w:noWrap w:val="0"/>
            <w:vAlign w:val="center"/>
          </w:tcPr>
          <w:p w14:paraId="6734B7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数量</w:t>
            </w:r>
          </w:p>
          <w:p w14:paraId="48DB5D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lang w:eastAsia="zh-CN"/>
              </w:rPr>
              <w:t>及</w:t>
            </w:r>
            <w:r>
              <w:rPr>
                <w:rFonts w:hint="default" w:ascii="Times New Roman" w:hAnsi="Times New Roman" w:eastAsia="宋体" w:cs="Times New Roman"/>
                <w:color w:val="auto"/>
                <w:sz w:val="21"/>
                <w:szCs w:val="21"/>
                <w:highlight w:val="none"/>
              </w:rPr>
              <w:t>单位</w:t>
            </w:r>
          </w:p>
        </w:tc>
        <w:tc>
          <w:tcPr>
            <w:tcW w:w="6710" w:type="dxa"/>
            <w:tcBorders>
              <w:top w:val="single" w:color="auto" w:sz="4" w:space="0"/>
            </w:tcBorders>
            <w:noWrap w:val="0"/>
            <w:vAlign w:val="center"/>
          </w:tcPr>
          <w:p w14:paraId="327BA5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技术要求</w:t>
            </w:r>
          </w:p>
        </w:tc>
      </w:tr>
      <w:tr w14:paraId="1A5F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00" w:type="dxa"/>
            <w:noWrap w:val="0"/>
            <w:vAlign w:val="center"/>
          </w:tcPr>
          <w:p w14:paraId="19EEF8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1545" w:type="dxa"/>
            <w:noWrap w:val="0"/>
            <w:vAlign w:val="center"/>
          </w:tcPr>
          <w:p w14:paraId="160A274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银滩镇禾沟村委后背岭种植园区产业路项目</w:t>
            </w:r>
          </w:p>
        </w:tc>
        <w:tc>
          <w:tcPr>
            <w:tcW w:w="1050" w:type="dxa"/>
            <w:noWrap w:val="0"/>
            <w:vAlign w:val="center"/>
          </w:tcPr>
          <w:p w14:paraId="6F43BF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1项</w:t>
            </w:r>
          </w:p>
        </w:tc>
        <w:tc>
          <w:tcPr>
            <w:tcW w:w="6710" w:type="dxa"/>
            <w:noWrap w:val="0"/>
            <w:vAlign w:val="center"/>
          </w:tcPr>
          <w:p w14:paraId="65C49EB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cs="宋体"/>
                <w:bCs/>
                <w:color w:val="auto"/>
                <w:szCs w:val="21"/>
                <w:highlight w:val="none"/>
                <w:lang w:eastAsia="zh-CN"/>
              </w:rPr>
            </w:pPr>
            <w:r>
              <w:rPr>
                <w:rFonts w:hint="eastAsia"/>
                <w:color w:val="auto"/>
                <w:highlight w:val="none"/>
                <w:lang w:val="en-US" w:eastAsia="zh-CN"/>
              </w:rPr>
              <w:t>1、</w:t>
            </w:r>
            <w:r>
              <w:rPr>
                <w:rFonts w:hint="eastAsia" w:ascii="宋体" w:hAnsi="宋体" w:eastAsia="宋体" w:cs="宋体"/>
                <w:color w:val="auto"/>
                <w:szCs w:val="21"/>
                <w:highlight w:val="none"/>
                <w:lang w:val="en-US" w:eastAsia="zh-CN"/>
              </w:rPr>
              <w:t>项目建设规模及主要建设内容：本工程位于北海市银海区，路面结构为水泥混凝土路面，道路工程等级为等外级乡村道路，主要建设内容为混凝土道路及交通工程，设计路线总长为1596.021米，采用单幅路横断面型式，路面宽度3.5米，路基宽度4.5米</w:t>
            </w:r>
            <w:r>
              <w:rPr>
                <w:rFonts w:hint="eastAsia" w:ascii="宋体" w:hAnsi="宋体" w:cs="宋体"/>
                <w:color w:val="auto"/>
                <w:sz w:val="21"/>
                <w:szCs w:val="21"/>
                <w:highlight w:val="none"/>
                <w:lang w:val="en-US" w:eastAsia="zh-CN"/>
              </w:rPr>
              <w:t>；具体内容详见工程量清单。</w:t>
            </w:r>
          </w:p>
          <w:p w14:paraId="7729F1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2、建设地点：</w:t>
            </w:r>
            <w:r>
              <w:rPr>
                <w:rFonts w:hint="eastAsia" w:ascii="宋体" w:hAnsi="宋体" w:cs="宋体"/>
                <w:color w:val="auto"/>
                <w:sz w:val="21"/>
                <w:szCs w:val="21"/>
                <w:highlight w:val="none"/>
                <w:lang w:val="en-US" w:eastAsia="zh-CN"/>
              </w:rPr>
              <w:t>北海市银海区</w:t>
            </w:r>
          </w:p>
          <w:p w14:paraId="0F18BF0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3、质量要求：达到国家工程施工验收规范合格标准</w:t>
            </w:r>
          </w:p>
          <w:p w14:paraId="71CAA61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4、</w:t>
            </w:r>
            <w:r>
              <w:rPr>
                <w:rFonts w:hint="eastAsia" w:ascii="Times New Roman" w:hAnsi="Times New Roman" w:eastAsia="宋体" w:cs="Times New Roman"/>
                <w:color w:val="auto"/>
                <w:highlight w:val="none"/>
              </w:rPr>
              <w:t>项目管理机构配备</w:t>
            </w:r>
            <w:r>
              <w:rPr>
                <w:rFonts w:hint="eastAsia" w:ascii="Times New Roman" w:hAnsi="Times New Roman" w:eastAsia="宋体" w:cs="Times New Roman"/>
                <w:color w:val="auto"/>
                <w:highlight w:val="none"/>
                <w:lang w:val="en-US" w:eastAsia="zh-CN"/>
              </w:rPr>
              <w:t>最低</w:t>
            </w:r>
            <w:r>
              <w:rPr>
                <w:rFonts w:hint="eastAsia" w:ascii="Times New Roman" w:hAnsi="Times New Roman" w:eastAsia="宋体" w:cs="Times New Roman"/>
                <w:color w:val="auto"/>
                <w:highlight w:val="none"/>
              </w:rPr>
              <w:t>要求：</w:t>
            </w:r>
            <w:r>
              <w:rPr>
                <w:rFonts w:hint="eastAsia" w:ascii="宋体" w:hAnsi="宋体" w:eastAsia="宋体" w:cs="宋体"/>
                <w:color w:val="auto"/>
                <w:szCs w:val="21"/>
                <w:highlight w:val="none"/>
                <w:lang w:val="en-US" w:eastAsia="zh-CN"/>
              </w:rPr>
              <w:t>拟投入人员不少于3人，须配备有项目经理、施工员、安全员，其中技术负责人、质量员可以由其他岗位人员兼任。</w:t>
            </w:r>
          </w:p>
          <w:p w14:paraId="1EF205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highlight w:val="none"/>
                <w:lang w:val="en-US" w:eastAsia="zh-CN"/>
              </w:rPr>
            </w:pPr>
            <w:r>
              <w:rPr>
                <w:rFonts w:hint="eastAsia"/>
                <w:color w:val="auto"/>
                <w:highlight w:val="none"/>
                <w:lang w:val="en-US" w:eastAsia="zh-CN"/>
              </w:rPr>
              <w:t>（1）项目经理：1名，具备</w:t>
            </w:r>
            <w:r>
              <w:rPr>
                <w:rFonts w:hint="eastAsia"/>
                <w:color w:val="auto"/>
                <w:highlight w:val="none"/>
                <w:u w:val="single"/>
                <w:lang w:eastAsia="zh-CN"/>
              </w:rPr>
              <w:t>“</w:t>
            </w:r>
            <w:r>
              <w:rPr>
                <w:rFonts w:hint="eastAsia"/>
                <w:color w:val="auto"/>
                <w:highlight w:val="none"/>
                <w:u w:val="single"/>
                <w:lang w:val="en-US" w:eastAsia="zh-CN"/>
              </w:rPr>
              <w:t>市政公用工程</w:t>
            </w:r>
            <w:r>
              <w:rPr>
                <w:rFonts w:hint="eastAsia"/>
                <w:color w:val="auto"/>
                <w:highlight w:val="none"/>
                <w:u w:val="single"/>
                <w:lang w:eastAsia="zh-CN"/>
              </w:rPr>
              <w:t>”</w:t>
            </w:r>
            <w:r>
              <w:rPr>
                <w:rFonts w:hint="eastAsia"/>
                <w:color w:val="auto"/>
                <w:highlight w:val="none"/>
                <w:lang w:val="en-US" w:eastAsia="zh-CN"/>
              </w:rPr>
              <w:t>专业</w:t>
            </w:r>
            <w:r>
              <w:rPr>
                <w:rFonts w:hint="eastAsia"/>
                <w:color w:val="auto"/>
                <w:highlight w:val="none"/>
                <w:u w:val="none"/>
                <w:lang w:val="en-US" w:eastAsia="zh-CN"/>
              </w:rPr>
              <w:t>二</w:t>
            </w:r>
            <w:r>
              <w:rPr>
                <w:rFonts w:hint="eastAsia"/>
                <w:color w:val="auto"/>
                <w:highlight w:val="none"/>
                <w:lang w:val="en-US" w:eastAsia="zh-CN"/>
              </w:rPr>
              <w:t>级（含）以上注册建造师执业资格，具备有效的安全生产考核合格证书（B类）</w:t>
            </w:r>
            <w:r>
              <w:rPr>
                <w:rFonts w:hint="eastAsia" w:ascii="宋体" w:hAnsi="宋体" w:eastAsia="宋体" w:cs="宋体"/>
                <w:color w:val="auto"/>
                <w:highlight w:val="none"/>
                <w:lang w:eastAsia="zh-CN"/>
              </w:rPr>
              <w:t>；</w:t>
            </w:r>
          </w:p>
          <w:p w14:paraId="2154C9D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highlight w:val="none"/>
                <w:lang w:val="en-US" w:eastAsia="zh-CN"/>
              </w:rPr>
            </w:pPr>
            <w:r>
              <w:rPr>
                <w:rFonts w:hint="eastAsia"/>
                <w:color w:val="auto"/>
                <w:highlight w:val="none"/>
                <w:lang w:val="en-US" w:eastAsia="zh-CN"/>
              </w:rPr>
              <w:t>（2）安全员：1名，具备有效的安全生产考核合格证书（C类）</w:t>
            </w:r>
            <w:r>
              <w:rPr>
                <w:rFonts w:hint="eastAsia" w:ascii="宋体" w:hAnsi="宋体" w:eastAsia="宋体" w:cs="宋体"/>
                <w:color w:val="auto"/>
                <w:highlight w:val="none"/>
                <w:lang w:eastAsia="zh-CN"/>
              </w:rPr>
              <w:t>；</w:t>
            </w:r>
          </w:p>
          <w:p w14:paraId="22C18E3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eastAsia="zh-CN"/>
              </w:rPr>
            </w:pPr>
            <w:r>
              <w:rPr>
                <w:rFonts w:hint="eastAsia"/>
                <w:color w:val="auto"/>
                <w:highlight w:val="none"/>
                <w:lang w:val="en-US" w:eastAsia="zh-CN"/>
              </w:rPr>
              <w:t>（3）施工员1名，</w:t>
            </w:r>
            <w:r>
              <w:rPr>
                <w:rFonts w:hint="eastAsia" w:cs="宋体"/>
                <w:color w:val="auto"/>
                <w:kern w:val="0"/>
                <w:highlight w:val="none"/>
              </w:rPr>
              <w:t>具有相应施工现场专业人</w:t>
            </w:r>
            <w:r>
              <w:rPr>
                <w:rFonts w:hint="eastAsia"/>
                <w:color w:val="auto"/>
                <w:highlight w:val="none"/>
              </w:rPr>
              <w:t>员职业培训合格证书</w:t>
            </w:r>
            <w:r>
              <w:rPr>
                <w:rFonts w:hint="eastAsia"/>
                <w:color w:val="auto"/>
                <w:highlight w:val="none"/>
                <w:lang w:eastAsia="zh-CN"/>
              </w:rPr>
              <w:t>并在有效期内</w:t>
            </w:r>
            <w:r>
              <w:rPr>
                <w:rFonts w:hint="eastAsia" w:ascii="宋体" w:hAnsi="宋体" w:eastAsia="宋体" w:cs="宋体"/>
                <w:color w:val="auto"/>
                <w:highlight w:val="none"/>
                <w:lang w:eastAsia="zh-CN"/>
              </w:rPr>
              <w:t>。</w:t>
            </w:r>
          </w:p>
          <w:p w14:paraId="2935EEE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highlight w:val="none"/>
                <w:lang w:eastAsia="zh-CN"/>
              </w:rPr>
            </w:pPr>
            <w:r>
              <w:rPr>
                <w:rFonts w:hint="default" w:ascii="宋体" w:hAnsi="宋体" w:eastAsia="宋体" w:cs="宋体"/>
                <w:b/>
                <w:bCs/>
                <w:color w:val="auto"/>
                <w:highlight w:val="none"/>
                <w:lang w:eastAsia="zh-CN"/>
              </w:rPr>
              <w:t>响应文件中须提供项目经理、施工员、安全员证书复印件并加盖单位</w:t>
            </w:r>
            <w:r>
              <w:rPr>
                <w:rFonts w:hint="eastAsia" w:ascii="宋体" w:hAnsi="宋体" w:cs="宋体"/>
                <w:b/>
                <w:bCs/>
                <w:color w:val="auto"/>
                <w:highlight w:val="none"/>
                <w:lang w:val="en-US" w:eastAsia="zh-CN"/>
              </w:rPr>
              <w:t>电子</w:t>
            </w:r>
            <w:r>
              <w:rPr>
                <w:rFonts w:hint="default" w:ascii="宋体" w:hAnsi="宋体" w:eastAsia="宋体" w:cs="宋体"/>
                <w:b/>
                <w:bCs/>
                <w:color w:val="auto"/>
                <w:highlight w:val="none"/>
                <w:lang w:eastAsia="zh-CN"/>
              </w:rPr>
              <w:t>公章。</w:t>
            </w:r>
          </w:p>
        </w:tc>
      </w:tr>
      <w:tr w14:paraId="5C65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05" w:type="dxa"/>
            <w:gridSpan w:val="4"/>
            <w:noWrap w:val="0"/>
            <w:vAlign w:val="center"/>
          </w:tcPr>
          <w:p w14:paraId="238247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eastAsia="宋体"/>
                <w:color w:val="auto"/>
                <w:highlight w:val="none"/>
                <w:lang w:val="en-US" w:eastAsia="zh-CN"/>
              </w:rPr>
            </w:pPr>
            <w:r>
              <w:rPr>
                <w:rFonts w:hint="default"/>
                <w:color w:val="auto"/>
                <w:highlight w:val="none"/>
              </w:rPr>
              <w:t>▲</w:t>
            </w:r>
            <w:r>
              <w:rPr>
                <w:rFonts w:hint="eastAsia"/>
                <w:color w:val="auto"/>
                <w:highlight w:val="none"/>
                <w:lang w:val="en-US" w:eastAsia="zh-CN"/>
              </w:rPr>
              <w:t>二、商务要求</w:t>
            </w:r>
          </w:p>
        </w:tc>
      </w:tr>
      <w:tr w14:paraId="3D77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05" w:type="dxa"/>
            <w:gridSpan w:val="4"/>
            <w:noWrap w:val="0"/>
            <w:vAlign w:val="center"/>
          </w:tcPr>
          <w:p w14:paraId="4A2038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color w:val="auto"/>
                <w:sz w:val="21"/>
                <w:szCs w:val="21"/>
                <w:highlight w:val="none"/>
              </w:rPr>
              <w:t>合同履约期限</w:t>
            </w:r>
            <w:r>
              <w:rPr>
                <w:rFonts w:hint="eastAsia"/>
                <w:color w:val="auto"/>
                <w:sz w:val="21"/>
                <w:szCs w:val="21"/>
                <w:highlight w:val="none"/>
                <w:lang w:eastAsia="zh-CN"/>
              </w:rPr>
              <w:t>（计划工期）</w:t>
            </w:r>
            <w:r>
              <w:rPr>
                <w:rFonts w:hint="eastAsia"/>
                <w:color w:val="auto"/>
                <w:highlight w:val="none"/>
                <w:lang w:val="en-US" w:eastAsia="zh-CN"/>
              </w:rPr>
              <w:t>：自合同签订之日起60天内竣工验收并交付使用。</w:t>
            </w:r>
          </w:p>
          <w:p w14:paraId="68A7C6F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2、质量保修期（工程缺陷责任期）</w:t>
            </w:r>
            <w:r>
              <w:rPr>
                <w:rFonts w:hint="default"/>
                <w:color w:val="auto"/>
                <w:highlight w:val="none"/>
                <w:lang w:val="en-US" w:eastAsia="zh-CN"/>
              </w:rPr>
              <w:t>：</w:t>
            </w:r>
            <w:r>
              <w:rPr>
                <w:rFonts w:hint="eastAsia"/>
                <w:color w:val="auto"/>
                <w:highlight w:val="none"/>
                <w:lang w:val="en-US" w:eastAsia="zh-CN"/>
              </w:rPr>
              <w:t>不少于12个月</w:t>
            </w:r>
            <w:r>
              <w:rPr>
                <w:rFonts w:hint="eastAsia" w:ascii="宋体" w:hAnsi="宋体" w:eastAsia="宋体" w:cs="宋体"/>
                <w:color w:val="auto"/>
                <w:szCs w:val="21"/>
                <w:highlight w:val="none"/>
                <w:u w:val="none"/>
              </w:rPr>
              <w:t>，</w:t>
            </w:r>
            <w:r>
              <w:rPr>
                <w:rFonts w:hint="eastAsia" w:ascii="宋体" w:hAnsi="宋体" w:eastAsia="宋体" w:cs="宋体"/>
                <w:color w:val="auto"/>
                <w:kern w:val="0"/>
                <w:szCs w:val="21"/>
                <w:highlight w:val="none"/>
                <w:u w:val="none"/>
              </w:rPr>
              <w:t>工程竣工验收合格，自交付使用之日起计算</w:t>
            </w:r>
            <w:r>
              <w:rPr>
                <w:rFonts w:hint="eastAsia" w:ascii="宋体" w:hAnsi="宋体" w:eastAsia="宋体" w:cs="宋体"/>
                <w:color w:val="auto"/>
                <w:szCs w:val="21"/>
                <w:highlight w:val="none"/>
                <w:u w:val="none"/>
              </w:rPr>
              <w:t>，按照《建设工程质量管理条例》执行</w:t>
            </w:r>
            <w:r>
              <w:rPr>
                <w:rFonts w:hint="eastAsia" w:ascii="宋体" w:hAnsi="宋体" w:eastAsia="宋体" w:cs="宋体"/>
                <w:color w:val="auto"/>
                <w:szCs w:val="21"/>
                <w:highlight w:val="none"/>
                <w:u w:val="none"/>
                <w:lang w:eastAsia="zh-CN"/>
              </w:rPr>
              <w:t>。</w:t>
            </w:r>
          </w:p>
          <w:p w14:paraId="089CFCD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付款方式：</w:t>
            </w:r>
          </w:p>
          <w:p w14:paraId="57966E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合同签订且成交供应商进场施工后，采购人一次性向成交供应商拨付合同价的30%作为</w:t>
            </w:r>
            <w:r>
              <w:rPr>
                <w:rFonts w:hint="eastAsia"/>
                <w:color w:val="auto"/>
                <w:highlight w:val="none"/>
                <w:lang w:val="en-US" w:eastAsia="zh-CN"/>
              </w:rPr>
              <w:t>预付款；</w:t>
            </w:r>
          </w:p>
          <w:p w14:paraId="3997C7A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工程款按工程进度支付</w:t>
            </w:r>
            <w:r>
              <w:rPr>
                <w:rFonts w:hint="eastAsia"/>
                <w:color w:val="auto"/>
                <w:highlight w:val="none"/>
                <w:lang w:val="en-US" w:eastAsia="zh-CN"/>
              </w:rPr>
              <w:t>，</w:t>
            </w:r>
            <w:r>
              <w:rPr>
                <w:rFonts w:hint="default"/>
                <w:color w:val="auto"/>
                <w:highlight w:val="none"/>
                <w:lang w:val="en-US" w:eastAsia="zh-CN"/>
              </w:rPr>
              <w:t>合同内进度款支付限额为合同价的90%</w:t>
            </w:r>
            <w:r>
              <w:rPr>
                <w:rFonts w:hint="eastAsia"/>
                <w:color w:val="auto"/>
                <w:highlight w:val="none"/>
                <w:lang w:val="en-US" w:eastAsia="zh-CN"/>
              </w:rPr>
              <w:t>（</w:t>
            </w:r>
            <w:r>
              <w:rPr>
                <w:rFonts w:hint="default"/>
                <w:color w:val="auto"/>
                <w:highlight w:val="none"/>
                <w:lang w:val="en-US" w:eastAsia="zh-CN"/>
              </w:rPr>
              <w:t>以实际进度时间及完成工程量为准</w:t>
            </w:r>
            <w:r>
              <w:rPr>
                <w:rFonts w:hint="eastAsia"/>
                <w:color w:val="auto"/>
                <w:highlight w:val="none"/>
                <w:lang w:val="en-US" w:eastAsia="zh-CN"/>
              </w:rPr>
              <w:t>）</w:t>
            </w:r>
            <w:r>
              <w:rPr>
                <w:rFonts w:hint="default"/>
                <w:color w:val="auto"/>
                <w:highlight w:val="none"/>
                <w:lang w:val="en-US" w:eastAsia="zh-CN"/>
              </w:rPr>
              <w:t>。</w:t>
            </w:r>
          </w:p>
          <w:p w14:paraId="12E9F00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eastAsia"/>
                <w:color w:val="auto"/>
                <w:highlight w:val="none"/>
                <w:lang w:val="en-US" w:eastAsia="zh-CN"/>
              </w:rPr>
              <w:t>（3）工程</w:t>
            </w:r>
            <w:r>
              <w:rPr>
                <w:rFonts w:hint="default"/>
                <w:color w:val="auto"/>
                <w:highlight w:val="none"/>
                <w:lang w:val="en-US" w:eastAsia="zh-CN"/>
              </w:rPr>
              <w:t>竣工验收并审计结算后</w:t>
            </w:r>
            <w:r>
              <w:rPr>
                <w:rFonts w:hint="eastAsia"/>
                <w:color w:val="auto"/>
                <w:highlight w:val="none"/>
                <w:lang w:val="en-US" w:eastAsia="zh-CN"/>
              </w:rPr>
              <w:t>，</w:t>
            </w:r>
            <w:r>
              <w:rPr>
                <w:rFonts w:hint="default"/>
                <w:color w:val="auto"/>
                <w:highlight w:val="none"/>
                <w:lang w:val="en-US" w:eastAsia="zh-CN"/>
              </w:rPr>
              <w:t>工程款支付至结算总价的97%。</w:t>
            </w:r>
            <w:r>
              <w:rPr>
                <w:rFonts w:hint="eastAsia"/>
                <w:color w:val="auto"/>
                <w:highlight w:val="none"/>
                <w:lang w:val="en-US" w:eastAsia="zh-CN"/>
              </w:rPr>
              <w:t>采购人</w:t>
            </w:r>
            <w:r>
              <w:rPr>
                <w:rFonts w:hint="default"/>
                <w:color w:val="auto"/>
                <w:highlight w:val="none"/>
                <w:lang w:val="en-US" w:eastAsia="zh-CN"/>
              </w:rPr>
              <w:t>按工程价款结算总额的3%预留工程质量保证金</w:t>
            </w:r>
            <w:r>
              <w:rPr>
                <w:rFonts w:hint="eastAsia"/>
                <w:color w:val="auto"/>
                <w:highlight w:val="none"/>
                <w:lang w:val="en-US" w:eastAsia="zh-CN"/>
              </w:rPr>
              <w:t>，</w:t>
            </w:r>
            <w:r>
              <w:rPr>
                <w:rFonts w:hint="default"/>
                <w:color w:val="auto"/>
                <w:highlight w:val="none"/>
                <w:lang w:val="en-US" w:eastAsia="zh-CN"/>
              </w:rPr>
              <w:t>待缺陷责任期</w:t>
            </w:r>
            <w:r>
              <w:rPr>
                <w:rFonts w:hint="eastAsia"/>
                <w:color w:val="auto"/>
                <w:highlight w:val="none"/>
                <w:lang w:val="en-US" w:eastAsia="zh-CN"/>
              </w:rPr>
              <w:t>（</w:t>
            </w:r>
            <w:r>
              <w:rPr>
                <w:rFonts w:hint="default"/>
                <w:color w:val="auto"/>
                <w:highlight w:val="none"/>
                <w:lang w:val="en-US" w:eastAsia="zh-CN"/>
              </w:rPr>
              <w:t>一年</w:t>
            </w:r>
            <w:r>
              <w:rPr>
                <w:rFonts w:hint="eastAsia"/>
                <w:color w:val="auto"/>
                <w:highlight w:val="none"/>
                <w:lang w:val="en-US" w:eastAsia="zh-CN"/>
              </w:rPr>
              <w:t>）</w:t>
            </w:r>
            <w:r>
              <w:rPr>
                <w:rFonts w:hint="default"/>
                <w:color w:val="auto"/>
                <w:highlight w:val="none"/>
                <w:lang w:val="en-US" w:eastAsia="zh-CN"/>
              </w:rPr>
              <w:t>满后一次性返还</w:t>
            </w:r>
            <w:r>
              <w:rPr>
                <w:rFonts w:hint="eastAsia"/>
                <w:color w:val="auto"/>
                <w:highlight w:val="none"/>
                <w:lang w:val="en-US" w:eastAsia="zh-CN"/>
              </w:rPr>
              <w:t>。</w:t>
            </w:r>
          </w:p>
          <w:p w14:paraId="01E3007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eastAsia="zh-CN"/>
              </w:rPr>
            </w:pPr>
            <w:r>
              <w:rPr>
                <w:rFonts w:hint="default"/>
                <w:color w:val="auto"/>
                <w:highlight w:val="none"/>
                <w:lang w:val="en-US" w:eastAsia="zh-CN"/>
              </w:rPr>
              <w:t>注</w:t>
            </w:r>
            <w:r>
              <w:rPr>
                <w:rFonts w:hint="eastAsia"/>
                <w:color w:val="auto"/>
                <w:highlight w:val="none"/>
                <w:lang w:val="en-US" w:eastAsia="zh-CN"/>
              </w:rPr>
              <w:t>：</w:t>
            </w:r>
            <w:r>
              <w:rPr>
                <w:rFonts w:hint="default"/>
                <w:color w:val="auto"/>
                <w:highlight w:val="none"/>
                <w:lang w:val="en-US" w:eastAsia="zh-CN"/>
              </w:rPr>
              <w:t>每付款前，成交供应商需开具相应金额的增值税发票给采购人。</w:t>
            </w:r>
          </w:p>
          <w:p w14:paraId="0C455D5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4、</w:t>
            </w:r>
            <w:r>
              <w:rPr>
                <w:rFonts w:hint="default" w:ascii="Times New Roman" w:hAnsi="Times New Roman" w:eastAsia="宋体" w:cs="Times New Roman"/>
                <w:color w:val="auto"/>
                <w:highlight w:val="none"/>
              </w:rPr>
              <w:t>验收标准：符合现行国家相关标准、行业标准、地方标准或者其他标准、规范。</w:t>
            </w:r>
            <w:r>
              <w:rPr>
                <w:rFonts w:hint="eastAsia" w:ascii="Times New Roman" w:hAnsi="Times New Roman" w:eastAsia="宋体" w:cs="Times New Roman"/>
                <w:color w:val="auto"/>
                <w:highlight w:val="none"/>
                <w:lang w:val="en-US" w:eastAsia="zh-CN"/>
              </w:rPr>
              <w:t>上述标准、规范有冲突的以最高标准为准。</w:t>
            </w:r>
          </w:p>
        </w:tc>
      </w:tr>
    </w:tbl>
    <w:p w14:paraId="11FF5851">
      <w:pPr>
        <w:pStyle w:val="25"/>
        <w:rPr>
          <w:color w:val="auto"/>
          <w:highlight w:val="none"/>
        </w:rPr>
      </w:pPr>
      <w:r>
        <w:rPr>
          <w:color w:val="auto"/>
          <w:highlight w:val="none"/>
        </w:rPr>
        <w:br w:type="page"/>
      </w:r>
    </w:p>
    <w:p w14:paraId="3B0F8DFC">
      <w:pPr>
        <w:pStyle w:val="25"/>
        <w:rPr>
          <w:color w:val="auto"/>
          <w:highlight w:val="none"/>
        </w:rPr>
      </w:pPr>
    </w:p>
    <w:p w14:paraId="72748D21">
      <w:pPr>
        <w:pStyle w:val="25"/>
        <w:rPr>
          <w:color w:val="auto"/>
          <w:highlight w:val="none"/>
        </w:rPr>
      </w:pPr>
    </w:p>
    <w:p w14:paraId="32CC7A54">
      <w:pPr>
        <w:pStyle w:val="25"/>
        <w:rPr>
          <w:color w:val="auto"/>
          <w:highlight w:val="none"/>
        </w:rPr>
      </w:pPr>
    </w:p>
    <w:p w14:paraId="01112B5E">
      <w:pPr>
        <w:pStyle w:val="25"/>
        <w:rPr>
          <w:color w:val="auto"/>
          <w:highlight w:val="none"/>
        </w:rPr>
      </w:pPr>
    </w:p>
    <w:p w14:paraId="594B4DF5">
      <w:pPr>
        <w:pStyle w:val="25"/>
        <w:rPr>
          <w:color w:val="auto"/>
          <w:highlight w:val="none"/>
        </w:rPr>
      </w:pPr>
    </w:p>
    <w:p w14:paraId="2BFA03E9">
      <w:pPr>
        <w:pStyle w:val="25"/>
        <w:rPr>
          <w:color w:val="auto"/>
          <w:highlight w:val="none"/>
        </w:rPr>
      </w:pPr>
    </w:p>
    <w:p w14:paraId="3B3FAFFC">
      <w:pPr>
        <w:pStyle w:val="25"/>
        <w:rPr>
          <w:color w:val="auto"/>
          <w:highlight w:val="none"/>
        </w:rPr>
      </w:pPr>
    </w:p>
    <w:p w14:paraId="37507993">
      <w:pPr>
        <w:pStyle w:val="25"/>
        <w:rPr>
          <w:color w:val="auto"/>
          <w:highlight w:val="none"/>
        </w:rPr>
      </w:pPr>
    </w:p>
    <w:p w14:paraId="6DA3C9DB">
      <w:pPr>
        <w:pStyle w:val="25"/>
        <w:rPr>
          <w:color w:val="auto"/>
          <w:highlight w:val="none"/>
        </w:rPr>
      </w:pPr>
    </w:p>
    <w:p w14:paraId="662ADAA8">
      <w:pPr>
        <w:pStyle w:val="25"/>
        <w:rPr>
          <w:color w:val="auto"/>
          <w:highlight w:val="none"/>
        </w:rPr>
      </w:pPr>
    </w:p>
    <w:p w14:paraId="6A4F94E6">
      <w:pPr>
        <w:pStyle w:val="25"/>
        <w:rPr>
          <w:color w:val="auto"/>
          <w:highlight w:val="none"/>
        </w:rPr>
      </w:pPr>
    </w:p>
    <w:p w14:paraId="53ABA436">
      <w:pPr>
        <w:pStyle w:val="25"/>
        <w:rPr>
          <w:color w:val="auto"/>
          <w:highlight w:val="none"/>
        </w:rPr>
      </w:pPr>
    </w:p>
    <w:p w14:paraId="35F95F10">
      <w:pPr>
        <w:pStyle w:val="25"/>
        <w:rPr>
          <w:color w:val="auto"/>
          <w:highlight w:val="none"/>
        </w:rPr>
      </w:pPr>
    </w:p>
    <w:p w14:paraId="0D6A8A38">
      <w:pPr>
        <w:pStyle w:val="25"/>
        <w:rPr>
          <w:color w:val="auto"/>
          <w:highlight w:val="none"/>
        </w:rPr>
      </w:pPr>
    </w:p>
    <w:p w14:paraId="2790DBC6">
      <w:pPr>
        <w:pStyle w:val="25"/>
        <w:rPr>
          <w:color w:val="auto"/>
          <w:highlight w:val="none"/>
        </w:rPr>
      </w:pPr>
    </w:p>
    <w:p w14:paraId="5D89F1ED">
      <w:pPr>
        <w:pStyle w:val="25"/>
        <w:rPr>
          <w:color w:val="auto"/>
          <w:highlight w:val="none"/>
        </w:rPr>
      </w:pPr>
    </w:p>
    <w:p w14:paraId="1235228D">
      <w:pPr>
        <w:pStyle w:val="2"/>
        <w:spacing w:before="0" w:after="0" w:line="240" w:lineRule="auto"/>
        <w:jc w:val="center"/>
        <w:rPr>
          <w:rFonts w:ascii="宋体" w:hAnsi="宋体"/>
          <w:color w:val="auto"/>
          <w:sz w:val="44"/>
          <w:szCs w:val="44"/>
          <w:highlight w:val="none"/>
        </w:rPr>
      </w:pPr>
      <w:bookmarkStart w:id="36" w:name="_Toc176861410"/>
      <w:r>
        <w:rPr>
          <w:rFonts w:hint="eastAsia" w:ascii="宋体" w:hAnsi="宋体"/>
          <w:color w:val="auto"/>
          <w:sz w:val="44"/>
          <w:szCs w:val="44"/>
          <w:highlight w:val="none"/>
        </w:rPr>
        <w:t>第五章  工程量清单及图纸</w:t>
      </w:r>
      <w:bookmarkEnd w:id="36"/>
    </w:p>
    <w:p w14:paraId="0742057C">
      <w:pPr>
        <w:rPr>
          <w:color w:val="auto"/>
          <w:sz w:val="30"/>
          <w:szCs w:val="30"/>
          <w:highlight w:val="none"/>
        </w:rPr>
      </w:pPr>
    </w:p>
    <w:p w14:paraId="46141C4E">
      <w:pPr>
        <w:rPr>
          <w:color w:val="auto"/>
          <w:sz w:val="30"/>
          <w:szCs w:val="30"/>
          <w:highlight w:val="none"/>
        </w:rPr>
      </w:pPr>
    </w:p>
    <w:p w14:paraId="0602746E">
      <w:pPr>
        <w:spacing w:line="440" w:lineRule="exact"/>
        <w:jc w:val="center"/>
        <w:rPr>
          <w:color w:val="auto"/>
          <w:sz w:val="30"/>
          <w:szCs w:val="30"/>
          <w:highlight w:val="none"/>
        </w:rPr>
      </w:pPr>
      <w:r>
        <w:rPr>
          <w:rFonts w:hint="eastAsia"/>
          <w:color w:val="auto"/>
          <w:sz w:val="30"/>
          <w:szCs w:val="30"/>
          <w:highlight w:val="none"/>
        </w:rPr>
        <w:t>工程量清单及图纸（另册）</w:t>
      </w:r>
    </w:p>
    <w:p w14:paraId="4D03072B">
      <w:pPr>
        <w:spacing w:line="440" w:lineRule="exact"/>
        <w:jc w:val="center"/>
        <w:rPr>
          <w:rFonts w:eastAsia="仿宋_GB2312"/>
          <w:color w:val="auto"/>
          <w:sz w:val="36"/>
          <w:szCs w:val="36"/>
          <w:highlight w:val="none"/>
        </w:rPr>
      </w:pPr>
    </w:p>
    <w:p w14:paraId="1D3FB5E5">
      <w:pPr>
        <w:pStyle w:val="3"/>
        <w:spacing w:before="0" w:after="0" w:line="360" w:lineRule="auto"/>
        <w:rPr>
          <w:color w:val="auto"/>
          <w:highlight w:val="none"/>
        </w:rPr>
      </w:pPr>
      <w:r>
        <w:rPr>
          <w:color w:val="auto"/>
          <w:highlight w:val="none"/>
        </w:rPr>
        <w:br w:type="page"/>
      </w:r>
    </w:p>
    <w:p w14:paraId="22F6D8D8">
      <w:pPr>
        <w:rPr>
          <w:color w:val="auto"/>
          <w:highlight w:val="none"/>
        </w:rPr>
      </w:pPr>
    </w:p>
    <w:p w14:paraId="78F7EF94">
      <w:pPr>
        <w:autoSpaceDE w:val="0"/>
        <w:autoSpaceDN w:val="0"/>
        <w:adjustRightInd w:val="0"/>
        <w:snapToGrid w:val="0"/>
        <w:spacing w:line="300" w:lineRule="auto"/>
        <w:jc w:val="center"/>
        <w:outlineLvl w:val="0"/>
        <w:rPr>
          <w:rFonts w:ascii="宋体" w:hAnsi="宋体"/>
          <w:b/>
          <w:color w:val="auto"/>
          <w:kern w:val="0"/>
          <w:sz w:val="44"/>
          <w:szCs w:val="44"/>
          <w:highlight w:val="none"/>
        </w:rPr>
      </w:pPr>
      <w:bookmarkStart w:id="37" w:name="_Toc176861411"/>
      <w:bookmarkStart w:id="38" w:name="_Toc3994507"/>
      <w:bookmarkStart w:id="39" w:name="_Toc31815"/>
      <w:r>
        <w:rPr>
          <w:rFonts w:hint="eastAsia" w:ascii="宋体" w:hAnsi="宋体"/>
          <w:b/>
          <w:color w:val="auto"/>
          <w:kern w:val="0"/>
          <w:sz w:val="44"/>
          <w:szCs w:val="44"/>
          <w:highlight w:val="none"/>
        </w:rPr>
        <w:t>第六章  合同格式</w:t>
      </w:r>
      <w:bookmarkEnd w:id="37"/>
      <w:bookmarkEnd w:id="38"/>
      <w:bookmarkEnd w:id="39"/>
    </w:p>
    <w:p w14:paraId="3D19714F">
      <w:pPr>
        <w:spacing w:line="360" w:lineRule="auto"/>
        <w:jc w:val="center"/>
        <w:rPr>
          <w:rFonts w:hint="eastAsia" w:ascii="宋体" w:hAnsi="宋体" w:eastAsia="宋体" w:cs="宋体"/>
          <w:b/>
          <w:bCs/>
          <w:color w:val="auto"/>
          <w:kern w:val="44"/>
          <w:sz w:val="72"/>
          <w:szCs w:val="72"/>
          <w:highlight w:val="none"/>
          <w:lang w:val="zh-CN"/>
        </w:rPr>
      </w:pPr>
      <w:bookmarkStart w:id="40" w:name="_Toc407135283"/>
      <w:bookmarkStart w:id="41" w:name="_Toc29015"/>
    </w:p>
    <w:p w14:paraId="1842924E">
      <w:pPr>
        <w:spacing w:line="360" w:lineRule="auto"/>
        <w:jc w:val="center"/>
        <w:rPr>
          <w:rFonts w:hint="eastAsia" w:ascii="宋体" w:hAnsi="宋体" w:eastAsia="宋体" w:cs="宋体"/>
          <w:b/>
          <w:bCs/>
          <w:color w:val="auto"/>
          <w:kern w:val="44"/>
          <w:sz w:val="72"/>
          <w:szCs w:val="72"/>
          <w:highlight w:val="none"/>
          <w:lang w:val="zh-CN"/>
        </w:rPr>
      </w:pPr>
    </w:p>
    <w:p w14:paraId="198F1626">
      <w:pPr>
        <w:spacing w:line="360" w:lineRule="auto"/>
        <w:jc w:val="center"/>
        <w:rPr>
          <w:rFonts w:ascii="宋体" w:hAnsi="宋体" w:eastAsia="宋体" w:cs="宋体"/>
          <w:b/>
          <w:bCs/>
          <w:color w:val="auto"/>
          <w:kern w:val="44"/>
          <w:sz w:val="72"/>
          <w:szCs w:val="72"/>
          <w:highlight w:val="none"/>
          <w:lang w:val="zh-CN"/>
        </w:rPr>
      </w:pPr>
      <w:r>
        <w:rPr>
          <w:rFonts w:hint="eastAsia" w:ascii="宋体" w:hAnsi="宋体" w:eastAsia="宋体" w:cs="宋体"/>
          <w:b/>
          <w:bCs/>
          <w:color w:val="auto"/>
          <w:kern w:val="44"/>
          <w:sz w:val="72"/>
          <w:szCs w:val="72"/>
          <w:highlight w:val="none"/>
          <w:lang w:val="zh-CN"/>
        </w:rPr>
        <w:t>建设工程施工合同</w:t>
      </w:r>
    </w:p>
    <w:p w14:paraId="17A5D549">
      <w:pPr>
        <w:spacing w:line="360" w:lineRule="auto"/>
        <w:rPr>
          <w:rFonts w:ascii="宋体" w:hAnsi="宋体" w:eastAsia="宋体" w:cs="宋体"/>
          <w:b/>
          <w:bCs/>
          <w:color w:val="auto"/>
          <w:kern w:val="44"/>
          <w:sz w:val="28"/>
          <w:szCs w:val="28"/>
          <w:highlight w:val="none"/>
          <w:lang w:val="zh-CN"/>
        </w:rPr>
      </w:pPr>
    </w:p>
    <w:p w14:paraId="4620EC4D">
      <w:pPr>
        <w:spacing w:line="360" w:lineRule="auto"/>
        <w:rPr>
          <w:rFonts w:ascii="宋体" w:hAnsi="宋体" w:eastAsia="宋体" w:cs="宋体"/>
          <w:b/>
          <w:bCs/>
          <w:color w:val="auto"/>
          <w:kern w:val="44"/>
          <w:sz w:val="28"/>
          <w:szCs w:val="28"/>
          <w:highlight w:val="none"/>
          <w:lang w:val="zh-CN"/>
        </w:rPr>
      </w:pPr>
    </w:p>
    <w:p w14:paraId="29C4416A">
      <w:pPr>
        <w:spacing w:line="360" w:lineRule="auto"/>
        <w:rPr>
          <w:rFonts w:ascii="宋体" w:hAnsi="宋体" w:eastAsia="宋体" w:cs="宋体"/>
          <w:b/>
          <w:bCs/>
          <w:color w:val="auto"/>
          <w:kern w:val="44"/>
          <w:sz w:val="28"/>
          <w:szCs w:val="28"/>
          <w:highlight w:val="none"/>
          <w:lang w:val="zh-CN"/>
        </w:rPr>
      </w:pPr>
    </w:p>
    <w:p w14:paraId="0479E008">
      <w:pPr>
        <w:spacing w:line="360" w:lineRule="auto"/>
        <w:rPr>
          <w:rFonts w:ascii="宋体" w:hAnsi="宋体" w:eastAsia="宋体" w:cs="宋体"/>
          <w:b/>
          <w:bCs/>
          <w:color w:val="auto"/>
          <w:kern w:val="44"/>
          <w:sz w:val="28"/>
          <w:szCs w:val="28"/>
          <w:highlight w:val="none"/>
          <w:lang w:val="zh-CN"/>
        </w:rPr>
      </w:pPr>
    </w:p>
    <w:tbl>
      <w:tblPr>
        <w:tblStyle w:val="41"/>
        <w:tblW w:w="0" w:type="auto"/>
        <w:tblInd w:w="3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2"/>
        <w:gridCol w:w="6613"/>
      </w:tblGrid>
      <w:tr w14:paraId="09A1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2" w:type="dxa"/>
            <w:noWrap w:val="0"/>
            <w:vAlign w:val="center"/>
          </w:tcPr>
          <w:p w14:paraId="73D11E83">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lang w:val="zh-CN"/>
              </w:rPr>
              <w:t>工程名称：</w:t>
            </w:r>
          </w:p>
        </w:tc>
        <w:tc>
          <w:tcPr>
            <w:tcW w:w="6613" w:type="dxa"/>
            <w:noWrap w:val="0"/>
            <w:vAlign w:val="center"/>
          </w:tcPr>
          <w:p w14:paraId="32431400">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cs="宋体"/>
                <w:b w:val="0"/>
                <w:bCs w:val="0"/>
                <w:color w:val="auto"/>
                <w:kern w:val="44"/>
                <w:sz w:val="30"/>
                <w:szCs w:val="30"/>
                <w:highlight w:val="none"/>
                <w:u w:val="none"/>
                <w:lang w:val="en-US" w:eastAsia="zh-CN"/>
              </w:rPr>
              <w:t>银滩镇禾沟村委后背岭种植园区产业路项目</w:t>
            </w:r>
          </w:p>
        </w:tc>
      </w:tr>
      <w:tr w14:paraId="50B8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2" w:type="dxa"/>
            <w:noWrap w:val="0"/>
            <w:vAlign w:val="center"/>
          </w:tcPr>
          <w:p w14:paraId="7817E38F">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lang w:val="zh-CN"/>
              </w:rPr>
              <w:t>发包人：</w:t>
            </w:r>
          </w:p>
        </w:tc>
        <w:tc>
          <w:tcPr>
            <w:tcW w:w="6613" w:type="dxa"/>
            <w:noWrap w:val="0"/>
            <w:vAlign w:val="center"/>
          </w:tcPr>
          <w:p w14:paraId="32B8C0CE">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lang w:val="zh-CN"/>
              </w:rPr>
              <w:t>北海市银海区农业农村和水利局</w:t>
            </w:r>
          </w:p>
        </w:tc>
      </w:tr>
      <w:tr w14:paraId="414C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2" w:type="dxa"/>
            <w:noWrap w:val="0"/>
            <w:vAlign w:val="center"/>
          </w:tcPr>
          <w:p w14:paraId="46693096">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lang w:val="zh-CN"/>
              </w:rPr>
              <w:t>承包人：</w:t>
            </w:r>
          </w:p>
        </w:tc>
        <w:tc>
          <w:tcPr>
            <w:tcW w:w="6613" w:type="dxa"/>
            <w:noWrap w:val="0"/>
            <w:vAlign w:val="center"/>
          </w:tcPr>
          <w:p w14:paraId="7513CD73">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p>
        </w:tc>
      </w:tr>
      <w:tr w14:paraId="5024D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2" w:type="dxa"/>
            <w:noWrap w:val="0"/>
            <w:vAlign w:val="center"/>
          </w:tcPr>
          <w:p w14:paraId="3102B53F">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lang w:val="zh-CN"/>
              </w:rPr>
              <w:t>签订地点：</w:t>
            </w:r>
          </w:p>
        </w:tc>
        <w:tc>
          <w:tcPr>
            <w:tcW w:w="6613" w:type="dxa"/>
            <w:noWrap w:val="0"/>
            <w:vAlign w:val="center"/>
          </w:tcPr>
          <w:p w14:paraId="15ACC4D5">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val="0"/>
                <w:bCs w:val="0"/>
                <w:color w:val="auto"/>
                <w:kern w:val="44"/>
                <w:sz w:val="30"/>
                <w:szCs w:val="30"/>
                <w:highlight w:val="none"/>
                <w:u w:val="none"/>
                <w:vertAlign w:val="baseline"/>
                <w:lang w:val="zh-CN"/>
              </w:rPr>
            </w:pPr>
          </w:p>
        </w:tc>
      </w:tr>
      <w:tr w14:paraId="7EC1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195" w:type="dxa"/>
            <w:gridSpan w:val="2"/>
            <w:noWrap w:val="0"/>
            <w:vAlign w:val="center"/>
          </w:tcPr>
          <w:p w14:paraId="6DAA0B1C">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val="0"/>
                <w:bCs w:val="0"/>
                <w:color w:val="auto"/>
                <w:kern w:val="44"/>
                <w:sz w:val="30"/>
                <w:szCs w:val="30"/>
                <w:highlight w:val="none"/>
                <w:u w:val="none"/>
                <w:vertAlign w:val="baseline"/>
                <w:lang w:val="zh-CN"/>
              </w:rPr>
            </w:pPr>
            <w:r>
              <w:rPr>
                <w:rFonts w:hint="eastAsia" w:ascii="宋体" w:hAnsi="宋体" w:eastAsia="宋体" w:cs="宋体"/>
                <w:b w:val="0"/>
                <w:bCs w:val="0"/>
                <w:color w:val="auto"/>
                <w:kern w:val="44"/>
                <w:sz w:val="30"/>
                <w:szCs w:val="30"/>
                <w:highlight w:val="none"/>
                <w:u w:val="none"/>
                <w:vertAlign w:val="baseline"/>
                <w:lang w:val="zh-CN"/>
              </w:rPr>
              <w:t>签订时间：</w:t>
            </w:r>
            <w:r>
              <w:rPr>
                <w:rFonts w:hint="eastAsia" w:ascii="宋体" w:hAnsi="宋体" w:eastAsia="宋体" w:cs="宋体"/>
                <w:b w:val="0"/>
                <w:bCs w:val="0"/>
                <w:color w:val="auto"/>
                <w:kern w:val="44"/>
                <w:sz w:val="30"/>
                <w:szCs w:val="30"/>
                <w:highlight w:val="none"/>
                <w:u w:val="none"/>
                <w:vertAlign w:val="baseline"/>
                <w:lang w:val="en-US" w:eastAsia="zh-CN"/>
              </w:rPr>
              <w:t>202</w:t>
            </w:r>
            <w:r>
              <w:rPr>
                <w:rFonts w:hint="eastAsia" w:ascii="宋体" w:hAnsi="宋体" w:cs="宋体"/>
                <w:b w:val="0"/>
                <w:bCs w:val="0"/>
                <w:color w:val="auto"/>
                <w:kern w:val="44"/>
                <w:sz w:val="30"/>
                <w:szCs w:val="30"/>
                <w:highlight w:val="none"/>
                <w:u w:val="none"/>
                <w:vertAlign w:val="baseline"/>
                <w:lang w:val="en-US" w:eastAsia="zh-CN"/>
              </w:rPr>
              <w:t>6</w:t>
            </w:r>
            <w:r>
              <w:rPr>
                <w:rFonts w:hint="eastAsia" w:ascii="宋体" w:hAnsi="宋体" w:eastAsia="宋体" w:cs="宋体"/>
                <w:b w:val="0"/>
                <w:bCs w:val="0"/>
                <w:color w:val="auto"/>
                <w:kern w:val="44"/>
                <w:sz w:val="30"/>
                <w:szCs w:val="30"/>
                <w:highlight w:val="none"/>
                <w:u w:val="none"/>
                <w:vertAlign w:val="baseline"/>
                <w:lang w:val="zh-CN"/>
              </w:rPr>
              <w:t>年  月  日</w:t>
            </w:r>
          </w:p>
        </w:tc>
      </w:tr>
    </w:tbl>
    <w:p w14:paraId="21A2ABE6">
      <w:pPr>
        <w:widowControl w:val="0"/>
        <w:spacing w:line="360" w:lineRule="auto"/>
        <w:ind w:firstLine="0" w:firstLineChars="0"/>
        <w:jc w:val="center"/>
        <w:rPr>
          <w:rFonts w:hint="eastAsia" w:ascii="宋体" w:hAnsi="宋体" w:eastAsia="宋体" w:cs="宋体"/>
          <w:b/>
          <w:bCs/>
          <w:color w:val="auto"/>
          <w:kern w:val="44"/>
          <w:sz w:val="32"/>
          <w:szCs w:val="32"/>
          <w:highlight w:val="none"/>
          <w:lang w:val="zh-CN" w:eastAsia="zh-CN" w:bidi="ar-SA"/>
        </w:rPr>
      </w:pPr>
    </w:p>
    <w:bookmarkEnd w:id="40"/>
    <w:bookmarkEnd w:id="41"/>
    <w:p w14:paraId="2B010F17">
      <w:pPr>
        <w:keepNext w:val="0"/>
        <w:keepLines w:val="0"/>
        <w:pageBreakBefore w:val="0"/>
        <w:widowControl w:val="0"/>
        <w:kinsoku/>
        <w:wordWrap/>
        <w:overflowPunct/>
        <w:topLinePunct w:val="0"/>
        <w:bidi w:val="0"/>
        <w:adjustRightInd w:val="0"/>
        <w:snapToGrid w:val="0"/>
        <w:spacing w:before="156" w:beforeLines="50" w:after="156" w:afterLines="50" w:line="400" w:lineRule="exact"/>
        <w:jc w:val="center"/>
        <w:textAlignment w:val="auto"/>
        <w:outlineLvl w:val="9"/>
        <w:rPr>
          <w:rFonts w:hint="eastAsia" w:ascii="宋体" w:hAnsi="宋体" w:cs="宋体"/>
          <w:color w:val="auto"/>
          <w:sz w:val="32"/>
          <w:highlight w:val="none"/>
        </w:rPr>
      </w:pPr>
    </w:p>
    <w:p w14:paraId="0D0EB574">
      <w:pPr>
        <w:keepNext w:val="0"/>
        <w:keepLines w:val="0"/>
        <w:pageBreakBefore w:val="0"/>
        <w:widowControl w:val="0"/>
        <w:kinsoku/>
        <w:wordWrap/>
        <w:overflowPunct/>
        <w:topLinePunct w:val="0"/>
        <w:bidi w:val="0"/>
        <w:adjustRightInd w:val="0"/>
        <w:snapToGrid w:val="0"/>
        <w:spacing w:before="156" w:beforeLines="50" w:after="156" w:afterLines="50" w:line="400" w:lineRule="exact"/>
        <w:jc w:val="center"/>
        <w:textAlignment w:val="auto"/>
        <w:outlineLvl w:val="9"/>
        <w:rPr>
          <w:rFonts w:hint="eastAsia" w:ascii="宋体" w:hAnsi="宋体" w:cs="宋体"/>
          <w:color w:val="auto"/>
          <w:sz w:val="32"/>
          <w:highlight w:val="none"/>
        </w:rPr>
      </w:pPr>
    </w:p>
    <w:p w14:paraId="6822D156">
      <w:pPr>
        <w:keepNext w:val="0"/>
        <w:keepLines w:val="0"/>
        <w:pageBreakBefore w:val="0"/>
        <w:widowControl w:val="0"/>
        <w:kinsoku/>
        <w:wordWrap/>
        <w:overflowPunct/>
        <w:topLinePunct w:val="0"/>
        <w:bidi w:val="0"/>
        <w:adjustRightInd w:val="0"/>
        <w:snapToGrid w:val="0"/>
        <w:spacing w:before="156" w:beforeLines="50" w:after="156" w:afterLines="50" w:line="400" w:lineRule="exact"/>
        <w:jc w:val="center"/>
        <w:textAlignment w:val="auto"/>
        <w:outlineLvl w:val="9"/>
        <w:rPr>
          <w:rFonts w:hint="eastAsia" w:ascii="宋体" w:hAnsi="宋体" w:cs="宋体"/>
          <w:color w:val="auto"/>
          <w:sz w:val="32"/>
          <w:highlight w:val="none"/>
        </w:rPr>
      </w:pPr>
    </w:p>
    <w:p w14:paraId="1D7F45E6">
      <w:pPr>
        <w:keepNext w:val="0"/>
        <w:keepLines w:val="0"/>
        <w:pageBreakBefore w:val="0"/>
        <w:widowControl w:val="0"/>
        <w:kinsoku/>
        <w:wordWrap/>
        <w:overflowPunct/>
        <w:topLinePunct w:val="0"/>
        <w:bidi w:val="0"/>
        <w:adjustRightInd w:val="0"/>
        <w:snapToGrid w:val="0"/>
        <w:spacing w:before="156" w:beforeLines="50" w:after="156" w:afterLines="50" w:line="400" w:lineRule="exact"/>
        <w:jc w:val="center"/>
        <w:textAlignment w:val="auto"/>
        <w:outlineLvl w:val="9"/>
        <w:rPr>
          <w:rFonts w:hint="eastAsia" w:ascii="宋体" w:hAnsi="宋体" w:cs="宋体"/>
          <w:color w:val="auto"/>
          <w:sz w:val="32"/>
          <w:highlight w:val="none"/>
        </w:rPr>
      </w:pPr>
    </w:p>
    <w:p w14:paraId="264317B6">
      <w:pPr>
        <w:keepNext w:val="0"/>
        <w:keepLines w:val="0"/>
        <w:pageBreakBefore w:val="0"/>
        <w:widowControl w:val="0"/>
        <w:kinsoku/>
        <w:wordWrap/>
        <w:overflowPunct/>
        <w:topLinePunct w:val="0"/>
        <w:bidi w:val="0"/>
        <w:adjustRightInd w:val="0"/>
        <w:snapToGrid w:val="0"/>
        <w:spacing w:before="156" w:beforeLines="50" w:after="156" w:afterLines="50" w:line="400" w:lineRule="exact"/>
        <w:jc w:val="center"/>
        <w:textAlignment w:val="auto"/>
        <w:outlineLvl w:val="9"/>
        <w:rPr>
          <w:rFonts w:hint="eastAsia" w:ascii="宋体" w:hAnsi="宋体" w:cs="宋体"/>
          <w:color w:val="auto"/>
          <w:sz w:val="32"/>
          <w:highlight w:val="none"/>
        </w:rPr>
      </w:pPr>
      <w:r>
        <w:rPr>
          <w:rFonts w:hint="eastAsia" w:ascii="宋体" w:hAnsi="宋体" w:cs="宋体"/>
          <w:color w:val="auto"/>
          <w:sz w:val="32"/>
          <w:highlight w:val="none"/>
        </w:rPr>
        <w:t>第一部分  合同协议书</w:t>
      </w:r>
      <w:bookmarkStart w:id="42" w:name="_Toc337558727"/>
    </w:p>
    <w:bookmarkEnd w:id="42"/>
    <w:p w14:paraId="4E9A3EA9">
      <w:pPr>
        <w:pageBreakBefore w:val="0"/>
        <w:kinsoku/>
        <w:wordWrap/>
        <w:overflowPunct/>
        <w:topLinePunct w:val="0"/>
        <w:bidi w:val="0"/>
        <w:spacing w:line="360" w:lineRule="auto"/>
        <w:textAlignment w:val="auto"/>
        <w:rPr>
          <w:color w:val="auto"/>
          <w:highlight w:val="none"/>
          <w:u w:val="single"/>
        </w:rPr>
      </w:pPr>
      <w:r>
        <w:rPr>
          <w:rFonts w:hint="eastAsia" w:hAnsi="宋体" w:cs="宋体"/>
          <w:color w:val="auto"/>
          <w:highlight w:val="none"/>
        </w:rPr>
        <w:t>发包人（全称）：</w:t>
      </w:r>
      <w:r>
        <w:rPr>
          <w:rFonts w:hAnsi="宋体"/>
          <w:color w:val="auto"/>
          <w:highlight w:val="none"/>
          <w:u w:val="single"/>
        </w:rPr>
        <w:t xml:space="preserve">                              </w:t>
      </w:r>
    </w:p>
    <w:p w14:paraId="2568FE35">
      <w:pPr>
        <w:pageBreakBefore w:val="0"/>
        <w:kinsoku/>
        <w:wordWrap/>
        <w:overflowPunct/>
        <w:topLinePunct w:val="0"/>
        <w:bidi w:val="0"/>
        <w:spacing w:line="360" w:lineRule="auto"/>
        <w:textAlignment w:val="auto"/>
        <w:rPr>
          <w:color w:val="auto"/>
          <w:highlight w:val="none"/>
          <w:u w:val="single"/>
        </w:rPr>
      </w:pPr>
      <w:r>
        <w:rPr>
          <w:rFonts w:hint="eastAsia" w:hAnsi="宋体" w:cs="宋体"/>
          <w:color w:val="auto"/>
          <w:highlight w:val="none"/>
        </w:rPr>
        <w:t>承包人（全称）：</w:t>
      </w:r>
      <w:r>
        <w:rPr>
          <w:rFonts w:hAnsi="宋体"/>
          <w:color w:val="auto"/>
          <w:highlight w:val="none"/>
          <w:u w:val="single"/>
        </w:rPr>
        <w:t xml:space="preserve">                              </w:t>
      </w:r>
    </w:p>
    <w:p w14:paraId="43A0DC42">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根据《中华人民共和国民法典》、《中华人民共和国建筑法》及有关法律规定，遵循平等、自愿、公平和诚实信用的原则，双方就</w:t>
      </w:r>
      <w:r>
        <w:rPr>
          <w:color w:val="auto"/>
          <w:highlight w:val="none"/>
          <w:u w:val="single"/>
        </w:rPr>
        <w:t xml:space="preserve">   </w:t>
      </w:r>
      <w:r>
        <w:rPr>
          <w:rFonts w:hint="eastAsia"/>
          <w:color w:val="auto"/>
          <w:highlight w:val="none"/>
          <w:u w:val="single"/>
          <w:lang w:eastAsia="zh-CN"/>
        </w:rPr>
        <w:t>银滩镇禾沟村委后背岭种植园区产业路项目</w:t>
      </w:r>
      <w:r>
        <w:rPr>
          <w:color w:val="auto"/>
          <w:highlight w:val="none"/>
          <w:u w:val="single"/>
        </w:rPr>
        <w:t xml:space="preserve">   </w:t>
      </w:r>
      <w:r>
        <w:rPr>
          <w:rFonts w:hint="eastAsia" w:hAnsi="宋体" w:cs="宋体"/>
          <w:color w:val="auto"/>
          <w:highlight w:val="none"/>
        </w:rPr>
        <w:t>工程施工及有关事项协商一致，共同达成如下协议：</w:t>
      </w:r>
      <w:bookmarkStart w:id="43" w:name="_Toc351203481"/>
    </w:p>
    <w:p w14:paraId="047669B0">
      <w:pPr>
        <w:pageBreakBefore w:val="0"/>
        <w:kinsoku/>
        <w:wordWrap/>
        <w:overflowPunct/>
        <w:topLinePunct w:val="0"/>
        <w:bidi w:val="0"/>
        <w:spacing w:line="360" w:lineRule="auto"/>
        <w:ind w:firstLine="422" w:firstLineChars="200"/>
        <w:textAlignment w:val="auto"/>
        <w:outlineLvl w:val="0"/>
        <w:rPr>
          <w:b/>
          <w:bCs/>
          <w:color w:val="auto"/>
          <w:highlight w:val="none"/>
        </w:rPr>
      </w:pPr>
      <w:r>
        <w:rPr>
          <w:rFonts w:hint="eastAsia" w:hAnsi="宋体" w:cs="宋体"/>
          <w:b/>
          <w:bCs/>
          <w:color w:val="auto"/>
          <w:highlight w:val="none"/>
        </w:rPr>
        <w:t>一、工程概况</w:t>
      </w:r>
      <w:bookmarkEnd w:id="43"/>
    </w:p>
    <w:p w14:paraId="7286D74B">
      <w:pPr>
        <w:pageBreakBefore w:val="0"/>
        <w:kinsoku/>
        <w:wordWrap/>
        <w:overflowPunct/>
        <w:topLinePunct w:val="0"/>
        <w:bidi w:val="0"/>
        <w:spacing w:line="360" w:lineRule="auto"/>
        <w:ind w:firstLine="411" w:firstLineChars="196"/>
        <w:textAlignment w:val="auto"/>
        <w:rPr>
          <w:color w:val="auto"/>
          <w:highlight w:val="none"/>
          <w:u w:val="single"/>
        </w:rPr>
      </w:pPr>
      <w:r>
        <w:rPr>
          <w:color w:val="auto"/>
          <w:highlight w:val="none"/>
        </w:rPr>
        <w:t xml:space="preserve">1. </w:t>
      </w:r>
      <w:r>
        <w:rPr>
          <w:rFonts w:hint="eastAsia" w:hAnsi="宋体" w:cs="宋体"/>
          <w:color w:val="auto"/>
          <w:highlight w:val="none"/>
        </w:rPr>
        <w:t>工程名称：</w:t>
      </w:r>
      <w:r>
        <w:rPr>
          <w:color w:val="auto"/>
          <w:highlight w:val="none"/>
          <w:u w:val="single"/>
        </w:rPr>
        <w:t xml:space="preserve">  </w:t>
      </w:r>
      <w:r>
        <w:rPr>
          <w:rFonts w:hint="eastAsia"/>
          <w:color w:val="auto"/>
          <w:highlight w:val="none"/>
          <w:u w:val="single"/>
          <w:lang w:eastAsia="zh-CN"/>
        </w:rPr>
        <w:t>银滩镇禾沟村委后背岭种植园区产业路项目</w:t>
      </w:r>
      <w:r>
        <w:rPr>
          <w:rFonts w:hint="eastAsia"/>
          <w:color w:val="auto"/>
          <w:highlight w:val="none"/>
          <w:u w:val="single"/>
        </w:rPr>
        <w:t xml:space="preserve">  </w:t>
      </w:r>
      <w:r>
        <w:rPr>
          <w:rFonts w:hint="eastAsia" w:hAnsi="宋体" w:cs="宋体"/>
          <w:color w:val="auto"/>
          <w:highlight w:val="none"/>
        </w:rPr>
        <w:t>。</w:t>
      </w:r>
    </w:p>
    <w:p w14:paraId="0A341356">
      <w:pPr>
        <w:pageBreakBefore w:val="0"/>
        <w:kinsoku/>
        <w:wordWrap/>
        <w:overflowPunct/>
        <w:topLinePunct w:val="0"/>
        <w:bidi w:val="0"/>
        <w:spacing w:line="360" w:lineRule="auto"/>
        <w:ind w:firstLine="411" w:firstLineChars="196"/>
        <w:textAlignment w:val="auto"/>
        <w:rPr>
          <w:color w:val="auto"/>
          <w:highlight w:val="none"/>
        </w:rPr>
      </w:pPr>
      <w:r>
        <w:rPr>
          <w:color w:val="auto"/>
          <w:highlight w:val="none"/>
        </w:rPr>
        <w:t xml:space="preserve">2. </w:t>
      </w:r>
      <w:r>
        <w:rPr>
          <w:rFonts w:hint="eastAsia" w:hAnsi="宋体" w:cs="宋体"/>
          <w:color w:val="auto"/>
          <w:highlight w:val="none"/>
        </w:rPr>
        <w:t>工程地点：</w:t>
      </w:r>
      <w:r>
        <w:rPr>
          <w:color w:val="auto"/>
          <w:highlight w:val="none"/>
          <w:u w:val="single"/>
        </w:rPr>
        <w:t xml:space="preserve">  </w:t>
      </w:r>
      <w:r>
        <w:rPr>
          <w:rFonts w:hint="eastAsia"/>
          <w:color w:val="auto"/>
          <w:highlight w:val="none"/>
          <w:u w:val="single"/>
          <w:lang w:val="en-US" w:eastAsia="zh-CN"/>
        </w:rPr>
        <w:t xml:space="preserve">北海市银海区 </w:t>
      </w:r>
      <w:r>
        <w:rPr>
          <w:color w:val="auto"/>
          <w:highlight w:val="none"/>
          <w:u w:val="single"/>
        </w:rPr>
        <w:t xml:space="preserve"> </w:t>
      </w:r>
      <w:r>
        <w:rPr>
          <w:rFonts w:hint="eastAsia" w:hAnsi="宋体" w:cs="宋体"/>
          <w:color w:val="auto"/>
          <w:highlight w:val="none"/>
        </w:rPr>
        <w:t>。</w:t>
      </w:r>
    </w:p>
    <w:p w14:paraId="2F4F0950">
      <w:pPr>
        <w:pageBreakBefore w:val="0"/>
        <w:kinsoku/>
        <w:wordWrap/>
        <w:overflowPunct/>
        <w:topLinePunct w:val="0"/>
        <w:bidi w:val="0"/>
        <w:spacing w:line="360" w:lineRule="auto"/>
        <w:ind w:firstLine="411" w:firstLineChars="196"/>
        <w:textAlignment w:val="auto"/>
        <w:rPr>
          <w:color w:val="auto"/>
          <w:highlight w:val="none"/>
        </w:rPr>
      </w:pPr>
      <w:r>
        <w:rPr>
          <w:color w:val="auto"/>
          <w:highlight w:val="none"/>
        </w:rPr>
        <w:t xml:space="preserve">3. </w:t>
      </w:r>
      <w:r>
        <w:rPr>
          <w:rFonts w:hint="eastAsia" w:hAnsi="宋体" w:cs="宋体"/>
          <w:color w:val="auto"/>
          <w:highlight w:val="none"/>
        </w:rPr>
        <w:t>工程立项批准文号：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53B52BC5">
      <w:pPr>
        <w:pageBreakBefore w:val="0"/>
        <w:kinsoku/>
        <w:wordWrap/>
        <w:overflowPunct/>
        <w:topLinePunct w:val="0"/>
        <w:bidi w:val="0"/>
        <w:spacing w:line="360" w:lineRule="auto"/>
        <w:ind w:firstLine="411" w:firstLineChars="196"/>
        <w:textAlignment w:val="auto"/>
        <w:rPr>
          <w:color w:val="auto"/>
          <w:highlight w:val="none"/>
        </w:rPr>
      </w:pPr>
      <w:r>
        <w:rPr>
          <w:color w:val="auto"/>
          <w:highlight w:val="none"/>
        </w:rPr>
        <w:t xml:space="preserve">4. </w:t>
      </w:r>
      <w:r>
        <w:rPr>
          <w:rFonts w:hint="eastAsia" w:hAnsi="宋体" w:cs="宋体"/>
          <w:color w:val="auto"/>
          <w:highlight w:val="none"/>
        </w:rPr>
        <w:t>资金来源：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267E2F5F">
      <w:pPr>
        <w:pageBreakBefore w:val="0"/>
        <w:kinsoku/>
        <w:wordWrap/>
        <w:overflowPunct/>
        <w:topLinePunct w:val="0"/>
        <w:bidi w:val="0"/>
        <w:spacing w:line="360" w:lineRule="auto"/>
        <w:ind w:firstLine="411" w:firstLineChars="196"/>
        <w:textAlignment w:val="auto"/>
        <w:rPr>
          <w:color w:val="auto"/>
          <w:highlight w:val="none"/>
        </w:rPr>
      </w:pPr>
      <w:r>
        <w:rPr>
          <w:color w:val="auto"/>
          <w:highlight w:val="none"/>
        </w:rPr>
        <w:t xml:space="preserve">5. </w:t>
      </w:r>
      <w:r>
        <w:rPr>
          <w:rFonts w:hint="eastAsia" w:hAnsi="宋体" w:cs="宋体"/>
          <w:color w:val="auto"/>
          <w:highlight w:val="none"/>
        </w:rPr>
        <w:t>工程内容：</w:t>
      </w:r>
      <w:r>
        <w:rPr>
          <w:color w:val="auto"/>
          <w:highlight w:val="none"/>
          <w:u w:val="single"/>
        </w:rPr>
        <w:t xml:space="preserve"> </w:t>
      </w:r>
      <w:r>
        <w:rPr>
          <w:rFonts w:hint="eastAsia"/>
          <w:color w:val="auto"/>
          <w:highlight w:val="none"/>
          <w:u w:val="single"/>
          <w:lang w:eastAsia="zh-CN"/>
        </w:rPr>
        <w:t>本工程位于北海市银海区，路面结构为水泥混凝土路面，道路工程等级为等外级乡村道路，主要建设内容为混凝土道路及交通工程，设计路线总长为1596.021米，采用单幅路横断面型式，路面宽度3.5米，路基宽度4.5米</w:t>
      </w:r>
      <w:r>
        <w:rPr>
          <w:rFonts w:hint="eastAsia"/>
          <w:color w:val="auto"/>
          <w:highlight w:val="none"/>
          <w:u w:val="single"/>
          <w:lang w:val="en-US" w:eastAsia="zh-CN"/>
        </w:rPr>
        <w:t>；具体内容</w:t>
      </w:r>
      <w:r>
        <w:rPr>
          <w:rFonts w:hint="eastAsia"/>
          <w:color w:val="auto"/>
          <w:highlight w:val="none"/>
          <w:u w:val="single"/>
          <w:lang w:eastAsia="zh-CN"/>
        </w:rPr>
        <w:t>详见工程量清单</w:t>
      </w:r>
      <w:r>
        <w:rPr>
          <w:color w:val="auto"/>
          <w:highlight w:val="none"/>
          <w:u w:val="single"/>
        </w:rPr>
        <w:t xml:space="preserve"> </w:t>
      </w:r>
      <w:r>
        <w:rPr>
          <w:rFonts w:hint="eastAsia" w:hAnsi="宋体" w:cs="宋体"/>
          <w:color w:val="auto"/>
          <w:highlight w:val="none"/>
        </w:rPr>
        <w:t>。</w:t>
      </w:r>
    </w:p>
    <w:p w14:paraId="5A15F383">
      <w:pPr>
        <w:pageBreakBefore w:val="0"/>
        <w:kinsoku/>
        <w:wordWrap/>
        <w:overflowPunct/>
        <w:topLinePunct w:val="0"/>
        <w:bidi w:val="0"/>
        <w:spacing w:line="360" w:lineRule="auto"/>
        <w:ind w:firstLine="411" w:firstLineChars="196"/>
        <w:textAlignment w:val="auto"/>
        <w:rPr>
          <w:color w:val="auto"/>
          <w:highlight w:val="none"/>
        </w:rPr>
      </w:pPr>
      <w:r>
        <w:rPr>
          <w:rFonts w:hint="eastAsia" w:hAnsi="宋体" w:cs="宋体"/>
          <w:color w:val="auto"/>
          <w:highlight w:val="none"/>
        </w:rPr>
        <w:t>群体工程应附《承包人承揽工程项目一览表》（附件</w:t>
      </w:r>
      <w:r>
        <w:rPr>
          <w:color w:val="auto"/>
          <w:highlight w:val="none"/>
        </w:rPr>
        <w:t>1</w:t>
      </w:r>
      <w:r>
        <w:rPr>
          <w:rFonts w:hint="eastAsia" w:hAnsi="宋体" w:cs="宋体"/>
          <w:color w:val="auto"/>
          <w:highlight w:val="none"/>
        </w:rPr>
        <w:t>）。</w:t>
      </w:r>
    </w:p>
    <w:p w14:paraId="751A2362">
      <w:pPr>
        <w:pageBreakBefore w:val="0"/>
        <w:kinsoku/>
        <w:wordWrap/>
        <w:overflowPunct/>
        <w:topLinePunct w:val="0"/>
        <w:bidi w:val="0"/>
        <w:spacing w:line="360" w:lineRule="auto"/>
        <w:ind w:firstLine="411" w:firstLineChars="196"/>
        <w:textAlignment w:val="auto"/>
        <w:rPr>
          <w:rFonts w:hAnsi="宋体"/>
          <w:color w:val="auto"/>
          <w:highlight w:val="none"/>
        </w:rPr>
      </w:pPr>
      <w:r>
        <w:rPr>
          <w:color w:val="auto"/>
          <w:highlight w:val="none"/>
        </w:rPr>
        <w:t xml:space="preserve">6. </w:t>
      </w:r>
      <w:r>
        <w:rPr>
          <w:rFonts w:hint="eastAsia" w:hAnsi="宋体" w:cs="宋体"/>
          <w:color w:val="auto"/>
          <w:highlight w:val="none"/>
        </w:rPr>
        <w:t>工程承包范围：</w:t>
      </w:r>
      <w:r>
        <w:rPr>
          <w:color w:val="auto"/>
          <w:highlight w:val="none"/>
          <w:u w:val="single"/>
        </w:rPr>
        <w:t xml:space="preserve">  </w:t>
      </w:r>
      <w:r>
        <w:rPr>
          <w:rFonts w:hint="eastAsia"/>
          <w:color w:val="auto"/>
          <w:highlight w:val="none"/>
          <w:u w:val="single"/>
          <w:lang w:eastAsia="zh-CN"/>
        </w:rPr>
        <w:t>银滩镇禾沟村委后背岭种植园区产业路项目</w:t>
      </w:r>
      <w:r>
        <w:rPr>
          <w:rFonts w:hint="eastAsia"/>
          <w:color w:val="auto"/>
          <w:highlight w:val="none"/>
          <w:u w:val="single"/>
          <w:lang w:val="en-US" w:eastAsia="zh-CN"/>
        </w:rPr>
        <w:t>施工图纸及工程量清单包含的所有内容</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618F8AD7">
      <w:pPr>
        <w:pageBreakBefore w:val="0"/>
        <w:kinsoku/>
        <w:wordWrap/>
        <w:overflowPunct/>
        <w:topLinePunct w:val="0"/>
        <w:bidi w:val="0"/>
        <w:spacing w:line="360" w:lineRule="auto"/>
        <w:ind w:firstLine="407" w:firstLineChars="193"/>
        <w:textAlignment w:val="auto"/>
        <w:outlineLvl w:val="0"/>
        <w:rPr>
          <w:b/>
          <w:bCs/>
          <w:color w:val="auto"/>
          <w:highlight w:val="none"/>
        </w:rPr>
      </w:pPr>
      <w:bookmarkStart w:id="44" w:name="_Toc351203482"/>
      <w:r>
        <w:rPr>
          <w:rFonts w:hint="eastAsia" w:hAnsi="宋体" w:cs="宋体"/>
          <w:b/>
          <w:bCs/>
          <w:color w:val="auto"/>
          <w:highlight w:val="none"/>
        </w:rPr>
        <w:t>二、合同工期</w:t>
      </w:r>
      <w:bookmarkEnd w:id="44"/>
    </w:p>
    <w:p w14:paraId="027E00E2">
      <w:pPr>
        <w:pageBreakBefore w:val="0"/>
        <w:kinsoku/>
        <w:wordWrap/>
        <w:overflowPunct/>
        <w:topLinePunct w:val="0"/>
        <w:bidi w:val="0"/>
        <w:spacing w:line="360" w:lineRule="auto"/>
        <w:ind w:firstLine="459"/>
        <w:textAlignment w:val="auto"/>
        <w:rPr>
          <w:color w:val="auto"/>
          <w:highlight w:val="none"/>
        </w:rPr>
      </w:pPr>
      <w:r>
        <w:rPr>
          <w:rFonts w:hint="eastAsia" w:hAnsi="宋体" w:cs="宋体"/>
          <w:color w:val="auto"/>
          <w:highlight w:val="none"/>
        </w:rPr>
        <w:t>计划开工日期：</w:t>
      </w:r>
      <w:r>
        <w:rPr>
          <w:rFonts w:hAnsi="宋体"/>
          <w:color w:val="auto"/>
          <w:highlight w:val="none"/>
          <w:u w:val="single"/>
        </w:rPr>
        <w:t></w:t>
      </w:r>
      <w:r>
        <w:rPr>
          <w:rFonts w:hAnsi="宋体"/>
          <w:color w:val="auto"/>
          <w:highlight w:val="none"/>
        </w:rPr>
        <w:t>年</w:t>
      </w:r>
      <w:r>
        <w:rPr>
          <w:rFonts w:hAnsi="宋体"/>
          <w:color w:val="auto"/>
          <w:highlight w:val="none"/>
          <w:u w:val="single"/>
        </w:rPr>
        <w:t></w:t>
      </w:r>
      <w:r>
        <w:rPr>
          <w:rFonts w:hAnsi="宋体"/>
          <w:color w:val="auto"/>
          <w:highlight w:val="none"/>
        </w:rPr>
        <w:t>月</w:t>
      </w:r>
      <w:r>
        <w:rPr>
          <w:rFonts w:hAnsi="宋体"/>
          <w:color w:val="auto"/>
          <w:highlight w:val="none"/>
          <w:u w:val="single"/>
        </w:rPr>
        <w:t></w:t>
      </w:r>
      <w:r>
        <w:rPr>
          <w:rFonts w:hAnsi="宋体"/>
          <w:color w:val="auto"/>
          <w:highlight w:val="none"/>
        </w:rPr>
        <w:t>日。</w:t>
      </w:r>
      <w:r>
        <w:rPr>
          <w:rFonts w:hint="eastAsia" w:hAnsi="宋体" w:cs="宋体"/>
          <w:color w:val="auto"/>
          <w:highlight w:val="none"/>
        </w:rPr>
        <w:t>（具体以发包人书面通知为准）</w:t>
      </w:r>
    </w:p>
    <w:p w14:paraId="6A544F8F">
      <w:pPr>
        <w:pageBreakBefore w:val="0"/>
        <w:kinsoku/>
        <w:wordWrap/>
        <w:overflowPunct/>
        <w:topLinePunct w:val="0"/>
        <w:bidi w:val="0"/>
        <w:spacing w:line="360" w:lineRule="auto"/>
        <w:ind w:firstLine="459"/>
        <w:textAlignment w:val="auto"/>
        <w:rPr>
          <w:color w:val="auto"/>
          <w:highlight w:val="none"/>
        </w:rPr>
      </w:pPr>
      <w:r>
        <w:rPr>
          <w:rFonts w:hint="eastAsia" w:hAnsi="宋体" w:cs="宋体"/>
          <w:color w:val="auto"/>
          <w:highlight w:val="none"/>
        </w:rPr>
        <w:t>计划竣工日期：</w:t>
      </w:r>
      <w:r>
        <w:rPr>
          <w:rFonts w:hAnsi="宋体"/>
          <w:color w:val="auto"/>
          <w:highlight w:val="none"/>
          <w:u w:val="single"/>
        </w:rPr>
        <w:t></w:t>
      </w:r>
      <w:r>
        <w:rPr>
          <w:rFonts w:hAnsi="宋体"/>
          <w:color w:val="auto"/>
          <w:highlight w:val="none"/>
        </w:rPr>
        <w:t>年</w:t>
      </w:r>
      <w:r>
        <w:rPr>
          <w:rFonts w:hAnsi="宋体"/>
          <w:color w:val="auto"/>
          <w:highlight w:val="none"/>
          <w:u w:val="single"/>
        </w:rPr>
        <w:t></w:t>
      </w:r>
      <w:r>
        <w:rPr>
          <w:rFonts w:hAnsi="宋体"/>
          <w:color w:val="auto"/>
          <w:highlight w:val="none"/>
        </w:rPr>
        <w:t>月</w:t>
      </w:r>
      <w:r>
        <w:rPr>
          <w:rFonts w:hAnsi="宋体"/>
          <w:color w:val="auto"/>
          <w:highlight w:val="none"/>
          <w:u w:val="single"/>
        </w:rPr>
        <w:t></w:t>
      </w:r>
      <w:r>
        <w:rPr>
          <w:rFonts w:hAnsi="宋体"/>
          <w:color w:val="auto"/>
          <w:highlight w:val="none"/>
        </w:rPr>
        <w:t>日</w:t>
      </w:r>
      <w:r>
        <w:rPr>
          <w:rFonts w:hint="eastAsia" w:hAnsi="宋体" w:cs="宋体"/>
          <w:color w:val="auto"/>
          <w:highlight w:val="none"/>
        </w:rPr>
        <w:t>。</w:t>
      </w:r>
    </w:p>
    <w:p w14:paraId="4212C813">
      <w:pPr>
        <w:pageBreakBefore w:val="0"/>
        <w:kinsoku/>
        <w:wordWrap/>
        <w:overflowPunct/>
        <w:topLinePunct w:val="0"/>
        <w:bidi w:val="0"/>
        <w:spacing w:line="360" w:lineRule="auto"/>
        <w:ind w:firstLine="459"/>
        <w:textAlignment w:val="auto"/>
        <w:rPr>
          <w:rFonts w:hAnsi="宋体"/>
          <w:color w:val="auto"/>
          <w:highlight w:val="none"/>
        </w:rPr>
      </w:pPr>
      <w:r>
        <w:rPr>
          <w:rFonts w:hint="eastAsia" w:hAnsi="宋体" w:cs="宋体"/>
          <w:color w:val="auto"/>
          <w:highlight w:val="none"/>
        </w:rPr>
        <w:t>工期总日历天数：</w:t>
      </w:r>
      <w:r>
        <w:rPr>
          <w:rFonts w:hint="eastAsia" w:hAnsi="宋体" w:cs="宋体"/>
          <w:color w:val="auto"/>
          <w:highlight w:val="none"/>
          <w:u w:val="single"/>
        </w:rPr>
        <w:t xml:space="preserve">         </w:t>
      </w:r>
      <w:r>
        <w:rPr>
          <w:rFonts w:hint="eastAsia" w:hAnsi="宋体" w:cs="宋体"/>
          <w:color w:val="auto"/>
          <w:highlight w:val="none"/>
        </w:rPr>
        <w:t>天。工期总日历天数与根据前述计划开竣工日期计算的工期天数不一致的，以工期总日历天数为准。</w:t>
      </w:r>
    </w:p>
    <w:p w14:paraId="42BE72F8">
      <w:pPr>
        <w:pageBreakBefore w:val="0"/>
        <w:kinsoku/>
        <w:wordWrap/>
        <w:overflowPunct/>
        <w:topLinePunct w:val="0"/>
        <w:bidi w:val="0"/>
        <w:spacing w:line="360" w:lineRule="auto"/>
        <w:ind w:firstLine="459"/>
        <w:textAlignment w:val="auto"/>
        <w:outlineLvl w:val="0"/>
        <w:rPr>
          <w:b/>
          <w:bCs/>
          <w:color w:val="auto"/>
          <w:highlight w:val="none"/>
        </w:rPr>
      </w:pPr>
      <w:bookmarkStart w:id="45" w:name="_Toc351203483"/>
      <w:r>
        <w:rPr>
          <w:rFonts w:hint="eastAsia" w:hAnsi="宋体" w:cs="宋体"/>
          <w:b/>
          <w:bCs/>
          <w:color w:val="auto"/>
          <w:highlight w:val="none"/>
        </w:rPr>
        <w:t>三、质量标准</w:t>
      </w:r>
      <w:bookmarkEnd w:id="45"/>
    </w:p>
    <w:p w14:paraId="329C9620">
      <w:pPr>
        <w:pageBreakBefore w:val="0"/>
        <w:kinsoku/>
        <w:wordWrap/>
        <w:overflowPunct/>
        <w:topLinePunct w:val="0"/>
        <w:bidi w:val="0"/>
        <w:spacing w:line="360" w:lineRule="auto"/>
        <w:ind w:firstLine="459"/>
        <w:textAlignment w:val="auto"/>
        <w:rPr>
          <w:rFonts w:hAnsi="宋体"/>
          <w:color w:val="auto"/>
          <w:highlight w:val="none"/>
        </w:rPr>
      </w:pPr>
      <w:r>
        <w:rPr>
          <w:rFonts w:hint="eastAsia" w:hAnsi="宋体" w:cs="宋体"/>
          <w:color w:val="auto"/>
          <w:highlight w:val="none"/>
        </w:rPr>
        <w:t>工程质量要求：以发包人提供的验收标准。</w:t>
      </w:r>
    </w:p>
    <w:p w14:paraId="368FC204">
      <w:pPr>
        <w:pageBreakBefore w:val="0"/>
        <w:kinsoku/>
        <w:wordWrap/>
        <w:overflowPunct/>
        <w:topLinePunct w:val="0"/>
        <w:bidi w:val="0"/>
        <w:spacing w:line="360" w:lineRule="auto"/>
        <w:ind w:firstLine="459"/>
        <w:textAlignment w:val="auto"/>
        <w:outlineLvl w:val="0"/>
        <w:rPr>
          <w:rFonts w:hAnsi="宋体"/>
          <w:b/>
          <w:bCs/>
          <w:color w:val="auto"/>
          <w:highlight w:val="none"/>
        </w:rPr>
      </w:pPr>
      <w:bookmarkStart w:id="46" w:name="_Toc351203484"/>
      <w:r>
        <w:rPr>
          <w:rFonts w:hint="eastAsia" w:hAnsi="宋体" w:cs="宋体"/>
          <w:b/>
          <w:bCs/>
          <w:color w:val="auto"/>
          <w:highlight w:val="none"/>
        </w:rPr>
        <w:t>四、签约合同价与合同价格形式</w:t>
      </w:r>
      <w:bookmarkEnd w:id="46"/>
    </w:p>
    <w:p w14:paraId="78449EB9">
      <w:pPr>
        <w:pageBreakBefore w:val="0"/>
        <w:kinsoku/>
        <w:wordWrap/>
        <w:overflowPunct/>
        <w:topLinePunct w:val="0"/>
        <w:bidi w:val="0"/>
        <w:spacing w:line="360" w:lineRule="auto"/>
        <w:ind w:firstLine="459"/>
        <w:textAlignment w:val="auto"/>
        <w:rPr>
          <w:color w:val="auto"/>
          <w:highlight w:val="none"/>
        </w:rPr>
      </w:pPr>
      <w:r>
        <w:rPr>
          <w:color w:val="auto"/>
          <w:highlight w:val="none"/>
        </w:rPr>
        <w:t xml:space="preserve">1. </w:t>
      </w:r>
      <w:r>
        <w:rPr>
          <w:rFonts w:hint="eastAsia" w:hAnsi="宋体" w:cs="宋体"/>
          <w:color w:val="auto"/>
          <w:highlight w:val="none"/>
        </w:rPr>
        <w:t>签约合同价为：</w:t>
      </w:r>
    </w:p>
    <w:p w14:paraId="1231F02B">
      <w:pPr>
        <w:pageBreakBefore w:val="0"/>
        <w:kinsoku/>
        <w:wordWrap/>
        <w:overflowPunct/>
        <w:topLinePunct w:val="0"/>
        <w:bidi w:val="0"/>
        <w:spacing w:line="360" w:lineRule="auto"/>
        <w:ind w:firstLine="525" w:firstLineChars="250"/>
        <w:textAlignment w:val="auto"/>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6A3DB4F5">
      <w:pPr>
        <w:pageBreakBefore w:val="0"/>
        <w:kinsoku/>
        <w:wordWrap/>
        <w:overflowPunct/>
        <w:topLinePunct w:val="0"/>
        <w:bidi w:val="0"/>
        <w:spacing w:line="360" w:lineRule="auto"/>
        <w:ind w:firstLine="525" w:firstLineChars="250"/>
        <w:textAlignment w:val="auto"/>
        <w:rPr>
          <w:rFonts w:hAnsi="宋体"/>
          <w:color w:val="auto"/>
          <w:highlight w:val="none"/>
        </w:rPr>
      </w:pPr>
      <w:r>
        <w:rPr>
          <w:rFonts w:hint="eastAsia" w:hAnsi="宋体" w:cs="宋体"/>
          <w:color w:val="auto"/>
          <w:highlight w:val="none"/>
        </w:rPr>
        <w:t>其中：</w:t>
      </w:r>
    </w:p>
    <w:p w14:paraId="23C85564">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w:t>
      </w:r>
      <w:r>
        <w:rPr>
          <w:rFonts w:hAnsi="宋体"/>
          <w:color w:val="auto"/>
          <w:highlight w:val="none"/>
        </w:rPr>
        <w:t>1</w:t>
      </w:r>
      <w:r>
        <w:rPr>
          <w:rFonts w:hint="eastAsia" w:hAnsi="宋体" w:cs="宋体"/>
          <w:color w:val="auto"/>
          <w:highlight w:val="none"/>
        </w:rPr>
        <w:t>）安全文明施工费：</w:t>
      </w:r>
    </w:p>
    <w:p w14:paraId="62584C02">
      <w:pPr>
        <w:pageBreakBefore w:val="0"/>
        <w:kinsoku/>
        <w:wordWrap/>
        <w:overflowPunct/>
        <w:topLinePunct w:val="0"/>
        <w:bidi w:val="0"/>
        <w:spacing w:line="360" w:lineRule="auto"/>
        <w:ind w:left="420" w:leftChars="200" w:firstLine="525" w:firstLineChars="250"/>
        <w:textAlignment w:val="auto"/>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4046ECC7">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）材料和工程设备暂估价金额：</w:t>
      </w:r>
    </w:p>
    <w:p w14:paraId="53840744">
      <w:pPr>
        <w:pageBreakBefore w:val="0"/>
        <w:kinsoku/>
        <w:wordWrap/>
        <w:overflowPunct/>
        <w:topLinePunct w:val="0"/>
        <w:bidi w:val="0"/>
        <w:spacing w:line="360" w:lineRule="auto"/>
        <w:ind w:firstLine="945" w:firstLineChars="450"/>
        <w:textAlignment w:val="auto"/>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050CA62A">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w:t>
      </w:r>
      <w:r>
        <w:rPr>
          <w:color w:val="auto"/>
          <w:highlight w:val="none"/>
        </w:rPr>
        <w:t>3</w:t>
      </w:r>
      <w:r>
        <w:rPr>
          <w:rFonts w:hint="eastAsia" w:hAnsi="宋体" w:cs="宋体"/>
          <w:color w:val="auto"/>
          <w:highlight w:val="none"/>
        </w:rPr>
        <w:t>）专业工程暂估价金额：</w:t>
      </w:r>
    </w:p>
    <w:p w14:paraId="0360A562">
      <w:pPr>
        <w:pageBreakBefore w:val="0"/>
        <w:kinsoku/>
        <w:wordWrap/>
        <w:overflowPunct/>
        <w:topLinePunct w:val="0"/>
        <w:bidi w:val="0"/>
        <w:spacing w:line="360" w:lineRule="auto"/>
        <w:ind w:firstLine="945" w:firstLineChars="450"/>
        <w:textAlignment w:val="auto"/>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1E3F81FB">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w:t>
      </w:r>
      <w:r>
        <w:rPr>
          <w:color w:val="auto"/>
          <w:highlight w:val="none"/>
        </w:rPr>
        <w:t>4</w:t>
      </w:r>
      <w:r>
        <w:rPr>
          <w:rFonts w:hint="eastAsia" w:hAnsi="宋体" w:cs="宋体"/>
          <w:color w:val="auto"/>
          <w:highlight w:val="none"/>
        </w:rPr>
        <w:t>）暂列金额：</w:t>
      </w:r>
    </w:p>
    <w:p w14:paraId="5E67D2B2">
      <w:pPr>
        <w:pageBreakBefore w:val="0"/>
        <w:kinsoku/>
        <w:wordWrap/>
        <w:overflowPunct/>
        <w:topLinePunct w:val="0"/>
        <w:bidi w:val="0"/>
        <w:spacing w:line="360" w:lineRule="auto"/>
        <w:ind w:firstLine="945" w:firstLineChars="450"/>
        <w:textAlignment w:val="auto"/>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132C8350">
      <w:pPr>
        <w:pageBreakBefore w:val="0"/>
        <w:kinsoku/>
        <w:wordWrap/>
        <w:overflowPunct/>
        <w:topLinePunct w:val="0"/>
        <w:bidi w:val="0"/>
        <w:spacing w:line="360" w:lineRule="auto"/>
        <w:ind w:firstLine="420" w:firstLineChars="200"/>
        <w:textAlignment w:val="auto"/>
        <w:rPr>
          <w:rFonts w:hint="eastAsia" w:hAnsi="宋体"/>
          <w:color w:val="auto"/>
          <w:highlight w:val="none"/>
        </w:rPr>
      </w:pPr>
      <w:r>
        <w:rPr>
          <w:color w:val="auto"/>
          <w:highlight w:val="none"/>
        </w:rPr>
        <w:t xml:space="preserve">2. </w:t>
      </w:r>
      <w:r>
        <w:rPr>
          <w:rFonts w:hint="eastAsia" w:hAnsi="宋体" w:cs="宋体"/>
          <w:color w:val="auto"/>
          <w:highlight w:val="none"/>
        </w:rPr>
        <w:t>合同价格形式：</w:t>
      </w:r>
      <w:r>
        <w:rPr>
          <w:color w:val="auto"/>
          <w:highlight w:val="none"/>
        </w:rPr>
        <w:t xml:space="preserve">   </w:t>
      </w:r>
      <w:r>
        <w:rPr>
          <w:color w:val="auto"/>
          <w:highlight w:val="none"/>
          <w:u w:val="single"/>
        </w:rPr>
        <w:t xml:space="preserve">  </w:t>
      </w:r>
      <w:r>
        <w:rPr>
          <w:rFonts w:hint="eastAsia"/>
          <w:color w:val="auto"/>
          <w:highlight w:val="none"/>
          <w:u w:val="single"/>
          <w:lang w:val="en-US" w:eastAsia="zh-CN"/>
        </w:rPr>
        <w:t>综合单价</w:t>
      </w:r>
      <w:r>
        <w:rPr>
          <w:color w:val="auto"/>
          <w:highlight w:val="none"/>
          <w:u w:val="single"/>
        </w:rPr>
        <w:t xml:space="preserve"> </w:t>
      </w:r>
      <w:r>
        <w:rPr>
          <w:rFonts w:hint="eastAsia" w:hAnsi="宋体" w:cs="宋体"/>
          <w:color w:val="auto"/>
          <w:highlight w:val="none"/>
        </w:rPr>
        <w:t>。</w:t>
      </w:r>
    </w:p>
    <w:p w14:paraId="44A09B0B">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47" w:name="_Toc351203485"/>
      <w:r>
        <w:rPr>
          <w:rFonts w:hint="eastAsia" w:hAnsi="宋体" w:cs="宋体"/>
          <w:b/>
          <w:bCs/>
          <w:color w:val="auto"/>
          <w:highlight w:val="none"/>
        </w:rPr>
        <w:t>五、</w:t>
      </w:r>
      <w:bookmarkEnd w:id="47"/>
      <w:r>
        <w:rPr>
          <w:rFonts w:hint="eastAsia" w:hAnsi="宋体" w:cs="宋体"/>
          <w:b/>
          <w:bCs/>
          <w:color w:val="auto"/>
          <w:highlight w:val="none"/>
        </w:rPr>
        <w:t>项目经理</w:t>
      </w:r>
    </w:p>
    <w:p w14:paraId="4831820D">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承包人项目经理：</w:t>
      </w:r>
      <w:r>
        <w:rPr>
          <w:color w:val="auto"/>
          <w:highlight w:val="none"/>
          <w:u w:val="single"/>
        </w:rPr>
        <w:t xml:space="preserve">                     </w:t>
      </w:r>
      <w:r>
        <w:rPr>
          <w:rFonts w:hint="eastAsia" w:hAnsi="宋体" w:cs="宋体"/>
          <w:color w:val="auto"/>
          <w:highlight w:val="none"/>
        </w:rPr>
        <w:t>。</w:t>
      </w:r>
    </w:p>
    <w:p w14:paraId="7EA239EC">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48" w:name="_Toc351203486"/>
      <w:r>
        <w:rPr>
          <w:rFonts w:hint="eastAsia" w:hAnsi="宋体" w:cs="宋体"/>
          <w:b/>
          <w:bCs/>
          <w:color w:val="auto"/>
          <w:highlight w:val="none"/>
        </w:rPr>
        <w:t>六、合同文件构成</w:t>
      </w:r>
      <w:bookmarkEnd w:id="48"/>
    </w:p>
    <w:p w14:paraId="13AB99F0">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本协议书与下列文件一起构成合同文件：</w:t>
      </w:r>
    </w:p>
    <w:p w14:paraId="245CBD0E">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w:t>
      </w:r>
      <w:r>
        <w:rPr>
          <w:rFonts w:hint="eastAsia" w:hAnsi="宋体" w:cs="宋体"/>
          <w:color w:val="auto"/>
          <w:highlight w:val="none"/>
          <w:lang w:eastAsia="zh-CN"/>
        </w:rPr>
        <w:t>成交通知书</w:t>
      </w:r>
      <w:r>
        <w:rPr>
          <w:rFonts w:hint="eastAsia" w:hAnsi="宋体" w:cs="宋体"/>
          <w:color w:val="auto"/>
          <w:highlight w:val="none"/>
        </w:rPr>
        <w:t>（如有）；</w:t>
      </w:r>
    </w:p>
    <w:p w14:paraId="50B56B88">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w:t>
      </w:r>
      <w:r>
        <w:rPr>
          <w:rFonts w:hint="eastAsia" w:hAnsi="宋体" w:cs="宋体"/>
          <w:color w:val="auto"/>
          <w:highlight w:val="none"/>
          <w:lang w:eastAsia="zh-CN"/>
        </w:rPr>
        <w:t>磋商函</w:t>
      </w:r>
      <w:r>
        <w:rPr>
          <w:rFonts w:hint="eastAsia" w:hAnsi="宋体" w:cs="宋体"/>
          <w:color w:val="auto"/>
          <w:highlight w:val="none"/>
        </w:rPr>
        <w:t>及其附录（如有）；</w:t>
      </w:r>
      <w:r>
        <w:rPr>
          <w:color w:val="auto"/>
          <w:highlight w:val="none"/>
        </w:rPr>
        <w:t xml:space="preserve"> </w:t>
      </w:r>
    </w:p>
    <w:p w14:paraId="1F81552B">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3</w:t>
      </w:r>
      <w:r>
        <w:rPr>
          <w:rFonts w:hint="eastAsia" w:hAnsi="宋体" w:cs="宋体"/>
          <w:color w:val="auto"/>
          <w:highlight w:val="none"/>
        </w:rPr>
        <w:t>）专用合同条款及其附件；</w:t>
      </w:r>
    </w:p>
    <w:p w14:paraId="01DD44BB">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4</w:t>
      </w:r>
      <w:r>
        <w:rPr>
          <w:rFonts w:hint="eastAsia" w:hAnsi="宋体" w:cs="宋体"/>
          <w:color w:val="auto"/>
          <w:highlight w:val="none"/>
        </w:rPr>
        <w:t>）通用合同条款；</w:t>
      </w:r>
    </w:p>
    <w:p w14:paraId="69D6654B">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5</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u w:val="single"/>
          <w:lang w:eastAsia="zh-CN"/>
        </w:rPr>
        <w:t>采购文件</w:t>
      </w:r>
      <w:r>
        <w:rPr>
          <w:rFonts w:hint="eastAsia" w:hAnsi="宋体" w:cs="宋体"/>
          <w:color w:val="auto"/>
          <w:highlight w:val="none"/>
          <w:u w:val="single"/>
        </w:rPr>
        <w:t xml:space="preserve">及其附件（含所有补遗通知书和答疑） </w:t>
      </w:r>
      <w:r>
        <w:rPr>
          <w:rFonts w:hAnsi="宋体" w:cs="宋体"/>
          <w:color w:val="auto"/>
          <w:highlight w:val="none"/>
          <w:u w:val="single"/>
        </w:rPr>
        <w:t xml:space="preserve"> </w:t>
      </w:r>
      <w:r>
        <w:rPr>
          <w:rFonts w:hint="eastAsia" w:hAnsi="宋体" w:cs="宋体"/>
          <w:color w:val="auto"/>
          <w:highlight w:val="none"/>
        </w:rPr>
        <w:t>；</w:t>
      </w:r>
    </w:p>
    <w:p w14:paraId="56A232AF">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6</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u w:val="single"/>
          <w:lang w:val="en-US" w:eastAsia="zh-CN"/>
        </w:rPr>
        <w:t>技术标准和要求</w:t>
      </w:r>
      <w:r>
        <w:rPr>
          <w:rFonts w:hAnsi="宋体" w:cs="宋体"/>
          <w:color w:val="auto"/>
          <w:highlight w:val="none"/>
          <w:u w:val="single"/>
        </w:rPr>
        <w:t xml:space="preserve"> </w:t>
      </w:r>
      <w:r>
        <w:rPr>
          <w:rFonts w:hint="eastAsia" w:hAnsi="宋体" w:cs="宋体"/>
          <w:color w:val="auto"/>
          <w:highlight w:val="none"/>
        </w:rPr>
        <w:t>；</w:t>
      </w:r>
    </w:p>
    <w:p w14:paraId="0C419F1D">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7</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u w:val="single"/>
          <w:lang w:val="en-US" w:eastAsia="zh-CN"/>
        </w:rPr>
        <w:t>图纸（含图纸修改通知单及图纸设计变更文件）</w:t>
      </w:r>
      <w:r>
        <w:rPr>
          <w:rFonts w:hAnsi="宋体" w:cs="宋体"/>
          <w:color w:val="auto"/>
          <w:highlight w:val="none"/>
          <w:u w:val="single"/>
        </w:rPr>
        <w:t xml:space="preserve">   </w:t>
      </w:r>
      <w:r>
        <w:rPr>
          <w:rFonts w:hint="eastAsia" w:hAnsi="宋体" w:cs="宋体"/>
          <w:color w:val="auto"/>
          <w:highlight w:val="none"/>
        </w:rPr>
        <w:t>；</w:t>
      </w:r>
    </w:p>
    <w:p w14:paraId="17F06814">
      <w:pPr>
        <w:pageBreakBefore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w:t>
      </w:r>
      <w:r>
        <w:rPr>
          <w:rFonts w:hint="eastAsia" w:hAnsi="宋体" w:cs="宋体"/>
          <w:color w:val="auto"/>
          <w:highlight w:val="none"/>
          <w:lang w:val="en-US" w:eastAsia="zh-CN"/>
        </w:rPr>
        <w:t>8</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u w:val="single"/>
          <w:lang w:val="en-US" w:eastAsia="zh-CN"/>
        </w:rPr>
        <w:t>已标价工程量清单</w:t>
      </w:r>
      <w:r>
        <w:rPr>
          <w:rFonts w:hint="eastAsia" w:hAnsi="宋体" w:cs="宋体"/>
          <w:color w:val="auto"/>
          <w:highlight w:val="none"/>
          <w:u w:val="single"/>
        </w:rPr>
        <w:t xml:space="preserve">  </w:t>
      </w:r>
      <w:r>
        <w:rPr>
          <w:rFonts w:hint="eastAsia" w:hAnsi="宋体" w:cs="宋体"/>
          <w:color w:val="auto"/>
          <w:highlight w:val="none"/>
        </w:rPr>
        <w:t>；</w:t>
      </w:r>
    </w:p>
    <w:p w14:paraId="20821733">
      <w:pPr>
        <w:pageBreakBefore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w:t>
      </w:r>
      <w:r>
        <w:rPr>
          <w:rFonts w:hint="eastAsia"/>
          <w:color w:val="auto"/>
          <w:highlight w:val="none"/>
          <w:lang w:val="en-US" w:eastAsia="zh-CN"/>
        </w:rPr>
        <w:t>9</w:t>
      </w:r>
      <w:r>
        <w:rPr>
          <w:rFonts w:hint="eastAsia" w:hAnsi="宋体" w:cs="宋体"/>
          <w:color w:val="auto"/>
          <w:highlight w:val="none"/>
        </w:rPr>
        <w:t>）其他合同文件：</w:t>
      </w:r>
    </w:p>
    <w:p w14:paraId="1CED23C6">
      <w:pPr>
        <w:pageBreakBefore w:val="0"/>
        <w:kinsoku/>
        <w:wordWrap/>
        <w:overflowPunct/>
        <w:topLinePunct w:val="0"/>
        <w:autoSpaceDE w:val="0"/>
        <w:autoSpaceDN w:val="0"/>
        <w:bidi w:val="0"/>
        <w:adjustRightInd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上述各项合同文件包括当事人就该项合同文件所作出的补充和修改，属于同一类内容的文件，应以最新签署的为准（违反</w:t>
      </w:r>
      <w:r>
        <w:rPr>
          <w:rFonts w:hint="eastAsia" w:hAnsi="宋体" w:cs="宋体"/>
          <w:color w:val="auto"/>
          <w:highlight w:val="none"/>
          <w:lang w:eastAsia="zh-CN"/>
        </w:rPr>
        <w:t>采购文件</w:t>
      </w:r>
      <w:r>
        <w:rPr>
          <w:rFonts w:hAnsi="宋体" w:cs="宋体"/>
          <w:color w:val="auto"/>
          <w:highlight w:val="none"/>
        </w:rPr>
        <w:t>实质性内容的约定除外</w:t>
      </w:r>
      <w:r>
        <w:rPr>
          <w:rFonts w:hint="eastAsia" w:hAnsi="宋体" w:cs="宋体"/>
          <w:color w:val="auto"/>
          <w:highlight w:val="none"/>
        </w:rPr>
        <w:t>）。专用合同条款及其附件须经合同当事人签字或盖章。</w:t>
      </w:r>
    </w:p>
    <w:p w14:paraId="11F26E45">
      <w:pPr>
        <w:pageBreakBefore w:val="0"/>
        <w:kinsoku/>
        <w:wordWrap/>
        <w:overflowPunct/>
        <w:topLinePunct w:val="0"/>
        <w:autoSpaceDE w:val="0"/>
        <w:autoSpaceDN w:val="0"/>
        <w:bidi w:val="0"/>
        <w:adjustRightInd w:val="0"/>
        <w:spacing w:line="360" w:lineRule="auto"/>
        <w:ind w:firstLine="422" w:firstLineChars="200"/>
        <w:jc w:val="left"/>
        <w:textAlignment w:val="auto"/>
        <w:outlineLvl w:val="0"/>
        <w:rPr>
          <w:b/>
          <w:bCs/>
          <w:color w:val="auto"/>
          <w:highlight w:val="none"/>
        </w:rPr>
      </w:pPr>
      <w:bookmarkStart w:id="49" w:name="_Toc351203487"/>
      <w:r>
        <w:rPr>
          <w:rFonts w:hint="eastAsia" w:hAnsi="宋体" w:cs="宋体"/>
          <w:b/>
          <w:bCs/>
          <w:color w:val="auto"/>
          <w:highlight w:val="none"/>
        </w:rPr>
        <w:t>七、承诺</w:t>
      </w:r>
      <w:bookmarkEnd w:id="49"/>
    </w:p>
    <w:p w14:paraId="18C3CD71">
      <w:pPr>
        <w:pageBreakBefore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 </w:t>
      </w:r>
      <w:r>
        <w:rPr>
          <w:rFonts w:hint="eastAsia" w:hAnsi="宋体" w:cs="宋体"/>
          <w:color w:val="auto"/>
          <w:highlight w:val="none"/>
        </w:rPr>
        <w:t>发包人承诺按照法律规定履行项目审批手续、筹集工程建设资金并按照合同约定的期限和方式支付合同价款。</w:t>
      </w:r>
    </w:p>
    <w:p w14:paraId="28678543">
      <w:pPr>
        <w:pageBreakBefore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2. </w:t>
      </w:r>
      <w:r>
        <w:rPr>
          <w:rFonts w:hint="eastAsia" w:hAnsi="宋体" w:cs="宋体"/>
          <w:color w:val="auto"/>
          <w:highlight w:val="none"/>
        </w:rPr>
        <w:t>承包人承诺按照法律规定及合同约定组织完成工程施工，确保工程质量和安全，不进行转包及违法分包，并在缺陷责任期及保修期内承担相应的工程维修责任。</w:t>
      </w:r>
    </w:p>
    <w:p w14:paraId="5E1CAB01">
      <w:pPr>
        <w:pageBreakBefore w:val="0"/>
        <w:kinsoku/>
        <w:wordWrap/>
        <w:overflowPunct/>
        <w:topLinePunct w:val="0"/>
        <w:bidi w:val="0"/>
        <w:spacing w:line="360" w:lineRule="auto"/>
        <w:ind w:firstLine="420" w:firstLineChars="200"/>
        <w:textAlignment w:val="auto"/>
        <w:rPr>
          <w:rFonts w:hAnsi="宋体"/>
          <w:color w:val="auto"/>
          <w:highlight w:val="none"/>
        </w:rPr>
      </w:pPr>
      <w:r>
        <w:rPr>
          <w:color w:val="auto"/>
          <w:highlight w:val="none"/>
        </w:rPr>
        <w:t xml:space="preserve">3. </w:t>
      </w:r>
      <w:r>
        <w:rPr>
          <w:rFonts w:hint="eastAsia" w:hAnsi="宋体" w:cs="宋体"/>
          <w:color w:val="auto"/>
          <w:highlight w:val="none"/>
        </w:rPr>
        <w:t>发包人和承包人通过招投标形式签订合同的，双方理解并承诺不再就同一工程另行签订与合同实质性内容相背离的协议。</w:t>
      </w:r>
      <w:bookmarkStart w:id="50" w:name="_Toc351203488"/>
    </w:p>
    <w:p w14:paraId="5D82F968">
      <w:pPr>
        <w:pageBreakBefore w:val="0"/>
        <w:kinsoku/>
        <w:wordWrap/>
        <w:overflowPunct/>
        <w:topLinePunct w:val="0"/>
        <w:bidi w:val="0"/>
        <w:spacing w:line="360" w:lineRule="auto"/>
        <w:ind w:firstLine="422" w:firstLineChars="200"/>
        <w:textAlignment w:val="auto"/>
        <w:outlineLvl w:val="0"/>
        <w:rPr>
          <w:b/>
          <w:bCs/>
          <w:color w:val="auto"/>
          <w:highlight w:val="none"/>
        </w:rPr>
      </w:pPr>
      <w:r>
        <w:rPr>
          <w:rFonts w:hint="eastAsia" w:hAnsi="宋体" w:cs="宋体"/>
          <w:b/>
          <w:bCs/>
          <w:color w:val="auto"/>
          <w:highlight w:val="none"/>
        </w:rPr>
        <w:t>八、词语含义</w:t>
      </w:r>
      <w:bookmarkEnd w:id="50"/>
    </w:p>
    <w:p w14:paraId="50D2F3FA">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本协议书中词语含义与第二部分通用合同条款中赋予的含义相同。</w:t>
      </w:r>
    </w:p>
    <w:p w14:paraId="1D855EAE">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51" w:name="_Toc351203489"/>
      <w:r>
        <w:rPr>
          <w:rFonts w:hint="eastAsia" w:hAnsi="宋体" w:cs="宋体"/>
          <w:b/>
          <w:bCs/>
          <w:color w:val="auto"/>
          <w:highlight w:val="none"/>
        </w:rPr>
        <w:t>九、签订时间</w:t>
      </w:r>
      <w:bookmarkEnd w:id="51"/>
    </w:p>
    <w:p w14:paraId="5530ECED">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本合同于</w:t>
      </w:r>
      <w:r>
        <w:rPr>
          <w:color w:val="auto"/>
          <w:highlight w:val="none"/>
          <w:u w:val="single"/>
        </w:rPr>
        <w:t xml:space="preserve">         </w:t>
      </w:r>
      <w:r>
        <w:rPr>
          <w:rFonts w:hint="eastAsia" w:hAnsi="宋体" w:cs="宋体"/>
          <w:color w:val="auto"/>
          <w:highlight w:val="none"/>
        </w:rPr>
        <w:t>年</w:t>
      </w:r>
      <w:r>
        <w:rPr>
          <w:color w:val="auto"/>
          <w:highlight w:val="none"/>
          <w:u w:val="single"/>
        </w:rPr>
        <w:t xml:space="preserve">    </w:t>
      </w:r>
      <w:r>
        <w:rPr>
          <w:rFonts w:hint="eastAsia" w:hAnsi="宋体" w:cs="宋体"/>
          <w:color w:val="auto"/>
          <w:highlight w:val="none"/>
        </w:rPr>
        <w:t>月</w:t>
      </w:r>
      <w:r>
        <w:rPr>
          <w:color w:val="auto"/>
          <w:highlight w:val="none"/>
          <w:u w:val="single"/>
        </w:rPr>
        <w:t xml:space="preserve">    </w:t>
      </w:r>
      <w:r>
        <w:rPr>
          <w:rFonts w:hint="eastAsia" w:hAnsi="宋体" w:cs="宋体"/>
          <w:color w:val="auto"/>
          <w:highlight w:val="none"/>
        </w:rPr>
        <w:t>日签订。</w:t>
      </w:r>
    </w:p>
    <w:p w14:paraId="3A0F1EF1">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52" w:name="_Toc351203490"/>
      <w:r>
        <w:rPr>
          <w:rFonts w:hint="eastAsia" w:hAnsi="宋体" w:cs="宋体"/>
          <w:b/>
          <w:bCs/>
          <w:color w:val="auto"/>
          <w:highlight w:val="none"/>
        </w:rPr>
        <w:t>十、签订地点</w:t>
      </w:r>
      <w:bookmarkEnd w:id="52"/>
    </w:p>
    <w:p w14:paraId="53F02B7D">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本合同在</w:t>
      </w:r>
      <w:r>
        <w:rPr>
          <w:color w:val="auto"/>
          <w:highlight w:val="none"/>
          <w:u w:val="single"/>
        </w:rPr>
        <w:t xml:space="preserve">                                    </w:t>
      </w:r>
      <w:r>
        <w:rPr>
          <w:rFonts w:hint="eastAsia" w:hAnsi="宋体" w:cs="宋体"/>
          <w:color w:val="auto"/>
          <w:highlight w:val="none"/>
        </w:rPr>
        <w:t>签订。</w:t>
      </w:r>
    </w:p>
    <w:p w14:paraId="4AFF6A64">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53" w:name="_Toc351203491"/>
      <w:r>
        <w:rPr>
          <w:rFonts w:hint="eastAsia" w:hAnsi="宋体" w:cs="宋体"/>
          <w:b/>
          <w:bCs/>
          <w:color w:val="auto"/>
          <w:highlight w:val="none"/>
        </w:rPr>
        <w:t>十一、补充协议</w:t>
      </w:r>
      <w:bookmarkEnd w:id="53"/>
    </w:p>
    <w:p w14:paraId="4B9D3AB9">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合同未尽事宜，合同当事人另行签订补充协议，补充协议是合同的组成部分。</w:t>
      </w:r>
    </w:p>
    <w:p w14:paraId="6AFFBCE7">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54" w:name="_Toc351203492"/>
      <w:r>
        <w:rPr>
          <w:rFonts w:hint="eastAsia" w:hAnsi="宋体" w:cs="宋体"/>
          <w:b/>
          <w:bCs/>
          <w:color w:val="auto"/>
          <w:highlight w:val="none"/>
        </w:rPr>
        <w:t>十二、合同生效</w:t>
      </w:r>
      <w:bookmarkEnd w:id="54"/>
    </w:p>
    <w:p w14:paraId="78956859">
      <w:pPr>
        <w:pageBreakBefore w:val="0"/>
        <w:kinsoku/>
        <w:wordWrap/>
        <w:overflowPunct/>
        <w:topLinePunct w:val="0"/>
        <w:bidi w:val="0"/>
        <w:spacing w:line="360" w:lineRule="auto"/>
        <w:ind w:firstLine="420" w:firstLineChars="200"/>
        <w:textAlignment w:val="auto"/>
        <w:rPr>
          <w:rFonts w:hAnsi="宋体"/>
          <w:color w:val="auto"/>
          <w:highlight w:val="none"/>
        </w:rPr>
      </w:pPr>
      <w:r>
        <w:rPr>
          <w:rFonts w:hint="eastAsia" w:hAnsi="宋体" w:cs="宋体"/>
          <w:color w:val="auto"/>
          <w:highlight w:val="none"/>
        </w:rPr>
        <w:t>本合同自</w:t>
      </w:r>
      <w:r>
        <w:rPr>
          <w:color w:val="auto"/>
          <w:highlight w:val="none"/>
          <w:u w:val="single"/>
        </w:rPr>
        <w:t xml:space="preserve">                                   </w:t>
      </w:r>
      <w:r>
        <w:rPr>
          <w:rFonts w:hint="eastAsia" w:hAnsi="宋体" w:cs="宋体"/>
          <w:color w:val="auto"/>
          <w:highlight w:val="none"/>
        </w:rPr>
        <w:t>生效。</w:t>
      </w:r>
    </w:p>
    <w:p w14:paraId="1270DED6">
      <w:pPr>
        <w:pageBreakBefore w:val="0"/>
        <w:kinsoku/>
        <w:wordWrap/>
        <w:overflowPunct/>
        <w:topLinePunct w:val="0"/>
        <w:bidi w:val="0"/>
        <w:spacing w:line="360" w:lineRule="auto"/>
        <w:ind w:firstLine="422" w:firstLineChars="200"/>
        <w:textAlignment w:val="auto"/>
        <w:outlineLvl w:val="0"/>
        <w:rPr>
          <w:b/>
          <w:bCs/>
          <w:color w:val="auto"/>
          <w:highlight w:val="none"/>
        </w:rPr>
      </w:pPr>
      <w:bookmarkStart w:id="55" w:name="_Toc351203493"/>
      <w:r>
        <w:rPr>
          <w:rFonts w:hint="eastAsia" w:hAnsi="宋体" w:cs="宋体"/>
          <w:b/>
          <w:bCs/>
          <w:color w:val="auto"/>
          <w:highlight w:val="none"/>
        </w:rPr>
        <w:t>十三、合同份数</w:t>
      </w:r>
      <w:bookmarkEnd w:id="55"/>
    </w:p>
    <w:p w14:paraId="24CE65BD">
      <w:pPr>
        <w:pageBreakBefore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本合同一式</w:t>
      </w:r>
      <w:r>
        <w:rPr>
          <w:color w:val="auto"/>
          <w:highlight w:val="none"/>
          <w:u w:val="single"/>
        </w:rPr>
        <w:t xml:space="preserve"> </w:t>
      </w:r>
      <w:r>
        <w:rPr>
          <w:rFonts w:hint="eastAsia"/>
          <w:color w:val="auto"/>
          <w:highlight w:val="none"/>
          <w:u w:val="single"/>
          <w:lang w:val="en-US" w:eastAsia="zh-CN"/>
        </w:rPr>
        <w:t>柒</w:t>
      </w:r>
      <w:r>
        <w:rPr>
          <w:color w:val="auto"/>
          <w:highlight w:val="none"/>
          <w:u w:val="single"/>
        </w:rPr>
        <w:t xml:space="preserve"> </w:t>
      </w:r>
      <w:r>
        <w:rPr>
          <w:rFonts w:hint="eastAsia" w:hAnsi="宋体" w:cs="宋体"/>
          <w:color w:val="auto"/>
          <w:highlight w:val="none"/>
        </w:rPr>
        <w:t>份，均具有同等法律效力，发包人执</w:t>
      </w:r>
      <w:r>
        <w:rPr>
          <w:color w:val="auto"/>
          <w:highlight w:val="none"/>
          <w:u w:val="single"/>
        </w:rPr>
        <w:t xml:space="preserve"> </w:t>
      </w:r>
      <w:r>
        <w:rPr>
          <w:rFonts w:hint="eastAsia"/>
          <w:color w:val="auto"/>
          <w:highlight w:val="none"/>
          <w:u w:val="single"/>
          <w:lang w:val="en-US" w:eastAsia="zh-CN"/>
        </w:rPr>
        <w:t>伍</w:t>
      </w:r>
      <w:r>
        <w:rPr>
          <w:color w:val="auto"/>
          <w:highlight w:val="none"/>
          <w:u w:val="single"/>
        </w:rPr>
        <w:t xml:space="preserve"> </w:t>
      </w:r>
      <w:r>
        <w:rPr>
          <w:rFonts w:hint="eastAsia" w:hAnsi="宋体" w:cs="宋体"/>
          <w:color w:val="auto"/>
          <w:highlight w:val="none"/>
        </w:rPr>
        <w:t>份，承包人执</w:t>
      </w:r>
      <w:r>
        <w:rPr>
          <w:color w:val="auto"/>
          <w:highlight w:val="none"/>
          <w:u w:val="single"/>
        </w:rPr>
        <w:t xml:space="preserve"> </w:t>
      </w:r>
      <w:r>
        <w:rPr>
          <w:rFonts w:hint="eastAsia"/>
          <w:color w:val="auto"/>
          <w:highlight w:val="none"/>
          <w:u w:val="single"/>
          <w:lang w:val="en-US" w:eastAsia="zh-CN"/>
        </w:rPr>
        <w:t>贰</w:t>
      </w:r>
      <w:r>
        <w:rPr>
          <w:color w:val="auto"/>
          <w:highlight w:val="none"/>
          <w:u w:val="single"/>
        </w:rPr>
        <w:t xml:space="preserve"> </w:t>
      </w:r>
      <w:r>
        <w:rPr>
          <w:rFonts w:hint="eastAsia" w:hAnsi="宋体" w:cs="宋体"/>
          <w:color w:val="auto"/>
          <w:highlight w:val="none"/>
        </w:rPr>
        <w:t>份。</w:t>
      </w:r>
    </w:p>
    <w:p w14:paraId="2E75FBBB">
      <w:pPr>
        <w:pageBreakBefore w:val="0"/>
        <w:kinsoku/>
        <w:wordWrap/>
        <w:overflowPunct/>
        <w:topLinePunct w:val="0"/>
        <w:bidi w:val="0"/>
        <w:spacing w:line="360" w:lineRule="auto"/>
        <w:textAlignment w:val="auto"/>
        <w:rPr>
          <w:color w:val="auto"/>
          <w:highlight w:val="none"/>
        </w:rPr>
      </w:pPr>
    </w:p>
    <w:p w14:paraId="2E969050">
      <w:pPr>
        <w:pageBreakBefore w:val="0"/>
        <w:kinsoku/>
        <w:wordWrap/>
        <w:overflowPunct/>
        <w:topLinePunct w:val="0"/>
        <w:bidi w:val="0"/>
        <w:spacing w:line="360" w:lineRule="auto"/>
        <w:textAlignment w:val="auto"/>
        <w:rPr>
          <w:color w:val="auto"/>
          <w:highlight w:val="none"/>
        </w:rPr>
      </w:pPr>
    </w:p>
    <w:p w14:paraId="44864424">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发包人：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r>
        <w:rPr>
          <w:color w:val="auto"/>
          <w:highlight w:val="none"/>
        </w:rPr>
        <w:t xml:space="preserve">                              </w:t>
      </w:r>
      <w:r>
        <w:rPr>
          <w:rFonts w:hint="eastAsia" w:hAnsi="宋体" w:cs="宋体"/>
          <w:color w:val="auto"/>
          <w:highlight w:val="none"/>
        </w:rPr>
        <w:t>承包人：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p>
    <w:p w14:paraId="5D18336F">
      <w:pPr>
        <w:pageBreakBefore w:val="0"/>
        <w:kinsoku/>
        <w:wordWrap/>
        <w:overflowPunct/>
        <w:topLinePunct w:val="0"/>
        <w:bidi w:val="0"/>
        <w:spacing w:line="360" w:lineRule="auto"/>
        <w:textAlignment w:val="auto"/>
        <w:rPr>
          <w:color w:val="auto"/>
          <w:highlight w:val="none"/>
          <w:u w:val="single"/>
        </w:rPr>
      </w:pPr>
      <w:r>
        <w:rPr>
          <w:color w:val="auto"/>
          <w:highlight w:val="none"/>
        </w:rPr>
        <w:t xml:space="preserve">                                 </w:t>
      </w:r>
    </w:p>
    <w:p w14:paraId="3E8C6370">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法定代表人或其委托代理人：</w:t>
      </w:r>
      <w:r>
        <w:rPr>
          <w:color w:val="auto"/>
          <w:highlight w:val="none"/>
        </w:rPr>
        <w:t xml:space="preserve">                    </w:t>
      </w:r>
      <w:r>
        <w:rPr>
          <w:rFonts w:hint="eastAsia" w:hAnsi="宋体" w:cs="宋体"/>
          <w:color w:val="auto"/>
          <w:highlight w:val="none"/>
        </w:rPr>
        <w:t>法定代表人或其委托代理人：</w:t>
      </w:r>
    </w:p>
    <w:p w14:paraId="44166B36">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（签字）</w:t>
      </w:r>
      <w:r>
        <w:rPr>
          <w:color w:val="auto"/>
          <w:highlight w:val="none"/>
        </w:rPr>
        <w:t xml:space="preserve">                                     </w:t>
      </w:r>
      <w:r>
        <w:rPr>
          <w:rFonts w:hint="eastAsia" w:hAnsi="宋体" w:cs="宋体"/>
          <w:color w:val="auto"/>
          <w:highlight w:val="none"/>
        </w:rPr>
        <w:t>（签字）</w:t>
      </w:r>
    </w:p>
    <w:p w14:paraId="0A894F26">
      <w:pPr>
        <w:pageBreakBefore w:val="0"/>
        <w:kinsoku/>
        <w:wordWrap/>
        <w:overflowPunct/>
        <w:topLinePunct w:val="0"/>
        <w:bidi w:val="0"/>
        <w:spacing w:line="360" w:lineRule="auto"/>
        <w:textAlignment w:val="auto"/>
        <w:rPr>
          <w:color w:val="auto"/>
          <w:highlight w:val="none"/>
          <w:u w:val="single"/>
        </w:rPr>
      </w:pPr>
    </w:p>
    <w:p w14:paraId="1013F4D3">
      <w:pPr>
        <w:pageBreakBefore w:val="0"/>
        <w:tabs>
          <w:tab w:val="left" w:pos="4410"/>
        </w:tabs>
        <w:kinsoku/>
        <w:wordWrap/>
        <w:overflowPunct/>
        <w:topLinePunct w:val="0"/>
        <w:bidi w:val="0"/>
        <w:spacing w:line="360" w:lineRule="auto"/>
        <w:textAlignment w:val="auto"/>
        <w:rPr>
          <w:color w:val="auto"/>
          <w:highlight w:val="none"/>
        </w:rPr>
      </w:pPr>
      <w:r>
        <w:rPr>
          <w:rFonts w:hint="eastAsia" w:hAnsi="宋体" w:cs="宋体"/>
          <w:color w:val="auto"/>
          <w:highlight w:val="none"/>
        </w:rPr>
        <w:t>统一社会信用代码：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cs="宋体"/>
          <w:color w:val="auto"/>
          <w:highlight w:val="none"/>
        </w:rPr>
        <w:t>统一</w:t>
      </w:r>
      <w:r>
        <w:rPr>
          <w:rFonts w:hint="eastAsia" w:hAnsi="宋体" w:cs="宋体"/>
          <w:color w:val="auto"/>
          <w:highlight w:val="none"/>
        </w:rPr>
        <w:t>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p>
    <w:p w14:paraId="539A35D6">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地</w:t>
      </w:r>
      <w:r>
        <w:rPr>
          <w:color w:val="auto"/>
          <w:highlight w:val="none"/>
        </w:rPr>
        <w:t xml:space="preserve">  </w:t>
      </w:r>
      <w:r>
        <w:rPr>
          <w:rFonts w:hint="eastAsia" w:hAnsi="宋体" w:cs="宋体"/>
          <w:color w:val="auto"/>
          <w:highlight w:val="none"/>
        </w:rPr>
        <w:t>址：</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地</w:t>
      </w:r>
      <w:r>
        <w:rPr>
          <w:color w:val="auto"/>
          <w:highlight w:val="none"/>
        </w:rPr>
        <w:t xml:space="preserve">  </w:t>
      </w:r>
      <w:r>
        <w:rPr>
          <w:rFonts w:hint="eastAsia" w:hAnsi="宋体" w:cs="宋体"/>
          <w:color w:val="auto"/>
          <w:highlight w:val="none"/>
        </w:rPr>
        <w:t>址：</w:t>
      </w:r>
      <w:r>
        <w:rPr>
          <w:color w:val="auto"/>
          <w:highlight w:val="none"/>
          <w:u w:val="single"/>
        </w:rPr>
        <w:t xml:space="preserve">        </w:t>
      </w:r>
      <w:r>
        <w:rPr>
          <w:rFonts w:hint="eastAsia"/>
          <w:color w:val="auto"/>
          <w:highlight w:val="none"/>
          <w:u w:val="single"/>
        </w:rPr>
        <w:t xml:space="preserve">                    </w:t>
      </w:r>
    </w:p>
    <w:p w14:paraId="57506B3C">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color w:val="auto"/>
          <w:highlight w:val="none"/>
        </w:rPr>
        <w:t xml:space="preserve"> </w:t>
      </w: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32E70B19">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42437754">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lang w:val="en-US" w:eastAsia="zh-CN"/>
        </w:rPr>
        <w:t xml:space="preserve">经 办 </w:t>
      </w:r>
      <w:r>
        <w:rPr>
          <w:rFonts w:hint="eastAsia" w:hAnsi="宋体" w:cs="宋体"/>
          <w:color w:val="auto"/>
          <w:highlight w:val="none"/>
        </w:rPr>
        <w:t>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color w:val="auto"/>
          <w:highlight w:val="none"/>
          <w:lang w:val="en-US" w:eastAsia="zh-CN"/>
        </w:rPr>
        <w:t xml:space="preserve">  </w:t>
      </w:r>
      <w:r>
        <w:rPr>
          <w:rFonts w:hint="eastAsia" w:hAnsi="宋体" w:cs="宋体"/>
          <w:color w:val="auto"/>
          <w:highlight w:val="none"/>
          <w:lang w:val="en-US" w:eastAsia="zh-CN"/>
        </w:rPr>
        <w:t xml:space="preserve">经 办 </w:t>
      </w:r>
      <w:r>
        <w:rPr>
          <w:rFonts w:hint="eastAsia" w:hAnsi="宋体" w:cs="宋体"/>
          <w:color w:val="auto"/>
          <w:highlight w:val="none"/>
        </w:rPr>
        <w:t>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155BEDBF">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0360F1D">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传</w:t>
      </w:r>
      <w:r>
        <w:rPr>
          <w:color w:val="auto"/>
          <w:highlight w:val="none"/>
        </w:rPr>
        <w:t xml:space="preserve">  </w:t>
      </w:r>
      <w:r>
        <w:rPr>
          <w:rFonts w:hint="eastAsia" w:hAnsi="宋体" w:cs="宋体"/>
          <w:color w:val="auto"/>
          <w:highlight w:val="none"/>
        </w:rPr>
        <w:t>真：</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传</w:t>
      </w:r>
      <w:r>
        <w:rPr>
          <w:color w:val="auto"/>
          <w:highlight w:val="none"/>
        </w:rPr>
        <w:t xml:space="preserve">  </w:t>
      </w:r>
      <w:r>
        <w:rPr>
          <w:rFonts w:hint="eastAsia" w:hAnsi="宋体" w:cs="宋体"/>
          <w:color w:val="auto"/>
          <w:highlight w:val="none"/>
        </w:rPr>
        <w:t>真：</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7BB73335">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p>
    <w:p w14:paraId="1C0522C0">
      <w:pPr>
        <w:pageBreakBefore w:val="0"/>
        <w:kinsoku/>
        <w:wordWrap/>
        <w:overflowPunct/>
        <w:topLinePunct w:val="0"/>
        <w:bidi w:val="0"/>
        <w:spacing w:line="360" w:lineRule="auto"/>
        <w:textAlignment w:val="auto"/>
        <w:rPr>
          <w:color w:val="auto"/>
          <w:highlight w:val="none"/>
        </w:rPr>
      </w:pPr>
      <w:r>
        <w:rPr>
          <w:rFonts w:hint="eastAsia" w:hAnsi="宋体" w:cs="宋体"/>
          <w:color w:val="auto"/>
          <w:highlight w:val="none"/>
        </w:rPr>
        <w:t>开户银行：</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开户银行：</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6ACD7C92">
      <w:pPr>
        <w:pageBreakBefore w:val="0"/>
        <w:kinsoku/>
        <w:wordWrap/>
        <w:overflowPunct/>
        <w:topLinePunct w:val="0"/>
        <w:bidi w:val="0"/>
        <w:spacing w:line="360" w:lineRule="auto"/>
        <w:textAlignment w:val="auto"/>
        <w:rPr>
          <w:color w:val="auto"/>
          <w:highlight w:val="none"/>
          <w:u w:val="single"/>
        </w:rPr>
      </w:pPr>
      <w:r>
        <w:rPr>
          <w:rFonts w:hint="eastAsia" w:hAnsi="宋体" w:cs="宋体"/>
          <w:color w:val="auto"/>
          <w:highlight w:val="none"/>
        </w:rPr>
        <w:t>账</w:t>
      </w:r>
      <w:r>
        <w:rPr>
          <w:color w:val="auto"/>
          <w:highlight w:val="none"/>
        </w:rPr>
        <w:t xml:space="preserve">  </w:t>
      </w:r>
      <w:r>
        <w:rPr>
          <w:rFonts w:hint="eastAsia" w:hAnsi="宋体" w:cs="宋体"/>
          <w:color w:val="auto"/>
          <w:highlight w:val="none"/>
        </w:rPr>
        <w:t>号：</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账</w:t>
      </w:r>
      <w:r>
        <w:rPr>
          <w:color w:val="auto"/>
          <w:highlight w:val="none"/>
        </w:rPr>
        <w:t xml:space="preserve">  </w:t>
      </w:r>
      <w:r>
        <w:rPr>
          <w:rFonts w:hint="eastAsia" w:hAnsi="宋体" w:cs="宋体"/>
          <w:color w:val="auto"/>
          <w:highlight w:val="none"/>
        </w:rPr>
        <w:t>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499E9FE2">
      <w:pPr>
        <w:pageBreakBefore w:val="0"/>
        <w:widowControl/>
        <w:kinsoku/>
        <w:wordWrap/>
        <w:overflowPunct/>
        <w:topLinePunct w:val="0"/>
        <w:bidi w:val="0"/>
        <w:spacing w:line="360" w:lineRule="auto"/>
        <w:jc w:val="left"/>
        <w:textAlignment w:val="auto"/>
        <w:rPr>
          <w:color w:val="auto"/>
          <w:highlight w:val="none"/>
          <w:u w:val="single"/>
        </w:rPr>
      </w:pPr>
      <w:r>
        <w:rPr>
          <w:color w:val="auto"/>
          <w:highlight w:val="none"/>
        </w:rPr>
        <w:br w:type="page"/>
      </w:r>
    </w:p>
    <w:p w14:paraId="7C25B0AB">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val="0"/>
          <w:bCs w:val="0"/>
          <w:color w:val="auto"/>
          <w:kern w:val="2"/>
          <w:sz w:val="32"/>
          <w:szCs w:val="24"/>
          <w:highlight w:val="none"/>
          <w:lang w:val="en-US" w:eastAsia="zh-CN" w:bidi="ar-SA"/>
        </w:rPr>
      </w:pPr>
      <w:bookmarkStart w:id="56" w:name="_Toc389065256"/>
      <w:bookmarkStart w:id="57" w:name="_Toc11277"/>
      <w:bookmarkStart w:id="58" w:name="_Toc86847323"/>
      <w:bookmarkStart w:id="59" w:name="_Toc78449778"/>
      <w:bookmarkStart w:id="60" w:name="_Toc407135192"/>
      <w:bookmarkStart w:id="61" w:name="_Toc373478338"/>
      <w:bookmarkStart w:id="62" w:name="_Toc351203632"/>
      <w:bookmarkStart w:id="63" w:name="_Toc373227691"/>
      <w:r>
        <w:rPr>
          <w:rFonts w:hint="eastAsia" w:ascii="宋体" w:hAnsi="宋体" w:eastAsia="宋体" w:cs="宋体"/>
          <w:b w:val="0"/>
          <w:bCs w:val="0"/>
          <w:color w:val="auto"/>
          <w:kern w:val="2"/>
          <w:sz w:val="32"/>
          <w:szCs w:val="24"/>
          <w:highlight w:val="none"/>
          <w:lang w:val="en-US" w:eastAsia="zh-CN" w:bidi="ar-SA"/>
        </w:rPr>
        <w:t>第二部分 通用合同条款</w:t>
      </w:r>
      <w:bookmarkEnd w:id="56"/>
      <w:bookmarkEnd w:id="57"/>
      <w:bookmarkEnd w:id="58"/>
      <w:bookmarkEnd w:id="59"/>
      <w:bookmarkEnd w:id="60"/>
    </w:p>
    <w:p w14:paraId="762DDB2B">
      <w:pPr>
        <w:pageBreakBefore w:val="0"/>
        <w:kinsoku/>
        <w:wordWrap/>
        <w:overflowPunct/>
        <w:topLinePunct w:val="0"/>
        <w:bidi w:val="0"/>
        <w:spacing w:line="360" w:lineRule="auto"/>
        <w:ind w:firstLine="420" w:firstLineChars="200"/>
        <w:textAlignment w:val="auto"/>
        <w:rPr>
          <w:rFonts w:hAnsi="宋体"/>
          <w:color w:val="auto"/>
          <w:kern w:val="0"/>
          <w:highlight w:val="none"/>
        </w:rPr>
      </w:pPr>
    </w:p>
    <w:p w14:paraId="10098047">
      <w:pPr>
        <w:pageBreakBefore w:val="0"/>
        <w:kinsoku/>
        <w:wordWrap/>
        <w:overflowPunct/>
        <w:topLinePunct w:val="0"/>
        <w:bidi w:val="0"/>
        <w:spacing w:line="360" w:lineRule="auto"/>
        <w:ind w:firstLine="422" w:firstLineChars="200"/>
        <w:textAlignment w:val="auto"/>
        <w:rPr>
          <w:rFonts w:hAnsi="宋体"/>
          <w:b/>
          <w:bCs/>
          <w:color w:val="auto"/>
          <w:kern w:val="0"/>
          <w:highlight w:val="none"/>
        </w:rPr>
      </w:pPr>
      <w:r>
        <w:rPr>
          <w:rFonts w:hint="eastAsia" w:hAnsi="宋体" w:cs="宋体"/>
          <w:b/>
          <w:bCs/>
          <w:color w:val="auto"/>
          <w:kern w:val="0"/>
          <w:highlight w:val="none"/>
        </w:rPr>
        <w:t>采用《建设工程施工合同（示范文本）》（</w:t>
      </w:r>
      <w:r>
        <w:rPr>
          <w:rFonts w:hAnsi="宋体"/>
          <w:b/>
          <w:bCs/>
          <w:color w:val="auto"/>
          <w:kern w:val="0"/>
          <w:highlight w:val="none"/>
        </w:rPr>
        <w:t>GF</w:t>
      </w:r>
      <w:r>
        <w:rPr>
          <w:rFonts w:hAnsi="宋体" w:cs="宋体"/>
          <w:b/>
          <w:bCs/>
          <w:color w:val="auto"/>
          <w:kern w:val="0"/>
          <w:highlight w:val="none"/>
        </w:rPr>
        <w:t>—</w:t>
      </w:r>
      <w:r>
        <w:rPr>
          <w:rFonts w:hAnsi="宋体"/>
          <w:b/>
          <w:bCs/>
          <w:color w:val="auto"/>
          <w:kern w:val="0"/>
          <w:highlight w:val="none"/>
        </w:rPr>
        <w:t>201</w:t>
      </w:r>
      <w:r>
        <w:rPr>
          <w:rFonts w:hint="eastAsia" w:hAnsi="宋体"/>
          <w:b/>
          <w:bCs/>
          <w:color w:val="auto"/>
          <w:kern w:val="0"/>
          <w:highlight w:val="none"/>
        </w:rPr>
        <w:t>7</w:t>
      </w:r>
      <w:r>
        <w:rPr>
          <w:rFonts w:hAnsi="宋体" w:cs="宋体"/>
          <w:b/>
          <w:bCs/>
          <w:color w:val="auto"/>
          <w:kern w:val="0"/>
          <w:highlight w:val="none"/>
        </w:rPr>
        <w:t>—</w:t>
      </w:r>
      <w:r>
        <w:rPr>
          <w:rFonts w:hAnsi="宋体"/>
          <w:b/>
          <w:bCs/>
          <w:color w:val="auto"/>
          <w:kern w:val="0"/>
          <w:highlight w:val="none"/>
        </w:rPr>
        <w:t>0201</w:t>
      </w:r>
      <w:r>
        <w:rPr>
          <w:rFonts w:hint="eastAsia" w:hAnsi="宋体" w:cs="宋体"/>
          <w:b/>
          <w:bCs/>
          <w:color w:val="auto"/>
          <w:kern w:val="0"/>
          <w:highlight w:val="none"/>
        </w:rPr>
        <w:t>）。</w:t>
      </w:r>
    </w:p>
    <w:p w14:paraId="62C92ECB">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val="0"/>
          <w:bCs w:val="0"/>
          <w:color w:val="auto"/>
          <w:kern w:val="2"/>
          <w:sz w:val="32"/>
          <w:szCs w:val="24"/>
          <w:highlight w:val="none"/>
          <w:lang w:val="en-US" w:eastAsia="zh-CN" w:bidi="ar-SA"/>
        </w:rPr>
      </w:pPr>
      <w:bookmarkStart w:id="64" w:name="_Toc389065257"/>
      <w:bookmarkStart w:id="65" w:name="_Toc78449779"/>
      <w:bookmarkStart w:id="66" w:name="_Toc704444909"/>
      <w:bookmarkStart w:id="67" w:name="_Toc17099"/>
      <w:bookmarkStart w:id="68" w:name="_Toc407135193"/>
      <w:r>
        <w:rPr>
          <w:rFonts w:hint="eastAsia" w:ascii="宋体" w:hAnsi="宋体" w:eastAsia="宋体" w:cs="宋体"/>
          <w:b w:val="0"/>
          <w:bCs w:val="0"/>
          <w:color w:val="auto"/>
          <w:kern w:val="2"/>
          <w:sz w:val="32"/>
          <w:szCs w:val="24"/>
          <w:highlight w:val="none"/>
          <w:lang w:val="en-US" w:eastAsia="zh-CN" w:bidi="ar-SA"/>
        </w:rPr>
        <w:t>第三部分 专用合同条款</w:t>
      </w:r>
      <w:bookmarkEnd w:id="61"/>
      <w:bookmarkEnd w:id="62"/>
      <w:bookmarkEnd w:id="63"/>
      <w:bookmarkEnd w:id="64"/>
      <w:bookmarkEnd w:id="65"/>
      <w:bookmarkEnd w:id="66"/>
      <w:bookmarkEnd w:id="67"/>
      <w:bookmarkEnd w:id="68"/>
    </w:p>
    <w:p w14:paraId="2AFC87A7">
      <w:pPr>
        <w:pageBreakBefore w:val="0"/>
        <w:kinsoku/>
        <w:wordWrap/>
        <w:overflowPunct/>
        <w:topLinePunct w:val="0"/>
        <w:bidi w:val="0"/>
        <w:spacing w:line="360" w:lineRule="auto"/>
        <w:jc w:val="center"/>
        <w:textAlignment w:val="auto"/>
        <w:rPr>
          <w:rFonts w:hAnsi="宋体"/>
          <w:b/>
          <w:bCs/>
          <w:color w:val="auto"/>
          <w:kern w:val="0"/>
          <w:highlight w:val="none"/>
        </w:rPr>
      </w:pPr>
      <w:r>
        <w:rPr>
          <w:rFonts w:hint="eastAsia" w:hAnsi="宋体" w:cs="宋体"/>
          <w:b/>
          <w:bCs/>
          <w:color w:val="auto"/>
          <w:kern w:val="0"/>
          <w:highlight w:val="none"/>
        </w:rPr>
        <w:t>（注：专用合同条款每一条均应填写完整！）</w:t>
      </w:r>
    </w:p>
    <w:p w14:paraId="544A9E3C">
      <w:pPr>
        <w:pStyle w:val="3"/>
        <w:pageBreakBefore w:val="0"/>
        <w:widowControl w:val="0"/>
        <w:kinsoku/>
        <w:wordWrap/>
        <w:overflowPunct/>
        <w:topLinePunct w:val="0"/>
        <w:bidi w:val="0"/>
        <w:spacing w:before="0" w:after="0" w:line="360" w:lineRule="auto"/>
        <w:textAlignment w:val="auto"/>
        <w:rPr>
          <w:color w:val="auto"/>
          <w:highlight w:val="none"/>
        </w:rPr>
      </w:pPr>
      <w:bookmarkStart w:id="69" w:name="_Toc373478339"/>
      <w:bookmarkStart w:id="70" w:name="_Toc389065258"/>
      <w:bookmarkStart w:id="71" w:name="_Toc373227692"/>
      <w:bookmarkStart w:id="72" w:name="_Toc1013968286"/>
      <w:bookmarkStart w:id="73" w:name="_Toc351203633"/>
      <w:bookmarkStart w:id="74" w:name="_Toc25552"/>
      <w:bookmarkStart w:id="75" w:name="_Toc78449780"/>
      <w:bookmarkStart w:id="76" w:name="_Toc407135194"/>
      <w:r>
        <w:rPr>
          <w:color w:val="auto"/>
          <w:highlight w:val="none"/>
        </w:rPr>
        <w:t>1</w:t>
      </w:r>
      <w:bookmarkStart w:id="77" w:name="_Toc296891196"/>
      <w:bookmarkStart w:id="78" w:name="_Toc297048342"/>
      <w:bookmarkStart w:id="79" w:name="_Toc296890984"/>
      <w:bookmarkStart w:id="80" w:name="_Toc296346657"/>
      <w:bookmarkStart w:id="81" w:name="_Toc296503156"/>
      <w:bookmarkStart w:id="82" w:name="_Toc296944495"/>
      <w:bookmarkStart w:id="83" w:name="_Toc292559866"/>
      <w:bookmarkStart w:id="84" w:name="_Toc292559361"/>
      <w:bookmarkStart w:id="85" w:name="_Toc296347155"/>
      <w:bookmarkStart w:id="86" w:name="_Toc297120456"/>
      <w:r>
        <w:rPr>
          <w:color w:val="auto"/>
          <w:highlight w:val="none"/>
        </w:rPr>
        <w:t xml:space="preserve">. </w:t>
      </w:r>
      <w:r>
        <w:rPr>
          <w:rFonts w:hint="eastAsia" w:hAnsi="宋体" w:cs="黑体"/>
          <w:color w:val="auto"/>
          <w:highlight w:val="none"/>
        </w:rPr>
        <w:t>一般约定</w:t>
      </w:r>
      <w:bookmarkEnd w:id="69"/>
      <w:bookmarkEnd w:id="70"/>
      <w:bookmarkEnd w:id="71"/>
      <w:bookmarkEnd w:id="72"/>
      <w:bookmarkEnd w:id="73"/>
      <w:bookmarkEnd w:id="74"/>
      <w:bookmarkEnd w:id="75"/>
      <w:bookmarkEnd w:id="76"/>
    </w:p>
    <w:bookmarkEnd w:id="77"/>
    <w:bookmarkEnd w:id="78"/>
    <w:bookmarkEnd w:id="79"/>
    <w:bookmarkEnd w:id="80"/>
    <w:bookmarkEnd w:id="81"/>
    <w:bookmarkEnd w:id="82"/>
    <w:bookmarkEnd w:id="83"/>
    <w:bookmarkEnd w:id="84"/>
    <w:bookmarkEnd w:id="85"/>
    <w:bookmarkEnd w:id="86"/>
    <w:p w14:paraId="45E6D2EA">
      <w:pPr>
        <w:pStyle w:val="4"/>
        <w:pageBreakBefore w:val="0"/>
        <w:widowControl w:val="0"/>
        <w:kinsoku/>
        <w:wordWrap/>
        <w:overflowPunct/>
        <w:topLinePunct w:val="0"/>
        <w:bidi w:val="0"/>
        <w:spacing w:before="0" w:after="0" w:line="360" w:lineRule="auto"/>
        <w:textAlignment w:val="auto"/>
        <w:rPr>
          <w:color w:val="auto"/>
          <w:highlight w:val="none"/>
        </w:rPr>
      </w:pPr>
      <w:bookmarkStart w:id="87" w:name="_Toc9045"/>
      <w:bookmarkStart w:id="88" w:name="_Toc389065259"/>
      <w:bookmarkStart w:id="89" w:name="_Toc373478340"/>
      <w:bookmarkStart w:id="90" w:name="_Toc1618220701"/>
      <w:bookmarkStart w:id="91" w:name="_Toc78449781"/>
      <w:bookmarkStart w:id="92" w:name="_Toc373227693"/>
      <w:bookmarkStart w:id="93" w:name="_Toc407135195"/>
      <w:r>
        <w:rPr>
          <w:color w:val="auto"/>
          <w:highlight w:val="none"/>
        </w:rPr>
        <w:t xml:space="preserve">1.1 </w:t>
      </w:r>
      <w:r>
        <w:rPr>
          <w:rFonts w:hint="eastAsia" w:hAnsi="宋体" w:cs="黑体"/>
          <w:color w:val="auto"/>
          <w:highlight w:val="none"/>
        </w:rPr>
        <w:t>词语定义</w:t>
      </w:r>
      <w:bookmarkEnd w:id="87"/>
      <w:bookmarkEnd w:id="88"/>
      <w:bookmarkEnd w:id="89"/>
      <w:bookmarkEnd w:id="90"/>
      <w:bookmarkEnd w:id="91"/>
      <w:bookmarkEnd w:id="92"/>
      <w:bookmarkEnd w:id="93"/>
    </w:p>
    <w:p w14:paraId="1D3FECB4">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color w:val="auto"/>
          <w:kern w:val="0"/>
          <w:highlight w:val="none"/>
        </w:rPr>
        <w:t xml:space="preserve">1.1.1 </w:t>
      </w:r>
      <w:r>
        <w:rPr>
          <w:rFonts w:hint="eastAsia" w:hAnsi="宋体" w:cs="宋体"/>
          <w:color w:val="auto"/>
          <w:kern w:val="0"/>
          <w:highlight w:val="none"/>
        </w:rPr>
        <w:t>合同</w:t>
      </w:r>
    </w:p>
    <w:p w14:paraId="50E20C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kern w:val="0"/>
          <w:highlight w:val="none"/>
        </w:rPr>
      </w:pPr>
      <w:r>
        <w:rPr>
          <w:color w:val="auto"/>
          <w:kern w:val="0"/>
          <w:highlight w:val="none"/>
        </w:rPr>
        <w:t xml:space="preserve">1.1.1.10 </w:t>
      </w:r>
      <w:r>
        <w:rPr>
          <w:rFonts w:hint="eastAsia" w:hAnsi="宋体" w:cs="宋体"/>
          <w:color w:val="auto"/>
          <w:kern w:val="0"/>
          <w:highlight w:val="none"/>
        </w:rPr>
        <w:t>其他合同文件包括：</w:t>
      </w:r>
      <w:r>
        <w:rPr>
          <w:color w:val="auto"/>
          <w:highlight w:val="none"/>
          <w:u w:val="single"/>
        </w:rPr>
        <w:t xml:space="preserve">  </w:t>
      </w:r>
      <w:r>
        <w:rPr>
          <w:rFonts w:hint="eastAsia"/>
          <w:color w:val="auto"/>
          <w:highlight w:val="none"/>
          <w:u w:val="single"/>
        </w:rPr>
        <w:t>招标文件及附件（含所有补充通知）</w:t>
      </w:r>
      <w:r>
        <w:rPr>
          <w:color w:val="auto"/>
          <w:highlight w:val="none"/>
          <w:u w:val="single"/>
        </w:rPr>
        <w:t xml:space="preserve">   </w:t>
      </w:r>
      <w:r>
        <w:rPr>
          <w:rFonts w:hint="eastAsia" w:hAnsi="宋体" w:cs="宋体"/>
          <w:color w:val="auto"/>
          <w:highlight w:val="none"/>
        </w:rPr>
        <w:t>。</w:t>
      </w:r>
    </w:p>
    <w:p w14:paraId="34C64CBB">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1.1.2 </w:t>
      </w:r>
      <w:r>
        <w:rPr>
          <w:rFonts w:hint="eastAsia" w:hAnsi="宋体" w:cs="宋体"/>
          <w:color w:val="auto"/>
          <w:highlight w:val="none"/>
        </w:rPr>
        <w:t>合同当事人及其他相关方</w:t>
      </w:r>
    </w:p>
    <w:p w14:paraId="0F8891D3">
      <w:pPr>
        <w:pageBreakBefore w:val="0"/>
        <w:widowControl w:val="0"/>
        <w:kinsoku/>
        <w:wordWrap/>
        <w:overflowPunct/>
        <w:topLinePunct w:val="0"/>
        <w:bidi w:val="0"/>
        <w:spacing w:line="360" w:lineRule="auto"/>
        <w:ind w:firstLine="420" w:firstLineChars="200"/>
        <w:textAlignment w:val="auto"/>
        <w:outlineLvl w:val="0"/>
        <w:rPr>
          <w:color w:val="auto"/>
          <w:highlight w:val="none"/>
        </w:rPr>
      </w:pPr>
      <w:r>
        <w:rPr>
          <w:color w:val="auto"/>
          <w:highlight w:val="none"/>
        </w:rPr>
        <w:t xml:space="preserve">1.1.2.4 </w:t>
      </w:r>
      <w:r>
        <w:rPr>
          <w:rFonts w:hint="eastAsia" w:hAnsi="宋体" w:cs="宋体"/>
          <w:color w:val="auto"/>
          <w:highlight w:val="none"/>
        </w:rPr>
        <w:t>监理人：</w:t>
      </w:r>
    </w:p>
    <w:p w14:paraId="7D6ED9EA">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名</w:t>
      </w:r>
      <w:r>
        <w:rPr>
          <w:color w:val="auto"/>
          <w:highlight w:val="none"/>
        </w:rPr>
        <w:t xml:space="preserve">    </w:t>
      </w:r>
      <w:r>
        <w:rPr>
          <w:rFonts w:hint="eastAsia" w:hAnsi="宋体" w:cs="宋体"/>
          <w:color w:val="auto"/>
          <w:highlight w:val="none"/>
        </w:rPr>
        <w:t>称：</w:t>
      </w:r>
      <w:r>
        <w:rPr>
          <w:color w:val="auto"/>
          <w:highlight w:val="none"/>
          <w:u w:val="single"/>
        </w:rPr>
        <w:t xml:space="preserve">                </w:t>
      </w:r>
      <w:r>
        <w:rPr>
          <w:rFonts w:hint="eastAsia" w:hAnsi="宋体" w:cs="宋体"/>
          <w:color w:val="auto"/>
          <w:highlight w:val="none"/>
        </w:rPr>
        <w:t>；</w:t>
      </w:r>
    </w:p>
    <w:p w14:paraId="39928D8A">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资质类别和等级：</w:t>
      </w:r>
      <w:r>
        <w:rPr>
          <w:color w:val="auto"/>
          <w:highlight w:val="none"/>
          <w:u w:val="single"/>
        </w:rPr>
        <w:t xml:space="preserve">               </w:t>
      </w:r>
      <w:r>
        <w:rPr>
          <w:rFonts w:hint="eastAsia" w:hAnsi="宋体" w:cs="宋体"/>
          <w:color w:val="auto"/>
          <w:highlight w:val="none"/>
        </w:rPr>
        <w:t>；</w:t>
      </w:r>
    </w:p>
    <w:p w14:paraId="245FA9D4">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联系电话：</w:t>
      </w:r>
      <w:r>
        <w:rPr>
          <w:color w:val="auto"/>
          <w:highlight w:val="none"/>
          <w:u w:val="single"/>
        </w:rPr>
        <w:t xml:space="preserve">                </w:t>
      </w:r>
      <w:r>
        <w:rPr>
          <w:rFonts w:hint="eastAsia" w:hAnsi="宋体" w:cs="宋体"/>
          <w:color w:val="auto"/>
          <w:highlight w:val="none"/>
        </w:rPr>
        <w:t>；</w:t>
      </w:r>
    </w:p>
    <w:p w14:paraId="662C0C26">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hAnsi="宋体" w:cs="宋体"/>
          <w:color w:val="auto"/>
          <w:highlight w:val="none"/>
        </w:rPr>
        <w:t>；</w:t>
      </w:r>
    </w:p>
    <w:p w14:paraId="2E7DEEA9">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通信地址：</w:t>
      </w:r>
      <w:r>
        <w:rPr>
          <w:color w:val="auto"/>
          <w:highlight w:val="none"/>
          <w:u w:val="single"/>
        </w:rPr>
        <w:t xml:space="preserve">                </w:t>
      </w:r>
      <w:r>
        <w:rPr>
          <w:rFonts w:hint="eastAsia" w:hAnsi="宋体" w:cs="宋体"/>
          <w:color w:val="auto"/>
          <w:highlight w:val="none"/>
        </w:rPr>
        <w:t>。</w:t>
      </w:r>
    </w:p>
    <w:p w14:paraId="253F9BF6">
      <w:pPr>
        <w:pageBreakBefore w:val="0"/>
        <w:widowControl w:val="0"/>
        <w:kinsoku/>
        <w:wordWrap/>
        <w:overflowPunct/>
        <w:topLinePunct w:val="0"/>
        <w:bidi w:val="0"/>
        <w:spacing w:line="360" w:lineRule="auto"/>
        <w:ind w:firstLine="420" w:firstLineChars="200"/>
        <w:textAlignment w:val="auto"/>
        <w:outlineLvl w:val="0"/>
        <w:rPr>
          <w:color w:val="auto"/>
          <w:highlight w:val="none"/>
        </w:rPr>
      </w:pPr>
      <w:r>
        <w:rPr>
          <w:color w:val="auto"/>
          <w:highlight w:val="none"/>
        </w:rPr>
        <w:t xml:space="preserve">1.1.2.5 </w:t>
      </w:r>
      <w:r>
        <w:rPr>
          <w:rFonts w:hint="eastAsia" w:hAnsi="宋体" w:cs="宋体"/>
          <w:color w:val="auto"/>
          <w:highlight w:val="none"/>
        </w:rPr>
        <w:t>设计人：</w:t>
      </w:r>
    </w:p>
    <w:p w14:paraId="09FAA8A7">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名</w:t>
      </w:r>
      <w:r>
        <w:rPr>
          <w:color w:val="auto"/>
          <w:highlight w:val="none"/>
        </w:rPr>
        <w:t xml:space="preserve">    </w:t>
      </w:r>
      <w:r>
        <w:rPr>
          <w:rFonts w:hint="eastAsia" w:hAnsi="宋体" w:cs="宋体"/>
          <w:color w:val="auto"/>
          <w:highlight w:val="none"/>
        </w:rPr>
        <w:t>称：</w:t>
      </w:r>
      <w:r>
        <w:rPr>
          <w:color w:val="auto"/>
          <w:highlight w:val="none"/>
          <w:u w:val="single"/>
        </w:rPr>
        <w:t xml:space="preserve">                 </w:t>
      </w:r>
      <w:r>
        <w:rPr>
          <w:rFonts w:hint="eastAsia" w:hAnsi="宋体" w:cs="宋体"/>
          <w:color w:val="auto"/>
          <w:highlight w:val="none"/>
        </w:rPr>
        <w:t>；</w:t>
      </w:r>
    </w:p>
    <w:p w14:paraId="68AF71E9">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资质类别和等级：</w:t>
      </w:r>
      <w:r>
        <w:rPr>
          <w:color w:val="auto"/>
          <w:highlight w:val="none"/>
          <w:u w:val="single"/>
        </w:rPr>
        <w:t xml:space="preserve">               </w:t>
      </w:r>
      <w:r>
        <w:rPr>
          <w:rFonts w:hint="eastAsia" w:hAnsi="宋体" w:cs="宋体"/>
          <w:color w:val="auto"/>
          <w:highlight w:val="none"/>
        </w:rPr>
        <w:t>；</w:t>
      </w:r>
    </w:p>
    <w:p w14:paraId="51FB8D7E">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联系电话：</w:t>
      </w:r>
      <w:r>
        <w:rPr>
          <w:color w:val="auto"/>
          <w:highlight w:val="none"/>
          <w:u w:val="single"/>
        </w:rPr>
        <w:t xml:space="preserve">                 </w:t>
      </w:r>
      <w:r>
        <w:rPr>
          <w:rFonts w:hint="eastAsia" w:hAnsi="宋体" w:cs="宋体"/>
          <w:color w:val="auto"/>
          <w:highlight w:val="none"/>
        </w:rPr>
        <w:t>；</w:t>
      </w:r>
    </w:p>
    <w:p w14:paraId="6D454464">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hAnsi="宋体" w:cs="宋体"/>
          <w:color w:val="auto"/>
          <w:highlight w:val="none"/>
        </w:rPr>
        <w:t>；</w:t>
      </w:r>
    </w:p>
    <w:p w14:paraId="60D5DA1F">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通信地址：</w:t>
      </w:r>
      <w:r>
        <w:rPr>
          <w:color w:val="auto"/>
          <w:highlight w:val="none"/>
          <w:u w:val="single"/>
        </w:rPr>
        <w:t xml:space="preserve">                </w:t>
      </w:r>
      <w:r>
        <w:rPr>
          <w:rFonts w:hint="eastAsia" w:hAnsi="宋体" w:cs="宋体"/>
          <w:color w:val="auto"/>
          <w:highlight w:val="none"/>
        </w:rPr>
        <w:t>。</w:t>
      </w:r>
    </w:p>
    <w:p w14:paraId="1306E66D">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1.1.3 </w:t>
      </w:r>
      <w:r>
        <w:rPr>
          <w:rFonts w:hint="eastAsia" w:hAnsi="宋体" w:cs="宋体"/>
          <w:color w:val="auto"/>
          <w:highlight w:val="none"/>
        </w:rPr>
        <w:t>工程和设备</w:t>
      </w:r>
    </w:p>
    <w:p w14:paraId="3BC2E3FC">
      <w:pPr>
        <w:pageBreakBefore w:val="0"/>
        <w:widowControl w:val="0"/>
        <w:kinsoku/>
        <w:wordWrap/>
        <w:overflowPunct/>
        <w:topLinePunct w:val="0"/>
        <w:bidi w:val="0"/>
        <w:spacing w:line="360" w:lineRule="auto"/>
        <w:ind w:firstLine="420" w:firstLineChars="200"/>
        <w:textAlignment w:val="auto"/>
        <w:outlineLvl w:val="0"/>
        <w:rPr>
          <w:color w:val="auto"/>
          <w:highlight w:val="none"/>
        </w:rPr>
      </w:pPr>
      <w:r>
        <w:rPr>
          <w:color w:val="auto"/>
          <w:highlight w:val="none"/>
        </w:rPr>
        <w:t xml:space="preserve">1.1.3.7 </w:t>
      </w:r>
      <w:r>
        <w:rPr>
          <w:rFonts w:hint="eastAsia" w:hAnsi="宋体" w:cs="宋体"/>
          <w:color w:val="auto"/>
          <w:highlight w:val="none"/>
        </w:rPr>
        <w:t>作为施工现场组成部分的其他场所包括：</w:t>
      </w:r>
      <w:r>
        <w:rPr>
          <w:color w:val="auto"/>
          <w:highlight w:val="none"/>
          <w:u w:val="single"/>
        </w:rPr>
        <w:t xml:space="preserve">  </w:t>
      </w:r>
      <w:r>
        <w:rPr>
          <w:rFonts w:hint="eastAsia"/>
          <w:color w:val="auto"/>
          <w:highlight w:val="none"/>
          <w:u w:val="single"/>
        </w:rPr>
        <w:t>临时设施场地</w:t>
      </w:r>
      <w:r>
        <w:rPr>
          <w:rFonts w:hAnsi="宋体"/>
          <w:color w:val="auto"/>
          <w:highlight w:val="none"/>
          <w:u w:val="single"/>
        </w:rPr>
        <w:t xml:space="preserve">   </w:t>
      </w:r>
      <w:r>
        <w:rPr>
          <w:rFonts w:hint="eastAsia" w:hAnsi="宋体" w:cs="宋体"/>
          <w:color w:val="auto"/>
          <w:highlight w:val="none"/>
        </w:rPr>
        <w:t>。</w:t>
      </w:r>
    </w:p>
    <w:p w14:paraId="7990A879">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color w:val="auto"/>
          <w:kern w:val="0"/>
          <w:highlight w:val="none"/>
        </w:rPr>
        <w:t xml:space="preserve">1.1.3.9 </w:t>
      </w:r>
      <w:r>
        <w:rPr>
          <w:rFonts w:hint="eastAsia" w:hAnsi="宋体" w:cs="宋体"/>
          <w:color w:val="auto"/>
          <w:kern w:val="0"/>
          <w:highlight w:val="none"/>
        </w:rPr>
        <w:t>永久占地包括：</w:t>
      </w:r>
      <w:r>
        <w:rPr>
          <w:color w:val="auto"/>
          <w:highlight w:val="none"/>
          <w:u w:val="single"/>
        </w:rPr>
        <w:t xml:space="preserve">  </w:t>
      </w:r>
      <w:r>
        <w:rPr>
          <w:rFonts w:hint="eastAsia"/>
          <w:color w:val="auto"/>
          <w:highlight w:val="none"/>
          <w:u w:val="single"/>
        </w:rPr>
        <w:t>实施合同工程需永久占用的场地</w:t>
      </w:r>
      <w:r>
        <w:rPr>
          <w:color w:val="auto"/>
          <w:highlight w:val="none"/>
          <w:u w:val="single"/>
        </w:rPr>
        <w:t xml:space="preserve">  </w:t>
      </w:r>
      <w:r>
        <w:rPr>
          <w:rFonts w:hint="eastAsia" w:hAnsi="宋体" w:cs="宋体"/>
          <w:color w:val="auto"/>
          <w:kern w:val="0"/>
          <w:highlight w:val="none"/>
        </w:rPr>
        <w:t>。</w:t>
      </w:r>
    </w:p>
    <w:p w14:paraId="266C3E16">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kern w:val="0"/>
          <w:highlight w:val="none"/>
        </w:rPr>
        <w:t xml:space="preserve">1.1.3.10 </w:t>
      </w:r>
      <w:r>
        <w:rPr>
          <w:rFonts w:hint="eastAsia" w:hAnsi="宋体" w:cs="宋体"/>
          <w:color w:val="auto"/>
          <w:kern w:val="0"/>
          <w:highlight w:val="none"/>
        </w:rPr>
        <w:t>临时占地包括：</w:t>
      </w:r>
      <w:r>
        <w:rPr>
          <w:color w:val="auto"/>
          <w:highlight w:val="none"/>
          <w:u w:val="single"/>
        </w:rPr>
        <w:t xml:space="preserve">  </w:t>
      </w:r>
      <w:r>
        <w:rPr>
          <w:rFonts w:hint="eastAsia"/>
          <w:color w:val="auto"/>
          <w:highlight w:val="none"/>
          <w:u w:val="single"/>
        </w:rPr>
        <w:t>实施合同工程需临时占用的场地</w:t>
      </w:r>
      <w:r>
        <w:rPr>
          <w:color w:val="auto"/>
          <w:highlight w:val="none"/>
          <w:u w:val="single"/>
        </w:rPr>
        <w:t xml:space="preserve">  </w:t>
      </w:r>
      <w:r>
        <w:rPr>
          <w:rFonts w:hint="eastAsia" w:hAnsi="宋体" w:cs="宋体"/>
          <w:color w:val="auto"/>
          <w:kern w:val="0"/>
          <w:highlight w:val="none"/>
        </w:rPr>
        <w:t>。</w:t>
      </w:r>
    </w:p>
    <w:p w14:paraId="47D44CDE">
      <w:pPr>
        <w:pStyle w:val="4"/>
        <w:pageBreakBefore w:val="0"/>
        <w:widowControl w:val="0"/>
        <w:kinsoku/>
        <w:wordWrap/>
        <w:overflowPunct/>
        <w:topLinePunct w:val="0"/>
        <w:bidi w:val="0"/>
        <w:spacing w:before="0" w:after="0" w:line="360" w:lineRule="auto"/>
        <w:textAlignment w:val="auto"/>
        <w:rPr>
          <w:color w:val="auto"/>
          <w:highlight w:val="none"/>
        </w:rPr>
      </w:pPr>
      <w:bookmarkStart w:id="94" w:name="_Toc373227694"/>
      <w:bookmarkStart w:id="95" w:name="_Toc11286"/>
      <w:bookmarkStart w:id="96" w:name="_Toc1162259329"/>
      <w:bookmarkStart w:id="97" w:name="_Toc389065260"/>
      <w:bookmarkStart w:id="98" w:name="_Toc78449782"/>
      <w:bookmarkStart w:id="99" w:name="_Toc373478341"/>
      <w:bookmarkStart w:id="100" w:name="_Toc407135196"/>
      <w:r>
        <w:rPr>
          <w:color w:val="auto"/>
          <w:highlight w:val="none"/>
        </w:rPr>
        <w:t xml:space="preserve">1.3 </w:t>
      </w:r>
      <w:r>
        <w:rPr>
          <w:rFonts w:hint="eastAsia" w:hAnsi="宋体" w:cs="黑体"/>
          <w:color w:val="auto"/>
          <w:highlight w:val="none"/>
        </w:rPr>
        <w:t>法律</w:t>
      </w:r>
      <w:bookmarkEnd w:id="94"/>
      <w:bookmarkEnd w:id="95"/>
      <w:bookmarkEnd w:id="96"/>
      <w:bookmarkEnd w:id="97"/>
      <w:bookmarkEnd w:id="98"/>
      <w:bookmarkEnd w:id="99"/>
      <w:bookmarkEnd w:id="100"/>
    </w:p>
    <w:p w14:paraId="48A2DA21">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color w:val="auto"/>
          <w:highlight w:val="none"/>
        </w:rPr>
      </w:pPr>
      <w:r>
        <w:rPr>
          <w:rFonts w:hint="eastAsia" w:hAnsi="宋体" w:cs="宋体"/>
          <w:color w:val="auto"/>
          <w:highlight w:val="none"/>
        </w:rPr>
        <w:t>适用于合同的其他规范性文件：</w:t>
      </w:r>
      <w:r>
        <w:rPr>
          <w:rFonts w:hAnsi="宋体"/>
          <w:color w:val="auto"/>
          <w:highlight w:val="none"/>
          <w:u w:val="single"/>
        </w:rPr>
        <w:t xml:space="preserve">   </w:t>
      </w:r>
      <w:r>
        <w:rPr>
          <w:rFonts w:hint="eastAsia" w:hAnsi="宋体"/>
          <w:color w:val="auto"/>
          <w:highlight w:val="none"/>
          <w:u w:val="single"/>
        </w:rPr>
        <w:t>发包人对工程的相关管理规定和文件</w:t>
      </w:r>
      <w:r>
        <w:rPr>
          <w:color w:val="auto"/>
          <w:highlight w:val="none"/>
          <w:u w:val="single"/>
        </w:rPr>
        <w:t xml:space="preserve">    </w:t>
      </w:r>
      <w:r>
        <w:rPr>
          <w:rFonts w:hint="eastAsia" w:hAnsi="宋体" w:cs="宋体"/>
          <w:color w:val="auto"/>
          <w:highlight w:val="none"/>
        </w:rPr>
        <w:t>。</w:t>
      </w:r>
    </w:p>
    <w:p w14:paraId="639EECA6">
      <w:pPr>
        <w:pStyle w:val="4"/>
        <w:pageBreakBefore w:val="0"/>
        <w:widowControl w:val="0"/>
        <w:kinsoku/>
        <w:wordWrap/>
        <w:overflowPunct/>
        <w:topLinePunct w:val="0"/>
        <w:bidi w:val="0"/>
        <w:spacing w:before="0" w:after="0" w:line="360" w:lineRule="auto"/>
        <w:textAlignment w:val="auto"/>
        <w:rPr>
          <w:color w:val="auto"/>
          <w:highlight w:val="none"/>
        </w:rPr>
      </w:pPr>
      <w:bookmarkStart w:id="101" w:name="_Toc373227695"/>
      <w:bookmarkStart w:id="102" w:name="_Toc389065261"/>
      <w:bookmarkStart w:id="103" w:name="_Toc1694357896"/>
      <w:bookmarkStart w:id="104" w:name="_Toc373478342"/>
      <w:bookmarkStart w:id="105" w:name="_Toc78449783"/>
      <w:bookmarkStart w:id="106" w:name="_Toc407135197"/>
      <w:bookmarkStart w:id="107" w:name="_Toc6293"/>
      <w:r>
        <w:rPr>
          <w:color w:val="auto"/>
          <w:highlight w:val="none"/>
        </w:rPr>
        <w:t xml:space="preserve">1.4 </w:t>
      </w:r>
      <w:r>
        <w:rPr>
          <w:rFonts w:hint="eastAsia" w:hAnsi="宋体" w:cs="黑体"/>
          <w:color w:val="auto"/>
          <w:highlight w:val="none"/>
        </w:rPr>
        <w:t>标准和规范</w:t>
      </w:r>
      <w:bookmarkEnd w:id="101"/>
      <w:bookmarkEnd w:id="102"/>
      <w:bookmarkEnd w:id="103"/>
      <w:bookmarkEnd w:id="104"/>
      <w:bookmarkEnd w:id="105"/>
      <w:bookmarkEnd w:id="106"/>
      <w:bookmarkEnd w:id="107"/>
    </w:p>
    <w:p w14:paraId="4362C8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color w:val="auto"/>
          <w:highlight w:val="none"/>
        </w:rPr>
        <w:t xml:space="preserve">1.4.1 </w:t>
      </w:r>
      <w:r>
        <w:rPr>
          <w:rFonts w:hint="eastAsia" w:hAnsi="宋体" w:cs="宋体"/>
          <w:color w:val="auto"/>
          <w:highlight w:val="none"/>
        </w:rPr>
        <w:t>适用于工程的标准规范包括：</w:t>
      </w:r>
      <w:r>
        <w:rPr>
          <w:rFonts w:hAnsi="宋体"/>
          <w:color w:val="auto"/>
          <w:highlight w:val="none"/>
          <w:u w:val="single"/>
        </w:rPr>
        <w:t xml:space="preserve">  </w:t>
      </w:r>
      <w:r>
        <w:rPr>
          <w:rFonts w:hint="eastAsia" w:hAnsi="宋体"/>
          <w:color w:val="auto"/>
          <w:highlight w:val="none"/>
          <w:u w:val="single"/>
        </w:rPr>
        <w:t>国家和广西区、北海市有关建设工程的相关规范、标准和要求</w:t>
      </w:r>
      <w:r>
        <w:rPr>
          <w:color w:val="auto"/>
          <w:highlight w:val="none"/>
          <w:u w:val="single"/>
        </w:rPr>
        <w:t xml:space="preserve">  </w:t>
      </w:r>
      <w:r>
        <w:rPr>
          <w:rFonts w:hint="eastAsia" w:hAnsi="宋体" w:cs="宋体"/>
          <w:color w:val="auto"/>
          <w:highlight w:val="none"/>
        </w:rPr>
        <w:t>。</w:t>
      </w:r>
    </w:p>
    <w:p w14:paraId="5813B8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kern w:val="0"/>
          <w:highlight w:val="none"/>
        </w:rPr>
      </w:pPr>
      <w:r>
        <w:rPr>
          <w:color w:val="auto"/>
          <w:kern w:val="0"/>
          <w:highlight w:val="none"/>
        </w:rPr>
        <w:t xml:space="preserve">1.4.2 </w:t>
      </w:r>
      <w:r>
        <w:rPr>
          <w:rFonts w:hint="eastAsia" w:hAnsi="宋体" w:cs="宋体"/>
          <w:color w:val="auto"/>
          <w:kern w:val="0"/>
          <w:highlight w:val="none"/>
        </w:rPr>
        <w:t>发包人提供国外标准、规范的名称：</w:t>
      </w:r>
      <w:r>
        <w:rPr>
          <w:rFonts w:hAnsi="宋体"/>
          <w:color w:val="auto"/>
          <w:highlight w:val="none"/>
          <w:u w:val="single"/>
        </w:rPr>
        <w:t xml:space="preserve">   </w:t>
      </w:r>
      <w:r>
        <w:rPr>
          <w:rFonts w:hint="eastAsia" w:hAnsi="宋体"/>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p w14:paraId="5BA9DF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kern w:val="0"/>
          <w:highlight w:val="none"/>
        </w:rPr>
      </w:pPr>
      <w:r>
        <w:rPr>
          <w:rFonts w:hint="eastAsia" w:hAnsi="宋体" w:cs="宋体"/>
          <w:color w:val="auto"/>
          <w:kern w:val="0"/>
          <w:highlight w:val="none"/>
        </w:rPr>
        <w:t>发包人提供国外标准、规范的份数：</w:t>
      </w:r>
      <w:r>
        <w:rPr>
          <w:color w:val="auto"/>
          <w:kern w:val="0"/>
          <w:highlight w:val="none"/>
          <w:u w:val="single"/>
        </w:rPr>
        <w:t xml:space="preserve">   </w:t>
      </w:r>
      <w:r>
        <w:rPr>
          <w:rFonts w:hint="eastAsia"/>
          <w:color w:val="auto"/>
          <w:kern w:val="0"/>
          <w:highlight w:val="none"/>
          <w:u w:val="single"/>
        </w:rPr>
        <w:t>无</w:t>
      </w:r>
      <w:r>
        <w:rPr>
          <w:color w:val="auto"/>
          <w:kern w:val="0"/>
          <w:highlight w:val="none"/>
          <w:u w:val="single"/>
        </w:rPr>
        <w:t xml:space="preserve">   </w:t>
      </w:r>
      <w:r>
        <w:rPr>
          <w:rFonts w:hint="eastAsia" w:hAnsi="宋体" w:cs="宋体"/>
          <w:color w:val="auto"/>
          <w:kern w:val="0"/>
          <w:highlight w:val="none"/>
        </w:rPr>
        <w:t>；</w:t>
      </w:r>
    </w:p>
    <w:p w14:paraId="6DBA02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hAnsi="宋体" w:cs="宋体"/>
          <w:color w:val="auto"/>
          <w:kern w:val="0"/>
          <w:highlight w:val="none"/>
        </w:rPr>
        <w:t>发包人提供国外标准、规范的名称：</w:t>
      </w:r>
      <w:r>
        <w:rPr>
          <w:color w:val="auto"/>
          <w:kern w:val="0"/>
          <w:highlight w:val="none"/>
          <w:u w:val="single"/>
        </w:rPr>
        <w:t xml:space="preserve">   </w:t>
      </w:r>
      <w:r>
        <w:rPr>
          <w:rFonts w:hint="eastAsia"/>
          <w:color w:val="auto"/>
          <w:kern w:val="0"/>
          <w:highlight w:val="none"/>
          <w:u w:val="single"/>
        </w:rPr>
        <w:t>无</w:t>
      </w:r>
      <w:r>
        <w:rPr>
          <w:color w:val="auto"/>
          <w:kern w:val="0"/>
          <w:highlight w:val="none"/>
          <w:u w:val="single"/>
        </w:rPr>
        <w:t xml:space="preserve">   </w:t>
      </w:r>
      <w:r>
        <w:rPr>
          <w:rFonts w:hint="eastAsia" w:hAnsi="宋体" w:cs="宋体"/>
          <w:color w:val="auto"/>
          <w:kern w:val="0"/>
          <w:highlight w:val="none"/>
        </w:rPr>
        <w:t>。</w:t>
      </w:r>
    </w:p>
    <w:p w14:paraId="7E58D3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color w:val="auto"/>
          <w:highlight w:val="none"/>
        </w:rPr>
        <w:t xml:space="preserve">1.4.3 </w:t>
      </w:r>
      <w:r>
        <w:rPr>
          <w:rFonts w:hint="eastAsia" w:hAnsi="宋体" w:cs="宋体"/>
          <w:color w:val="auto"/>
          <w:highlight w:val="none"/>
        </w:rPr>
        <w:t>发包人对工程的技术标准和功能要求的特殊要求：</w:t>
      </w:r>
      <w:r>
        <w:rPr>
          <w:rFonts w:hAnsi="宋体"/>
          <w:color w:val="auto"/>
          <w:highlight w:val="none"/>
          <w:u w:val="single"/>
        </w:rPr>
        <w:t xml:space="preserve">    </w:t>
      </w:r>
      <w:r>
        <w:rPr>
          <w:rFonts w:hint="eastAsia" w:hAnsi="宋体"/>
          <w:color w:val="auto"/>
          <w:highlight w:val="none"/>
          <w:u w:val="single"/>
        </w:rPr>
        <w:t>满足本工程的安全生产</w:t>
      </w:r>
      <w:r>
        <w:rPr>
          <w:rFonts w:hAnsi="宋体"/>
          <w:color w:val="auto"/>
          <w:highlight w:val="none"/>
          <w:u w:val="single"/>
        </w:rPr>
        <w:t xml:space="preserve">   </w:t>
      </w:r>
      <w:r>
        <w:rPr>
          <w:rFonts w:hint="eastAsia" w:hAnsi="宋体" w:cs="宋体"/>
          <w:color w:val="auto"/>
          <w:highlight w:val="none"/>
        </w:rPr>
        <w:t>。</w:t>
      </w:r>
    </w:p>
    <w:p w14:paraId="63597FA6">
      <w:pPr>
        <w:pStyle w:val="4"/>
        <w:pageBreakBefore w:val="0"/>
        <w:widowControl w:val="0"/>
        <w:kinsoku/>
        <w:wordWrap/>
        <w:overflowPunct/>
        <w:topLinePunct w:val="0"/>
        <w:bidi w:val="0"/>
        <w:spacing w:before="0" w:after="0" w:line="360" w:lineRule="auto"/>
        <w:textAlignment w:val="auto"/>
        <w:rPr>
          <w:color w:val="auto"/>
          <w:highlight w:val="none"/>
        </w:rPr>
      </w:pPr>
      <w:bookmarkStart w:id="108" w:name="_Toc26819"/>
      <w:bookmarkStart w:id="109" w:name="_Toc24431861"/>
      <w:bookmarkStart w:id="110" w:name="_Toc389065262"/>
      <w:bookmarkStart w:id="111" w:name="_Toc373227696"/>
      <w:bookmarkStart w:id="112" w:name="_Toc407135198"/>
      <w:bookmarkStart w:id="113" w:name="_Toc78449784"/>
      <w:bookmarkStart w:id="114" w:name="_Toc373478343"/>
      <w:r>
        <w:rPr>
          <w:color w:val="auto"/>
          <w:highlight w:val="none"/>
        </w:rPr>
        <w:t xml:space="preserve">1.5 </w:t>
      </w:r>
      <w:r>
        <w:rPr>
          <w:rFonts w:hint="eastAsia" w:cs="黑体"/>
          <w:color w:val="auto"/>
          <w:highlight w:val="none"/>
        </w:rPr>
        <w:t>合同文件的优先顺序</w:t>
      </w:r>
      <w:bookmarkEnd w:id="108"/>
      <w:bookmarkEnd w:id="109"/>
      <w:bookmarkEnd w:id="110"/>
      <w:bookmarkEnd w:id="111"/>
      <w:bookmarkEnd w:id="112"/>
      <w:bookmarkEnd w:id="113"/>
      <w:bookmarkEnd w:id="114"/>
    </w:p>
    <w:p w14:paraId="5C00456A">
      <w:pPr>
        <w:pageBreakBefore w:val="0"/>
        <w:widowControl w:val="0"/>
        <w:kinsoku/>
        <w:wordWrap/>
        <w:overflowPunct/>
        <w:topLinePunct w:val="0"/>
        <w:bidi w:val="0"/>
        <w:spacing w:line="360" w:lineRule="auto"/>
        <w:ind w:firstLine="420" w:firstLineChars="200"/>
        <w:textAlignment w:val="auto"/>
        <w:rPr>
          <w:rFonts w:hint="eastAsia" w:hAnsi="宋体" w:cs="宋体"/>
          <w:color w:val="auto"/>
          <w:kern w:val="0"/>
          <w:highlight w:val="none"/>
        </w:rPr>
      </w:pPr>
      <w:r>
        <w:rPr>
          <w:rFonts w:hint="eastAsia" w:hAnsi="宋体" w:cs="宋体"/>
          <w:color w:val="auto"/>
          <w:highlight w:val="none"/>
        </w:rPr>
        <w:t>合同文件组成及优先顺序为：</w:t>
      </w:r>
    </w:p>
    <w:p w14:paraId="3E1426E8">
      <w:pPr>
        <w:pageBreakBefore w:val="0"/>
        <w:widowControl w:val="0"/>
        <w:kinsoku/>
        <w:wordWrap/>
        <w:overflowPunct/>
        <w:topLinePunct w:val="0"/>
        <w:bidi w:val="0"/>
        <w:spacing w:line="360" w:lineRule="auto"/>
        <w:ind w:firstLine="420" w:firstLineChars="200"/>
        <w:textAlignment w:val="auto"/>
        <w:rPr>
          <w:rFonts w:hint="eastAsia" w:ascii="Times New Roman" w:hAnsi="宋体" w:eastAsia="宋体" w:cs="宋体"/>
          <w:color w:val="auto"/>
          <w:kern w:val="0"/>
          <w:highlight w:val="none"/>
        </w:rPr>
      </w:pP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1</w:t>
      </w:r>
      <w:r>
        <w:rPr>
          <w:rFonts w:hint="eastAsia" w:ascii="Times New Roman" w:hAnsi="宋体" w:eastAsia="宋体" w:cs="宋体"/>
          <w:color w:val="auto"/>
          <w:kern w:val="0"/>
          <w:highlight w:val="none"/>
        </w:rPr>
        <w:t>）合同协议书；</w:t>
      </w:r>
    </w:p>
    <w:p w14:paraId="3F5E07C5">
      <w:pPr>
        <w:pageBreakBefore w:val="0"/>
        <w:widowControl w:val="0"/>
        <w:kinsoku/>
        <w:wordWrap/>
        <w:overflowPunct/>
        <w:topLinePunct w:val="0"/>
        <w:bidi w:val="0"/>
        <w:spacing w:line="360" w:lineRule="auto"/>
        <w:ind w:firstLine="420" w:firstLineChars="200"/>
        <w:textAlignment w:val="auto"/>
        <w:rPr>
          <w:rFonts w:hint="eastAsia" w:ascii="Times New Roman" w:hAnsi="宋体" w:eastAsia="宋体" w:cs="宋体"/>
          <w:color w:val="auto"/>
          <w:kern w:val="0"/>
          <w:highlight w:val="none"/>
        </w:rPr>
      </w:pPr>
      <w:bookmarkStart w:id="115" w:name="bookmark916"/>
      <w:bookmarkEnd w:id="115"/>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2</w:t>
      </w:r>
      <w:r>
        <w:rPr>
          <w:rFonts w:hint="eastAsia" w:ascii="Times New Roman" w:hAnsi="宋体" w:eastAsia="宋体" w:cs="宋体"/>
          <w:color w:val="auto"/>
          <w:kern w:val="0"/>
          <w:highlight w:val="none"/>
        </w:rPr>
        <w:t>）中标通知书；</w:t>
      </w:r>
    </w:p>
    <w:p w14:paraId="1E198B6A">
      <w:pPr>
        <w:pageBreakBefore w:val="0"/>
        <w:widowControl w:val="0"/>
        <w:kinsoku/>
        <w:wordWrap/>
        <w:overflowPunct/>
        <w:topLinePunct w:val="0"/>
        <w:bidi w:val="0"/>
        <w:spacing w:line="360" w:lineRule="auto"/>
        <w:ind w:firstLineChars="200"/>
        <w:textAlignment w:val="auto"/>
        <w:rPr>
          <w:rFonts w:hint="eastAsia" w:ascii="Times New Roman" w:hAnsi="宋体" w:eastAsia="宋体" w:cs="宋体"/>
          <w:color w:val="auto"/>
          <w:kern w:val="0"/>
          <w:highlight w:val="none"/>
        </w:rPr>
      </w:pPr>
      <w:bookmarkStart w:id="116" w:name="bookmark917"/>
      <w:bookmarkEnd w:id="116"/>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3</w:t>
      </w:r>
      <w:r>
        <w:rPr>
          <w:rFonts w:hint="eastAsia" w:ascii="Times New Roman" w:hAnsi="宋体" w:eastAsia="宋体" w:cs="宋体"/>
          <w:color w:val="auto"/>
          <w:kern w:val="0"/>
          <w:highlight w:val="none"/>
        </w:rPr>
        <w:t>）投标函及投标函附录；</w:t>
      </w:r>
    </w:p>
    <w:p w14:paraId="5FFAF52A">
      <w:pPr>
        <w:pageBreakBefore w:val="0"/>
        <w:widowControl w:val="0"/>
        <w:kinsoku/>
        <w:wordWrap/>
        <w:overflowPunct/>
        <w:topLinePunct w:val="0"/>
        <w:bidi w:val="0"/>
        <w:spacing w:line="360" w:lineRule="auto"/>
        <w:ind w:firstLineChars="200"/>
        <w:textAlignment w:val="auto"/>
        <w:rPr>
          <w:rFonts w:hint="eastAsia" w:ascii="Times New Roman" w:hAnsi="宋体" w:eastAsia="宋体" w:cs="宋体"/>
          <w:color w:val="auto"/>
          <w:kern w:val="0"/>
          <w:highlight w:val="none"/>
        </w:rPr>
      </w:pPr>
      <w:bookmarkStart w:id="117" w:name="bookmark918"/>
      <w:bookmarkEnd w:id="117"/>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4</w:t>
      </w:r>
      <w:r>
        <w:rPr>
          <w:rFonts w:hint="eastAsia" w:ascii="Times New Roman" w:hAnsi="宋体" w:eastAsia="宋体" w:cs="宋体"/>
          <w:color w:val="auto"/>
          <w:kern w:val="0"/>
          <w:highlight w:val="none"/>
        </w:rPr>
        <w:t>）专用合同条款；</w:t>
      </w:r>
    </w:p>
    <w:p w14:paraId="057971CE">
      <w:pPr>
        <w:pageBreakBefore w:val="0"/>
        <w:widowControl w:val="0"/>
        <w:kinsoku/>
        <w:wordWrap/>
        <w:overflowPunct/>
        <w:topLinePunct w:val="0"/>
        <w:bidi w:val="0"/>
        <w:spacing w:line="360" w:lineRule="auto"/>
        <w:ind w:firstLineChars="200"/>
        <w:textAlignment w:val="auto"/>
        <w:rPr>
          <w:rFonts w:hint="eastAsia" w:ascii="Times New Roman" w:hAnsi="宋体" w:eastAsia="宋体" w:cs="宋体"/>
          <w:color w:val="auto"/>
          <w:kern w:val="0"/>
          <w:highlight w:val="none"/>
        </w:rPr>
      </w:pPr>
      <w:bookmarkStart w:id="118" w:name="bookmark919"/>
      <w:bookmarkEnd w:id="118"/>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5</w:t>
      </w:r>
      <w:r>
        <w:rPr>
          <w:rFonts w:hint="eastAsia" w:ascii="Times New Roman" w:hAnsi="宋体" w:eastAsia="宋体" w:cs="宋体"/>
          <w:color w:val="auto"/>
          <w:kern w:val="0"/>
          <w:highlight w:val="none"/>
        </w:rPr>
        <w:t>）通用合同条款；</w:t>
      </w:r>
    </w:p>
    <w:p w14:paraId="5E404344">
      <w:pPr>
        <w:pageBreakBefore w:val="0"/>
        <w:widowControl w:val="0"/>
        <w:kinsoku/>
        <w:wordWrap/>
        <w:overflowPunct/>
        <w:topLinePunct w:val="0"/>
        <w:bidi w:val="0"/>
        <w:spacing w:line="360" w:lineRule="auto"/>
        <w:ind w:firstLineChars="200"/>
        <w:textAlignment w:val="auto"/>
        <w:rPr>
          <w:rFonts w:hint="eastAsia" w:ascii="Times New Roman" w:hAnsi="宋体" w:eastAsia="宋体" w:cs="宋体"/>
          <w:color w:val="auto"/>
          <w:kern w:val="0"/>
          <w:highlight w:val="none"/>
        </w:rPr>
      </w:pPr>
      <w:bookmarkStart w:id="119" w:name="bookmark920"/>
      <w:bookmarkEnd w:id="119"/>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6</w:t>
      </w:r>
      <w:r>
        <w:rPr>
          <w:rFonts w:hint="eastAsia" w:ascii="Times New Roman" w:hAnsi="宋体" w:eastAsia="宋体" w:cs="宋体"/>
          <w:color w:val="auto"/>
          <w:kern w:val="0"/>
          <w:highlight w:val="none"/>
        </w:rPr>
        <w:t>）技术标准和要求；</w:t>
      </w:r>
    </w:p>
    <w:p w14:paraId="0AD0B711">
      <w:pPr>
        <w:pageBreakBefore w:val="0"/>
        <w:widowControl w:val="0"/>
        <w:kinsoku/>
        <w:wordWrap/>
        <w:overflowPunct/>
        <w:topLinePunct w:val="0"/>
        <w:bidi w:val="0"/>
        <w:spacing w:line="360" w:lineRule="auto"/>
        <w:ind w:firstLineChars="200"/>
        <w:textAlignment w:val="auto"/>
        <w:rPr>
          <w:rFonts w:hint="eastAsia" w:ascii="Times New Roman" w:hAnsi="宋体" w:eastAsia="宋体" w:cs="宋体"/>
          <w:color w:val="auto"/>
          <w:kern w:val="0"/>
          <w:highlight w:val="none"/>
        </w:rPr>
      </w:pPr>
      <w:bookmarkStart w:id="120" w:name="bookmark921"/>
      <w:bookmarkEnd w:id="120"/>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7</w:t>
      </w:r>
      <w:r>
        <w:rPr>
          <w:rFonts w:hint="eastAsia" w:ascii="Times New Roman" w:hAnsi="宋体" w:eastAsia="宋体" w:cs="宋体"/>
          <w:color w:val="auto"/>
          <w:kern w:val="0"/>
          <w:highlight w:val="none"/>
        </w:rPr>
        <w:t>）图纸；</w:t>
      </w:r>
    </w:p>
    <w:p w14:paraId="6A19DABA">
      <w:pPr>
        <w:pageBreakBefore w:val="0"/>
        <w:widowControl w:val="0"/>
        <w:kinsoku/>
        <w:wordWrap/>
        <w:overflowPunct/>
        <w:topLinePunct w:val="0"/>
        <w:bidi w:val="0"/>
        <w:spacing w:line="360" w:lineRule="auto"/>
        <w:ind w:firstLine="420" w:firstLineChars="200"/>
        <w:textAlignment w:val="auto"/>
        <w:rPr>
          <w:rFonts w:hint="eastAsia" w:ascii="Times New Roman" w:hAnsi="宋体" w:eastAsia="宋体" w:cs="宋体"/>
          <w:color w:val="auto"/>
          <w:kern w:val="0"/>
          <w:highlight w:val="none"/>
        </w:rPr>
      </w:pPr>
      <w:bookmarkStart w:id="121" w:name="bookmark922"/>
      <w:bookmarkEnd w:id="121"/>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8</w:t>
      </w:r>
      <w:r>
        <w:rPr>
          <w:rFonts w:hint="eastAsia" w:ascii="Times New Roman" w:hAnsi="宋体" w:eastAsia="宋体" w:cs="宋体"/>
          <w:color w:val="auto"/>
          <w:kern w:val="0"/>
          <w:highlight w:val="none"/>
        </w:rPr>
        <w:t>）已标价工程量清单；</w:t>
      </w:r>
    </w:p>
    <w:p w14:paraId="6DE717D7">
      <w:pPr>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imes New Roman" w:hAnsi="宋体" w:eastAsia="宋体" w:cs="宋体"/>
          <w:color w:val="auto"/>
          <w:kern w:val="0"/>
          <w:highlight w:val="none"/>
          <w:u w:val="none"/>
        </w:rPr>
      </w:pP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9</w:t>
      </w: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u w:val="none"/>
        </w:rPr>
        <w:t>其他合同文件：</w:t>
      </w:r>
    </w:p>
    <w:p w14:paraId="6605C1CB">
      <w:pPr>
        <w:pageBreakBefore w:val="0"/>
        <w:widowControl w:val="0"/>
        <w:kinsoku/>
        <w:wordWrap/>
        <w:overflowPunct/>
        <w:topLinePunct w:val="0"/>
        <w:bidi w:val="0"/>
        <w:spacing w:line="360" w:lineRule="auto"/>
        <w:ind w:firstLine="420" w:firstLineChars="200"/>
        <w:textAlignment w:val="auto"/>
        <w:rPr>
          <w:rFonts w:hAnsi="宋体" w:cs="宋体"/>
          <w:color w:val="auto"/>
          <w:kern w:val="0"/>
          <w:highlight w:val="none"/>
        </w:rPr>
      </w:pPr>
      <w:r>
        <w:rPr>
          <w:rFonts w:hint="eastAsia" w:hAnsi="宋体" w:cs="宋体"/>
          <w:color w:val="auto"/>
          <w:kern w:val="0"/>
          <w:highlight w:val="none"/>
        </w:rPr>
        <w:t>上述各项合同文件包括合同当事人就该项合同文件所作出的补充和修改，属于同一类内容的文件，应以最新签署的为准（违反招标文件</w:t>
      </w:r>
      <w:r>
        <w:rPr>
          <w:rFonts w:hAnsi="宋体" w:cs="宋体"/>
          <w:color w:val="auto"/>
          <w:kern w:val="0"/>
          <w:highlight w:val="none"/>
        </w:rPr>
        <w:t>实质性内容的约定除外</w:t>
      </w:r>
      <w:r>
        <w:rPr>
          <w:rFonts w:hint="eastAsia" w:hAnsi="宋体" w:cs="宋体"/>
          <w:color w:val="auto"/>
          <w:kern w:val="0"/>
          <w:highlight w:val="none"/>
        </w:rPr>
        <w:t>）。专用合同条款及其附件须经合同当事人签字或盖章。</w:t>
      </w:r>
    </w:p>
    <w:p w14:paraId="3D775D1C">
      <w:pPr>
        <w:pStyle w:val="4"/>
        <w:pageBreakBefore w:val="0"/>
        <w:widowControl w:val="0"/>
        <w:kinsoku/>
        <w:wordWrap/>
        <w:overflowPunct/>
        <w:topLinePunct w:val="0"/>
        <w:bidi w:val="0"/>
        <w:spacing w:before="0" w:after="0" w:line="360" w:lineRule="auto"/>
        <w:textAlignment w:val="auto"/>
        <w:rPr>
          <w:color w:val="auto"/>
          <w:highlight w:val="none"/>
        </w:rPr>
      </w:pPr>
      <w:bookmarkStart w:id="122" w:name="_Toc1531480704"/>
      <w:bookmarkStart w:id="123" w:name="_Toc373478344"/>
      <w:bookmarkStart w:id="124" w:name="_Toc373227697"/>
      <w:bookmarkStart w:id="125" w:name="_Toc407135199"/>
      <w:bookmarkStart w:id="126" w:name="_Toc31081"/>
      <w:bookmarkStart w:id="127" w:name="_Toc78449785"/>
      <w:bookmarkStart w:id="128" w:name="_Toc389065263"/>
      <w:r>
        <w:rPr>
          <w:color w:val="auto"/>
          <w:highlight w:val="none"/>
        </w:rPr>
        <w:t xml:space="preserve">1.6 </w:t>
      </w:r>
      <w:r>
        <w:rPr>
          <w:rFonts w:hint="eastAsia" w:cs="黑体"/>
          <w:color w:val="auto"/>
          <w:highlight w:val="none"/>
        </w:rPr>
        <w:t>图纸和承包人文件</w:t>
      </w:r>
      <w:bookmarkEnd w:id="122"/>
      <w:bookmarkEnd w:id="123"/>
      <w:bookmarkEnd w:id="124"/>
      <w:bookmarkEnd w:id="125"/>
      <w:bookmarkEnd w:id="126"/>
      <w:bookmarkEnd w:id="127"/>
      <w:bookmarkEnd w:id="128"/>
      <w:r>
        <w:rPr>
          <w:color w:val="auto"/>
          <w:highlight w:val="none"/>
        </w:rPr>
        <w:tab/>
      </w:r>
    </w:p>
    <w:p w14:paraId="017096FF">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1.6.1 </w:t>
      </w:r>
      <w:r>
        <w:rPr>
          <w:rFonts w:hint="eastAsia" w:hAnsi="宋体" w:cs="宋体"/>
          <w:color w:val="auto"/>
          <w:highlight w:val="none"/>
        </w:rPr>
        <w:t>图纸的提供</w:t>
      </w:r>
    </w:p>
    <w:p w14:paraId="02554253">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发包人向承包人提供图纸的期限：</w:t>
      </w:r>
      <w:r>
        <w:rPr>
          <w:color w:val="auto"/>
          <w:highlight w:val="none"/>
          <w:u w:val="single"/>
        </w:rPr>
        <w:t xml:space="preserve">  </w:t>
      </w:r>
      <w:r>
        <w:rPr>
          <w:rFonts w:hint="eastAsia"/>
          <w:color w:val="auto"/>
          <w:highlight w:val="none"/>
          <w:u w:val="single"/>
        </w:rPr>
        <w:t xml:space="preserve">合同签订之日起7个工作日内 </w:t>
      </w:r>
      <w:r>
        <w:rPr>
          <w:color w:val="auto"/>
          <w:highlight w:val="none"/>
          <w:u w:val="single"/>
        </w:rPr>
        <w:t xml:space="preserve"> </w:t>
      </w:r>
      <w:r>
        <w:rPr>
          <w:rFonts w:hint="eastAsia" w:hAnsi="宋体" w:cs="宋体"/>
          <w:color w:val="auto"/>
          <w:highlight w:val="none"/>
        </w:rPr>
        <w:t>；</w:t>
      </w:r>
    </w:p>
    <w:p w14:paraId="295175AB">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发包人向承包人提供图纸的数量：</w:t>
      </w:r>
      <w:r>
        <w:rPr>
          <w:rFonts w:hint="eastAsia" w:hAnsi="宋体" w:cs="宋体"/>
          <w:color w:val="auto"/>
          <w:highlight w:val="none"/>
          <w:u w:val="single"/>
        </w:rPr>
        <w:t xml:space="preserve"> </w:t>
      </w:r>
      <w:r>
        <w:rPr>
          <w:rFonts w:hint="eastAsia" w:ascii="MingLiU_HKSCS" w:cs="MingLiU_HKSCS"/>
          <w:color w:val="auto"/>
          <w:highlight w:val="none"/>
          <w:u w:val="single"/>
        </w:rPr>
        <w:t xml:space="preserve"> </w:t>
      </w:r>
      <w:r>
        <w:rPr>
          <w:rFonts w:hint="eastAsia" w:ascii="MingLiU_HKSCS" w:cs="MingLiU_HKSCS"/>
          <w:color w:val="auto"/>
          <w:highlight w:val="none"/>
          <w:u w:val="single"/>
          <w:lang w:val="en-US" w:eastAsia="zh-CN"/>
        </w:rPr>
        <w:t>四</w:t>
      </w:r>
      <w:r>
        <w:rPr>
          <w:rFonts w:hint="eastAsia" w:ascii="MingLiU_HKSCS" w:cs="MingLiU_HKSCS"/>
          <w:color w:val="auto"/>
          <w:highlight w:val="none"/>
          <w:u w:val="single"/>
        </w:rPr>
        <w:t xml:space="preserve">  </w:t>
      </w:r>
      <w:r>
        <w:rPr>
          <w:rFonts w:hint="eastAsia" w:hAnsi="宋体" w:cs="宋体"/>
          <w:color w:val="auto"/>
          <w:highlight w:val="none"/>
        </w:rPr>
        <w:t>套（承包人需要增加图纸套数的，发包人应代为复制，复制费用由承包人承担）；</w:t>
      </w:r>
    </w:p>
    <w:p w14:paraId="5C60CE9F">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发包人向承包人提供图纸的内容：</w:t>
      </w:r>
      <w:r>
        <w:rPr>
          <w:color w:val="auto"/>
          <w:highlight w:val="none"/>
          <w:u w:val="single"/>
        </w:rPr>
        <w:t xml:space="preserve">  </w:t>
      </w:r>
      <w:r>
        <w:rPr>
          <w:rFonts w:hint="eastAsia"/>
          <w:color w:val="auto"/>
          <w:highlight w:val="none"/>
          <w:u w:val="single"/>
        </w:rPr>
        <w:t xml:space="preserve">招标范围内的全部图纸内容 </w:t>
      </w:r>
      <w:r>
        <w:rPr>
          <w:color w:val="auto"/>
          <w:highlight w:val="none"/>
          <w:u w:val="single"/>
        </w:rPr>
        <w:t xml:space="preserve"> </w:t>
      </w:r>
      <w:r>
        <w:rPr>
          <w:rFonts w:hint="eastAsia" w:hAnsi="宋体" w:cs="宋体"/>
          <w:color w:val="auto"/>
          <w:highlight w:val="none"/>
        </w:rPr>
        <w:t>。</w:t>
      </w:r>
    </w:p>
    <w:p w14:paraId="78E688C5">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1.6.4 </w:t>
      </w:r>
      <w:r>
        <w:rPr>
          <w:rFonts w:hint="eastAsia" w:hAnsi="宋体" w:cs="宋体"/>
          <w:color w:val="auto"/>
          <w:highlight w:val="none"/>
        </w:rPr>
        <w:t>承包人文件</w:t>
      </w:r>
    </w:p>
    <w:p w14:paraId="7F32CCDD">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需要由承包人提供的文件，包括：</w:t>
      </w:r>
      <w:r>
        <w:rPr>
          <w:color w:val="auto"/>
          <w:highlight w:val="none"/>
          <w:u w:val="single"/>
        </w:rPr>
        <w:t xml:space="preserve"> </w:t>
      </w:r>
      <w:r>
        <w:rPr>
          <w:rFonts w:hint="eastAsia"/>
          <w:color w:val="auto"/>
          <w:highlight w:val="none"/>
          <w:u w:val="single"/>
        </w:rPr>
        <w:t>施工组织设计、专项施工方案、安全生产应急救援预案、开工报告、施工月报、工程洽商、当月进度报表、次月工程进度计划报表、竣工报告、竣工资料及法律、法规规定应提交的其他文件。其中施工组织设计和专项施工方案的重要节点工期必须细化到具体日历天</w:t>
      </w:r>
      <w:r>
        <w:rPr>
          <w:color w:val="auto"/>
          <w:highlight w:val="none"/>
          <w:u w:val="single"/>
        </w:rPr>
        <w:t xml:space="preserve">  </w:t>
      </w:r>
      <w:r>
        <w:rPr>
          <w:rFonts w:hint="eastAsia" w:hAnsi="宋体" w:cs="宋体"/>
          <w:color w:val="auto"/>
          <w:highlight w:val="none"/>
        </w:rPr>
        <w:t>；</w:t>
      </w:r>
    </w:p>
    <w:p w14:paraId="7A78D6CF">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承包人提供的文件的期限为：</w:t>
      </w:r>
      <w:r>
        <w:rPr>
          <w:color w:val="auto"/>
          <w:highlight w:val="none"/>
          <w:u w:val="single"/>
        </w:rPr>
        <w:t xml:space="preserve">   </w:t>
      </w:r>
      <w:r>
        <w:rPr>
          <w:rFonts w:hint="eastAsia"/>
          <w:color w:val="auto"/>
          <w:highlight w:val="none"/>
          <w:u w:val="single"/>
        </w:rPr>
        <w:t>构件开始施工前7天内</w:t>
      </w:r>
      <w:r>
        <w:rPr>
          <w:color w:val="auto"/>
          <w:highlight w:val="none"/>
          <w:u w:val="single"/>
        </w:rPr>
        <w:t xml:space="preserve"> </w:t>
      </w:r>
      <w:r>
        <w:rPr>
          <w:rFonts w:hAnsi="宋体"/>
          <w:color w:val="auto"/>
          <w:highlight w:val="none"/>
          <w:u w:val="single"/>
        </w:rPr>
        <w:t xml:space="preserve">  </w:t>
      </w:r>
      <w:r>
        <w:rPr>
          <w:rFonts w:hint="eastAsia" w:hAnsi="宋体" w:cs="宋体"/>
          <w:color w:val="auto"/>
          <w:highlight w:val="none"/>
        </w:rPr>
        <w:t>；</w:t>
      </w:r>
    </w:p>
    <w:p w14:paraId="15509E19">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承包人提供的文件的数量为：</w:t>
      </w:r>
      <w:r>
        <w:rPr>
          <w:color w:val="auto"/>
          <w:highlight w:val="none"/>
          <w:u w:val="single"/>
        </w:rPr>
        <w:t xml:space="preserve">  </w:t>
      </w:r>
      <w:r>
        <w:rPr>
          <w:rFonts w:hint="eastAsia"/>
          <w:color w:val="auto"/>
          <w:highlight w:val="none"/>
          <w:u w:val="single"/>
        </w:rPr>
        <w:t>按发包人的要求</w:t>
      </w:r>
      <w:r>
        <w:rPr>
          <w:color w:val="auto"/>
          <w:highlight w:val="none"/>
          <w:u w:val="single"/>
        </w:rPr>
        <w:t xml:space="preserve">   </w:t>
      </w:r>
      <w:r>
        <w:rPr>
          <w:rFonts w:hint="eastAsia" w:hAnsi="宋体" w:cs="宋体"/>
          <w:color w:val="auto"/>
          <w:highlight w:val="none"/>
        </w:rPr>
        <w:t>；</w:t>
      </w:r>
    </w:p>
    <w:p w14:paraId="3D432E42">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承包人提供的文件的形式为：</w:t>
      </w:r>
      <w:r>
        <w:rPr>
          <w:color w:val="auto"/>
          <w:highlight w:val="none"/>
          <w:u w:val="single"/>
        </w:rPr>
        <w:t xml:space="preserve"> </w:t>
      </w:r>
      <w:r>
        <w:rPr>
          <w:rFonts w:hAnsi="宋体"/>
          <w:color w:val="auto"/>
          <w:highlight w:val="none"/>
          <w:u w:val="single"/>
        </w:rPr>
        <w:t xml:space="preserve"> </w:t>
      </w:r>
      <w:r>
        <w:rPr>
          <w:rFonts w:hint="eastAsia" w:hAnsi="宋体"/>
          <w:color w:val="auto"/>
          <w:highlight w:val="none"/>
          <w:u w:val="single"/>
        </w:rPr>
        <w:t>书面</w:t>
      </w:r>
      <w:r>
        <w:rPr>
          <w:rFonts w:hAnsi="宋体"/>
          <w:color w:val="auto"/>
          <w:highlight w:val="none"/>
          <w:u w:val="single"/>
        </w:rPr>
        <w:t xml:space="preserve">  </w:t>
      </w:r>
      <w:r>
        <w:rPr>
          <w:rFonts w:hint="eastAsia" w:hAnsi="宋体" w:cs="宋体"/>
          <w:color w:val="auto"/>
          <w:highlight w:val="none"/>
        </w:rPr>
        <w:t>；</w:t>
      </w:r>
    </w:p>
    <w:p w14:paraId="13651BEC">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发包人审批承包人文件的期限：</w:t>
      </w:r>
      <w:r>
        <w:rPr>
          <w:color w:val="auto"/>
          <w:highlight w:val="none"/>
          <w:u w:val="single"/>
        </w:rPr>
        <w:t xml:space="preserve">  </w:t>
      </w:r>
      <w:r>
        <w:rPr>
          <w:rFonts w:hint="eastAsia"/>
          <w:color w:val="auto"/>
          <w:highlight w:val="none"/>
          <w:u w:val="single"/>
        </w:rPr>
        <w:t>按发包人的要求</w:t>
      </w:r>
      <w:r>
        <w:rPr>
          <w:rFonts w:hAnsi="宋体"/>
          <w:color w:val="auto"/>
          <w:highlight w:val="none"/>
          <w:u w:val="single"/>
        </w:rPr>
        <w:t xml:space="preserve">   </w:t>
      </w:r>
      <w:r>
        <w:rPr>
          <w:rFonts w:hint="eastAsia" w:hAnsi="宋体" w:cs="宋体"/>
          <w:color w:val="auto"/>
          <w:highlight w:val="none"/>
        </w:rPr>
        <w:t>。</w:t>
      </w:r>
    </w:p>
    <w:p w14:paraId="14FC36EC">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1.6.5 </w:t>
      </w:r>
      <w:r>
        <w:rPr>
          <w:rFonts w:hint="eastAsia" w:hAnsi="宋体" w:cs="宋体"/>
          <w:color w:val="auto"/>
          <w:highlight w:val="none"/>
        </w:rPr>
        <w:t>现场图纸准备</w:t>
      </w:r>
    </w:p>
    <w:p w14:paraId="53B287C8">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关于现场图纸准备的约定：</w:t>
      </w:r>
      <w:r>
        <w:rPr>
          <w:color w:val="auto"/>
          <w:highlight w:val="none"/>
          <w:u w:val="single"/>
        </w:rPr>
        <w:t xml:space="preserve">  </w:t>
      </w:r>
      <w:r>
        <w:rPr>
          <w:rFonts w:hint="eastAsia"/>
          <w:color w:val="auto"/>
          <w:highlight w:val="none"/>
          <w:u w:val="single"/>
        </w:rPr>
        <w:t>在该工程或相应部位施工前15天签发图纸修改图</w:t>
      </w:r>
      <w:r>
        <w:rPr>
          <w:rFonts w:hAnsi="宋体"/>
          <w:color w:val="auto"/>
          <w:highlight w:val="none"/>
          <w:u w:val="single"/>
        </w:rPr>
        <w:t xml:space="preserve">  </w:t>
      </w:r>
      <w:r>
        <w:rPr>
          <w:rFonts w:hint="eastAsia" w:hAnsi="宋体" w:cs="宋体"/>
          <w:color w:val="auto"/>
          <w:highlight w:val="none"/>
        </w:rPr>
        <w:t>。</w:t>
      </w:r>
    </w:p>
    <w:p w14:paraId="63AE8C87">
      <w:pPr>
        <w:pStyle w:val="4"/>
        <w:pageBreakBefore w:val="0"/>
        <w:widowControl w:val="0"/>
        <w:kinsoku/>
        <w:wordWrap/>
        <w:overflowPunct/>
        <w:topLinePunct w:val="0"/>
        <w:bidi w:val="0"/>
        <w:spacing w:before="0" w:after="0" w:line="360" w:lineRule="auto"/>
        <w:textAlignment w:val="auto"/>
        <w:rPr>
          <w:color w:val="auto"/>
          <w:highlight w:val="none"/>
        </w:rPr>
      </w:pPr>
      <w:bookmarkStart w:id="129" w:name="_Toc373478345"/>
      <w:bookmarkStart w:id="130" w:name="_Toc78449786"/>
      <w:bookmarkStart w:id="131" w:name="_Toc389065264"/>
      <w:bookmarkStart w:id="132" w:name="_Toc373227698"/>
      <w:bookmarkStart w:id="133" w:name="_Toc407135200"/>
      <w:bookmarkStart w:id="134" w:name="_Toc110523719"/>
      <w:bookmarkStart w:id="135" w:name="_Toc15704"/>
      <w:r>
        <w:rPr>
          <w:color w:val="auto"/>
          <w:highlight w:val="none"/>
        </w:rPr>
        <w:t xml:space="preserve">1.7 </w:t>
      </w:r>
      <w:r>
        <w:rPr>
          <w:rFonts w:hint="eastAsia" w:hAnsi="宋体" w:cs="黑体"/>
          <w:color w:val="auto"/>
          <w:highlight w:val="none"/>
        </w:rPr>
        <w:t>联络</w:t>
      </w:r>
      <w:bookmarkEnd w:id="129"/>
      <w:bookmarkEnd w:id="130"/>
      <w:bookmarkEnd w:id="131"/>
      <w:bookmarkEnd w:id="132"/>
      <w:bookmarkEnd w:id="133"/>
      <w:bookmarkEnd w:id="134"/>
      <w:bookmarkEnd w:id="135"/>
    </w:p>
    <w:p w14:paraId="48BCF755">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color w:val="auto"/>
          <w:kern w:val="0"/>
          <w:highlight w:val="none"/>
        </w:rPr>
        <w:t>1.7.1</w:t>
      </w:r>
      <w:r>
        <w:rPr>
          <w:rFonts w:hint="eastAsia" w:hAnsi="宋体" w:cs="宋体"/>
          <w:color w:val="auto"/>
          <w:kern w:val="0"/>
          <w:highlight w:val="none"/>
        </w:rPr>
        <w:t>发包人和承包人应当在</w:t>
      </w:r>
      <w:r>
        <w:rPr>
          <w:color w:val="auto"/>
          <w:highlight w:val="none"/>
          <w:u w:val="single"/>
        </w:rPr>
        <w:t xml:space="preserve"> </w:t>
      </w:r>
      <w:r>
        <w:rPr>
          <w:rFonts w:hint="eastAsia"/>
          <w:color w:val="auto"/>
          <w:highlight w:val="none"/>
          <w:u w:val="single"/>
          <w:lang w:val="en-US" w:eastAsia="zh-CN"/>
        </w:rPr>
        <w:t>3</w:t>
      </w:r>
      <w:r>
        <w:rPr>
          <w:color w:val="auto"/>
          <w:highlight w:val="none"/>
          <w:u w:val="single"/>
        </w:rPr>
        <w:t xml:space="preserve"> </w:t>
      </w:r>
      <w:r>
        <w:rPr>
          <w:rFonts w:hint="eastAsia" w:hAnsi="宋体" w:cs="宋体"/>
          <w:color w:val="auto"/>
          <w:kern w:val="0"/>
          <w:highlight w:val="none"/>
        </w:rPr>
        <w:t>天内将与合同有关的通知、批准、证明、证书、指示、指令、要求、请求、同意、意见、确定和决定等书面函件送达对方当事人。</w:t>
      </w:r>
    </w:p>
    <w:p w14:paraId="5ED8A1B5">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color w:val="auto"/>
          <w:kern w:val="0"/>
          <w:highlight w:val="none"/>
        </w:rPr>
        <w:t xml:space="preserve">1.7.2 </w:t>
      </w:r>
      <w:r>
        <w:rPr>
          <w:rFonts w:hint="eastAsia" w:hAnsi="宋体" w:cs="宋体"/>
          <w:color w:val="auto"/>
          <w:kern w:val="0"/>
          <w:highlight w:val="none"/>
        </w:rPr>
        <w:t>发包人接收文件的地点：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7A7284FF">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发包人指定的接收人为：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2C544A6A">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承包人接收文件的地点：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776EBE17">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承包人指定的接收人为：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1AAD96EE">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监理人接收文件的地点：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01DEC020">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监理人指定的接收人为：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2D4895A0">
      <w:pPr>
        <w:pStyle w:val="4"/>
        <w:pageBreakBefore w:val="0"/>
        <w:widowControl w:val="0"/>
        <w:kinsoku/>
        <w:wordWrap/>
        <w:overflowPunct/>
        <w:topLinePunct w:val="0"/>
        <w:bidi w:val="0"/>
        <w:spacing w:before="0" w:after="0" w:line="360" w:lineRule="auto"/>
        <w:textAlignment w:val="auto"/>
        <w:rPr>
          <w:color w:val="auto"/>
          <w:highlight w:val="none"/>
        </w:rPr>
      </w:pPr>
      <w:bookmarkStart w:id="136" w:name="_Toc25494"/>
      <w:bookmarkStart w:id="137" w:name="_Toc78449787"/>
      <w:bookmarkStart w:id="138" w:name="_Toc407135201"/>
      <w:bookmarkStart w:id="139" w:name="_Toc373478346"/>
      <w:bookmarkStart w:id="140" w:name="_Toc389065265"/>
      <w:bookmarkStart w:id="141" w:name="_Toc373227699"/>
      <w:bookmarkStart w:id="142" w:name="_Toc1387231545"/>
      <w:r>
        <w:rPr>
          <w:color w:val="auto"/>
          <w:highlight w:val="none"/>
        </w:rPr>
        <w:t xml:space="preserve">1.10 </w:t>
      </w:r>
      <w:r>
        <w:rPr>
          <w:rFonts w:hint="eastAsia" w:hAnsi="宋体" w:cs="黑体"/>
          <w:color w:val="auto"/>
          <w:highlight w:val="none"/>
        </w:rPr>
        <w:t>交通运输</w:t>
      </w:r>
      <w:bookmarkEnd w:id="136"/>
      <w:bookmarkEnd w:id="137"/>
      <w:bookmarkEnd w:id="138"/>
      <w:bookmarkEnd w:id="139"/>
      <w:bookmarkEnd w:id="140"/>
      <w:bookmarkEnd w:id="141"/>
      <w:bookmarkEnd w:id="142"/>
    </w:p>
    <w:p w14:paraId="4C3F7E38">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1</w:t>
      </w:r>
      <w:bookmarkStart w:id="143" w:name="_Toc303539100"/>
      <w:bookmarkStart w:id="144" w:name="_Toc312677986"/>
      <w:bookmarkStart w:id="145" w:name="_Toc304295521"/>
      <w:bookmarkStart w:id="146" w:name="_Toc300934943"/>
      <w:bookmarkStart w:id="147" w:name="_Toc318581155"/>
      <w:r>
        <w:rPr>
          <w:color w:val="auto"/>
          <w:highlight w:val="none"/>
        </w:rPr>
        <w:t xml:space="preserve">.10.1 </w:t>
      </w:r>
      <w:r>
        <w:rPr>
          <w:rFonts w:hint="eastAsia" w:hAnsi="宋体" w:cs="宋体"/>
          <w:color w:val="auto"/>
          <w:highlight w:val="none"/>
        </w:rPr>
        <w:t>出入现场的权利</w:t>
      </w:r>
    </w:p>
    <w:p w14:paraId="1C53E01F">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关于出入现场的权利的约定：</w:t>
      </w:r>
      <w:r>
        <w:rPr>
          <w:color w:val="auto"/>
          <w:highlight w:val="none"/>
          <w:u w:val="single"/>
        </w:rPr>
        <w:t xml:space="preserve"> </w:t>
      </w:r>
      <w:r>
        <w:rPr>
          <w:rFonts w:hint="eastAsia"/>
          <w:color w:val="auto"/>
          <w:highlight w:val="none"/>
          <w:u w:val="single"/>
        </w:rPr>
        <w:t>由承包人按发包人要求负责取得出入施工现场所需的批准手续和全部权利，以及取得因施工所需修建道路、桥梁以及其他基础设施的权利，由承包人承担相关手续费用和建设费用</w:t>
      </w:r>
      <w:r>
        <w:rPr>
          <w:color w:val="auto"/>
          <w:highlight w:val="none"/>
          <w:u w:val="single"/>
        </w:rPr>
        <w:t xml:space="preserve"> </w:t>
      </w:r>
      <w:r>
        <w:rPr>
          <w:rFonts w:hint="eastAsia" w:hAnsi="宋体" w:cs="宋体"/>
          <w:color w:val="auto"/>
          <w:highlight w:val="none"/>
        </w:rPr>
        <w:t>。</w:t>
      </w:r>
    </w:p>
    <w:bookmarkEnd w:id="143"/>
    <w:bookmarkEnd w:id="144"/>
    <w:bookmarkEnd w:id="145"/>
    <w:bookmarkEnd w:id="146"/>
    <w:bookmarkEnd w:id="147"/>
    <w:p w14:paraId="343E0DC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w:t>
      </w:r>
      <w:bookmarkStart w:id="148" w:name="_Toc300934944"/>
      <w:bookmarkStart w:id="149" w:name="_Toc312677987"/>
      <w:bookmarkStart w:id="150" w:name="_Toc318581156"/>
      <w:bookmarkStart w:id="151" w:name="_Toc303539101"/>
      <w:bookmarkStart w:id="152" w:name="_Toc304295522"/>
      <w:r>
        <w:rPr>
          <w:color w:val="auto"/>
          <w:highlight w:val="none"/>
        </w:rPr>
        <w:t xml:space="preserve">.10.3 </w:t>
      </w:r>
      <w:r>
        <w:rPr>
          <w:rFonts w:hint="eastAsia" w:hAnsi="宋体" w:cs="宋体"/>
          <w:color w:val="auto"/>
          <w:highlight w:val="none"/>
        </w:rPr>
        <w:t>场内交通</w:t>
      </w:r>
    </w:p>
    <w:p w14:paraId="31BD8345">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关于场外交通和场内交通的边界的约定：</w:t>
      </w:r>
      <w:r>
        <w:rPr>
          <w:color w:val="auto"/>
          <w:highlight w:val="none"/>
          <w:u w:val="single"/>
        </w:rPr>
        <w:t xml:space="preserve"> </w:t>
      </w:r>
      <w:r>
        <w:rPr>
          <w:rFonts w:hint="eastAsia"/>
          <w:color w:val="auto"/>
          <w:highlight w:val="none"/>
          <w:u w:val="single"/>
        </w:rPr>
        <w:t>以施工红线为准，红线范围内为场内交通，施工红线范围以外为场外交通</w:t>
      </w:r>
      <w:r>
        <w:rPr>
          <w:color w:val="auto"/>
          <w:highlight w:val="none"/>
          <w:u w:val="single"/>
        </w:rPr>
        <w:t xml:space="preserve">  </w:t>
      </w:r>
      <w:r>
        <w:rPr>
          <w:rFonts w:hint="eastAsia" w:hAnsi="宋体" w:cs="宋体"/>
          <w:color w:val="auto"/>
          <w:highlight w:val="none"/>
        </w:rPr>
        <w:t>。</w:t>
      </w:r>
    </w:p>
    <w:p w14:paraId="117C54D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Ansi="宋体"/>
          <w:color w:val="auto"/>
          <w:highlight w:val="none"/>
        </w:rPr>
        <w:t>关于发包人向承包人免费提供满足工程施工需要的场内道路和交通设施的约定：</w:t>
      </w:r>
      <w:r>
        <w:rPr>
          <w:rFonts w:hAnsi="宋体"/>
          <w:color w:val="auto"/>
          <w:highlight w:val="none"/>
          <w:u w:val="single"/>
        </w:rPr>
        <w:t></w:t>
      </w:r>
      <w:r>
        <w:rPr>
          <w:rFonts w:hint="eastAsia" w:hAnsi="宋体"/>
          <w:color w:val="auto"/>
          <w:highlight w:val="none"/>
          <w:u w:val="single"/>
        </w:rPr>
        <w:t>场内交通由承包人自行解决</w:t>
      </w:r>
      <w:r>
        <w:rPr>
          <w:color w:val="auto"/>
          <w:highlight w:val="none"/>
          <w:u w:val="single"/>
        </w:rPr>
        <w:t xml:space="preserve">   </w:t>
      </w:r>
      <w:r>
        <w:rPr>
          <w:rFonts w:hAnsi="宋体"/>
          <w:color w:val="auto"/>
          <w:highlight w:val="none"/>
        </w:rPr>
        <w:t>。</w:t>
      </w:r>
      <w:bookmarkEnd w:id="148"/>
      <w:bookmarkEnd w:id="149"/>
      <w:bookmarkEnd w:id="150"/>
      <w:bookmarkEnd w:id="151"/>
      <w:bookmarkEnd w:id="152"/>
      <w:bookmarkStart w:id="153" w:name="_Toc318581157"/>
    </w:p>
    <w:p w14:paraId="51DFE00C">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1.10.4 </w:t>
      </w:r>
      <w:r>
        <w:rPr>
          <w:rFonts w:hint="eastAsia" w:hAnsi="宋体" w:cs="宋体"/>
          <w:color w:val="auto"/>
          <w:highlight w:val="none"/>
        </w:rPr>
        <w:t>超大件和超重件的运输</w:t>
      </w:r>
    </w:p>
    <w:p w14:paraId="7057706B">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运输超大件或超重件所需的道路和桥梁临时加固改造费用和其他有关费用由</w:t>
      </w:r>
      <w:r>
        <w:rPr>
          <w:color w:val="auto"/>
          <w:highlight w:val="none"/>
          <w:u w:val="single"/>
        </w:rPr>
        <w:t xml:space="preserve"> </w:t>
      </w:r>
      <w:r>
        <w:rPr>
          <w:rFonts w:hint="eastAsia"/>
          <w:color w:val="auto"/>
          <w:highlight w:val="none"/>
          <w:u w:val="single"/>
        </w:rPr>
        <w:t>承包人</w:t>
      </w:r>
      <w:r>
        <w:rPr>
          <w:color w:val="auto"/>
          <w:highlight w:val="none"/>
          <w:u w:val="single"/>
        </w:rPr>
        <w:t xml:space="preserve"> </w:t>
      </w:r>
      <w:r>
        <w:rPr>
          <w:rFonts w:hint="eastAsia" w:hAnsi="宋体" w:cs="宋体"/>
          <w:color w:val="auto"/>
          <w:highlight w:val="none"/>
        </w:rPr>
        <w:t>承担。</w:t>
      </w:r>
    </w:p>
    <w:bookmarkEnd w:id="153"/>
    <w:p w14:paraId="15C2EC84">
      <w:pPr>
        <w:pStyle w:val="4"/>
        <w:pageBreakBefore w:val="0"/>
        <w:widowControl w:val="0"/>
        <w:kinsoku/>
        <w:wordWrap/>
        <w:overflowPunct/>
        <w:topLinePunct w:val="0"/>
        <w:bidi w:val="0"/>
        <w:spacing w:before="0" w:after="0" w:line="360" w:lineRule="auto"/>
        <w:textAlignment w:val="auto"/>
        <w:rPr>
          <w:color w:val="auto"/>
          <w:highlight w:val="none"/>
        </w:rPr>
      </w:pPr>
      <w:bookmarkStart w:id="154" w:name="_Toc407135202"/>
      <w:bookmarkStart w:id="155" w:name="_Toc389065266"/>
      <w:bookmarkStart w:id="156" w:name="_Toc1495098807"/>
      <w:bookmarkStart w:id="157" w:name="_Toc24489"/>
      <w:bookmarkStart w:id="158" w:name="_Toc78449788"/>
      <w:bookmarkStart w:id="159" w:name="_Toc373478347"/>
      <w:bookmarkStart w:id="160" w:name="_Toc373227700"/>
      <w:r>
        <w:rPr>
          <w:color w:val="auto"/>
          <w:highlight w:val="none"/>
        </w:rPr>
        <w:t xml:space="preserve">1.11 </w:t>
      </w:r>
      <w:r>
        <w:rPr>
          <w:rFonts w:hint="eastAsia" w:hAnsi="宋体" w:cs="黑体"/>
          <w:color w:val="auto"/>
          <w:highlight w:val="none"/>
        </w:rPr>
        <w:t>知识产权</w:t>
      </w:r>
      <w:bookmarkEnd w:id="154"/>
      <w:bookmarkEnd w:id="155"/>
      <w:bookmarkEnd w:id="156"/>
      <w:bookmarkEnd w:id="157"/>
      <w:bookmarkEnd w:id="158"/>
      <w:bookmarkEnd w:id="159"/>
      <w:bookmarkEnd w:id="160"/>
    </w:p>
    <w:p w14:paraId="01398AD9">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1.11.1 </w:t>
      </w:r>
      <w:r>
        <w:rPr>
          <w:rFonts w:hint="eastAsia" w:hAnsi="宋体" w:cs="宋体"/>
          <w:color w:val="auto"/>
          <w:highlight w:val="none"/>
        </w:rPr>
        <w:t>关于发包人提供给承包人的图纸、发包人为实施工程自行编制或委托编制的技术规范以及反映发包人关于合同要求或其他类似性质的文件的著作权的归属：</w:t>
      </w:r>
      <w:r>
        <w:rPr>
          <w:color w:val="auto"/>
          <w:highlight w:val="none"/>
          <w:u w:val="single"/>
        </w:rPr>
        <w:t xml:space="preserve">    </w:t>
      </w:r>
      <w:r>
        <w:rPr>
          <w:rFonts w:hint="eastAsia"/>
          <w:color w:val="auto"/>
          <w:highlight w:val="none"/>
          <w:u w:val="single"/>
        </w:rPr>
        <w:t xml:space="preserve">发包人    </w:t>
      </w:r>
      <w:r>
        <w:rPr>
          <w:color w:val="auto"/>
          <w:highlight w:val="none"/>
          <w:u w:val="single"/>
        </w:rPr>
        <w:t xml:space="preserve"> </w:t>
      </w:r>
      <w:r>
        <w:rPr>
          <w:rFonts w:hint="eastAsia" w:hAnsi="宋体" w:cs="宋体"/>
          <w:color w:val="auto"/>
          <w:highlight w:val="none"/>
        </w:rPr>
        <w:t>。</w:t>
      </w:r>
    </w:p>
    <w:p w14:paraId="167C7054">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关于发包人提供的上述文件的使用限制的要求：</w:t>
      </w:r>
      <w:r>
        <w:rPr>
          <w:color w:val="auto"/>
          <w:highlight w:val="none"/>
          <w:u w:val="single"/>
        </w:rPr>
        <w:t xml:space="preserve">   </w:t>
      </w:r>
      <w:r>
        <w:rPr>
          <w:rFonts w:hint="eastAsia"/>
          <w:color w:val="auto"/>
          <w:highlight w:val="none"/>
          <w:u w:val="single"/>
        </w:rPr>
        <w:t>未经发包人同意，承包人不得提供给第三方</w:t>
      </w:r>
      <w:r>
        <w:rPr>
          <w:color w:val="auto"/>
          <w:highlight w:val="none"/>
          <w:u w:val="single"/>
        </w:rPr>
        <w:t xml:space="preserve">   </w:t>
      </w:r>
      <w:r>
        <w:rPr>
          <w:rFonts w:hint="eastAsia" w:hAnsi="宋体" w:cs="宋体"/>
          <w:color w:val="auto"/>
          <w:highlight w:val="none"/>
        </w:rPr>
        <w:t>。</w:t>
      </w:r>
    </w:p>
    <w:p w14:paraId="2A98E99A">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1.11.2 </w:t>
      </w:r>
      <w:r>
        <w:rPr>
          <w:rFonts w:hint="eastAsia" w:hAnsi="宋体" w:cs="宋体"/>
          <w:color w:val="auto"/>
          <w:highlight w:val="none"/>
        </w:rPr>
        <w:t>关于承包人为实施工程所编制文件的著作权的归属：</w:t>
      </w:r>
      <w:r>
        <w:rPr>
          <w:color w:val="auto"/>
          <w:highlight w:val="none"/>
          <w:u w:val="single"/>
        </w:rPr>
        <w:t xml:space="preserve">   </w:t>
      </w:r>
      <w:r>
        <w:rPr>
          <w:rFonts w:hint="eastAsia"/>
          <w:color w:val="auto"/>
          <w:highlight w:val="none"/>
          <w:u w:val="single"/>
        </w:rPr>
        <w:t>见通用条款</w:t>
      </w:r>
      <w:r>
        <w:rPr>
          <w:color w:val="auto"/>
          <w:highlight w:val="none"/>
          <w:u w:val="single"/>
        </w:rPr>
        <w:t xml:space="preserve">   </w:t>
      </w:r>
      <w:r>
        <w:rPr>
          <w:rFonts w:hint="eastAsia" w:hAnsi="宋体" w:cs="宋体"/>
          <w:color w:val="auto"/>
          <w:highlight w:val="none"/>
        </w:rPr>
        <w:t>。</w:t>
      </w:r>
    </w:p>
    <w:p w14:paraId="0625E555">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关于承包人提供的上述文件的使用限制的要求：</w:t>
      </w:r>
      <w:r>
        <w:rPr>
          <w:color w:val="auto"/>
          <w:highlight w:val="none"/>
          <w:u w:val="single"/>
        </w:rPr>
        <w:t xml:space="preserve">  </w:t>
      </w:r>
      <w:r>
        <w:rPr>
          <w:rFonts w:hint="eastAsia"/>
          <w:color w:val="auto"/>
          <w:highlight w:val="none"/>
          <w:u w:val="single"/>
        </w:rPr>
        <w:t xml:space="preserve">见通用条款  </w:t>
      </w:r>
      <w:r>
        <w:rPr>
          <w:color w:val="auto"/>
          <w:highlight w:val="none"/>
          <w:u w:val="single"/>
        </w:rPr>
        <w:t xml:space="preserve"> </w:t>
      </w:r>
      <w:r>
        <w:rPr>
          <w:rFonts w:hint="eastAsia" w:hAnsi="宋体" w:cs="宋体"/>
          <w:color w:val="auto"/>
          <w:highlight w:val="none"/>
        </w:rPr>
        <w:t>。</w:t>
      </w:r>
    </w:p>
    <w:p w14:paraId="41D3B327">
      <w:pPr>
        <w:pageBreakBefore w:val="0"/>
        <w:widowControl w:val="0"/>
        <w:kinsoku/>
        <w:wordWrap/>
        <w:overflowPunct/>
        <w:topLinePunct w:val="0"/>
        <w:bidi w:val="0"/>
        <w:spacing w:line="360" w:lineRule="auto"/>
        <w:ind w:firstLine="420" w:firstLineChars="200"/>
        <w:textAlignment w:val="auto"/>
        <w:rPr>
          <w:rFonts w:hAnsi="宋体"/>
          <w:color w:val="auto"/>
          <w:highlight w:val="none"/>
          <w:u w:val="single"/>
        </w:rPr>
      </w:pPr>
      <w:r>
        <w:rPr>
          <w:color w:val="auto"/>
          <w:highlight w:val="none"/>
        </w:rPr>
        <w:t xml:space="preserve">1.11.4 </w:t>
      </w:r>
      <w:r>
        <w:rPr>
          <w:rFonts w:hint="eastAsia" w:hAnsi="宋体" w:cs="宋体"/>
          <w:color w:val="auto"/>
          <w:highlight w:val="none"/>
        </w:rPr>
        <w:t>承包人在施工过程中所采用的专利、专有技术、技术秘密的使用费的承担方式：</w:t>
      </w:r>
    </w:p>
    <w:p w14:paraId="59E3DBF8">
      <w:pPr>
        <w:pageBreakBefore w:val="0"/>
        <w:widowControl w:val="0"/>
        <w:kinsoku/>
        <w:wordWrap/>
        <w:overflowPunct/>
        <w:topLinePunct w:val="0"/>
        <w:bidi w:val="0"/>
        <w:spacing w:line="360" w:lineRule="auto"/>
        <w:textAlignment w:val="auto"/>
        <w:rPr>
          <w:color w:val="auto"/>
          <w:kern w:val="0"/>
          <w:highlight w:val="none"/>
        </w:rPr>
      </w:pPr>
      <w:r>
        <w:rPr>
          <w:color w:val="auto"/>
          <w:highlight w:val="none"/>
          <w:u w:val="single"/>
        </w:rPr>
        <w:t xml:space="preserve">    </w:t>
      </w:r>
      <w:r>
        <w:rPr>
          <w:rFonts w:hint="eastAsia"/>
          <w:color w:val="auto"/>
          <w:highlight w:val="none"/>
          <w:u w:val="single"/>
        </w:rPr>
        <w:t xml:space="preserve">见通用条款   </w:t>
      </w:r>
      <w:r>
        <w:rPr>
          <w:color w:val="auto"/>
          <w:highlight w:val="none"/>
          <w:u w:val="single"/>
        </w:rPr>
        <w:t xml:space="preserve"> </w:t>
      </w:r>
      <w:r>
        <w:rPr>
          <w:rFonts w:hint="eastAsia" w:hAnsi="宋体" w:cs="宋体"/>
          <w:color w:val="auto"/>
          <w:kern w:val="0"/>
          <w:highlight w:val="none"/>
        </w:rPr>
        <w:t>。</w:t>
      </w:r>
    </w:p>
    <w:p w14:paraId="2D35EAC7">
      <w:pPr>
        <w:pStyle w:val="4"/>
        <w:pageBreakBefore w:val="0"/>
        <w:widowControl w:val="0"/>
        <w:kinsoku/>
        <w:wordWrap/>
        <w:overflowPunct/>
        <w:topLinePunct w:val="0"/>
        <w:bidi w:val="0"/>
        <w:spacing w:before="0" w:after="0" w:line="360" w:lineRule="auto"/>
        <w:textAlignment w:val="auto"/>
        <w:rPr>
          <w:color w:val="auto"/>
          <w:highlight w:val="none"/>
        </w:rPr>
      </w:pPr>
      <w:bookmarkStart w:id="161" w:name="_Toc4160"/>
      <w:bookmarkStart w:id="162" w:name="_Toc407135203"/>
      <w:bookmarkStart w:id="163" w:name="_Toc267680563"/>
      <w:bookmarkStart w:id="164" w:name="_Toc78449789"/>
      <w:bookmarkStart w:id="165" w:name="_Toc389065267"/>
      <w:bookmarkStart w:id="166" w:name="_Toc373227701"/>
      <w:bookmarkStart w:id="167" w:name="_Toc373478348"/>
      <w:r>
        <w:rPr>
          <w:color w:val="auto"/>
          <w:highlight w:val="none"/>
        </w:rPr>
        <w:t>1.13</w:t>
      </w:r>
      <w:r>
        <w:rPr>
          <w:rFonts w:hint="eastAsia" w:cs="黑体"/>
          <w:color w:val="auto"/>
          <w:highlight w:val="none"/>
        </w:rPr>
        <w:t>工程量清单错误的修正</w:t>
      </w:r>
      <w:bookmarkEnd w:id="161"/>
      <w:bookmarkEnd w:id="162"/>
      <w:bookmarkEnd w:id="163"/>
      <w:bookmarkEnd w:id="164"/>
      <w:bookmarkEnd w:id="165"/>
      <w:bookmarkEnd w:id="166"/>
      <w:bookmarkEnd w:id="167"/>
    </w:p>
    <w:p w14:paraId="49DBD338">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出现工程量清单工程量偏差时，是否调整合同价格：</w:t>
      </w:r>
      <w:r>
        <w:rPr>
          <w:rFonts w:hint="eastAsia" w:ascii="宋体" w:hAnsi="宋体" w:cs="宋体"/>
          <w:color w:val="auto"/>
          <w:highlight w:val="none"/>
          <w:u w:val="single"/>
          <w:lang w:eastAsia="zh-CN"/>
        </w:rPr>
        <w:t>□</w:t>
      </w:r>
      <w:r>
        <w:rPr>
          <w:rFonts w:hint="eastAsia" w:hAnsi="宋体" w:cs="宋体"/>
          <w:color w:val="auto"/>
          <w:highlight w:val="none"/>
          <w:u w:val="single"/>
        </w:rPr>
        <w:t xml:space="preserve">是  </w:t>
      </w:r>
      <w:r>
        <w:rPr>
          <w:rFonts w:hint="eastAsia" w:ascii="宋体" w:hAnsi="宋体" w:cs="宋体"/>
          <w:color w:val="auto"/>
          <w:highlight w:val="none"/>
          <w:u w:val="single"/>
          <w:lang w:eastAsia="zh-CN"/>
        </w:rPr>
        <w:t>☑</w:t>
      </w:r>
      <w:r>
        <w:rPr>
          <w:rFonts w:hint="eastAsia" w:hAnsi="宋体" w:cs="宋体"/>
          <w:color w:val="auto"/>
          <w:highlight w:val="none"/>
          <w:u w:val="single"/>
        </w:rPr>
        <w:t>否</w:t>
      </w:r>
      <w:r>
        <w:rPr>
          <w:rFonts w:hint="eastAsia" w:hAnsi="宋体" w:cs="宋体"/>
          <w:color w:val="auto"/>
          <w:kern w:val="0"/>
          <w:highlight w:val="none"/>
        </w:rPr>
        <w:t>。</w:t>
      </w:r>
    </w:p>
    <w:p w14:paraId="5C237F07">
      <w:pPr>
        <w:pageBreakBefore w:val="0"/>
        <w:widowControl w:val="0"/>
        <w:kinsoku/>
        <w:wordWrap/>
        <w:overflowPunct/>
        <w:topLinePunct w:val="0"/>
        <w:bidi w:val="0"/>
        <w:spacing w:line="360" w:lineRule="auto"/>
        <w:ind w:firstLine="420" w:firstLineChars="200"/>
        <w:textAlignment w:val="auto"/>
        <w:rPr>
          <w:rFonts w:hint="eastAsia" w:hAnsi="宋体" w:cs="宋体"/>
          <w:color w:val="auto"/>
          <w:highlight w:val="none"/>
        </w:rPr>
      </w:pPr>
      <w:r>
        <w:rPr>
          <w:rFonts w:hint="eastAsia" w:hAnsi="宋体" w:cs="宋体"/>
          <w:color w:val="auto"/>
          <w:highlight w:val="none"/>
        </w:rPr>
        <w:t>允许调整合同价格的工程量偏差范围及其调整办法：</w:t>
      </w:r>
    </w:p>
    <w:p w14:paraId="6369E793">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ascii="宋体" w:hAnsi="宋体" w:cs="宋体"/>
          <w:color w:val="auto"/>
          <w:highlight w:val="none"/>
        </w:rPr>
        <w:t>□</w:t>
      </w:r>
      <w:r>
        <w:rPr>
          <w:color w:val="auto"/>
          <w:highlight w:val="none"/>
          <w:u w:val="single"/>
        </w:rPr>
        <w:t xml:space="preserve"> </w:t>
      </w:r>
      <w:r>
        <w:rPr>
          <w:rFonts w:hint="eastAsia"/>
          <w:color w:val="auto"/>
          <w:highlight w:val="none"/>
          <w:u w:val="single"/>
        </w:rPr>
        <w:t>除严重不平衡报价外，无论分部分项工程量清单项目中的工程量变化多少均不调整</w:t>
      </w:r>
      <w:r>
        <w:rPr>
          <w:color w:val="auto"/>
          <w:highlight w:val="none"/>
          <w:u w:val="single"/>
        </w:rPr>
        <w:t xml:space="preserve"> </w:t>
      </w:r>
      <w:r>
        <w:rPr>
          <w:rFonts w:hint="eastAsia" w:hAnsi="宋体" w:cs="宋体"/>
          <w:color w:val="auto"/>
          <w:kern w:val="0"/>
          <w:highlight w:val="none"/>
        </w:rPr>
        <w:t>。</w:t>
      </w:r>
    </w:p>
    <w:p w14:paraId="2B74B01D">
      <w:pPr>
        <w:pageBreakBefore w:val="0"/>
        <w:widowControl w:val="0"/>
        <w:kinsoku/>
        <w:wordWrap/>
        <w:overflowPunct/>
        <w:topLinePunct w:val="0"/>
        <w:bidi w:val="0"/>
        <w:spacing w:line="360" w:lineRule="auto"/>
        <w:ind w:firstLine="420" w:firstLineChars="200"/>
        <w:textAlignment w:val="auto"/>
        <w:rPr>
          <w:rFonts w:hint="eastAsia" w:hAnsi="宋体" w:cs="宋体"/>
          <w:color w:val="auto"/>
          <w:highlight w:val="none"/>
          <w:u w:val="single"/>
        </w:rPr>
      </w:pPr>
      <w:r>
        <w:rPr>
          <w:rFonts w:hint="eastAsia" w:ascii="宋体" w:hAnsi="宋体" w:cs="宋体"/>
          <w:color w:val="auto"/>
          <w:highlight w:val="none"/>
          <w:lang w:eastAsia="zh-CN"/>
        </w:rPr>
        <w:t>□</w:t>
      </w:r>
      <w:r>
        <w:rPr>
          <w:rFonts w:hint="eastAsia" w:ascii="Calibri" w:hAnsi="宋体" w:cs="宋体"/>
          <w:color w:val="auto"/>
          <w:highlight w:val="none"/>
          <w:u w:val="single"/>
        </w:rPr>
        <w:t>承包人实际完成的某单项清单项目工程量与招标工程量清单工程量偏差超过</w:t>
      </w:r>
      <w:r>
        <w:rPr>
          <w:rFonts w:hint="eastAsia" w:ascii="Calibri" w:hAnsi="宋体" w:cs="宋体"/>
          <w:color w:val="auto"/>
          <w:highlight w:val="none"/>
          <w:u w:val="single"/>
          <w:lang w:val="en-US" w:eastAsia="zh-CN"/>
        </w:rPr>
        <w:t>15</w:t>
      </w:r>
      <w:r>
        <w:rPr>
          <w:rFonts w:hint="eastAsia" w:ascii="Calibri" w:hAnsi="宋体" w:cs="宋体"/>
          <w:color w:val="auto"/>
          <w:highlight w:val="none"/>
          <w:u w:val="single"/>
        </w:rPr>
        <w:t>%且该单项清单造价超过合同总价</w:t>
      </w:r>
      <w:r>
        <w:rPr>
          <w:rFonts w:hint="eastAsia" w:ascii="Calibri" w:hAnsi="宋体" w:cs="宋体"/>
          <w:color w:val="auto"/>
          <w:highlight w:val="none"/>
          <w:u w:val="single"/>
          <w:lang w:val="en-US" w:eastAsia="zh-CN"/>
        </w:rPr>
        <w:t>1</w:t>
      </w:r>
      <w:r>
        <w:rPr>
          <w:rFonts w:hint="eastAsia" w:ascii="Calibri" w:hAnsi="宋体" w:cs="宋体"/>
          <w:color w:val="auto"/>
          <w:highlight w:val="none"/>
          <w:u w:val="single"/>
        </w:rPr>
        <w:t>%以上的，超过后增加部分工程量或减少后剩余部分工程量的综合单价按以下方法调整：有定额的套定额计算，执行本招标文件工程计价参考依据，并乘以下浮系数（中标价/经审定的工程招标控制价）结算，其中材料价格有信息价的按施工期间信息价的平均价计取，无信息价的由发包人、监理单位及承包人根据市场价格协商议定。</w:t>
      </w:r>
    </w:p>
    <w:p w14:paraId="73D902DD">
      <w:pPr>
        <w:pStyle w:val="3"/>
        <w:pageBreakBefore w:val="0"/>
        <w:widowControl w:val="0"/>
        <w:kinsoku/>
        <w:wordWrap/>
        <w:overflowPunct/>
        <w:topLinePunct w:val="0"/>
        <w:bidi w:val="0"/>
        <w:spacing w:before="0" w:after="0" w:line="360" w:lineRule="auto"/>
        <w:textAlignment w:val="auto"/>
        <w:rPr>
          <w:color w:val="auto"/>
          <w:highlight w:val="none"/>
        </w:rPr>
      </w:pPr>
      <w:bookmarkStart w:id="168" w:name="_Toc407135204"/>
      <w:bookmarkStart w:id="169" w:name="_Toc373227702"/>
      <w:bookmarkStart w:id="170" w:name="_Toc31864"/>
      <w:bookmarkStart w:id="171" w:name="_Toc78449790"/>
      <w:bookmarkStart w:id="172" w:name="_Toc389065268"/>
      <w:bookmarkStart w:id="173" w:name="_Toc373478349"/>
      <w:bookmarkStart w:id="174" w:name="_Toc351203634"/>
      <w:bookmarkStart w:id="175" w:name="_Toc143780453"/>
      <w:r>
        <w:rPr>
          <w:color w:val="auto"/>
          <w:highlight w:val="none"/>
        </w:rPr>
        <w:t>2</w:t>
      </w:r>
      <w:bookmarkStart w:id="176" w:name="_Toc296944496"/>
      <w:bookmarkStart w:id="177" w:name="_Toc292559362"/>
      <w:bookmarkStart w:id="178" w:name="_Toc296346658"/>
      <w:bookmarkStart w:id="179" w:name="_Toc296891197"/>
      <w:bookmarkStart w:id="180" w:name="_Toc296890985"/>
      <w:bookmarkStart w:id="181" w:name="_Toc296347156"/>
      <w:bookmarkStart w:id="182" w:name="_Toc296503157"/>
      <w:bookmarkStart w:id="183" w:name="_Toc297048343"/>
      <w:bookmarkStart w:id="184" w:name="_Toc292559867"/>
      <w:bookmarkStart w:id="185" w:name="_Toc297120457"/>
      <w:r>
        <w:rPr>
          <w:color w:val="auto"/>
          <w:highlight w:val="none"/>
        </w:rPr>
        <w:t xml:space="preserve">. </w:t>
      </w:r>
      <w:r>
        <w:rPr>
          <w:rFonts w:hint="eastAsia" w:hAnsi="宋体" w:cs="黑体"/>
          <w:color w:val="auto"/>
          <w:highlight w:val="none"/>
        </w:rPr>
        <w:t>发包人</w:t>
      </w:r>
      <w:bookmarkEnd w:id="168"/>
      <w:bookmarkEnd w:id="169"/>
      <w:bookmarkEnd w:id="170"/>
      <w:bookmarkEnd w:id="171"/>
      <w:bookmarkEnd w:id="172"/>
      <w:bookmarkEnd w:id="173"/>
      <w:bookmarkEnd w:id="174"/>
      <w:bookmarkEnd w:id="175"/>
    </w:p>
    <w:bookmarkEnd w:id="176"/>
    <w:bookmarkEnd w:id="177"/>
    <w:bookmarkEnd w:id="178"/>
    <w:bookmarkEnd w:id="179"/>
    <w:bookmarkEnd w:id="180"/>
    <w:bookmarkEnd w:id="181"/>
    <w:bookmarkEnd w:id="182"/>
    <w:bookmarkEnd w:id="183"/>
    <w:bookmarkEnd w:id="184"/>
    <w:bookmarkEnd w:id="185"/>
    <w:p w14:paraId="788393CE">
      <w:pPr>
        <w:pStyle w:val="4"/>
        <w:pageBreakBefore w:val="0"/>
        <w:widowControl w:val="0"/>
        <w:kinsoku/>
        <w:wordWrap/>
        <w:overflowPunct/>
        <w:topLinePunct w:val="0"/>
        <w:bidi w:val="0"/>
        <w:spacing w:before="0" w:after="0" w:line="360" w:lineRule="auto"/>
        <w:textAlignment w:val="auto"/>
        <w:rPr>
          <w:color w:val="auto"/>
          <w:highlight w:val="none"/>
        </w:rPr>
      </w:pPr>
      <w:bookmarkStart w:id="186" w:name="_Toc389065269"/>
      <w:bookmarkStart w:id="187" w:name="_Toc407135205"/>
      <w:bookmarkStart w:id="188" w:name="_Toc78449791"/>
      <w:bookmarkStart w:id="189" w:name="_Toc14468"/>
      <w:bookmarkStart w:id="190" w:name="_Toc373227703"/>
      <w:bookmarkStart w:id="191" w:name="_Toc373478350"/>
      <w:bookmarkStart w:id="192" w:name="_Toc971240048"/>
      <w:r>
        <w:rPr>
          <w:color w:val="auto"/>
          <w:highlight w:val="none"/>
        </w:rPr>
        <w:t xml:space="preserve">2.2 </w:t>
      </w:r>
      <w:r>
        <w:rPr>
          <w:rFonts w:hint="eastAsia" w:hAnsi="宋体" w:cs="黑体"/>
          <w:color w:val="auto"/>
          <w:highlight w:val="none"/>
        </w:rPr>
        <w:t>发包人代表</w:t>
      </w:r>
      <w:bookmarkEnd w:id="186"/>
      <w:bookmarkEnd w:id="187"/>
      <w:bookmarkEnd w:id="188"/>
      <w:bookmarkEnd w:id="189"/>
      <w:bookmarkEnd w:id="190"/>
      <w:bookmarkEnd w:id="191"/>
      <w:bookmarkEnd w:id="192"/>
    </w:p>
    <w:p w14:paraId="70067C9C">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发包人代表：</w:t>
      </w:r>
    </w:p>
    <w:p w14:paraId="5CF4FAAB">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4D9DEA7B">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身份证号：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1C5B880">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职</w:t>
      </w:r>
      <w:r>
        <w:rPr>
          <w:color w:val="auto"/>
          <w:highlight w:val="none"/>
        </w:rPr>
        <w:t xml:space="preserve">    </w:t>
      </w:r>
      <w:r>
        <w:rPr>
          <w:rFonts w:hAnsi="宋体"/>
          <w:color w:val="auto"/>
          <w:highlight w:val="none"/>
        </w:rPr>
        <w:t>务：</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410F5D37">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联系电话：</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48CEDFC">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电子信箱：</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0D1F4933">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通信地址：</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1883DCE0">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发包人对发包人代表的授权范围如下：</w:t>
      </w:r>
      <w:r>
        <w:rPr>
          <w:color w:val="auto"/>
          <w:highlight w:val="none"/>
          <w:u w:val="single"/>
        </w:rPr>
        <w:t xml:space="preserve">  </w:t>
      </w:r>
      <w:r>
        <w:rPr>
          <w:rFonts w:hint="eastAsia"/>
          <w:color w:val="auto"/>
          <w:highlight w:val="none"/>
          <w:u w:val="single"/>
        </w:rPr>
        <w:t>负责现场协调管理，质量、安全、投资和工期的控制，现场工程有关的资料签证，对经济签证资料及时提出建议意见并交发包方组织研究后签字认可</w:t>
      </w:r>
      <w:r>
        <w:rPr>
          <w:color w:val="auto"/>
          <w:highlight w:val="none"/>
          <w:u w:val="single"/>
        </w:rPr>
        <w:t xml:space="preserve"> </w:t>
      </w:r>
      <w:r>
        <w:rPr>
          <w:rFonts w:hint="eastAsia" w:hAnsi="宋体" w:cs="宋体"/>
          <w:color w:val="auto"/>
          <w:highlight w:val="none"/>
        </w:rPr>
        <w:t>。</w:t>
      </w:r>
    </w:p>
    <w:p w14:paraId="63215AAA">
      <w:pPr>
        <w:pStyle w:val="4"/>
        <w:pageBreakBefore w:val="0"/>
        <w:widowControl w:val="0"/>
        <w:kinsoku/>
        <w:wordWrap/>
        <w:overflowPunct/>
        <w:topLinePunct w:val="0"/>
        <w:bidi w:val="0"/>
        <w:spacing w:before="0" w:after="0" w:line="360" w:lineRule="auto"/>
        <w:textAlignment w:val="auto"/>
        <w:rPr>
          <w:color w:val="auto"/>
          <w:highlight w:val="none"/>
        </w:rPr>
      </w:pPr>
      <w:bookmarkStart w:id="193" w:name="_Toc78449792"/>
      <w:bookmarkStart w:id="194" w:name="_Toc2077499244"/>
      <w:bookmarkStart w:id="195" w:name="_Toc389065270"/>
      <w:bookmarkStart w:id="196" w:name="_Toc373478351"/>
      <w:bookmarkStart w:id="197" w:name="_Toc21046"/>
      <w:bookmarkStart w:id="198" w:name="_Toc407135206"/>
      <w:bookmarkStart w:id="199" w:name="_Toc373227704"/>
      <w:r>
        <w:rPr>
          <w:color w:val="auto"/>
          <w:highlight w:val="none"/>
        </w:rPr>
        <w:t xml:space="preserve">2.4 </w:t>
      </w:r>
      <w:r>
        <w:rPr>
          <w:rFonts w:hint="eastAsia" w:cs="黑体"/>
          <w:color w:val="auto"/>
          <w:highlight w:val="none"/>
        </w:rPr>
        <w:t>施工现场、施工条件和基础资料的提供</w:t>
      </w:r>
      <w:bookmarkEnd w:id="193"/>
      <w:bookmarkEnd w:id="194"/>
      <w:bookmarkEnd w:id="195"/>
      <w:bookmarkEnd w:id="196"/>
      <w:bookmarkEnd w:id="197"/>
      <w:bookmarkEnd w:id="198"/>
      <w:bookmarkEnd w:id="199"/>
    </w:p>
    <w:p w14:paraId="579D5349">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2.4.1 </w:t>
      </w:r>
      <w:r>
        <w:rPr>
          <w:rFonts w:hint="eastAsia" w:hAnsi="宋体" w:cs="宋体"/>
          <w:color w:val="auto"/>
          <w:highlight w:val="none"/>
        </w:rPr>
        <w:t>提供施工现场</w:t>
      </w:r>
    </w:p>
    <w:p w14:paraId="3B42DC0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关于发包人移交施工现场的期限要求：</w:t>
      </w:r>
      <w:r>
        <w:rPr>
          <w:color w:val="auto"/>
          <w:highlight w:val="none"/>
          <w:u w:val="single"/>
        </w:rPr>
        <w:t xml:space="preserve"> </w:t>
      </w:r>
      <w:r>
        <w:rPr>
          <w:rFonts w:hint="eastAsia"/>
          <w:color w:val="auto"/>
          <w:highlight w:val="none"/>
          <w:u w:val="single"/>
        </w:rPr>
        <w:t>签订合同后5个工作日内</w:t>
      </w:r>
      <w:r>
        <w:rPr>
          <w:color w:val="auto"/>
          <w:highlight w:val="none"/>
          <w:u w:val="single"/>
        </w:rPr>
        <w:t xml:space="preserve"> </w:t>
      </w:r>
      <w:r>
        <w:rPr>
          <w:rFonts w:hint="eastAsia" w:hAnsi="宋体" w:cs="宋体"/>
          <w:color w:val="auto"/>
          <w:highlight w:val="none"/>
        </w:rPr>
        <w:t>。</w:t>
      </w:r>
    </w:p>
    <w:p w14:paraId="655A6CAB">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2.4.2 </w:t>
      </w:r>
      <w:r>
        <w:rPr>
          <w:rFonts w:hint="eastAsia" w:hAnsi="宋体" w:cs="宋体"/>
          <w:color w:val="auto"/>
          <w:highlight w:val="none"/>
        </w:rPr>
        <w:t>提供施工条件</w:t>
      </w:r>
    </w:p>
    <w:p w14:paraId="378784A6">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关于发包人应负责提供施工所需要的条件，包括：</w:t>
      </w:r>
      <w:r>
        <w:rPr>
          <w:color w:val="auto"/>
          <w:highlight w:val="none"/>
          <w:u w:val="single"/>
        </w:rPr>
        <w:t xml:space="preserve">  </w:t>
      </w:r>
      <w:r>
        <w:rPr>
          <w:rFonts w:hint="eastAsia"/>
          <w:color w:val="auto"/>
          <w:highlight w:val="none"/>
          <w:u w:val="single"/>
        </w:rPr>
        <w:t>发包人将施工用电接至用地红线范围内指定点，场地内的配电设施安装及使用等费用由承包人负责</w:t>
      </w:r>
      <w:r>
        <w:rPr>
          <w:color w:val="auto"/>
          <w:highlight w:val="none"/>
          <w:u w:val="single"/>
        </w:rPr>
        <w:t xml:space="preserve">  </w:t>
      </w:r>
      <w:r>
        <w:rPr>
          <w:rFonts w:hint="eastAsia" w:hAnsi="宋体" w:cs="宋体"/>
          <w:color w:val="auto"/>
          <w:highlight w:val="none"/>
        </w:rPr>
        <w:t>。</w:t>
      </w:r>
    </w:p>
    <w:p w14:paraId="3E46B0EF">
      <w:pPr>
        <w:pStyle w:val="4"/>
        <w:pageBreakBefore w:val="0"/>
        <w:widowControl w:val="0"/>
        <w:kinsoku/>
        <w:wordWrap/>
        <w:overflowPunct/>
        <w:topLinePunct w:val="0"/>
        <w:bidi w:val="0"/>
        <w:spacing w:before="0" w:after="0" w:line="360" w:lineRule="auto"/>
        <w:textAlignment w:val="auto"/>
        <w:rPr>
          <w:color w:val="auto"/>
          <w:highlight w:val="none"/>
        </w:rPr>
      </w:pPr>
      <w:bookmarkStart w:id="200" w:name="_Toc407135207"/>
      <w:bookmarkStart w:id="201" w:name="_Toc373478352"/>
      <w:bookmarkStart w:id="202" w:name="_Toc27597"/>
      <w:bookmarkStart w:id="203" w:name="_Toc389065271"/>
      <w:bookmarkStart w:id="204" w:name="_Toc373227705"/>
      <w:bookmarkStart w:id="205" w:name="_Toc1238195908"/>
      <w:bookmarkStart w:id="206" w:name="_Toc78449793"/>
      <w:r>
        <w:rPr>
          <w:color w:val="auto"/>
          <w:highlight w:val="none"/>
        </w:rPr>
        <w:t xml:space="preserve">2.5 </w:t>
      </w:r>
      <w:r>
        <w:rPr>
          <w:rFonts w:hint="eastAsia" w:cs="黑体"/>
          <w:color w:val="auto"/>
          <w:highlight w:val="none"/>
        </w:rPr>
        <w:t>资金来源证明及支付担保</w:t>
      </w:r>
      <w:bookmarkEnd w:id="200"/>
      <w:bookmarkEnd w:id="201"/>
      <w:bookmarkEnd w:id="202"/>
      <w:bookmarkEnd w:id="203"/>
      <w:bookmarkEnd w:id="204"/>
      <w:bookmarkEnd w:id="205"/>
      <w:bookmarkEnd w:id="206"/>
    </w:p>
    <w:p w14:paraId="5A73BB5A">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发包人提供资金来源证明的期限要求：</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3021B70B">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发包人是否提供支付担保：</w:t>
      </w:r>
      <w:r>
        <w:rPr>
          <w:color w:val="auto"/>
          <w:highlight w:val="none"/>
          <w:u w:val="single"/>
        </w:rPr>
        <w:t xml:space="preserve"> </w:t>
      </w:r>
      <w:r>
        <w:rPr>
          <w:rFonts w:hint="eastAsia"/>
          <w:color w:val="auto"/>
          <w:highlight w:val="none"/>
          <w:u w:val="single"/>
        </w:rPr>
        <w:t>否</w:t>
      </w:r>
      <w:r>
        <w:rPr>
          <w:color w:val="auto"/>
          <w:highlight w:val="none"/>
          <w:u w:val="single"/>
        </w:rPr>
        <w:t xml:space="preserve"> </w:t>
      </w:r>
      <w:r>
        <w:rPr>
          <w:rFonts w:hint="eastAsia" w:ascii="Times New Roman" w:hAnsi="宋体" w:eastAsia="宋体" w:cs="宋体"/>
          <w:color w:val="auto"/>
          <w:highlight w:val="none"/>
        </w:rPr>
        <w:t>。【</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人要求</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人提供履约担保的，应当同时向</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人提供工程款支付担保。工程款支付担保可以全额担保，也可以分阶段担保。分阶段担保的，除保修金以外的全部款项，完成一个阶段清算后再进入下一阶段，有效期截至工程竣工结算款支付完毕。</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人未按合同约定及时支付工程款的，工程担保保证人需承担担保责任。对政府投资项目，由建设单位提供落实财政资金来源的证明文件。</w:t>
      </w:r>
      <w:r>
        <w:rPr>
          <w:rFonts w:hint="eastAsia" w:ascii="Times New Roman" w:hAnsi="宋体" w:eastAsia="宋体" w:cs="宋体"/>
          <w:color w:val="auto"/>
          <w:highlight w:val="none"/>
        </w:rPr>
        <w:t>】</w:t>
      </w:r>
    </w:p>
    <w:p w14:paraId="2D7DD92E">
      <w:pPr>
        <w:pageBreakBefore w:val="0"/>
        <w:widowControl w:val="0"/>
        <w:kinsoku/>
        <w:wordWrap/>
        <w:overflowPunct/>
        <w:topLinePunct w:val="0"/>
        <w:bidi w:val="0"/>
        <w:spacing w:line="360" w:lineRule="auto"/>
        <w:ind w:firstLine="420" w:firstLineChars="200"/>
        <w:textAlignment w:val="auto"/>
        <w:rPr>
          <w:rFonts w:hint="eastAsia" w:hAnsi="宋体" w:cs="宋体"/>
          <w:color w:val="auto"/>
          <w:highlight w:val="none"/>
          <w:lang w:val="en" w:eastAsia="zh-CN"/>
        </w:rPr>
      </w:pPr>
      <w:r>
        <w:rPr>
          <w:rFonts w:hint="eastAsia" w:hAnsi="宋体" w:cs="宋体"/>
          <w:color w:val="auto"/>
          <w:highlight w:val="none"/>
        </w:rPr>
        <w:t>发包人提供支付担保的形式：</w:t>
      </w:r>
      <w:r>
        <w:rPr>
          <w:rFonts w:hint="eastAsia"/>
          <w:color w:val="auto"/>
          <w:highlight w:val="none"/>
          <w:u w:val="none"/>
          <w:lang w:eastAsia="zh-CN"/>
        </w:rPr>
        <w:t>可以是</w:t>
      </w:r>
      <w:r>
        <w:rPr>
          <w:rFonts w:hint="eastAsia" w:hAnsi="宋体" w:cs="宋体"/>
          <w:color w:val="auto"/>
          <w:highlight w:val="none"/>
        </w:rPr>
        <w:t>银行转账、电汇或网上支付、保函（银行保函、电子</w:t>
      </w:r>
      <w:r>
        <w:rPr>
          <w:rFonts w:hAnsi="宋体" w:cs="宋体"/>
          <w:color w:val="auto"/>
          <w:highlight w:val="none"/>
        </w:rPr>
        <w:t>保函</w:t>
      </w:r>
      <w:r>
        <w:rPr>
          <w:rFonts w:hint="eastAsia" w:hAnsi="宋体" w:cs="宋体"/>
          <w:color w:val="auto"/>
          <w:highlight w:val="none"/>
        </w:rPr>
        <w:t>、保证保险保函、工程担保保函）</w:t>
      </w:r>
      <w:r>
        <w:rPr>
          <w:rFonts w:hint="eastAsia" w:hAnsi="宋体"/>
          <w:color w:val="auto"/>
          <w:highlight w:val="none"/>
        </w:rPr>
        <w:t>等</w:t>
      </w:r>
      <w:r>
        <w:rPr>
          <w:rFonts w:hint="eastAsia" w:hAnsi="宋体" w:cs="宋体"/>
          <w:color w:val="auto"/>
          <w:highlight w:val="none"/>
        </w:rPr>
        <w:t>形</w:t>
      </w:r>
      <w:r>
        <w:rPr>
          <w:rFonts w:hint="eastAsia" w:hAnsi="宋体"/>
          <w:color w:val="auto"/>
          <w:highlight w:val="none"/>
        </w:rPr>
        <w:t>式</w:t>
      </w:r>
      <w:r>
        <w:rPr>
          <w:rFonts w:hint="eastAsia" w:hAnsi="宋体" w:cs="宋体"/>
          <w:color w:val="auto"/>
          <w:highlight w:val="none"/>
        </w:rPr>
        <w:t>。</w:t>
      </w:r>
      <w:r>
        <w:rPr>
          <w:rFonts w:hint="eastAsia" w:hAnsi="宋体" w:cs="宋体"/>
          <w:color w:val="auto"/>
          <w:highlight w:val="none"/>
          <w:lang w:eastAsia="zh-CN"/>
        </w:rPr>
        <w:t>工程担保保证人应将出具的保函相关信息录入“广西建筑市场监管云”平台（http：//gxjzsc.caihcloud.com），以实现保函查询及验真功能</w:t>
      </w:r>
      <w:r>
        <w:rPr>
          <w:rFonts w:hint="eastAsia" w:hAnsi="宋体" w:cs="宋体"/>
          <w:color w:val="auto"/>
          <w:highlight w:val="none"/>
          <w:lang w:val="en" w:eastAsia="zh-CN"/>
        </w:rPr>
        <w:t>。</w:t>
      </w:r>
    </w:p>
    <w:p w14:paraId="19B12018">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发包人提供的支付担保格式见合同附件</w:t>
      </w:r>
      <w:r>
        <w:rPr>
          <w:rFonts w:hint="eastAsia" w:hAnsi="宋体"/>
          <w:color w:val="auto"/>
          <w:highlight w:val="none"/>
        </w:rPr>
        <w:t>9</w:t>
      </w:r>
      <w:r>
        <w:rPr>
          <w:rFonts w:hint="eastAsia" w:hAnsi="宋体" w:cs="宋体"/>
          <w:color w:val="auto"/>
          <w:highlight w:val="none"/>
        </w:rPr>
        <w:t>。</w:t>
      </w:r>
    </w:p>
    <w:p w14:paraId="5FA9572E">
      <w:pPr>
        <w:pStyle w:val="3"/>
        <w:pageBreakBefore w:val="0"/>
        <w:widowControl w:val="0"/>
        <w:kinsoku/>
        <w:wordWrap/>
        <w:overflowPunct/>
        <w:topLinePunct w:val="0"/>
        <w:bidi w:val="0"/>
        <w:spacing w:before="0" w:after="0" w:line="360" w:lineRule="auto"/>
        <w:textAlignment w:val="auto"/>
        <w:rPr>
          <w:color w:val="auto"/>
          <w:highlight w:val="none"/>
        </w:rPr>
      </w:pPr>
      <w:bookmarkStart w:id="207" w:name="_Toc389065272"/>
      <w:bookmarkStart w:id="208" w:name="_Toc78449794"/>
      <w:bookmarkStart w:id="209" w:name="_Toc373227706"/>
      <w:bookmarkStart w:id="210" w:name="_Toc407135208"/>
      <w:bookmarkStart w:id="211" w:name="_Toc1181400362"/>
      <w:bookmarkStart w:id="212" w:name="_Toc373478353"/>
      <w:bookmarkStart w:id="213" w:name="_Toc14962"/>
      <w:bookmarkStart w:id="214" w:name="_Toc351203635"/>
      <w:r>
        <w:rPr>
          <w:color w:val="auto"/>
          <w:highlight w:val="none"/>
        </w:rPr>
        <w:t>3</w:t>
      </w:r>
      <w:bookmarkStart w:id="215" w:name="_Toc296890986"/>
      <w:bookmarkStart w:id="216" w:name="_Toc292559363"/>
      <w:bookmarkStart w:id="217" w:name="_Toc296891198"/>
      <w:bookmarkStart w:id="218" w:name="_Toc297120458"/>
      <w:bookmarkStart w:id="219" w:name="_Toc292559868"/>
      <w:bookmarkStart w:id="220" w:name="_Toc297048344"/>
      <w:bookmarkStart w:id="221" w:name="_Toc296346659"/>
      <w:bookmarkStart w:id="222" w:name="_Toc296347157"/>
      <w:bookmarkStart w:id="223" w:name="_Toc296503158"/>
      <w:bookmarkStart w:id="224" w:name="_Toc296944497"/>
      <w:r>
        <w:rPr>
          <w:color w:val="auto"/>
          <w:highlight w:val="none"/>
        </w:rPr>
        <w:t xml:space="preserve">. </w:t>
      </w:r>
      <w:r>
        <w:rPr>
          <w:rFonts w:hint="eastAsia" w:hAnsi="宋体" w:cs="黑体"/>
          <w:color w:val="auto"/>
          <w:highlight w:val="none"/>
        </w:rPr>
        <w:t>承包人</w:t>
      </w:r>
      <w:bookmarkEnd w:id="207"/>
      <w:bookmarkEnd w:id="208"/>
      <w:bookmarkEnd w:id="209"/>
      <w:bookmarkEnd w:id="210"/>
      <w:bookmarkEnd w:id="211"/>
      <w:bookmarkEnd w:id="212"/>
      <w:bookmarkEnd w:id="213"/>
      <w:bookmarkEnd w:id="214"/>
    </w:p>
    <w:bookmarkEnd w:id="215"/>
    <w:bookmarkEnd w:id="216"/>
    <w:bookmarkEnd w:id="217"/>
    <w:bookmarkEnd w:id="218"/>
    <w:bookmarkEnd w:id="219"/>
    <w:bookmarkEnd w:id="220"/>
    <w:bookmarkEnd w:id="221"/>
    <w:bookmarkEnd w:id="222"/>
    <w:bookmarkEnd w:id="223"/>
    <w:bookmarkEnd w:id="224"/>
    <w:p w14:paraId="13C545AD">
      <w:pPr>
        <w:pStyle w:val="4"/>
        <w:pageBreakBefore w:val="0"/>
        <w:widowControl w:val="0"/>
        <w:kinsoku/>
        <w:wordWrap/>
        <w:overflowPunct/>
        <w:topLinePunct w:val="0"/>
        <w:bidi w:val="0"/>
        <w:spacing w:before="0" w:after="0" w:line="360" w:lineRule="auto"/>
        <w:textAlignment w:val="auto"/>
        <w:rPr>
          <w:color w:val="auto"/>
          <w:highlight w:val="none"/>
        </w:rPr>
      </w:pPr>
      <w:bookmarkStart w:id="225" w:name="_Toc373478354"/>
      <w:bookmarkStart w:id="226" w:name="_Toc78449795"/>
      <w:bookmarkStart w:id="227" w:name="_Toc389065273"/>
      <w:bookmarkStart w:id="228" w:name="_Toc19961"/>
      <w:bookmarkStart w:id="229" w:name="_Toc407135209"/>
      <w:bookmarkStart w:id="230" w:name="_Toc962678435"/>
      <w:bookmarkStart w:id="231" w:name="_Toc373227707"/>
      <w:r>
        <w:rPr>
          <w:color w:val="auto"/>
          <w:highlight w:val="none"/>
        </w:rPr>
        <w:t xml:space="preserve">3.1 </w:t>
      </w:r>
      <w:r>
        <w:rPr>
          <w:rFonts w:hint="eastAsia" w:cs="黑体"/>
          <w:color w:val="auto"/>
          <w:highlight w:val="none"/>
        </w:rPr>
        <w:t>承包人的一般义务</w:t>
      </w:r>
      <w:bookmarkEnd w:id="225"/>
      <w:bookmarkEnd w:id="226"/>
      <w:bookmarkEnd w:id="227"/>
      <w:bookmarkEnd w:id="228"/>
      <w:bookmarkEnd w:id="229"/>
      <w:bookmarkEnd w:id="230"/>
      <w:bookmarkEnd w:id="231"/>
    </w:p>
    <w:p w14:paraId="752295C5">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w:t>
      </w:r>
      <w:r>
        <w:rPr>
          <w:color w:val="auto"/>
          <w:kern w:val="0"/>
          <w:highlight w:val="none"/>
        </w:rPr>
        <w:t>9</w:t>
      </w:r>
      <w:r>
        <w:rPr>
          <w:rFonts w:hint="eastAsia" w:hAnsi="宋体" w:cs="宋体"/>
          <w:color w:val="auto"/>
          <w:kern w:val="0"/>
          <w:highlight w:val="none"/>
        </w:rPr>
        <w:t>）</w:t>
      </w:r>
      <w:r>
        <w:rPr>
          <w:rFonts w:hint="eastAsia" w:hAnsi="宋体" w:cs="宋体"/>
          <w:color w:val="auto"/>
          <w:highlight w:val="none"/>
        </w:rPr>
        <w:t>承包人提交的竣工资料的内容：</w:t>
      </w:r>
      <w:r>
        <w:rPr>
          <w:color w:val="auto"/>
          <w:highlight w:val="none"/>
          <w:u w:val="single"/>
        </w:rPr>
        <w:t xml:space="preserve">  </w:t>
      </w:r>
      <w:r>
        <w:rPr>
          <w:rFonts w:hint="eastAsia"/>
          <w:color w:val="auto"/>
          <w:highlight w:val="none"/>
          <w:u w:val="single"/>
        </w:rPr>
        <w:t>工程具备竣工验收条件，承包人按工程竣工验收有关规定，向发包人提交完整竣工资料及竣工验收报告和竣工图</w:t>
      </w:r>
      <w:r>
        <w:rPr>
          <w:color w:val="auto"/>
          <w:highlight w:val="none"/>
          <w:u w:val="single"/>
        </w:rPr>
        <w:t xml:space="preserve">  </w:t>
      </w:r>
      <w:r>
        <w:rPr>
          <w:rFonts w:hint="eastAsia" w:hAnsi="宋体" w:cs="宋体"/>
          <w:color w:val="auto"/>
          <w:highlight w:val="none"/>
        </w:rPr>
        <w:t>。</w:t>
      </w:r>
    </w:p>
    <w:p w14:paraId="13265C9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承包人需要提交的竣工资料套数：</w:t>
      </w:r>
      <w:r>
        <w:rPr>
          <w:color w:val="auto"/>
          <w:highlight w:val="none"/>
          <w:u w:val="single"/>
        </w:rPr>
        <w:t xml:space="preserve">  </w:t>
      </w:r>
      <w:r>
        <w:rPr>
          <w:rFonts w:hint="eastAsia"/>
          <w:color w:val="auto"/>
          <w:highlight w:val="none"/>
          <w:u w:val="single"/>
        </w:rPr>
        <w:t>8套</w:t>
      </w:r>
      <w:r>
        <w:rPr>
          <w:color w:val="auto"/>
          <w:highlight w:val="none"/>
          <w:u w:val="single"/>
        </w:rPr>
        <w:t xml:space="preserve">  </w:t>
      </w:r>
      <w:r>
        <w:rPr>
          <w:rFonts w:hint="eastAsia" w:hAnsi="宋体" w:cs="宋体"/>
          <w:color w:val="auto"/>
          <w:highlight w:val="none"/>
        </w:rPr>
        <w:t>。</w:t>
      </w:r>
    </w:p>
    <w:p w14:paraId="442CF68C">
      <w:pPr>
        <w:pageBreakBefore w:val="0"/>
        <w:widowControl w:val="0"/>
        <w:kinsoku/>
        <w:wordWrap/>
        <w:overflowPunct/>
        <w:topLinePunct w:val="0"/>
        <w:bidi w:val="0"/>
        <w:spacing w:line="360" w:lineRule="auto"/>
        <w:ind w:left="424" w:leftChars="202"/>
        <w:jc w:val="left"/>
        <w:textAlignment w:val="auto"/>
        <w:rPr>
          <w:color w:val="auto"/>
          <w:highlight w:val="none"/>
        </w:rPr>
      </w:pPr>
      <w:r>
        <w:rPr>
          <w:rFonts w:hint="eastAsia" w:hAnsi="宋体" w:cs="宋体"/>
          <w:color w:val="auto"/>
          <w:highlight w:val="none"/>
        </w:rPr>
        <w:t>承包人提交的竣工资料的费用承担：</w:t>
      </w:r>
      <w:r>
        <w:rPr>
          <w:color w:val="auto"/>
          <w:highlight w:val="none"/>
          <w:u w:val="single"/>
        </w:rPr>
        <w:t xml:space="preserve">  </w:t>
      </w:r>
      <w:r>
        <w:rPr>
          <w:rFonts w:hint="eastAsia"/>
          <w:color w:val="auto"/>
          <w:highlight w:val="none"/>
          <w:u w:val="single"/>
        </w:rPr>
        <w:t>承包人自行承担</w:t>
      </w:r>
      <w:r>
        <w:rPr>
          <w:color w:val="auto"/>
          <w:highlight w:val="none"/>
          <w:u w:val="single"/>
        </w:rPr>
        <w:t xml:space="preserve">  </w:t>
      </w:r>
      <w:r>
        <w:rPr>
          <w:rFonts w:hint="eastAsia" w:hAnsi="宋体" w:cs="宋体"/>
          <w:color w:val="auto"/>
          <w:highlight w:val="none"/>
        </w:rPr>
        <w:t>。</w:t>
      </w:r>
    </w:p>
    <w:p w14:paraId="7E77B3F5">
      <w:pPr>
        <w:pageBreakBefore w:val="0"/>
        <w:widowControl w:val="0"/>
        <w:kinsoku/>
        <w:wordWrap/>
        <w:overflowPunct/>
        <w:topLinePunct w:val="0"/>
        <w:bidi w:val="0"/>
        <w:spacing w:line="360" w:lineRule="auto"/>
        <w:ind w:left="424" w:leftChars="202"/>
        <w:jc w:val="left"/>
        <w:textAlignment w:val="auto"/>
        <w:rPr>
          <w:color w:val="auto"/>
          <w:highlight w:val="none"/>
        </w:rPr>
      </w:pPr>
      <w:r>
        <w:rPr>
          <w:rFonts w:hint="eastAsia" w:hAnsi="宋体" w:cs="宋体"/>
          <w:color w:val="auto"/>
          <w:highlight w:val="none"/>
        </w:rPr>
        <w:t>承包人提交的竣工资料移交时间：</w:t>
      </w:r>
      <w:r>
        <w:rPr>
          <w:color w:val="auto"/>
          <w:highlight w:val="none"/>
          <w:u w:val="single"/>
        </w:rPr>
        <w:t xml:space="preserve">  </w:t>
      </w:r>
      <w:r>
        <w:rPr>
          <w:rFonts w:hint="eastAsia"/>
          <w:color w:val="auto"/>
          <w:highlight w:val="none"/>
          <w:u w:val="single"/>
        </w:rPr>
        <w:t>28天内</w:t>
      </w:r>
      <w:r>
        <w:rPr>
          <w:color w:val="auto"/>
          <w:highlight w:val="none"/>
          <w:u w:val="single"/>
        </w:rPr>
        <w:t xml:space="preserve">  </w:t>
      </w:r>
      <w:r>
        <w:rPr>
          <w:rFonts w:hint="eastAsia" w:hAnsi="宋体" w:cs="宋体"/>
          <w:color w:val="auto"/>
          <w:highlight w:val="none"/>
        </w:rPr>
        <w:t>。</w:t>
      </w:r>
    </w:p>
    <w:p w14:paraId="36C00B4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承包人提交的竣工资料形式要求：</w:t>
      </w:r>
      <w:r>
        <w:rPr>
          <w:color w:val="auto"/>
          <w:highlight w:val="none"/>
          <w:u w:val="single"/>
        </w:rPr>
        <w:t xml:space="preserve">   </w:t>
      </w:r>
      <w:r>
        <w:rPr>
          <w:rFonts w:hint="eastAsia"/>
          <w:color w:val="auto"/>
          <w:highlight w:val="none"/>
          <w:u w:val="single"/>
        </w:rPr>
        <w:t>按竣工资料整理归档的相关要求</w:t>
      </w:r>
      <w:r>
        <w:rPr>
          <w:color w:val="auto"/>
          <w:highlight w:val="none"/>
          <w:u w:val="single"/>
        </w:rPr>
        <w:t xml:space="preserve">   </w:t>
      </w:r>
      <w:r>
        <w:rPr>
          <w:rFonts w:hint="eastAsia" w:hAnsi="宋体" w:cs="宋体"/>
          <w:color w:val="auto"/>
          <w:highlight w:val="none"/>
        </w:rPr>
        <w:t>。</w:t>
      </w:r>
    </w:p>
    <w:p w14:paraId="0B2259A7">
      <w:pPr>
        <w:pageBreakBefore w:val="0"/>
        <w:widowControl w:val="0"/>
        <w:kinsoku/>
        <w:wordWrap/>
        <w:overflowPunct/>
        <w:topLinePunct w:val="0"/>
        <w:bidi w:val="0"/>
        <w:spacing w:line="360" w:lineRule="auto"/>
        <w:ind w:firstLine="420" w:firstLineChars="200"/>
        <w:textAlignment w:val="auto"/>
        <w:rPr>
          <w:color w:val="auto"/>
          <w:kern w:val="0"/>
          <w:highlight w:val="none"/>
          <w:u w:val="single"/>
        </w:rPr>
      </w:pPr>
      <w:r>
        <w:rPr>
          <w:rFonts w:hint="eastAsia" w:hAnsi="宋体" w:cs="宋体"/>
          <w:color w:val="auto"/>
          <w:kern w:val="0"/>
          <w:highlight w:val="none"/>
        </w:rPr>
        <w:t>（</w:t>
      </w:r>
      <w:r>
        <w:rPr>
          <w:color w:val="auto"/>
          <w:kern w:val="0"/>
          <w:highlight w:val="none"/>
        </w:rPr>
        <w:t>10</w:t>
      </w:r>
      <w:r>
        <w:rPr>
          <w:rFonts w:hint="eastAsia" w:hAnsi="宋体" w:cs="宋体"/>
          <w:color w:val="auto"/>
          <w:kern w:val="0"/>
          <w:highlight w:val="none"/>
        </w:rPr>
        <w:t>）承包人应履行的其他义务：</w:t>
      </w:r>
      <w:r>
        <w:rPr>
          <w:rFonts w:hint="eastAsia" w:hAnsi="宋体" w:cs="宋体"/>
          <w:color w:val="auto"/>
          <w:kern w:val="0"/>
          <w:highlight w:val="none"/>
          <w:u w:val="single"/>
        </w:rPr>
        <w:t xml:space="preserve">对开工的项目，须组建项目工会。 </w:t>
      </w:r>
      <w:r>
        <w:rPr>
          <w:rFonts w:hAnsi="宋体" w:cs="宋体"/>
          <w:color w:val="auto"/>
          <w:kern w:val="0"/>
          <w:highlight w:val="none"/>
          <w:u w:val="single"/>
        </w:rPr>
        <w:t xml:space="preserve">               </w:t>
      </w:r>
    </w:p>
    <w:p w14:paraId="26FA195A">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①配合发包人做好安全文明宣传、领导检查等工作，相关费用由承包人承担；</w:t>
      </w:r>
    </w:p>
    <w:p w14:paraId="45F48E46">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②本工程施工场地范围内水、电的使用、维护、拆除、恢复等由承包人负责，相关费用由承包人承担；</w:t>
      </w:r>
    </w:p>
    <w:p w14:paraId="24E241D4">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③承包人的临时占地（含项目部驻地等）租用费（含拆迁补偿）、临时用地的环保、恢复及施工范围内临时性占地的青苗补偿及地面附着物发生的费用均由承包人负责；</w:t>
      </w:r>
    </w:p>
    <w:p w14:paraId="0F83C932">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④承包人应为监理单位、发包人现场代表对施工现场的检查监督提供必要的配合，并对这种配合对施工的影响应有充分的考虑。</w:t>
      </w:r>
    </w:p>
    <w:p w14:paraId="1B81E8D4">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⑤经过城市道路的施工车辆，必须按交警、城管、环卫等部门规定执行。施工车辆的营运手续办理、清洗等一切费用由承包人承担。由于车辆带泥或洒漏造成的道路、环境等污染，其责任和费用均由承包人承担。</w:t>
      </w:r>
    </w:p>
    <w:p w14:paraId="43A7D603">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⑥取土料场和废土场的征（租）用、复耕、平整等工作由承包人负责，并负责提供检测合格的土料。</w:t>
      </w:r>
    </w:p>
    <w:p w14:paraId="3B4E1975">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⑦取土料场和废土场的征（租）用、复耕、平整等工作由承包人负责，并负责提供检测合格的土料。</w:t>
      </w:r>
    </w:p>
    <w:p w14:paraId="4BD233AD">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⑧承包人应负责施工场内交通管制和协调通行工作。连接施工场内外道路出口处须设洗车场，对从施工场地进入市区道路的所有车辆进行清洗，并派专人在出口处负责看守，严禁与工程施工无关的人员及车辆进出施工场地。如承包人违反以上有关规定，由此所造成的一切后果由承包人负责。</w:t>
      </w:r>
    </w:p>
    <w:p w14:paraId="61179B4C">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⑨承包人负责其本合同段在合同实施期内临时交通道路（含场内外连接公共交通道路）和临时交通设施的修建、维修、养护和交通管理工作，并承担一切费用。</w:t>
      </w:r>
    </w:p>
    <w:p w14:paraId="3A8402AB">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⑩承包人在实施本合同工程所使用公共道路、水源、公共设施等必须保障发包人及其他人的财产、利益和权利免受损害，造成损坏的由承包人负责维修或赔偿，并承担一切费用。</w:t>
      </w:r>
    </w:p>
    <w:p w14:paraId="3D772786">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⑪承包人的施工管理区及施工场地应设有临时的污水处理设施和施工排水设施，生活施工垃圾等处置应妥当，施工材料如涂料、化学品等应妥善存放，并设有防雨、防风、防火等措施，并承担一切费用。</w:t>
      </w:r>
    </w:p>
    <w:p w14:paraId="3D72C19A">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⑫移交证书签发后，承包人应立即从签发了移交证书的工地上将所有有关的承包人的设备、多余材料、垃圾及各种临时工程清除、移走，并使这一部分工程及工地保持清洁。</w:t>
      </w:r>
    </w:p>
    <w:p w14:paraId="42621B46">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⑬承包人应全权自费负责其劳务及职员的雇佣、工资的支付、房屋、膳食及运输的安排。承包人在任何时候应采取一切合理的预防措施，以防止其职员发生任何违法的、防碍治安的行为，并维护治安和保护工程附近的单位、个人或财产免遭上述行为的破坏，否则，由此造成的后果和费用均由承包人承担。</w:t>
      </w:r>
    </w:p>
    <w:p w14:paraId="693270A1">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⑭承包人应按安全施工管理有关规定，配备安全管理机构，配备合格的专职安全员，负责处理全体工作人员和劳务人员的安全保护和防止事故等问题，如因承包人原因造成人员伤亡、财产损失等一切事故，由承包人负全责并承担费用。</w:t>
      </w:r>
    </w:p>
    <w:p w14:paraId="0BFEF146">
      <w:pPr>
        <w:pageBreakBefore w:val="0"/>
        <w:widowControl w:val="0"/>
        <w:kinsoku/>
        <w:wordWrap/>
        <w:overflowPunct/>
        <w:topLinePunct w:val="0"/>
        <w:bidi w:val="0"/>
        <w:spacing w:line="360" w:lineRule="auto"/>
        <w:ind w:firstLine="420" w:firstLineChars="200"/>
        <w:textAlignment w:val="auto"/>
        <w:rPr>
          <w:rFonts w:hint="eastAsia"/>
          <w:color w:val="auto"/>
          <w:kern w:val="0"/>
          <w:highlight w:val="none"/>
          <w:u w:val="single"/>
        </w:rPr>
      </w:pPr>
      <w:r>
        <w:rPr>
          <w:rFonts w:hint="eastAsia"/>
          <w:color w:val="auto"/>
          <w:kern w:val="0"/>
          <w:highlight w:val="none"/>
          <w:u w:val="single"/>
        </w:rPr>
        <w:t>⑮承包人在施工期间应协调好与邻近相关单位（含居民、农民）的关系，应避免发生矛盾与冲突，否则，由此造成的一切后果由承包人承担。</w:t>
      </w:r>
    </w:p>
    <w:p w14:paraId="6DE28BED">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color w:val="auto"/>
          <w:kern w:val="0"/>
          <w:highlight w:val="none"/>
          <w:u w:val="single"/>
        </w:rPr>
        <w:t>⑯对上述工作，费用已包括在有关单价和总价中，发包人不再另行支付由此所发生的一切费用。</w:t>
      </w:r>
    </w:p>
    <w:p w14:paraId="47B0EDAC">
      <w:pPr>
        <w:pStyle w:val="4"/>
        <w:pageBreakBefore w:val="0"/>
        <w:widowControl w:val="0"/>
        <w:kinsoku/>
        <w:wordWrap/>
        <w:overflowPunct/>
        <w:topLinePunct w:val="0"/>
        <w:bidi w:val="0"/>
        <w:spacing w:before="0" w:after="0" w:line="360" w:lineRule="auto"/>
        <w:textAlignment w:val="auto"/>
        <w:rPr>
          <w:color w:val="auto"/>
          <w:highlight w:val="none"/>
        </w:rPr>
      </w:pPr>
      <w:bookmarkStart w:id="232" w:name="_Toc373478355"/>
      <w:bookmarkStart w:id="233" w:name="_Toc78449796"/>
      <w:bookmarkStart w:id="234" w:name="_Toc389065274"/>
      <w:bookmarkStart w:id="235" w:name="_Toc407135210"/>
      <w:bookmarkStart w:id="236" w:name="_Toc501741485"/>
      <w:bookmarkStart w:id="237" w:name="_Toc373227708"/>
      <w:bookmarkStart w:id="238" w:name="_Toc24562"/>
      <w:r>
        <w:rPr>
          <w:color w:val="auto"/>
          <w:highlight w:val="none"/>
        </w:rPr>
        <w:t xml:space="preserve">3.2 </w:t>
      </w:r>
      <w:r>
        <w:rPr>
          <w:rFonts w:hint="eastAsia" w:hAnsi="宋体" w:cs="黑体"/>
          <w:color w:val="auto"/>
          <w:highlight w:val="none"/>
        </w:rPr>
        <w:t>项目经理</w:t>
      </w:r>
      <w:bookmarkEnd w:id="232"/>
      <w:bookmarkEnd w:id="233"/>
      <w:bookmarkEnd w:id="234"/>
      <w:bookmarkEnd w:id="235"/>
      <w:bookmarkEnd w:id="236"/>
      <w:bookmarkEnd w:id="237"/>
      <w:bookmarkEnd w:id="238"/>
    </w:p>
    <w:p w14:paraId="58508FB2">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kern w:val="0"/>
          <w:highlight w:val="none"/>
        </w:rPr>
        <w:t xml:space="preserve">3.2.1 </w:t>
      </w:r>
      <w:r>
        <w:rPr>
          <w:rFonts w:hint="eastAsia" w:hAnsi="宋体" w:cs="宋体"/>
          <w:color w:val="auto"/>
          <w:highlight w:val="none"/>
        </w:rPr>
        <w:t>项目经理：</w:t>
      </w:r>
    </w:p>
    <w:p w14:paraId="6CBB5F83">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D673E53">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身份证号：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4BBE7CF">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建造师执业资格等级：</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522F523F">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建造师注册证书号：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7F2892ED">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Ansi="宋体"/>
          <w:color w:val="auto"/>
          <w:highlight w:val="none"/>
        </w:rPr>
      </w:pPr>
      <w:r>
        <w:rPr>
          <w:rFonts w:hAnsi="宋体"/>
          <w:color w:val="auto"/>
          <w:highlight w:val="none"/>
        </w:rPr>
        <w:t>安全生产考核合格证书号：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22B09B1D">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rPr>
      </w:pPr>
      <w:r>
        <w:rPr>
          <w:rFonts w:hAnsi="宋体"/>
          <w:color w:val="auto"/>
          <w:highlight w:val="none"/>
        </w:rPr>
        <w:t>联系电话：</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100B26C9">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rPr>
      </w:pPr>
      <w:r>
        <w:rPr>
          <w:rFonts w:hAnsi="宋体"/>
          <w:color w:val="auto"/>
          <w:highlight w:val="none"/>
        </w:rPr>
        <w:t>电子信箱：</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0E6A9CD">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hAnsi="宋体"/>
          <w:color w:val="auto"/>
          <w:highlight w:val="none"/>
        </w:rPr>
      </w:pPr>
      <w:r>
        <w:rPr>
          <w:rFonts w:hAnsi="宋体"/>
          <w:color w:val="auto"/>
          <w:highlight w:val="none"/>
        </w:rPr>
        <w:t>通信地址：</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607682AD">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rPr>
      </w:pPr>
      <w:r>
        <w:rPr>
          <w:rFonts w:hint="eastAsia" w:hAnsi="宋体" w:cs="宋体"/>
          <w:color w:val="auto"/>
          <w:highlight w:val="none"/>
        </w:rPr>
        <w:t>承包人对项目经理的授权范围如下：</w:t>
      </w:r>
      <w:r>
        <w:rPr>
          <w:color w:val="auto"/>
          <w:highlight w:val="none"/>
        </w:rPr>
        <w:t xml:space="preserve">  </w:t>
      </w:r>
      <w:r>
        <w:rPr>
          <w:color w:val="auto"/>
          <w:highlight w:val="none"/>
          <w:u w:val="single"/>
        </w:rPr>
        <w:t xml:space="preserve">  </w:t>
      </w:r>
      <w:r>
        <w:rPr>
          <w:rFonts w:hint="eastAsia"/>
          <w:color w:val="auto"/>
          <w:highlight w:val="none"/>
          <w:u w:val="single"/>
        </w:rPr>
        <w:t>项目经理仅限于工程现场施工管理，未经承包人盖章同意，不得以承包人名义向外采购材料设备、租用建筑周转材料、雇用劳动力、签订分包合同等从事一切为承包人设立义务或责任的行为</w:t>
      </w:r>
      <w:r>
        <w:rPr>
          <w:color w:val="auto"/>
          <w:highlight w:val="none"/>
          <w:u w:val="single"/>
        </w:rPr>
        <w:t xml:space="preserve">  </w:t>
      </w:r>
      <w:r>
        <w:rPr>
          <w:rFonts w:hint="eastAsia" w:hAnsi="宋体" w:cs="宋体"/>
          <w:color w:val="auto"/>
          <w:highlight w:val="none"/>
        </w:rPr>
        <w:t>。</w:t>
      </w:r>
    </w:p>
    <w:p w14:paraId="6C93F4BC">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关于项目经理每月在施工现场的时间要求：</w:t>
      </w:r>
      <w:r>
        <w:rPr>
          <w:color w:val="auto"/>
          <w:highlight w:val="none"/>
          <w:u w:val="single"/>
        </w:rPr>
        <w:t xml:space="preserve">  </w:t>
      </w:r>
      <w:r>
        <w:rPr>
          <w:rFonts w:hint="eastAsia"/>
          <w:color w:val="auto"/>
          <w:highlight w:val="none"/>
          <w:u w:val="single"/>
        </w:rPr>
        <w:t xml:space="preserve">项目经理须长驻施工现场（办公时间每周不少于5天，每天不少于8小时）   </w:t>
      </w:r>
      <w:r>
        <w:rPr>
          <w:rFonts w:hint="eastAsia" w:hAnsi="宋体" w:cs="宋体"/>
          <w:color w:val="auto"/>
          <w:highlight w:val="none"/>
        </w:rPr>
        <w:t>。</w:t>
      </w:r>
    </w:p>
    <w:p w14:paraId="4BED0322">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kern w:val="0"/>
          <w:highlight w:val="none"/>
        </w:rPr>
      </w:pPr>
      <w:r>
        <w:rPr>
          <w:rFonts w:hint="eastAsia" w:hAnsi="宋体" w:cs="宋体"/>
          <w:color w:val="auto"/>
          <w:kern w:val="0"/>
          <w:highlight w:val="none"/>
        </w:rPr>
        <w:t>承包人未提交劳动合同，以及没有为项目经理缴纳社会保险证明的违约责任：</w:t>
      </w:r>
      <w:r>
        <w:rPr>
          <w:color w:val="auto"/>
          <w:highlight w:val="none"/>
          <w:u w:val="single"/>
        </w:rPr>
        <w:t xml:space="preserve">  </w:t>
      </w:r>
      <w:r>
        <w:rPr>
          <w:rFonts w:hint="eastAsia"/>
          <w:color w:val="auto"/>
          <w:highlight w:val="none"/>
          <w:u w:val="single"/>
          <w:lang w:val="en-US" w:eastAsia="zh-CN"/>
        </w:rPr>
        <w:t>发包人</w:t>
      </w:r>
      <w:r>
        <w:rPr>
          <w:rFonts w:hint="eastAsia"/>
          <w:color w:val="auto"/>
          <w:highlight w:val="none"/>
          <w:u w:val="single"/>
        </w:rPr>
        <w:t>有权处罚5万元以内罚款</w:t>
      </w:r>
      <w:r>
        <w:rPr>
          <w:rFonts w:hint="eastAsia" w:hAnsi="宋体"/>
          <w:color w:val="auto"/>
          <w:highlight w:val="none"/>
          <w:u w:val="single"/>
        </w:rPr>
        <w:t xml:space="preserve">   </w:t>
      </w:r>
      <w:r>
        <w:rPr>
          <w:rFonts w:hint="eastAsia" w:hAnsi="宋体" w:cs="宋体"/>
          <w:color w:val="auto"/>
          <w:highlight w:val="none"/>
        </w:rPr>
        <w:t>。</w:t>
      </w:r>
    </w:p>
    <w:p w14:paraId="441E113E">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u w:val="single"/>
        </w:rPr>
      </w:pPr>
      <w:r>
        <w:rPr>
          <w:rFonts w:hint="eastAsia" w:hAnsi="宋体" w:cs="宋体"/>
          <w:color w:val="auto"/>
          <w:kern w:val="0"/>
          <w:highlight w:val="none"/>
        </w:rPr>
        <w:t>项目经理未经批准，擅自离开施工现场的违约责任：</w:t>
      </w:r>
      <w:r>
        <w:rPr>
          <w:rFonts w:hint="eastAsia" w:hAnsi="宋体" w:cs="宋体"/>
          <w:color w:val="auto"/>
          <w:highlight w:val="none"/>
          <w:u w:val="single"/>
        </w:rPr>
        <w:t>项目经理每月在岗带班时间不得少于当月施工时间的</w:t>
      </w:r>
      <w:r>
        <w:rPr>
          <w:rFonts w:hAnsi="宋体"/>
          <w:color w:val="auto"/>
          <w:highlight w:val="none"/>
          <w:u w:val="single"/>
        </w:rPr>
        <w:t>80%</w:t>
      </w:r>
      <w:r>
        <w:rPr>
          <w:rFonts w:hint="eastAsia" w:hAnsi="宋体" w:cs="宋体"/>
          <w:color w:val="auto"/>
          <w:highlight w:val="none"/>
          <w:u w:val="single"/>
        </w:rPr>
        <w:t>。未经发包人同意或正当理由，项目经理每月在岗带班时间少于当月施工时间</w:t>
      </w:r>
      <w:r>
        <w:rPr>
          <w:rFonts w:hAnsi="宋体"/>
          <w:color w:val="auto"/>
          <w:highlight w:val="none"/>
          <w:u w:val="single"/>
        </w:rPr>
        <w:t>80%</w:t>
      </w:r>
      <w:r>
        <w:rPr>
          <w:rFonts w:hint="eastAsia" w:hAnsi="宋体" w:cs="宋体"/>
          <w:color w:val="auto"/>
          <w:highlight w:val="none"/>
          <w:u w:val="single"/>
        </w:rPr>
        <w:t>的，少在岗带班一天，发包人有权处违约金</w:t>
      </w:r>
      <w:r>
        <w:rPr>
          <w:rFonts w:hint="eastAsia"/>
          <w:color w:val="auto"/>
          <w:highlight w:val="none"/>
          <w:u w:val="single"/>
          <w:lang w:val="en-US" w:eastAsia="zh-CN"/>
        </w:rPr>
        <w:t>1500.00</w:t>
      </w:r>
      <w:r>
        <w:rPr>
          <w:rFonts w:hint="eastAsia" w:hAnsi="宋体" w:cs="宋体"/>
          <w:color w:val="auto"/>
          <w:highlight w:val="none"/>
          <w:u w:val="single"/>
        </w:rPr>
        <w:t>元</w:t>
      </w:r>
      <w:r>
        <w:rPr>
          <w:color w:val="auto"/>
          <w:highlight w:val="none"/>
          <w:u w:val="single"/>
        </w:rPr>
        <w:t>/</w:t>
      </w:r>
      <w:r>
        <w:rPr>
          <w:rFonts w:hint="eastAsia" w:cs="宋体"/>
          <w:color w:val="auto"/>
          <w:highlight w:val="none"/>
          <w:u w:val="single"/>
        </w:rPr>
        <w:t>日（</w:t>
      </w:r>
      <w:r>
        <w:rPr>
          <w:rFonts w:hint="eastAsia" w:hAnsi="宋体" w:cs="宋体"/>
          <w:color w:val="auto"/>
          <w:highlight w:val="none"/>
          <w:u w:val="single"/>
        </w:rPr>
        <w:t>人民币</w:t>
      </w:r>
      <w:r>
        <w:rPr>
          <w:rFonts w:hint="eastAsia" w:cs="宋体"/>
          <w:color w:val="auto"/>
          <w:highlight w:val="none"/>
          <w:u w:val="single"/>
        </w:rPr>
        <w:t>）</w:t>
      </w:r>
      <w:r>
        <w:rPr>
          <w:color w:val="auto"/>
          <w:highlight w:val="none"/>
          <w:u w:val="single"/>
        </w:rPr>
        <w:t xml:space="preserve">  </w:t>
      </w:r>
      <w:r>
        <w:rPr>
          <w:rFonts w:hint="eastAsia" w:hAnsi="宋体" w:cs="宋体"/>
          <w:color w:val="auto"/>
          <w:highlight w:val="none"/>
        </w:rPr>
        <w:t>。</w:t>
      </w:r>
    </w:p>
    <w:p w14:paraId="383E652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ascii="Times New Roman" w:hAnsi="Times New Roman" w:eastAsia="宋体" w:cs="Times New Roman"/>
          <w:color w:val="auto"/>
          <w:highlight w:val="none"/>
        </w:rPr>
      </w:pPr>
      <w:r>
        <w:rPr>
          <w:color w:val="auto"/>
          <w:highlight w:val="none"/>
        </w:rPr>
        <w:t xml:space="preserve">3.2.3 </w:t>
      </w:r>
      <w:r>
        <w:rPr>
          <w:rFonts w:hint="eastAsia" w:hAnsi="宋体" w:cs="宋体"/>
          <w:color w:val="auto"/>
          <w:highlight w:val="none"/>
        </w:rPr>
        <w:t>承包人擅自更换项目经理的违约责任：</w:t>
      </w:r>
      <w:r>
        <w:rPr>
          <w:rFonts w:hint="eastAsia" w:hAnsi="宋体" w:cs="宋体"/>
          <w:color w:val="auto"/>
          <w:highlight w:val="none"/>
          <w:u w:val="single"/>
        </w:rPr>
        <w:t>承包人项目经理必须与承包人投标时所承诺的人员一致，并在</w:t>
      </w:r>
      <w:r>
        <w:rPr>
          <w:rFonts w:hint="eastAsia" w:hAnsi="宋体" w:cs="宋体"/>
          <w:color w:val="auto"/>
          <w:highlight w:val="none"/>
          <w:u w:val="single"/>
          <w:lang w:val="en-US" w:eastAsia="zh-CN"/>
        </w:rPr>
        <w:t xml:space="preserve"> </w:t>
      </w:r>
      <w:r>
        <w:rPr>
          <w:rFonts w:hint="eastAsia" w:hAnsi="宋体" w:cs="宋体"/>
          <w:color w:val="auto"/>
          <w:highlight w:val="none"/>
          <w:u w:val="single"/>
        </w:rPr>
        <w:t>（开工日期）</w:t>
      </w:r>
      <w:r>
        <w:rPr>
          <w:color w:val="auto"/>
          <w:highlight w:val="none"/>
          <w:u w:val="single"/>
        </w:rPr>
        <w:t xml:space="preserve">  </w:t>
      </w:r>
      <w:r>
        <w:rPr>
          <w:rFonts w:hint="eastAsia" w:hAnsi="宋体" w:cs="宋体"/>
          <w:color w:val="auto"/>
          <w:highlight w:val="none"/>
          <w:u w:val="single"/>
        </w:rPr>
        <w:t>前到</w:t>
      </w:r>
      <w:r>
        <w:rPr>
          <w:rFonts w:hint="default" w:ascii="Times New Roman" w:hAnsi="Times New Roman" w:eastAsia="宋体" w:cs="Times New Roman"/>
          <w:color w:val="auto"/>
          <w:highlight w:val="none"/>
          <w:u w:val="none"/>
        </w:rPr>
        <w:t>任。在监理人向承包人颁发</w:t>
      </w:r>
      <w:r>
        <w:rPr>
          <w:rFonts w:ascii="Times New Roman" w:hAnsi="Times New Roman" w:eastAsia="宋体" w:cs="Times New Roman"/>
          <w:color w:val="auto"/>
          <w:highlight w:val="none"/>
          <w:u w:val="none"/>
        </w:rPr>
        <w:t xml:space="preserve"> </w:t>
      </w:r>
      <w:r>
        <w:rPr>
          <w:rFonts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u w:val="single"/>
        </w:rPr>
        <w:t>（竣工证明材料名称）</w:t>
      </w:r>
      <w:r>
        <w:rPr>
          <w:rFonts w:ascii="Times New Roman" w:hAnsi="Times New Roman" w:eastAsia="宋体" w:cs="Times New Roman"/>
          <w:color w:val="auto"/>
          <w:highlight w:val="none"/>
          <w:u w:val="single"/>
        </w:rPr>
        <w:t xml:space="preserve">   </w:t>
      </w:r>
      <w:r>
        <w:rPr>
          <w:rFonts w:ascii="Times New Roman" w:hAnsi="Times New Roman" w:eastAsia="宋体" w:cs="Times New Roman"/>
          <w:color w:val="auto"/>
          <w:highlight w:val="none"/>
          <w:u w:val="none"/>
        </w:rPr>
        <w:t xml:space="preserve"> </w:t>
      </w:r>
      <w:r>
        <w:rPr>
          <w:rFonts w:hint="default" w:ascii="Times New Roman" w:hAnsi="Times New Roman" w:eastAsia="宋体" w:cs="Times New Roman"/>
          <w:color w:val="auto"/>
          <w:highlight w:val="none"/>
          <w:u w:val="none"/>
        </w:rPr>
        <w:t>前，项目经理不得同时兼任其他任何项目的项目经理</w:t>
      </w:r>
      <w:r>
        <w:rPr>
          <w:rFonts w:hint="default" w:ascii="Times New Roman" w:hAnsi="Times New Roman" w:eastAsia="宋体" w:cs="Times New Roman"/>
          <w:color w:val="auto"/>
          <w:kern w:val="2"/>
          <w:highlight w:val="none"/>
          <w:u w:val="none"/>
        </w:rPr>
        <w:t>（</w:t>
      </w:r>
      <w:r>
        <w:rPr>
          <w:rFonts w:hint="default" w:ascii="Times New Roman" w:hAnsi="Times New Roman" w:eastAsia="宋体" w:cs="Times New Roman"/>
          <w:color w:val="auto"/>
          <w:kern w:val="2"/>
          <w:highlight w:val="none"/>
          <w:u w:val="none"/>
          <w:lang w:eastAsia="zh-CN"/>
        </w:rPr>
        <w:t>符合</w:t>
      </w:r>
      <w:r>
        <w:rPr>
          <w:rFonts w:hint="default" w:ascii="Times New Roman" w:hAnsi="Times New Roman" w:eastAsia="宋体" w:cs="Times New Roman"/>
          <w:color w:val="auto"/>
          <w:highlight w:val="none"/>
        </w:rPr>
        <w:t>《广西壮族自治区建筑市场诚信卡管理暂行办法》第十六条第一款及桂建管</w:t>
      </w:r>
      <w:r>
        <w:rPr>
          <w:rFonts w:ascii="Times New Roman" w:hAnsi="Times New Roman" w:eastAsia="宋体" w:cs="Times New Roman"/>
          <w:color w:val="auto"/>
          <w:highlight w:val="none"/>
        </w:rPr>
        <w:t>﹝</w:t>
      </w:r>
      <w:r>
        <w:rPr>
          <w:rFonts w:hint="default" w:ascii="Times New Roman" w:hAnsi="Times New Roman" w:eastAsia="宋体" w:cs="Times New Roman"/>
          <w:color w:val="auto"/>
          <w:kern w:val="2"/>
          <w:highlight w:val="none"/>
        </w:rPr>
        <w:t>2016</w:t>
      </w:r>
      <w:r>
        <w:rPr>
          <w:rFonts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70号</w:t>
      </w:r>
      <w:r>
        <w:rPr>
          <w:rFonts w:hint="default" w:ascii="Times New Roman" w:hAnsi="Times New Roman" w:eastAsia="宋体" w:cs="Times New Roman"/>
          <w:color w:val="auto"/>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highlight w:val="none"/>
          <w:u w:val="none"/>
        </w:rPr>
        <w:t>文除外）</w:t>
      </w:r>
      <w:r>
        <w:rPr>
          <w:rFonts w:hint="default" w:ascii="Times New Roman" w:hAnsi="Times New Roman" w:eastAsia="宋体" w:cs="Times New Roman"/>
          <w:color w:val="auto"/>
          <w:highlight w:val="none"/>
          <w:u w:val="none"/>
        </w:rPr>
        <w:t>。未经发包人书面同意，承包人擅自更换项目经理的视为违约，违约金处</w:t>
      </w:r>
      <w:r>
        <w:rPr>
          <w:rFonts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u w:val="single"/>
          <w:lang w:val="en-US" w:eastAsia="zh-CN"/>
        </w:rPr>
        <w:t>20000.00</w:t>
      </w:r>
      <w:r>
        <w:rPr>
          <w:rFonts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u w:val="none"/>
        </w:rPr>
        <w:t>元</w:t>
      </w:r>
      <w:r>
        <w:rPr>
          <w:rFonts w:ascii="Times New Roman" w:hAnsi="Times New Roman" w:eastAsia="宋体" w:cs="Times New Roman"/>
          <w:color w:val="auto"/>
          <w:highlight w:val="none"/>
          <w:u w:val="none"/>
        </w:rPr>
        <w:t>/</w:t>
      </w:r>
      <w:r>
        <w:rPr>
          <w:rFonts w:hint="default" w:ascii="Times New Roman" w:hAnsi="Times New Roman" w:eastAsia="宋体" w:cs="Times New Roman"/>
          <w:color w:val="auto"/>
          <w:highlight w:val="none"/>
          <w:u w:val="none"/>
        </w:rPr>
        <w:t>人</w:t>
      </w:r>
      <w:r>
        <w:rPr>
          <w:rFonts w:ascii="Times New Roman" w:hAnsi="Times New Roman" w:eastAsia="宋体" w:cs="Times New Roman"/>
          <w:color w:val="auto"/>
          <w:highlight w:val="none"/>
          <w:u w:val="none"/>
        </w:rPr>
        <w:t>•</w:t>
      </w:r>
      <w:r>
        <w:rPr>
          <w:rFonts w:hint="default" w:ascii="Times New Roman" w:hAnsi="Times New Roman" w:eastAsia="宋体" w:cs="Times New Roman"/>
          <w:color w:val="auto"/>
          <w:highlight w:val="none"/>
          <w:u w:val="none"/>
        </w:rPr>
        <w:t>次（人民币）</w:t>
      </w:r>
      <w:r>
        <w:rPr>
          <w:rFonts w:hint="default" w:ascii="Times New Roman" w:hAnsi="Times New Roman" w:eastAsia="宋体" w:cs="Times New Roman"/>
          <w:color w:val="auto"/>
          <w:highlight w:val="none"/>
        </w:rPr>
        <w:t>。</w:t>
      </w:r>
    </w:p>
    <w:p w14:paraId="2D915982">
      <w:pPr>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rPr>
      </w:pPr>
      <w:r>
        <w:rPr>
          <w:color w:val="auto"/>
          <w:highlight w:val="none"/>
        </w:rPr>
        <w:t xml:space="preserve">3.2.4 </w:t>
      </w:r>
      <w:r>
        <w:rPr>
          <w:rFonts w:hint="eastAsia" w:hAnsi="宋体" w:cs="宋体"/>
          <w:color w:val="auto"/>
          <w:highlight w:val="none"/>
        </w:rPr>
        <w:t>承包人无正当理由拒绝更换项目经理的违约责任：</w:t>
      </w:r>
      <w:r>
        <w:rPr>
          <w:rFonts w:hint="eastAsia" w:hAnsi="宋体" w:cs="宋体"/>
          <w:color w:val="auto"/>
          <w:highlight w:val="none"/>
          <w:u w:val="single"/>
        </w:rPr>
        <w:t>因承包人项目经理不称职，发包人要求调换而未及时调换的，视为承包人违约，必须向发包人交纳处罚金</w:t>
      </w:r>
      <w:r>
        <w:rPr>
          <w:rFonts w:hint="eastAsia"/>
          <w:color w:val="auto"/>
          <w:highlight w:val="none"/>
          <w:u w:val="single"/>
          <w:lang w:val="en-US" w:eastAsia="zh-CN"/>
        </w:rPr>
        <w:t>50000.00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656BB38D">
      <w:pPr>
        <w:pStyle w:val="4"/>
        <w:pageBreakBefore w:val="0"/>
        <w:widowControl w:val="0"/>
        <w:kinsoku/>
        <w:wordWrap/>
        <w:overflowPunct/>
        <w:topLinePunct w:val="0"/>
        <w:bidi w:val="0"/>
        <w:spacing w:before="0" w:after="0" w:line="360" w:lineRule="auto"/>
        <w:textAlignment w:val="auto"/>
        <w:rPr>
          <w:color w:val="auto"/>
          <w:highlight w:val="none"/>
        </w:rPr>
      </w:pPr>
      <w:bookmarkStart w:id="239" w:name="_Toc1443830486"/>
      <w:bookmarkStart w:id="240" w:name="_Toc373478356"/>
      <w:bookmarkStart w:id="241" w:name="_Toc389065275"/>
      <w:bookmarkStart w:id="242" w:name="_Toc407135211"/>
      <w:bookmarkStart w:id="243" w:name="_Toc373227709"/>
      <w:bookmarkStart w:id="244" w:name="_Toc9099"/>
      <w:bookmarkStart w:id="245" w:name="_Toc78449797"/>
      <w:r>
        <w:rPr>
          <w:color w:val="auto"/>
          <w:highlight w:val="none"/>
        </w:rPr>
        <w:t xml:space="preserve">3.3 </w:t>
      </w:r>
      <w:r>
        <w:rPr>
          <w:rFonts w:hint="eastAsia" w:hAnsi="宋体" w:cs="黑体"/>
          <w:color w:val="auto"/>
          <w:highlight w:val="none"/>
        </w:rPr>
        <w:t>承包人人员</w:t>
      </w:r>
      <w:bookmarkEnd w:id="239"/>
      <w:bookmarkEnd w:id="240"/>
      <w:bookmarkEnd w:id="241"/>
      <w:bookmarkEnd w:id="242"/>
      <w:bookmarkEnd w:id="243"/>
      <w:bookmarkEnd w:id="244"/>
      <w:bookmarkEnd w:id="245"/>
    </w:p>
    <w:p w14:paraId="16AF9227">
      <w:pPr>
        <w:pageBreakBefore w:val="0"/>
        <w:widowControl w:val="0"/>
        <w:kinsoku/>
        <w:wordWrap/>
        <w:overflowPunct/>
        <w:topLinePunct w:val="0"/>
        <w:bidi w:val="0"/>
        <w:spacing w:line="360" w:lineRule="auto"/>
        <w:ind w:firstLine="420" w:firstLineChars="200"/>
        <w:textAlignment w:val="auto"/>
        <w:rPr>
          <w:rFonts w:hAnsi="宋体"/>
          <w:color w:val="auto"/>
          <w:highlight w:val="none"/>
        </w:rPr>
      </w:pPr>
      <w:r>
        <w:rPr>
          <w:color w:val="auto"/>
          <w:highlight w:val="none"/>
        </w:rPr>
        <w:t xml:space="preserve">3.3.1 </w:t>
      </w:r>
      <w:r>
        <w:rPr>
          <w:rFonts w:hint="eastAsia" w:hAnsi="宋体" w:cs="宋体"/>
          <w:color w:val="auto"/>
          <w:highlight w:val="none"/>
        </w:rPr>
        <w:t>承包人提交项目管理机构及施工现场管理人员安排报告（格式见合同附件</w:t>
      </w:r>
      <w:r>
        <w:rPr>
          <w:rFonts w:hint="eastAsia" w:hAnsi="宋体"/>
          <w:color w:val="auto"/>
          <w:highlight w:val="none"/>
        </w:rPr>
        <w:t>5</w:t>
      </w:r>
      <w:r>
        <w:rPr>
          <w:rFonts w:hint="eastAsia" w:hAnsi="宋体" w:cs="宋体"/>
          <w:color w:val="auto"/>
          <w:highlight w:val="none"/>
        </w:rPr>
        <w:t>）的期限：</w:t>
      </w:r>
    </w:p>
    <w:p w14:paraId="79CCD5D0">
      <w:pPr>
        <w:pageBreakBefore w:val="0"/>
        <w:widowControl w:val="0"/>
        <w:kinsoku/>
        <w:wordWrap/>
        <w:overflowPunct/>
        <w:topLinePunct w:val="0"/>
        <w:bidi w:val="0"/>
        <w:spacing w:line="360" w:lineRule="auto"/>
        <w:textAlignment w:val="auto"/>
        <w:rPr>
          <w:color w:val="auto"/>
          <w:highlight w:val="none"/>
        </w:rPr>
      </w:pPr>
      <w:r>
        <w:rPr>
          <w:color w:val="auto"/>
          <w:highlight w:val="none"/>
          <w:u w:val="single"/>
        </w:rPr>
        <w:t xml:space="preserve">  </w:t>
      </w:r>
      <w:r>
        <w:rPr>
          <w:rFonts w:hint="eastAsia"/>
          <w:color w:val="auto"/>
          <w:highlight w:val="none"/>
          <w:u w:val="single"/>
        </w:rPr>
        <w:t>签订施工合同后5日内提供所有现场管理人员名单及相关资质证书、上岗证书</w:t>
      </w:r>
      <w:r>
        <w:rPr>
          <w:color w:val="auto"/>
          <w:highlight w:val="none"/>
          <w:u w:val="single"/>
        </w:rPr>
        <w:t xml:space="preserve">  </w:t>
      </w:r>
      <w:r>
        <w:rPr>
          <w:rFonts w:hint="eastAsia" w:hAnsi="宋体" w:cs="宋体"/>
          <w:color w:val="auto"/>
          <w:highlight w:val="none"/>
        </w:rPr>
        <w:t>。</w:t>
      </w:r>
    </w:p>
    <w:p w14:paraId="2BD9DA5D">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3.3.3 </w:t>
      </w:r>
      <w:r>
        <w:rPr>
          <w:rFonts w:hint="eastAsia" w:hAnsi="宋体" w:cs="宋体"/>
          <w:color w:val="auto"/>
          <w:highlight w:val="none"/>
        </w:rPr>
        <w:t>承包人无正当理由拒绝撤换主要施工管理人员的违约责任：</w:t>
      </w:r>
      <w:r>
        <w:rPr>
          <w:rFonts w:hint="eastAsia" w:hAnsi="宋体" w:cs="宋体"/>
          <w:color w:val="auto"/>
          <w:highlight w:val="none"/>
          <w:u w:val="single"/>
        </w:rPr>
        <w:t>因承包人主要施工管理人员不称职，发包人要求调换而无正当理由拒绝撤换或未及时调换的，视为承包人违约，必须向发包人交纳处罚金，处罚标准：技术负责人</w:t>
      </w:r>
      <w:r>
        <w:rPr>
          <w:rFonts w:hint="eastAsia" w:hAnsi="宋体" w:cs="宋体"/>
          <w:color w:val="auto"/>
          <w:highlight w:val="none"/>
          <w:u w:val="single"/>
          <w:lang w:val="en-US" w:eastAsia="zh-CN"/>
        </w:rPr>
        <w:t>10000.00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；专业工程师</w:t>
      </w:r>
      <w:r>
        <w:rPr>
          <w:rFonts w:hint="eastAsia"/>
          <w:color w:val="auto"/>
          <w:highlight w:val="none"/>
          <w:u w:val="single"/>
          <w:lang w:val="en-US" w:eastAsia="zh-CN"/>
        </w:rPr>
        <w:t>5000.00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7341FA16">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color w:val="auto"/>
          <w:highlight w:val="none"/>
        </w:rPr>
        <w:t xml:space="preserve">3.3.4 </w:t>
      </w:r>
      <w:r>
        <w:rPr>
          <w:rFonts w:hint="eastAsia" w:hAnsi="宋体" w:cs="宋体"/>
          <w:color w:val="auto"/>
          <w:highlight w:val="none"/>
        </w:rPr>
        <w:t>承包人主要施工管理人员离开施工现场的批准要求：</w:t>
      </w:r>
      <w:r>
        <w:rPr>
          <w:color w:val="auto"/>
          <w:highlight w:val="none"/>
          <w:u w:val="single"/>
        </w:rPr>
        <w:t xml:space="preserve">  </w:t>
      </w:r>
      <w:r>
        <w:rPr>
          <w:rFonts w:hint="eastAsia"/>
          <w:color w:val="auto"/>
          <w:highlight w:val="none"/>
          <w:u w:val="single"/>
        </w:rPr>
        <w:t>须向发包人书面申请并经发包人书面批准同意</w:t>
      </w:r>
      <w:r>
        <w:rPr>
          <w:color w:val="auto"/>
          <w:highlight w:val="none"/>
          <w:u w:val="single"/>
        </w:rPr>
        <w:t xml:space="preserve">  </w:t>
      </w:r>
      <w:r>
        <w:rPr>
          <w:rFonts w:hint="eastAsia" w:hAnsi="宋体" w:cs="宋体"/>
          <w:color w:val="auto"/>
          <w:highlight w:val="none"/>
        </w:rPr>
        <w:t>。</w:t>
      </w:r>
    </w:p>
    <w:p w14:paraId="3562E1D6">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3.3.5 </w:t>
      </w:r>
      <w:r>
        <w:rPr>
          <w:rFonts w:hint="eastAsia" w:hAnsi="宋体" w:cs="宋体"/>
          <w:color w:val="auto"/>
          <w:highlight w:val="none"/>
        </w:rPr>
        <w:t>承包人擅自更换主要施工管理人员的违约责任：</w:t>
      </w:r>
      <w:r>
        <w:rPr>
          <w:rFonts w:hint="eastAsia" w:hAnsi="宋体" w:cs="宋体"/>
          <w:color w:val="auto"/>
          <w:highlight w:val="none"/>
          <w:u w:val="single"/>
        </w:rPr>
        <w:t>项目技术负责人、专职安全生产管理人员及其承诺的其它在场管理人员未经发包人书面同意不准擅自更换，擅自更换项目技术负责人处</w:t>
      </w:r>
      <w:r>
        <w:rPr>
          <w:rFonts w:hint="eastAsia"/>
          <w:color w:val="auto"/>
          <w:highlight w:val="none"/>
          <w:u w:val="single"/>
          <w:lang w:val="en-US" w:eastAsia="zh-CN"/>
        </w:rPr>
        <w:t>10000.00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违约金；擅自更换专职安全生产管理人员处</w:t>
      </w:r>
      <w:r>
        <w:rPr>
          <w:rFonts w:hint="eastAsia"/>
          <w:color w:val="auto"/>
          <w:highlight w:val="none"/>
          <w:u w:val="single"/>
          <w:lang w:val="en-US" w:eastAsia="zh-CN"/>
        </w:rPr>
        <w:t>5000.00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违约金；擅自更换其它在场管理人员处</w:t>
      </w:r>
      <w:r>
        <w:rPr>
          <w:rFonts w:hint="eastAsia"/>
          <w:color w:val="auto"/>
          <w:highlight w:val="none"/>
          <w:u w:val="single"/>
          <w:lang w:val="en-US" w:eastAsia="zh-CN"/>
        </w:rPr>
        <w:t>2000.00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w:t>
      </w:r>
      <w:r>
        <w:rPr>
          <w:rFonts w:hint="eastAsia" w:hAnsi="宋体" w:cs="宋体"/>
          <w:color w:val="auto"/>
          <w:highlight w:val="none"/>
        </w:rPr>
        <w:t>。</w:t>
      </w:r>
    </w:p>
    <w:p w14:paraId="1B790DDF">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承包人主要施工管理人员擅自离开施工现场的违约责任：</w:t>
      </w:r>
      <w:r>
        <w:rPr>
          <w:rFonts w:hint="eastAsia" w:hAnsi="宋体" w:cs="宋体"/>
          <w:color w:val="auto"/>
          <w:highlight w:val="none"/>
          <w:u w:val="single"/>
        </w:rPr>
        <w:t>未经发包人同意，项目技术负责人擅自离岗的，视为承包人违约，发包人有权处违约金</w:t>
      </w:r>
      <w:r>
        <w:rPr>
          <w:rFonts w:hint="eastAsia"/>
          <w:color w:val="auto"/>
          <w:highlight w:val="none"/>
          <w:u w:val="single"/>
          <w:lang w:val="en-US" w:eastAsia="zh-CN"/>
        </w:rPr>
        <w:t>5000.00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；未经发包人同意，专职安全生产管理人员擅自离岗的，视为承包人违约，发包人有权处违约金</w:t>
      </w:r>
      <w:r>
        <w:rPr>
          <w:rFonts w:hint="eastAsia"/>
          <w:color w:val="auto"/>
          <w:highlight w:val="none"/>
          <w:u w:val="single"/>
          <w:lang w:val="en-US" w:eastAsia="zh-CN"/>
        </w:rPr>
        <w:t>2000.00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；其它在场管理人员擅自离岗的，视为承包人违约，发包人有权处违约金</w:t>
      </w:r>
      <w:r>
        <w:rPr>
          <w:rFonts w:hint="eastAsia"/>
          <w:color w:val="auto"/>
          <w:highlight w:val="none"/>
          <w:u w:val="single"/>
          <w:lang w:val="en-US" w:eastAsia="zh-CN"/>
        </w:rPr>
        <w:t>1000.00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66F8C3D6">
      <w:pPr>
        <w:pStyle w:val="4"/>
        <w:pageBreakBefore w:val="0"/>
        <w:widowControl w:val="0"/>
        <w:kinsoku/>
        <w:wordWrap/>
        <w:overflowPunct/>
        <w:topLinePunct w:val="0"/>
        <w:bidi w:val="0"/>
        <w:spacing w:before="0" w:after="0" w:line="360" w:lineRule="auto"/>
        <w:textAlignment w:val="auto"/>
        <w:rPr>
          <w:color w:val="auto"/>
          <w:highlight w:val="none"/>
        </w:rPr>
      </w:pPr>
      <w:bookmarkStart w:id="246" w:name="_Toc2025600126"/>
      <w:bookmarkStart w:id="247" w:name="_Toc373478357"/>
      <w:bookmarkStart w:id="248" w:name="_Toc78449798"/>
      <w:bookmarkStart w:id="249" w:name="_Toc3742"/>
      <w:bookmarkStart w:id="250" w:name="_Toc389065276"/>
      <w:bookmarkStart w:id="251" w:name="_Toc407135212"/>
      <w:bookmarkStart w:id="252" w:name="_Toc373227710"/>
      <w:r>
        <w:rPr>
          <w:color w:val="auto"/>
          <w:highlight w:val="none"/>
        </w:rPr>
        <w:t>3</w:t>
      </w:r>
      <w:bookmarkStart w:id="253" w:name="_Toc296944498"/>
      <w:bookmarkStart w:id="254" w:name="_Toc296347158"/>
      <w:bookmarkStart w:id="255" w:name="_Toc312677988"/>
      <w:bookmarkStart w:id="256" w:name="_Toc292559364"/>
      <w:bookmarkStart w:id="257" w:name="_Toc300934945"/>
      <w:bookmarkStart w:id="258" w:name="_Toc297216151"/>
      <w:bookmarkStart w:id="259" w:name="_Toc303539102"/>
      <w:bookmarkStart w:id="260" w:name="_Toc304295523"/>
      <w:bookmarkStart w:id="261" w:name="_Toc296503159"/>
      <w:bookmarkStart w:id="262" w:name="_Toc297120459"/>
      <w:bookmarkStart w:id="263" w:name="_Toc296891199"/>
      <w:bookmarkStart w:id="264" w:name="_Toc296890987"/>
      <w:bookmarkStart w:id="265" w:name="_Toc297048345"/>
      <w:bookmarkStart w:id="266" w:name="_Toc296346660"/>
      <w:bookmarkStart w:id="267" w:name="_Toc297123492"/>
      <w:bookmarkStart w:id="268" w:name="_Toc292559869"/>
      <w:r>
        <w:rPr>
          <w:color w:val="auto"/>
          <w:highlight w:val="none"/>
        </w:rPr>
        <w:t xml:space="preserve">.5 </w:t>
      </w:r>
      <w:r>
        <w:rPr>
          <w:rFonts w:hint="eastAsia" w:hAnsi="宋体" w:cs="黑体"/>
          <w:color w:val="auto"/>
          <w:highlight w:val="none"/>
        </w:rPr>
        <w:t>分包</w:t>
      </w:r>
      <w:bookmarkEnd w:id="246"/>
      <w:bookmarkEnd w:id="247"/>
      <w:bookmarkEnd w:id="248"/>
      <w:bookmarkEnd w:id="249"/>
      <w:bookmarkEnd w:id="250"/>
      <w:bookmarkEnd w:id="251"/>
      <w:bookmarkEnd w:id="252"/>
    </w:p>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14:paraId="2F1DD8A2">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3</w:t>
      </w:r>
      <w:bookmarkStart w:id="269" w:name="_Toc292559365"/>
      <w:bookmarkStart w:id="270" w:name="_Toc297048346"/>
      <w:bookmarkStart w:id="271" w:name="_Toc304295524"/>
      <w:bookmarkStart w:id="272" w:name="_Toc296944499"/>
      <w:bookmarkStart w:id="273" w:name="_Toc300934946"/>
      <w:bookmarkStart w:id="274" w:name="_Toc318581158"/>
      <w:bookmarkStart w:id="275" w:name="_Toc297216152"/>
      <w:bookmarkStart w:id="276" w:name="_Toc296890988"/>
      <w:bookmarkStart w:id="277" w:name="_Toc296503160"/>
      <w:bookmarkStart w:id="278" w:name="_Toc297120460"/>
      <w:bookmarkStart w:id="279" w:name="_Toc312677989"/>
      <w:bookmarkStart w:id="280" w:name="_Toc296346661"/>
      <w:bookmarkStart w:id="281" w:name="_Toc296347159"/>
      <w:bookmarkStart w:id="282" w:name="_Toc303539103"/>
      <w:bookmarkStart w:id="283" w:name="_Toc297123493"/>
      <w:bookmarkStart w:id="284" w:name="_Toc296891200"/>
      <w:bookmarkStart w:id="285" w:name="_Toc292559870"/>
      <w:r>
        <w:rPr>
          <w:color w:val="auto"/>
          <w:highlight w:val="none"/>
        </w:rPr>
        <w:t xml:space="preserve">.5.1 </w:t>
      </w:r>
      <w:r>
        <w:rPr>
          <w:rFonts w:hint="eastAsia" w:hAnsi="宋体" w:cs="宋体"/>
          <w:color w:val="auto"/>
          <w:highlight w:val="none"/>
        </w:rPr>
        <w:t>分包的一般约定</w:t>
      </w:r>
    </w:p>
    <w:p w14:paraId="66FD0148">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禁止分包的工程包括：</w:t>
      </w:r>
      <w:r>
        <w:rPr>
          <w:color w:val="auto"/>
          <w:highlight w:val="none"/>
          <w:u w:val="single"/>
        </w:rPr>
        <w:t xml:space="preserve">  </w:t>
      </w:r>
      <w:r>
        <w:rPr>
          <w:rFonts w:hint="eastAsia"/>
          <w:color w:val="auto"/>
          <w:highlight w:val="none"/>
          <w:u w:val="single"/>
          <w:lang w:val="en-US" w:eastAsia="zh-CN"/>
        </w:rPr>
        <w:t>本项目禁止分包</w:t>
      </w:r>
      <w:r>
        <w:rPr>
          <w:color w:val="auto"/>
          <w:highlight w:val="none"/>
          <w:u w:val="single"/>
        </w:rPr>
        <w:t xml:space="preserve">   </w:t>
      </w:r>
      <w:r>
        <w:rPr>
          <w:rFonts w:hint="eastAsia" w:hAnsi="宋体" w:cs="宋体"/>
          <w:color w:val="auto"/>
          <w:highlight w:val="none"/>
        </w:rPr>
        <w:t>。</w:t>
      </w:r>
    </w:p>
    <w:p w14:paraId="34AB2789">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主体结构、关键性工作的范围：</w:t>
      </w:r>
      <w:r>
        <w:rPr>
          <w:color w:val="auto"/>
          <w:highlight w:val="none"/>
          <w:u w:val="single"/>
        </w:rPr>
        <w:t xml:space="preserve">                  </w:t>
      </w:r>
      <w:r>
        <w:rPr>
          <w:rFonts w:hint="eastAsia" w:hAnsi="宋体" w:cs="宋体"/>
          <w:color w:val="auto"/>
          <w:highlight w:val="none"/>
        </w:rPr>
        <w: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0C3A8BF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3</w:t>
      </w:r>
      <w:bookmarkStart w:id="286" w:name="_Toc318581159"/>
      <w:bookmarkStart w:id="287" w:name="_Toc312677990"/>
      <w:r>
        <w:rPr>
          <w:color w:val="auto"/>
          <w:highlight w:val="none"/>
        </w:rPr>
        <w:t xml:space="preserve">.5.2 </w:t>
      </w:r>
      <w:r>
        <w:rPr>
          <w:rFonts w:hint="eastAsia" w:hAnsi="宋体" w:cs="宋体"/>
          <w:color w:val="auto"/>
          <w:highlight w:val="none"/>
        </w:rPr>
        <w:t>分包的确定</w:t>
      </w:r>
    </w:p>
    <w:p w14:paraId="2C78337D">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允许分包的专业工程包括：</w:t>
      </w:r>
      <w:r>
        <w:rPr>
          <w:color w:val="auto"/>
          <w:highlight w:val="none"/>
          <w:u w:val="single"/>
        </w:rPr>
        <w:t xml:space="preserve"> </w:t>
      </w:r>
      <w:r>
        <w:rPr>
          <w:rFonts w:hint="eastAsia"/>
          <w:color w:val="auto"/>
          <w:highlight w:val="none"/>
          <w:u w:val="single"/>
        </w:rPr>
        <w:t>不允许分包</w:t>
      </w:r>
      <w:r>
        <w:rPr>
          <w:color w:val="auto"/>
          <w:highlight w:val="none"/>
          <w:u w:val="single"/>
        </w:rPr>
        <w:t xml:space="preserve">  </w:t>
      </w:r>
      <w:r>
        <w:rPr>
          <w:rFonts w:hint="eastAsia" w:hAnsi="宋体" w:cs="宋体"/>
          <w:color w:val="auto"/>
          <w:highlight w:val="none"/>
        </w:rPr>
        <w:t>。</w:t>
      </w:r>
    </w:p>
    <w:p w14:paraId="17E5F7B0">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其他关于分包的约定：</w:t>
      </w:r>
    </w:p>
    <w:p w14:paraId="6D34A6C1">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w:t>
      </w:r>
      <w:r>
        <w:rPr>
          <w:rFonts w:hint="eastAsia" w:hAnsi="宋体" w:cs="宋体"/>
          <w:color w:val="auto"/>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hAnsi="宋体"/>
          <w:color w:val="auto"/>
          <w:highlight w:val="none"/>
        </w:rPr>
        <w:t>6</w:t>
      </w:r>
      <w:r>
        <w:rPr>
          <w:rFonts w:hint="eastAsia" w:hAnsi="宋体" w:cs="宋体"/>
          <w:color w:val="auto"/>
          <w:highlight w:val="none"/>
        </w:rPr>
        <w:t>。</w:t>
      </w:r>
    </w:p>
    <w:p w14:paraId="659CCB1B">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cs="宋体"/>
          <w:color w:val="auto"/>
          <w:highlight w:val="none"/>
        </w:rPr>
        <w:t>（</w:t>
      </w:r>
      <w:r>
        <w:rPr>
          <w:color w:val="auto"/>
          <w:highlight w:val="none"/>
        </w:rPr>
        <w:t>2</w:t>
      </w:r>
      <w:r>
        <w:rPr>
          <w:rFonts w:hint="eastAsia" w:cs="宋体"/>
          <w:color w:val="auto"/>
          <w:highlight w:val="none"/>
        </w:rPr>
        <w:t>）</w:t>
      </w:r>
      <w:r>
        <w:rPr>
          <w:rFonts w:hint="eastAsia" w:hAnsi="宋体" w:cs="宋体"/>
          <w:color w:val="auto"/>
          <w:highlight w:val="none"/>
        </w:rPr>
        <w:t>在相关分包合同签订并报送有关建设行政主管部门备案后</w:t>
      </w:r>
      <w:r>
        <w:rPr>
          <w:color w:val="auto"/>
          <w:highlight w:val="none"/>
        </w:rPr>
        <w:t>7</w:t>
      </w:r>
      <w:r>
        <w:rPr>
          <w:rFonts w:hint="eastAsia" w:hAnsi="宋体" w:cs="宋体"/>
          <w:color w:val="auto"/>
          <w:highlight w:val="none"/>
        </w:rPr>
        <w:t>天内，承包人应当将一份副本提交给监理人，承包人应保障分包工作不得再次分包。</w:t>
      </w:r>
    </w:p>
    <w:p w14:paraId="5E06A24F">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w:t>
      </w:r>
      <w:r>
        <w:rPr>
          <w:rFonts w:hint="eastAsia" w:hAnsi="宋体" w:cs="宋体"/>
          <w:color w:val="auto"/>
          <w:highlight w:val="none"/>
        </w:rPr>
        <w:t>未经承包人和监理人审批同意的分包工程和分包人，承包人有权拒绝验收分包工程和支付相应款项，由此引起的发包人费用增加和</w:t>
      </w:r>
      <w:r>
        <w:rPr>
          <w:rFonts w:hint="eastAsia"/>
          <w:color w:val="auto"/>
          <w:highlight w:val="none"/>
          <w:lang w:eastAsia="zh-CN"/>
        </w:rPr>
        <w:t>（</w:t>
      </w:r>
      <w:r>
        <w:rPr>
          <w:rFonts w:hint="eastAsia" w:hAnsi="宋体" w:cs="宋体"/>
          <w:color w:val="auto"/>
          <w:highlight w:val="none"/>
        </w:rPr>
        <w:t>或</w:t>
      </w:r>
      <w:r>
        <w:rPr>
          <w:rFonts w:hint="eastAsia"/>
          <w:color w:val="auto"/>
          <w:highlight w:val="none"/>
          <w:lang w:eastAsia="zh-CN"/>
        </w:rPr>
        <w:t>）</w:t>
      </w:r>
      <w:r>
        <w:rPr>
          <w:rFonts w:hint="eastAsia" w:hAnsi="宋体" w:cs="宋体"/>
          <w:color w:val="auto"/>
          <w:highlight w:val="none"/>
        </w:rPr>
        <w:t>延误的工期由发包人承担。</w:t>
      </w:r>
    </w:p>
    <w:p w14:paraId="58F37867">
      <w:pPr>
        <w:pStyle w:val="25"/>
        <w:pageBreakBefore w:val="0"/>
        <w:widowControl w:val="0"/>
        <w:kinsoku/>
        <w:wordWrap/>
        <w:overflowPunct/>
        <w:topLinePunct w:val="0"/>
        <w:bidi w:val="0"/>
        <w:spacing w:line="360" w:lineRule="auto"/>
        <w:ind w:firstLine="420" w:firstLineChars="200"/>
        <w:textAlignment w:val="auto"/>
        <w:rPr>
          <w:rFonts w:ascii="Times New Roman" w:hAnsi="Times New Roman"/>
          <w:color w:val="auto"/>
          <w:sz w:val="21"/>
          <w:szCs w:val="21"/>
          <w:highlight w:val="none"/>
        </w:rPr>
      </w:pPr>
      <w:r>
        <w:rPr>
          <w:rFonts w:hint="eastAsia" w:ascii="Times New Roman" w:hAnsi="Times New Roman"/>
          <w:color w:val="auto"/>
          <w:sz w:val="21"/>
          <w:szCs w:val="21"/>
          <w:highlight w:val="none"/>
        </w:rPr>
        <w:t>（</w:t>
      </w:r>
      <w:r>
        <w:rPr>
          <w:rFonts w:ascii="Times New Roman" w:hAnsi="Times New Roman"/>
          <w:color w:val="auto"/>
          <w:sz w:val="21"/>
          <w:szCs w:val="21"/>
          <w:highlight w:val="none"/>
        </w:rPr>
        <w:t>4</w:t>
      </w:r>
      <w:r>
        <w:rPr>
          <w:rFonts w:hint="eastAsia" w:ascii="Times New Roman" w:hAnsi="Times New Roman"/>
          <w:color w:val="auto"/>
          <w:sz w:val="21"/>
          <w:szCs w:val="21"/>
          <w:highlight w:val="none"/>
        </w:rPr>
        <w:t>）</w:t>
      </w:r>
      <w:r>
        <w:rPr>
          <w:rFonts w:hint="eastAsia" w:ascii="Times New Roman" w:hAnsi="宋体"/>
          <w:color w:val="auto"/>
          <w:sz w:val="21"/>
          <w:szCs w:val="21"/>
          <w:highlight w:val="none"/>
        </w:rPr>
        <w:t>承包人有以下情况之一者，发包人有权解除合同，并视情况扣除其履约保证金：</w:t>
      </w:r>
    </w:p>
    <w:p w14:paraId="7B78BFC1">
      <w:pPr>
        <w:pStyle w:val="25"/>
        <w:pageBreakBefore w:val="0"/>
        <w:widowControl w:val="0"/>
        <w:kinsoku/>
        <w:wordWrap/>
        <w:overflowPunct/>
        <w:topLinePunct w:val="0"/>
        <w:bidi w:val="0"/>
        <w:spacing w:line="360" w:lineRule="auto"/>
        <w:ind w:firstLine="441" w:firstLineChars="210"/>
        <w:textAlignment w:val="auto"/>
        <w:rPr>
          <w:rFonts w:ascii="Times New Roman" w:hAnsi="Times New Roman"/>
          <w:color w:val="auto"/>
          <w:sz w:val="21"/>
          <w:szCs w:val="21"/>
          <w:highlight w:val="none"/>
        </w:rPr>
      </w:pPr>
      <w:r>
        <w:rPr>
          <w:rFonts w:hint="eastAsia" w:ascii="Times New Roman" w:hAnsi="宋体"/>
          <w:color w:val="auto"/>
          <w:sz w:val="21"/>
          <w:szCs w:val="21"/>
          <w:highlight w:val="none"/>
        </w:rPr>
        <w:t>①个人承包工程，包括本人单位及外单位人员承包，发包人不承认其个人拥有任何资质等级及营业许可资格。没收全部履约保证金。</w:t>
      </w:r>
    </w:p>
    <w:p w14:paraId="5B024EE3">
      <w:pPr>
        <w:pStyle w:val="25"/>
        <w:pageBreakBefore w:val="0"/>
        <w:widowControl w:val="0"/>
        <w:kinsoku/>
        <w:wordWrap/>
        <w:overflowPunct/>
        <w:topLinePunct w:val="0"/>
        <w:bidi w:val="0"/>
        <w:spacing w:line="360" w:lineRule="auto"/>
        <w:ind w:firstLine="441" w:firstLineChars="210"/>
        <w:textAlignment w:val="auto"/>
        <w:rPr>
          <w:rFonts w:ascii="Times New Roman" w:hAnsi="Times New Roman"/>
          <w:color w:val="auto"/>
          <w:sz w:val="21"/>
          <w:szCs w:val="21"/>
          <w:highlight w:val="none"/>
        </w:rPr>
      </w:pPr>
      <w:r>
        <w:rPr>
          <w:rFonts w:hint="eastAsia" w:ascii="Times New Roman" w:hAnsi="宋体"/>
          <w:color w:val="auto"/>
          <w:sz w:val="21"/>
          <w:szCs w:val="21"/>
          <w:highlight w:val="none"/>
        </w:rPr>
        <w:t>②几个人联合承包工程，就地组织暗分包队伍，不具备完成本工程的技术、机械能力，被发包人判定为没有能力履行的承包人。没收全部履约保证金。</w:t>
      </w:r>
    </w:p>
    <w:p w14:paraId="0496BDB9">
      <w:pPr>
        <w:pStyle w:val="25"/>
        <w:pageBreakBefore w:val="0"/>
        <w:widowControl w:val="0"/>
        <w:kinsoku/>
        <w:wordWrap/>
        <w:overflowPunct/>
        <w:topLinePunct w:val="0"/>
        <w:bidi w:val="0"/>
        <w:spacing w:line="360" w:lineRule="auto"/>
        <w:ind w:firstLine="441" w:firstLineChars="210"/>
        <w:textAlignment w:val="auto"/>
        <w:rPr>
          <w:rFonts w:ascii="Times New Roman" w:hAnsi="Times New Roman"/>
          <w:color w:val="auto"/>
          <w:sz w:val="21"/>
          <w:szCs w:val="21"/>
          <w:highlight w:val="none"/>
        </w:rPr>
      </w:pPr>
      <w:r>
        <w:rPr>
          <w:rFonts w:hint="eastAsia" w:ascii="Times New Roman" w:hAnsi="宋体"/>
          <w:color w:val="auto"/>
          <w:sz w:val="21"/>
          <w:szCs w:val="21"/>
          <w:highlight w:val="none"/>
        </w:rPr>
        <w:t>③就地转包全部的工程，以谋取高额转让费、管理费的承包人。没收全部履约保证金。</w:t>
      </w:r>
    </w:p>
    <w:p w14:paraId="79D3280C">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39BCEE02">
      <w:pPr>
        <w:pageBreakBefore w:val="0"/>
        <w:widowControl w:val="0"/>
        <w:kinsoku/>
        <w:wordWrap/>
        <w:overflowPunct/>
        <w:topLinePunct w:val="0"/>
        <w:bidi w:val="0"/>
        <w:spacing w:line="360" w:lineRule="auto"/>
        <w:ind w:firstLine="420" w:firstLineChars="200"/>
        <w:textAlignment w:val="auto"/>
        <w:rPr>
          <w:color w:val="auto"/>
          <w:highlight w:val="none"/>
        </w:rPr>
      </w:pPr>
      <w:r>
        <w:rPr>
          <w:color w:val="auto"/>
          <w:highlight w:val="none"/>
        </w:rPr>
        <w:t xml:space="preserve">3.5.4 </w:t>
      </w:r>
      <w:r>
        <w:rPr>
          <w:rFonts w:hint="eastAsia" w:hAnsi="宋体" w:cs="宋体"/>
          <w:color w:val="auto"/>
          <w:highlight w:val="none"/>
        </w:rPr>
        <w:t>分包合同价款</w:t>
      </w:r>
    </w:p>
    <w:bookmarkEnd w:id="286"/>
    <w:bookmarkEnd w:id="287"/>
    <w:p w14:paraId="48576017">
      <w:pPr>
        <w:pageBreakBefore w:val="0"/>
        <w:widowControl w:val="0"/>
        <w:kinsoku/>
        <w:wordWrap/>
        <w:overflowPunct/>
        <w:topLinePunct w:val="0"/>
        <w:bidi w:val="0"/>
        <w:spacing w:line="360" w:lineRule="auto"/>
        <w:ind w:firstLine="420" w:firstLineChars="200"/>
        <w:textAlignment w:val="auto"/>
        <w:rPr>
          <w:color w:val="auto"/>
          <w:highlight w:val="none"/>
        </w:rPr>
      </w:pPr>
      <w:bookmarkStart w:id="288" w:name="_Toc373227711"/>
      <w:bookmarkStart w:id="289" w:name="_Toc373478358"/>
      <w:bookmarkStart w:id="290" w:name="_Toc389065277"/>
      <w:r>
        <w:rPr>
          <w:rFonts w:hint="eastAsia" w:hAnsi="宋体" w:cs="宋体"/>
          <w:color w:val="auto"/>
          <w:highlight w:val="none"/>
        </w:rPr>
        <w:t>关于分包合同价款支付的约定：</w:t>
      </w:r>
      <w:r>
        <w:rPr>
          <w:rFonts w:hint="eastAsia" w:hAnsi="宋体" w:cs="宋体"/>
          <w:color w:val="auto"/>
          <w:highlight w:val="none"/>
          <w:u w:val="single"/>
        </w:rPr>
        <w:t>分包工程价款由承包人与分包人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结算。发包人未经承包人同意不得以任何形式向分包人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支付相关分包合同项下的任何工程款项。因发包人未经承包人同意直接向分包人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支付相关分包合同项下的任何工程款项而影响承包人工作的，所造成的承包人费用增加和</w:t>
      </w:r>
      <w:r>
        <w:rPr>
          <w:rFonts w:hint="eastAsia" w:cs="宋体"/>
          <w:color w:val="auto"/>
          <w:highlight w:val="none"/>
          <w:u w:val="single"/>
        </w:rPr>
        <w:t>（</w:t>
      </w:r>
      <w:r>
        <w:rPr>
          <w:rFonts w:hint="eastAsia" w:hAnsi="宋体" w:cs="宋体"/>
          <w:color w:val="auto"/>
          <w:highlight w:val="none"/>
          <w:u w:val="single"/>
        </w:rPr>
        <w:t>或</w:t>
      </w:r>
      <w:r>
        <w:rPr>
          <w:rFonts w:hint="eastAsia" w:cs="宋体"/>
          <w:color w:val="auto"/>
          <w:highlight w:val="none"/>
          <w:u w:val="single"/>
        </w:rPr>
        <w:t>）</w:t>
      </w:r>
      <w:r>
        <w:rPr>
          <w:rFonts w:hint="eastAsia" w:hAnsi="宋体" w:cs="宋体"/>
          <w:color w:val="auto"/>
          <w:highlight w:val="none"/>
          <w:u w:val="single"/>
        </w:rPr>
        <w:t>延误的工期由发包人承担。</w:t>
      </w:r>
    </w:p>
    <w:p w14:paraId="4432DF06">
      <w:pPr>
        <w:pStyle w:val="4"/>
        <w:pageBreakBefore w:val="0"/>
        <w:widowControl w:val="0"/>
        <w:kinsoku/>
        <w:wordWrap/>
        <w:overflowPunct/>
        <w:topLinePunct w:val="0"/>
        <w:bidi w:val="0"/>
        <w:spacing w:before="0" w:after="0" w:line="360" w:lineRule="auto"/>
        <w:textAlignment w:val="auto"/>
        <w:rPr>
          <w:color w:val="auto"/>
          <w:highlight w:val="none"/>
        </w:rPr>
      </w:pPr>
      <w:bookmarkStart w:id="291" w:name="_Toc57329529"/>
      <w:bookmarkStart w:id="292" w:name="_Toc1146"/>
      <w:bookmarkStart w:id="293" w:name="_Toc78449799"/>
      <w:bookmarkStart w:id="294" w:name="_Toc407135213"/>
      <w:r>
        <w:rPr>
          <w:color w:val="auto"/>
          <w:highlight w:val="none"/>
        </w:rPr>
        <w:t xml:space="preserve">3.6 </w:t>
      </w:r>
      <w:r>
        <w:rPr>
          <w:rFonts w:hint="eastAsia" w:cs="黑体"/>
          <w:color w:val="auto"/>
          <w:highlight w:val="none"/>
        </w:rPr>
        <w:t>工程照管与成品、半成品保护</w:t>
      </w:r>
      <w:bookmarkEnd w:id="288"/>
      <w:bookmarkEnd w:id="289"/>
      <w:bookmarkEnd w:id="290"/>
      <w:bookmarkEnd w:id="291"/>
      <w:bookmarkEnd w:id="292"/>
      <w:bookmarkEnd w:id="293"/>
      <w:bookmarkEnd w:id="294"/>
    </w:p>
    <w:p w14:paraId="267A3931">
      <w:pPr>
        <w:pageBreakBefore w:val="0"/>
        <w:widowControl w:val="0"/>
        <w:kinsoku/>
        <w:wordWrap/>
        <w:overflowPunct/>
        <w:topLinePunct w:val="0"/>
        <w:bidi w:val="0"/>
        <w:spacing w:line="360" w:lineRule="auto"/>
        <w:ind w:firstLine="420" w:firstLineChars="200"/>
        <w:textAlignment w:val="auto"/>
        <w:rPr>
          <w:color w:val="auto"/>
          <w:kern w:val="0"/>
          <w:highlight w:val="none"/>
          <w:u w:val="single"/>
        </w:rPr>
      </w:pPr>
      <w:r>
        <w:rPr>
          <w:rFonts w:hint="eastAsia" w:hAnsi="宋体" w:cs="宋体"/>
          <w:color w:val="auto"/>
          <w:kern w:val="0"/>
          <w:highlight w:val="none"/>
        </w:rPr>
        <w:t>承包人负责照管工程及工程相关的材料、工程设备的起始时间：</w:t>
      </w:r>
      <w:r>
        <w:rPr>
          <w:color w:val="auto"/>
          <w:kern w:val="0"/>
          <w:highlight w:val="none"/>
          <w:u w:val="single"/>
        </w:rPr>
        <w:t xml:space="preserve">  </w:t>
      </w:r>
      <w:r>
        <w:rPr>
          <w:rFonts w:hint="eastAsia"/>
          <w:color w:val="auto"/>
          <w:kern w:val="0"/>
          <w:highlight w:val="none"/>
          <w:u w:val="single"/>
        </w:rPr>
        <w:t>工程开工之日起至质量缺陷责任期终止证书之日止。承包人负责照管工程（包括已完成的工程）及工程相关的材料、工程设备（包括由发包人提供的工程相关的材料、工程设备）。在承包人负责照管期间，因承包人原因造成工程、材料、工程设备损坏的，由承包人负责修复或更换，并承担由此增加的费用和（或）延误的工期</w:t>
      </w:r>
      <w:r>
        <w:rPr>
          <w:color w:val="auto"/>
          <w:kern w:val="0"/>
          <w:highlight w:val="none"/>
          <w:u w:val="single"/>
        </w:rPr>
        <w:t xml:space="preserve">  </w:t>
      </w:r>
      <w:r>
        <w:rPr>
          <w:rFonts w:hint="eastAsia" w:hAnsi="宋体" w:cs="宋体"/>
          <w:color w:val="auto"/>
          <w:kern w:val="0"/>
          <w:highlight w:val="none"/>
        </w:rPr>
        <w:t>。</w:t>
      </w:r>
    </w:p>
    <w:p w14:paraId="59276CD5">
      <w:pPr>
        <w:pStyle w:val="4"/>
        <w:pageBreakBefore w:val="0"/>
        <w:widowControl w:val="0"/>
        <w:kinsoku/>
        <w:wordWrap/>
        <w:overflowPunct/>
        <w:topLinePunct w:val="0"/>
        <w:bidi w:val="0"/>
        <w:spacing w:before="0" w:after="0" w:line="360" w:lineRule="auto"/>
        <w:textAlignment w:val="auto"/>
        <w:rPr>
          <w:color w:val="auto"/>
          <w:highlight w:val="none"/>
        </w:rPr>
      </w:pPr>
      <w:bookmarkStart w:id="295" w:name="_Toc373227712"/>
      <w:bookmarkStart w:id="296" w:name="_Toc389065278"/>
      <w:bookmarkStart w:id="297" w:name="_Toc373478359"/>
      <w:bookmarkStart w:id="298" w:name="_Toc407135214"/>
      <w:bookmarkStart w:id="299" w:name="_Toc78449800"/>
      <w:bookmarkStart w:id="300" w:name="_Toc1042049436"/>
      <w:bookmarkStart w:id="301" w:name="_Toc13208"/>
      <w:r>
        <w:rPr>
          <w:color w:val="auto"/>
          <w:highlight w:val="none"/>
        </w:rPr>
        <w:t xml:space="preserve">3.7 </w:t>
      </w:r>
      <w:r>
        <w:rPr>
          <w:rFonts w:hint="eastAsia" w:hAnsi="宋体" w:cs="黑体"/>
          <w:color w:val="auto"/>
          <w:highlight w:val="none"/>
        </w:rPr>
        <w:t>履约</w:t>
      </w:r>
      <w:bookmarkEnd w:id="295"/>
      <w:bookmarkEnd w:id="296"/>
      <w:bookmarkEnd w:id="297"/>
      <w:r>
        <w:rPr>
          <w:rFonts w:hint="eastAsia" w:hAnsi="宋体" w:cs="黑体"/>
          <w:color w:val="auto"/>
          <w:highlight w:val="none"/>
        </w:rPr>
        <w:t>保证金</w:t>
      </w:r>
      <w:bookmarkEnd w:id="298"/>
      <w:bookmarkEnd w:id="299"/>
      <w:bookmarkEnd w:id="300"/>
      <w:bookmarkEnd w:id="301"/>
    </w:p>
    <w:p w14:paraId="7D013337">
      <w:pPr>
        <w:pageBreakBefore w:val="0"/>
        <w:widowControl w:val="0"/>
        <w:kinsoku/>
        <w:wordWrap/>
        <w:overflowPunct/>
        <w:topLinePunct w:val="0"/>
        <w:bidi w:val="0"/>
        <w:spacing w:line="360" w:lineRule="auto"/>
        <w:ind w:firstLine="420" w:firstLineChars="200"/>
        <w:textAlignment w:val="auto"/>
        <w:rPr>
          <w:rFonts w:hint="eastAsia" w:eastAsia="宋体"/>
          <w:color w:val="auto"/>
          <w:highlight w:val="none"/>
          <w:u w:val="single"/>
          <w:lang w:eastAsia="zh-CN"/>
        </w:rPr>
      </w:pPr>
      <w:bookmarkStart w:id="302" w:name="_Toc373227713"/>
      <w:bookmarkStart w:id="303" w:name="_Toc389065279"/>
      <w:bookmarkStart w:id="304" w:name="_Toc373478360"/>
      <w:bookmarkStart w:id="305" w:name="_Toc351203636"/>
      <w:r>
        <w:rPr>
          <w:rFonts w:hint="eastAsia" w:hAnsi="宋体" w:cs="宋体"/>
          <w:color w:val="auto"/>
          <w:highlight w:val="none"/>
          <w:lang w:val="en-US" w:eastAsia="zh-CN"/>
        </w:rPr>
        <w:t>无</w:t>
      </w:r>
    </w:p>
    <w:p w14:paraId="2F8B3497">
      <w:pPr>
        <w:pStyle w:val="3"/>
        <w:pageBreakBefore w:val="0"/>
        <w:widowControl w:val="0"/>
        <w:kinsoku/>
        <w:wordWrap/>
        <w:overflowPunct/>
        <w:topLinePunct w:val="0"/>
        <w:bidi w:val="0"/>
        <w:spacing w:before="0" w:after="0" w:line="360" w:lineRule="auto"/>
        <w:textAlignment w:val="auto"/>
        <w:rPr>
          <w:color w:val="auto"/>
          <w:highlight w:val="none"/>
        </w:rPr>
      </w:pPr>
      <w:bookmarkStart w:id="306" w:name="_Toc78449801"/>
      <w:bookmarkStart w:id="307" w:name="_Toc4698"/>
      <w:bookmarkStart w:id="308" w:name="_Toc907912356"/>
      <w:bookmarkStart w:id="309" w:name="_Toc407135215"/>
      <w:r>
        <w:rPr>
          <w:color w:val="auto"/>
          <w:highlight w:val="none"/>
        </w:rPr>
        <w:t>4</w:t>
      </w:r>
      <w:bookmarkStart w:id="310" w:name="_Toc296503162"/>
      <w:bookmarkStart w:id="311" w:name="_Toc296890990"/>
      <w:bookmarkStart w:id="312" w:name="_Toc292559366"/>
      <w:bookmarkStart w:id="313" w:name="_Toc267251413"/>
      <w:bookmarkStart w:id="314" w:name="_Toc297120462"/>
      <w:bookmarkStart w:id="315" w:name="_Toc292559871"/>
      <w:bookmarkStart w:id="316" w:name="_Toc296891202"/>
      <w:bookmarkStart w:id="317" w:name="_Toc296347161"/>
      <w:bookmarkStart w:id="318" w:name="_Toc296346663"/>
      <w:bookmarkStart w:id="319" w:name="_Toc297048348"/>
      <w:bookmarkStart w:id="320" w:name="_Toc296944501"/>
      <w:r>
        <w:rPr>
          <w:color w:val="auto"/>
          <w:highlight w:val="none"/>
        </w:rPr>
        <w:t xml:space="preserve">. </w:t>
      </w:r>
      <w:r>
        <w:rPr>
          <w:rFonts w:hint="eastAsia" w:hAnsi="宋体" w:cs="黑体"/>
          <w:color w:val="auto"/>
          <w:highlight w:val="none"/>
        </w:rPr>
        <w:t>监</w:t>
      </w:r>
      <w:bookmarkEnd w:id="310"/>
      <w:bookmarkEnd w:id="311"/>
      <w:bookmarkEnd w:id="312"/>
      <w:bookmarkEnd w:id="313"/>
      <w:bookmarkEnd w:id="314"/>
      <w:bookmarkEnd w:id="315"/>
      <w:bookmarkEnd w:id="316"/>
      <w:bookmarkEnd w:id="317"/>
      <w:bookmarkEnd w:id="318"/>
      <w:bookmarkEnd w:id="319"/>
      <w:bookmarkEnd w:id="320"/>
      <w:r>
        <w:rPr>
          <w:rFonts w:hint="eastAsia" w:hAnsi="宋体" w:cs="黑体"/>
          <w:color w:val="auto"/>
          <w:highlight w:val="none"/>
        </w:rPr>
        <w:t>理人</w:t>
      </w:r>
      <w:bookmarkEnd w:id="302"/>
      <w:bookmarkEnd w:id="303"/>
      <w:bookmarkEnd w:id="304"/>
      <w:bookmarkEnd w:id="305"/>
      <w:bookmarkEnd w:id="306"/>
      <w:bookmarkEnd w:id="307"/>
      <w:bookmarkEnd w:id="308"/>
      <w:bookmarkEnd w:id="309"/>
    </w:p>
    <w:p w14:paraId="523F3602">
      <w:pPr>
        <w:pStyle w:val="4"/>
        <w:pageBreakBefore w:val="0"/>
        <w:widowControl w:val="0"/>
        <w:kinsoku/>
        <w:wordWrap/>
        <w:overflowPunct/>
        <w:topLinePunct w:val="0"/>
        <w:bidi w:val="0"/>
        <w:spacing w:before="0" w:after="0" w:line="360" w:lineRule="auto"/>
        <w:textAlignment w:val="auto"/>
        <w:rPr>
          <w:color w:val="auto"/>
          <w:highlight w:val="none"/>
        </w:rPr>
      </w:pPr>
      <w:bookmarkStart w:id="321" w:name="_Toc373227714"/>
      <w:bookmarkStart w:id="322" w:name="_Toc78449802"/>
      <w:bookmarkStart w:id="323" w:name="_Toc389065280"/>
      <w:bookmarkStart w:id="324" w:name="_Toc373478361"/>
      <w:bookmarkStart w:id="325" w:name="_Toc407135216"/>
      <w:bookmarkStart w:id="326" w:name="_Toc5941"/>
      <w:bookmarkStart w:id="327" w:name="_Toc1595043148"/>
      <w:r>
        <w:rPr>
          <w:color w:val="auto"/>
          <w:highlight w:val="none"/>
        </w:rPr>
        <w:t xml:space="preserve">4.1 </w:t>
      </w:r>
      <w:r>
        <w:rPr>
          <w:rFonts w:hint="eastAsia" w:cs="黑体"/>
          <w:color w:val="auto"/>
          <w:highlight w:val="none"/>
        </w:rPr>
        <w:t>监理人的一般规定</w:t>
      </w:r>
      <w:bookmarkEnd w:id="321"/>
      <w:bookmarkEnd w:id="322"/>
      <w:bookmarkEnd w:id="323"/>
      <w:bookmarkEnd w:id="324"/>
      <w:bookmarkEnd w:id="325"/>
      <w:bookmarkEnd w:id="326"/>
      <w:bookmarkEnd w:id="327"/>
    </w:p>
    <w:p w14:paraId="179FB97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关于监理人的监理内容：</w:t>
      </w:r>
      <w:r>
        <w:rPr>
          <w:color w:val="auto"/>
          <w:highlight w:val="none"/>
          <w:u w:val="single"/>
        </w:rPr>
        <w:t xml:space="preserve">                               </w:t>
      </w:r>
      <w:r>
        <w:rPr>
          <w:rFonts w:hint="eastAsia" w:hAnsi="宋体" w:cs="宋体"/>
          <w:color w:val="auto"/>
          <w:highlight w:val="none"/>
        </w:rPr>
        <w:t>。</w:t>
      </w:r>
    </w:p>
    <w:p w14:paraId="7972A85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关于监理人的监理权限：</w:t>
      </w:r>
      <w:r>
        <w:rPr>
          <w:color w:val="auto"/>
          <w:highlight w:val="none"/>
          <w:u w:val="single"/>
        </w:rPr>
        <w:t xml:space="preserve">                               </w:t>
      </w:r>
      <w:r>
        <w:rPr>
          <w:rFonts w:hint="eastAsia" w:hAnsi="宋体" w:cs="宋体"/>
          <w:color w:val="auto"/>
          <w:highlight w:val="none"/>
        </w:rPr>
        <w:t>。</w:t>
      </w:r>
      <w:r>
        <w:rPr>
          <w:color w:val="auto"/>
          <w:highlight w:val="none"/>
        </w:rPr>
        <w:t xml:space="preserve"> </w:t>
      </w:r>
    </w:p>
    <w:p w14:paraId="5E4846CE">
      <w:pPr>
        <w:pageBreakBefore w:val="0"/>
        <w:widowControl w:val="0"/>
        <w:kinsoku/>
        <w:wordWrap/>
        <w:overflowPunct/>
        <w:topLinePunct w:val="0"/>
        <w:bidi w:val="0"/>
        <w:spacing w:line="360" w:lineRule="auto"/>
        <w:ind w:firstLine="420" w:firstLineChars="200"/>
        <w:textAlignment w:val="auto"/>
        <w:rPr>
          <w:color w:val="auto"/>
          <w:highlight w:val="none"/>
          <w:u w:val="single"/>
        </w:rPr>
      </w:pPr>
      <w:r>
        <w:rPr>
          <w:rFonts w:hint="eastAsia" w:hAnsi="宋体" w:cs="宋体"/>
          <w:color w:val="auto"/>
          <w:highlight w:val="none"/>
        </w:rPr>
        <w:t>关于监理人在施工现场的办公场所、生活场所的提供和费用承担的约定：</w:t>
      </w:r>
      <w:r>
        <w:rPr>
          <w:color w:val="auto"/>
          <w:highlight w:val="none"/>
          <w:u w:val="single"/>
        </w:rPr>
        <w:t xml:space="preserve">              </w:t>
      </w:r>
    </w:p>
    <w:p w14:paraId="2ECE74B7">
      <w:pPr>
        <w:pageBreakBefore w:val="0"/>
        <w:widowControl w:val="0"/>
        <w:kinsoku/>
        <w:wordWrap/>
        <w:overflowPunct/>
        <w:topLinePunct w:val="0"/>
        <w:bidi w:val="0"/>
        <w:spacing w:line="360" w:lineRule="auto"/>
        <w:textAlignment w:val="auto"/>
        <w:rPr>
          <w:color w:val="auto"/>
          <w:highlight w:val="none"/>
        </w:rPr>
      </w:pPr>
      <w:r>
        <w:rPr>
          <w:color w:val="auto"/>
          <w:highlight w:val="none"/>
          <w:u w:val="single"/>
        </w:rPr>
        <w:t xml:space="preserve">                                                                                </w:t>
      </w:r>
      <w:r>
        <w:rPr>
          <w:rFonts w:hint="eastAsia" w:hAnsi="宋体" w:cs="宋体"/>
          <w:color w:val="auto"/>
          <w:highlight w:val="none"/>
        </w:rPr>
        <w:t>。</w:t>
      </w:r>
    </w:p>
    <w:p w14:paraId="4E8090BC">
      <w:pPr>
        <w:pStyle w:val="4"/>
        <w:pageBreakBefore w:val="0"/>
        <w:widowControl w:val="0"/>
        <w:kinsoku/>
        <w:wordWrap/>
        <w:overflowPunct/>
        <w:topLinePunct w:val="0"/>
        <w:bidi w:val="0"/>
        <w:spacing w:before="0" w:after="0" w:line="360" w:lineRule="auto"/>
        <w:textAlignment w:val="auto"/>
        <w:rPr>
          <w:color w:val="auto"/>
          <w:highlight w:val="none"/>
        </w:rPr>
      </w:pPr>
      <w:bookmarkStart w:id="328" w:name="_Toc407135217"/>
      <w:bookmarkStart w:id="329" w:name="_Toc373478362"/>
      <w:bookmarkStart w:id="330" w:name="_Toc389065281"/>
      <w:bookmarkStart w:id="331" w:name="_Toc373227715"/>
      <w:bookmarkStart w:id="332" w:name="_Toc13554"/>
      <w:bookmarkStart w:id="333" w:name="_Toc386397261"/>
      <w:bookmarkStart w:id="334" w:name="_Toc78449803"/>
      <w:r>
        <w:rPr>
          <w:color w:val="auto"/>
          <w:highlight w:val="none"/>
        </w:rPr>
        <w:t xml:space="preserve">4.2 </w:t>
      </w:r>
      <w:r>
        <w:rPr>
          <w:rFonts w:hint="eastAsia" w:hAnsi="宋体" w:cs="黑体"/>
          <w:color w:val="auto"/>
          <w:highlight w:val="none"/>
        </w:rPr>
        <w:t>监理人员</w:t>
      </w:r>
      <w:bookmarkEnd w:id="328"/>
      <w:bookmarkEnd w:id="329"/>
      <w:bookmarkEnd w:id="330"/>
      <w:bookmarkEnd w:id="331"/>
      <w:bookmarkEnd w:id="332"/>
      <w:bookmarkEnd w:id="333"/>
      <w:bookmarkEnd w:id="334"/>
    </w:p>
    <w:p w14:paraId="118E0156">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总监理工程师：</w:t>
      </w:r>
    </w:p>
    <w:p w14:paraId="08C274F0">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2C062113">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职</w:t>
      </w:r>
      <w:r>
        <w:rPr>
          <w:color w:val="auto"/>
          <w:highlight w:val="none"/>
        </w:rPr>
        <w:t xml:space="preserve">    </w:t>
      </w:r>
      <w:r>
        <w:rPr>
          <w:rFonts w:hAnsi="宋体"/>
          <w:color w:val="auto"/>
          <w:highlight w:val="none"/>
        </w:rPr>
        <w:t>务：</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2064ACA1">
      <w:pPr>
        <w:pageBreakBefore w:val="0"/>
        <w:widowControl w:val="0"/>
        <w:kinsoku/>
        <w:wordWrap/>
        <w:overflowPunct/>
        <w:topLinePunct w:val="0"/>
        <w:bidi w:val="0"/>
        <w:spacing w:line="360" w:lineRule="auto"/>
        <w:ind w:firstLine="420" w:firstLineChars="200"/>
        <w:textAlignment w:val="auto"/>
        <w:rPr>
          <w:rFonts w:hAnsi="宋体"/>
          <w:color w:val="auto"/>
          <w:highlight w:val="none"/>
        </w:rPr>
      </w:pPr>
      <w:r>
        <w:rPr>
          <w:rFonts w:hAnsi="宋体"/>
          <w:color w:val="auto"/>
          <w:highlight w:val="none"/>
        </w:rPr>
        <w:t>监理工程师注册证书号：</w:t>
      </w:r>
      <w:r>
        <w:rPr>
          <w:rFonts w:hAnsi="宋体"/>
          <w:color w:val="auto"/>
          <w:highlight w:val="none"/>
          <w:u w:val="single"/>
        </w:rPr>
        <w:t></w:t>
      </w:r>
      <w:r>
        <w:rPr>
          <w:rFonts w:hint="eastAsia" w:hAnsi="宋体"/>
          <w:color w:val="auto"/>
          <w:highlight w:val="none"/>
          <w:u w:val="single"/>
        </w:rPr>
        <w:t xml:space="preserve">         </w:t>
      </w:r>
      <w:r>
        <w:rPr>
          <w:rFonts w:hAnsi="宋体"/>
          <w:color w:val="auto"/>
          <w:highlight w:val="none"/>
          <w:u w:val="single"/>
        </w:rPr>
        <w:t></w:t>
      </w:r>
      <w:r>
        <w:rPr>
          <w:rFonts w:hAnsi="宋体"/>
          <w:color w:val="auto"/>
          <w:highlight w:val="none"/>
        </w:rPr>
        <w:t>；</w:t>
      </w:r>
    </w:p>
    <w:p w14:paraId="3A6D42F6">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联系电话：</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49BADAF4">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电子信箱：</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4C93A26C">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通信地址：</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1954383B">
      <w:pPr>
        <w:pageBreakBefore w:val="0"/>
        <w:widowControl w:val="0"/>
        <w:kinsoku/>
        <w:wordWrap/>
        <w:overflowPunct/>
        <w:topLinePunct w:val="0"/>
        <w:bidi w:val="0"/>
        <w:spacing w:line="360" w:lineRule="auto"/>
        <w:ind w:firstLine="420" w:firstLineChars="200"/>
        <w:textAlignment w:val="auto"/>
        <w:rPr>
          <w:color w:val="auto"/>
          <w:highlight w:val="none"/>
        </w:rPr>
      </w:pPr>
      <w:r>
        <w:rPr>
          <w:rFonts w:hAnsi="宋体"/>
          <w:color w:val="auto"/>
          <w:highlight w:val="none"/>
        </w:rPr>
        <w:t>关于监理人的其他约定：</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Ansi="宋体"/>
          <w:color w:val="auto"/>
          <w:highlight w:val="none"/>
        </w:rPr>
        <w:t>。</w:t>
      </w:r>
    </w:p>
    <w:p w14:paraId="4FACB243">
      <w:pPr>
        <w:pStyle w:val="4"/>
        <w:pageBreakBefore w:val="0"/>
        <w:widowControl w:val="0"/>
        <w:kinsoku/>
        <w:wordWrap/>
        <w:overflowPunct/>
        <w:topLinePunct w:val="0"/>
        <w:bidi w:val="0"/>
        <w:spacing w:before="0" w:after="0" w:line="360" w:lineRule="auto"/>
        <w:textAlignment w:val="auto"/>
        <w:rPr>
          <w:color w:val="auto"/>
          <w:highlight w:val="none"/>
        </w:rPr>
      </w:pPr>
      <w:bookmarkStart w:id="335" w:name="_Toc407135218"/>
      <w:bookmarkStart w:id="336" w:name="_Toc373478363"/>
      <w:bookmarkStart w:id="337" w:name="_Toc373227716"/>
      <w:bookmarkStart w:id="338" w:name="_Toc26556"/>
      <w:bookmarkStart w:id="339" w:name="_Toc389065282"/>
      <w:bookmarkStart w:id="340" w:name="_Toc539923186"/>
      <w:bookmarkStart w:id="341" w:name="_Toc78449804"/>
      <w:r>
        <w:rPr>
          <w:color w:val="auto"/>
          <w:highlight w:val="none"/>
        </w:rPr>
        <w:t xml:space="preserve">4.4 </w:t>
      </w:r>
      <w:r>
        <w:rPr>
          <w:rFonts w:hint="eastAsia" w:hAnsi="宋体" w:cs="黑体"/>
          <w:color w:val="auto"/>
          <w:highlight w:val="none"/>
        </w:rPr>
        <w:t>商定或确定</w:t>
      </w:r>
      <w:bookmarkEnd w:id="335"/>
      <w:bookmarkEnd w:id="336"/>
      <w:bookmarkEnd w:id="337"/>
      <w:bookmarkEnd w:id="338"/>
      <w:bookmarkEnd w:id="339"/>
      <w:bookmarkEnd w:id="340"/>
      <w:bookmarkEnd w:id="341"/>
    </w:p>
    <w:p w14:paraId="698ECBEF">
      <w:pPr>
        <w:pageBreakBefore w:val="0"/>
        <w:widowControl w:val="0"/>
        <w:kinsoku/>
        <w:wordWrap/>
        <w:overflowPunct/>
        <w:topLinePunct w:val="0"/>
        <w:bidi w:val="0"/>
        <w:spacing w:line="360" w:lineRule="auto"/>
        <w:ind w:firstLine="420" w:firstLineChars="200"/>
        <w:textAlignment w:val="auto"/>
        <w:rPr>
          <w:color w:val="auto"/>
          <w:highlight w:val="none"/>
        </w:rPr>
      </w:pPr>
      <w:bookmarkStart w:id="342" w:name="_Toc267251418"/>
      <w:r>
        <w:rPr>
          <w:rFonts w:hint="eastAsia" w:hAnsi="宋体" w:cs="宋体"/>
          <w:color w:val="auto"/>
          <w:highlight w:val="none"/>
        </w:rPr>
        <w:t>在发包人和承包人不能通过协商达成一致意见时，发包人授权监理人对以下事项进行确定：</w:t>
      </w:r>
    </w:p>
    <w:p w14:paraId="7D2861B0">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w:t>
      </w:r>
      <w:r>
        <w:rPr>
          <w:color w:val="auto"/>
          <w:highlight w:val="none"/>
          <w:u w:val="single"/>
        </w:rPr>
        <w:t xml:space="preserve">                                   </w:t>
      </w:r>
      <w:r>
        <w:rPr>
          <w:rFonts w:hint="eastAsia" w:hAnsi="宋体" w:cs="宋体"/>
          <w:color w:val="auto"/>
          <w:highlight w:val="none"/>
        </w:rPr>
        <w:t>；</w:t>
      </w:r>
    </w:p>
    <w:p w14:paraId="708CDCCA">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w:t>
      </w:r>
      <w:r>
        <w:rPr>
          <w:color w:val="auto"/>
          <w:highlight w:val="none"/>
          <w:u w:val="single"/>
        </w:rPr>
        <w:t xml:space="preserve">                                   </w:t>
      </w:r>
      <w:r>
        <w:rPr>
          <w:rFonts w:hint="eastAsia" w:hAnsi="宋体" w:cs="宋体"/>
          <w:color w:val="auto"/>
          <w:highlight w:val="none"/>
        </w:rPr>
        <w:t>；</w:t>
      </w:r>
    </w:p>
    <w:p w14:paraId="4AF21A68">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w:t>
      </w:r>
      <w:r>
        <w:rPr>
          <w:color w:val="auto"/>
          <w:highlight w:val="none"/>
          <w:u w:val="single"/>
        </w:rPr>
        <w:t xml:space="preserve">                                   </w:t>
      </w:r>
      <w:r>
        <w:rPr>
          <w:rFonts w:hint="eastAsia" w:hAnsi="宋体" w:cs="宋体"/>
          <w:color w:val="auto"/>
          <w:highlight w:val="none"/>
        </w:rPr>
        <w:t>。</w:t>
      </w:r>
    </w:p>
    <w:p w14:paraId="0BB93CBC">
      <w:pPr>
        <w:pStyle w:val="3"/>
        <w:pageBreakBefore w:val="0"/>
        <w:widowControl w:val="0"/>
        <w:kinsoku/>
        <w:wordWrap/>
        <w:overflowPunct/>
        <w:topLinePunct w:val="0"/>
        <w:bidi w:val="0"/>
        <w:spacing w:before="0" w:after="0" w:line="360" w:lineRule="auto"/>
        <w:textAlignment w:val="auto"/>
        <w:rPr>
          <w:color w:val="auto"/>
          <w:highlight w:val="none"/>
        </w:rPr>
      </w:pPr>
      <w:bookmarkStart w:id="343" w:name="_Toc407135219"/>
      <w:bookmarkStart w:id="344" w:name="_Toc1603077308"/>
      <w:bookmarkStart w:id="345" w:name="_Toc373227717"/>
      <w:bookmarkStart w:id="346" w:name="_Toc14473"/>
      <w:bookmarkStart w:id="347" w:name="_Toc389065283"/>
      <w:bookmarkStart w:id="348" w:name="_Toc373478364"/>
      <w:bookmarkStart w:id="349" w:name="_Toc351203637"/>
      <w:bookmarkStart w:id="350" w:name="_Toc78449805"/>
      <w:r>
        <w:rPr>
          <w:color w:val="auto"/>
          <w:highlight w:val="none"/>
        </w:rPr>
        <w:t>5</w:t>
      </w:r>
      <w:bookmarkEnd w:id="342"/>
      <w:bookmarkStart w:id="351" w:name="_Toc292559367"/>
      <w:bookmarkStart w:id="352" w:name="_Toc296503163"/>
      <w:bookmarkStart w:id="353" w:name="_Toc297120463"/>
      <w:bookmarkStart w:id="354" w:name="_Toc296347162"/>
      <w:bookmarkStart w:id="355" w:name="_Toc292559872"/>
      <w:bookmarkStart w:id="356" w:name="_Toc297048349"/>
      <w:bookmarkStart w:id="357" w:name="_Toc296346664"/>
      <w:bookmarkStart w:id="358" w:name="_Toc296944502"/>
      <w:bookmarkStart w:id="359" w:name="_Toc296890991"/>
      <w:bookmarkStart w:id="360" w:name="_Toc296891203"/>
      <w:r>
        <w:rPr>
          <w:color w:val="auto"/>
          <w:highlight w:val="none"/>
        </w:rPr>
        <w:t xml:space="preserve">. </w:t>
      </w:r>
      <w:r>
        <w:rPr>
          <w:rFonts w:hint="eastAsia" w:hAnsi="宋体" w:cs="黑体"/>
          <w:color w:val="auto"/>
          <w:highlight w:val="none"/>
        </w:rPr>
        <w:t>工程质量</w:t>
      </w:r>
      <w:bookmarkEnd w:id="343"/>
      <w:bookmarkEnd w:id="344"/>
      <w:bookmarkEnd w:id="345"/>
      <w:bookmarkEnd w:id="346"/>
      <w:bookmarkEnd w:id="347"/>
      <w:bookmarkEnd w:id="348"/>
      <w:bookmarkEnd w:id="349"/>
      <w:bookmarkEnd w:id="350"/>
    </w:p>
    <w:p w14:paraId="2FBD5D8C">
      <w:pPr>
        <w:pStyle w:val="4"/>
        <w:pageBreakBefore w:val="0"/>
        <w:widowControl w:val="0"/>
        <w:kinsoku/>
        <w:wordWrap/>
        <w:overflowPunct/>
        <w:topLinePunct w:val="0"/>
        <w:bidi w:val="0"/>
        <w:spacing w:before="0" w:after="0" w:line="360" w:lineRule="auto"/>
        <w:textAlignment w:val="auto"/>
        <w:rPr>
          <w:color w:val="auto"/>
          <w:highlight w:val="none"/>
        </w:rPr>
      </w:pPr>
      <w:bookmarkStart w:id="361" w:name="_Toc1835421345"/>
      <w:bookmarkStart w:id="362" w:name="_Toc373227718"/>
      <w:bookmarkStart w:id="363" w:name="_Toc407135220"/>
      <w:bookmarkStart w:id="364" w:name="_Toc389065284"/>
      <w:bookmarkStart w:id="365" w:name="_Toc8977"/>
      <w:bookmarkStart w:id="366" w:name="_Toc373478365"/>
      <w:bookmarkStart w:id="367" w:name="_Toc78449806"/>
      <w:r>
        <w:rPr>
          <w:color w:val="auto"/>
          <w:highlight w:val="none"/>
        </w:rPr>
        <w:t xml:space="preserve">5.1 </w:t>
      </w:r>
      <w:r>
        <w:rPr>
          <w:rFonts w:hint="eastAsia" w:hAnsi="宋体" w:cs="黑体"/>
          <w:color w:val="auto"/>
          <w:highlight w:val="none"/>
        </w:rPr>
        <w:t>质量要求</w:t>
      </w:r>
      <w:bookmarkEnd w:id="361"/>
      <w:bookmarkEnd w:id="362"/>
      <w:bookmarkEnd w:id="363"/>
      <w:bookmarkEnd w:id="364"/>
      <w:bookmarkEnd w:id="365"/>
      <w:bookmarkEnd w:id="366"/>
      <w:bookmarkEnd w:id="367"/>
    </w:p>
    <w:p w14:paraId="04566E53">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color w:val="auto"/>
          <w:highlight w:val="none"/>
        </w:rPr>
        <w:t>5</w:t>
      </w:r>
      <w:bookmarkStart w:id="368" w:name="_Toc297123496"/>
      <w:bookmarkStart w:id="369" w:name="_Toc303539106"/>
      <w:bookmarkStart w:id="370" w:name="_Toc297216155"/>
      <w:bookmarkStart w:id="371" w:name="_Toc300934949"/>
      <w:bookmarkStart w:id="372" w:name="_Toc312677997"/>
      <w:bookmarkStart w:id="373" w:name="_Toc304295527"/>
      <w:bookmarkStart w:id="374" w:name="_Toc318581164"/>
      <w:r>
        <w:rPr>
          <w:color w:val="auto"/>
          <w:highlight w:val="none"/>
        </w:rPr>
        <w:t xml:space="preserve">.1.1 </w:t>
      </w:r>
      <w:r>
        <w:rPr>
          <w:rFonts w:hint="eastAsia" w:hAnsi="宋体" w:cs="宋体"/>
          <w:color w:val="auto"/>
          <w:highlight w:val="none"/>
        </w:rPr>
        <w:t>特殊质量标准和要求：</w:t>
      </w:r>
      <w:r>
        <w:rPr>
          <w:color w:val="auto"/>
          <w:highlight w:val="none"/>
          <w:u w:val="single"/>
        </w:rPr>
        <w:t xml:space="preserve">  </w:t>
      </w:r>
      <w:r>
        <w:rPr>
          <w:rFonts w:hint="eastAsia"/>
          <w:color w:val="auto"/>
          <w:highlight w:val="none"/>
          <w:u w:val="single"/>
        </w:rPr>
        <w:t>执行现行国家有关工程施工验收规范和标准要求</w:t>
      </w:r>
      <w:r>
        <w:rPr>
          <w:color w:val="auto"/>
          <w:highlight w:val="none"/>
          <w:u w:val="single"/>
        </w:rPr>
        <w:t xml:space="preserve">  </w:t>
      </w:r>
      <w:r>
        <w:rPr>
          <w:rFonts w:hint="eastAsia" w:hAnsi="宋体" w:cs="宋体"/>
          <w:color w:val="auto"/>
          <w:highlight w:val="none"/>
        </w:rPr>
        <w:t>。</w:t>
      </w:r>
    </w:p>
    <w:p w14:paraId="189B0E9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关于工程奖项的约定：</w:t>
      </w:r>
      <w:r>
        <w:rPr>
          <w:color w:val="auto"/>
          <w:highlight w:val="none"/>
        </w:rPr>
        <w:t xml:space="preserve"> </w:t>
      </w:r>
      <w:r>
        <w:rPr>
          <w:rFonts w:hint="eastAsia"/>
          <w:color w:val="auto"/>
          <w:highlight w:val="none"/>
        </w:rPr>
        <w:t>如果</w:t>
      </w:r>
      <w:r>
        <w:rPr>
          <w:color w:val="auto"/>
          <w:highlight w:val="none"/>
        </w:rPr>
        <w:t>工程获得</w:t>
      </w:r>
      <w:r>
        <w:rPr>
          <w:rFonts w:hint="eastAsia"/>
          <w:color w:val="auto"/>
          <w:highlight w:val="none"/>
          <w:u w:val="single"/>
        </w:rPr>
        <w:t xml:space="preserve">             （奖项名称）</w:t>
      </w:r>
      <w:r>
        <w:rPr>
          <w:rFonts w:hint="eastAsia"/>
          <w:color w:val="auto"/>
          <w:highlight w:val="none"/>
        </w:rPr>
        <w:t>，</w:t>
      </w:r>
      <w:r>
        <w:rPr>
          <w:color w:val="auto"/>
          <w:highlight w:val="none"/>
        </w:rPr>
        <w:t>给予</w:t>
      </w:r>
      <w:r>
        <w:rPr>
          <w:rFonts w:hint="eastAsia"/>
          <w:color w:val="auto"/>
          <w:highlight w:val="none"/>
        </w:rPr>
        <w:t>承包人</w:t>
      </w:r>
      <w:r>
        <w:rPr>
          <w:color w:val="auto"/>
          <w:highlight w:val="none"/>
        </w:rPr>
        <w:t>合同价</w:t>
      </w:r>
      <w:r>
        <w:rPr>
          <w:rFonts w:hint="eastAsia"/>
          <w:color w:val="auto"/>
          <w:highlight w:val="none"/>
          <w:u w:val="single"/>
        </w:rPr>
        <w:t xml:space="preserve">   </w:t>
      </w:r>
      <w:r>
        <w:rPr>
          <w:color w:val="auto"/>
          <w:highlight w:val="none"/>
        </w:rPr>
        <w:t>%的奖励</w:t>
      </w:r>
      <w:r>
        <w:rPr>
          <w:rFonts w:hint="eastAsia" w:hAnsi="宋体" w:cs="宋体"/>
          <w:color w:val="auto"/>
          <w:highlight w:val="none"/>
        </w:rPr>
        <w:t>。（建设单位创建优质工程的，鼓励在招标控制价和预算中按我区工程建设定额规定计列工程优质费，并在招标文件中明确工程优质费不可竞争。）</w:t>
      </w:r>
    </w:p>
    <w:p w14:paraId="330619B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5.3 </w:t>
      </w:r>
      <w:r>
        <w:rPr>
          <w:rFonts w:hint="eastAsia" w:hAnsi="宋体" w:cs="宋体"/>
          <w:color w:val="auto"/>
          <w:highlight w:val="none"/>
        </w:rPr>
        <w:t>隐蔽工程检查</w:t>
      </w:r>
    </w:p>
    <w:p w14:paraId="5293B69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color w:val="auto"/>
          <w:highlight w:val="none"/>
        </w:rPr>
        <w:t>5.3.2</w:t>
      </w:r>
      <w:r>
        <w:rPr>
          <w:rFonts w:hint="eastAsia" w:hAnsi="宋体" w:cs="宋体"/>
          <w:color w:val="auto"/>
          <w:highlight w:val="none"/>
        </w:rPr>
        <w:t>承包人提前通知监理人隐蔽工程检查的期限的约定：工程隐蔽或中间验收前</w:t>
      </w:r>
      <w:r>
        <w:rPr>
          <w:color w:val="auto"/>
          <w:highlight w:val="none"/>
        </w:rPr>
        <w:t>12</w:t>
      </w:r>
      <w:r>
        <w:rPr>
          <w:rFonts w:hint="eastAsia" w:hAnsi="宋体" w:cs="宋体"/>
          <w:color w:val="auto"/>
          <w:highlight w:val="non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08DF2003">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监理人不能按时进行检查时，应提前</w:t>
      </w:r>
      <w:r>
        <w:rPr>
          <w:color w:val="auto"/>
          <w:highlight w:val="none"/>
          <w:u w:val="single"/>
        </w:rPr>
        <w:t xml:space="preserve"> </w:t>
      </w:r>
      <w:r>
        <w:rPr>
          <w:rFonts w:hint="eastAsia"/>
          <w:color w:val="auto"/>
          <w:highlight w:val="none"/>
          <w:u w:val="single"/>
          <w:lang w:val="en-US" w:eastAsia="zh-CN"/>
        </w:rPr>
        <w:t>12</w:t>
      </w:r>
      <w:r>
        <w:rPr>
          <w:color w:val="auto"/>
          <w:highlight w:val="none"/>
          <w:u w:val="single"/>
        </w:rPr>
        <w:t xml:space="preserve"> </w:t>
      </w:r>
      <w:r>
        <w:rPr>
          <w:rFonts w:hint="eastAsia" w:hAnsi="宋体" w:cs="宋体"/>
          <w:color w:val="auto"/>
          <w:highlight w:val="none"/>
        </w:rPr>
        <w:t>小时提交书面延期要求。</w:t>
      </w:r>
    </w:p>
    <w:p w14:paraId="5E3F320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关于延期最长不得超过：</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小时。</w:t>
      </w:r>
    </w:p>
    <w:p w14:paraId="5126EDD0">
      <w:pPr>
        <w:pStyle w:val="3"/>
        <w:pageBreakBefore w:val="0"/>
        <w:widowControl w:val="0"/>
        <w:kinsoku/>
        <w:wordWrap/>
        <w:overflowPunct/>
        <w:topLinePunct w:val="0"/>
        <w:bidi w:val="0"/>
        <w:spacing w:before="0" w:after="0" w:line="360" w:lineRule="auto"/>
        <w:textAlignment w:val="auto"/>
        <w:rPr>
          <w:color w:val="auto"/>
          <w:highlight w:val="none"/>
        </w:rPr>
      </w:pPr>
      <w:bookmarkStart w:id="375" w:name="_Toc17247"/>
      <w:bookmarkStart w:id="376" w:name="_Toc78449807"/>
      <w:bookmarkStart w:id="377" w:name="_Toc703841976"/>
      <w:bookmarkStart w:id="378" w:name="_Toc351203638"/>
      <w:bookmarkStart w:id="379" w:name="_Toc373478366"/>
      <w:bookmarkStart w:id="380" w:name="_Toc389065285"/>
      <w:bookmarkStart w:id="381" w:name="_Toc407135221"/>
      <w:bookmarkStart w:id="382" w:name="_Toc373227719"/>
      <w:r>
        <w:rPr>
          <w:color w:val="auto"/>
          <w:highlight w:val="none"/>
        </w:rPr>
        <w:t xml:space="preserve">6. </w:t>
      </w:r>
      <w:r>
        <w:rPr>
          <w:rFonts w:hint="eastAsia" w:cs="黑体"/>
          <w:color w:val="auto"/>
          <w:highlight w:val="none"/>
        </w:rPr>
        <w:t>安全文明施工与环境保护</w:t>
      </w:r>
      <w:bookmarkEnd w:id="375"/>
      <w:bookmarkEnd w:id="376"/>
      <w:bookmarkEnd w:id="377"/>
      <w:bookmarkEnd w:id="378"/>
      <w:bookmarkEnd w:id="379"/>
      <w:bookmarkEnd w:id="380"/>
      <w:bookmarkEnd w:id="381"/>
      <w:bookmarkEnd w:id="382"/>
    </w:p>
    <w:p w14:paraId="57B19A58">
      <w:pPr>
        <w:pStyle w:val="4"/>
        <w:pageBreakBefore w:val="0"/>
        <w:widowControl w:val="0"/>
        <w:kinsoku/>
        <w:wordWrap/>
        <w:overflowPunct/>
        <w:topLinePunct w:val="0"/>
        <w:bidi w:val="0"/>
        <w:spacing w:before="0" w:after="0" w:line="360" w:lineRule="auto"/>
        <w:textAlignment w:val="auto"/>
        <w:rPr>
          <w:color w:val="auto"/>
          <w:highlight w:val="none"/>
        </w:rPr>
      </w:pPr>
      <w:bookmarkStart w:id="383" w:name="_Toc7857"/>
      <w:bookmarkStart w:id="384" w:name="_Toc389065286"/>
      <w:bookmarkStart w:id="385" w:name="_Toc373478367"/>
      <w:bookmarkStart w:id="386" w:name="_Toc180514231"/>
      <w:bookmarkStart w:id="387" w:name="_Toc78449808"/>
      <w:bookmarkStart w:id="388" w:name="_Toc407135222"/>
      <w:bookmarkStart w:id="389" w:name="_Toc373227720"/>
      <w:r>
        <w:rPr>
          <w:color w:val="auto"/>
          <w:highlight w:val="none"/>
        </w:rPr>
        <w:t xml:space="preserve">6.1 </w:t>
      </w:r>
      <w:r>
        <w:rPr>
          <w:rFonts w:hint="eastAsia" w:cs="黑体"/>
          <w:color w:val="auto"/>
          <w:highlight w:val="none"/>
        </w:rPr>
        <w:t>安全文明施工</w:t>
      </w:r>
      <w:bookmarkEnd w:id="383"/>
      <w:bookmarkEnd w:id="384"/>
      <w:bookmarkEnd w:id="385"/>
      <w:bookmarkEnd w:id="386"/>
      <w:bookmarkEnd w:id="387"/>
      <w:bookmarkEnd w:id="388"/>
      <w:bookmarkEnd w:id="389"/>
    </w:p>
    <w:p w14:paraId="123E7117">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color w:val="auto"/>
          <w:highlight w:val="none"/>
        </w:rPr>
        <w:t xml:space="preserve">6.1.1 </w:t>
      </w:r>
      <w:r>
        <w:rPr>
          <w:rFonts w:hint="eastAsia" w:hAnsi="宋体" w:cs="宋体"/>
          <w:color w:val="auto"/>
          <w:highlight w:val="none"/>
        </w:rPr>
        <w:t>项目安全生产的达标目标及相应事项的约定：</w:t>
      </w:r>
      <w:r>
        <w:rPr>
          <w:color w:val="auto"/>
          <w:highlight w:val="none"/>
          <w:u w:val="single"/>
        </w:rPr>
        <w:t xml:space="preserve">  </w:t>
      </w:r>
      <w:r>
        <w:rPr>
          <w:rFonts w:hint="eastAsia"/>
          <w:color w:val="auto"/>
          <w:highlight w:val="none"/>
          <w:u w:val="single"/>
        </w:rPr>
        <w:t>承包人应按照国家、广西区和北海市等相关规定履行好承包人的施工安全责任</w:t>
      </w:r>
      <w:r>
        <w:rPr>
          <w:color w:val="auto"/>
          <w:highlight w:val="none"/>
          <w:u w:val="single"/>
        </w:rPr>
        <w:t xml:space="preserve">  </w:t>
      </w:r>
      <w:r>
        <w:rPr>
          <w:rFonts w:hint="eastAsia" w:hAnsi="宋体" w:cs="宋体"/>
          <w:color w:val="auto"/>
          <w:highlight w:val="none"/>
        </w:rPr>
        <w:t>。</w:t>
      </w:r>
    </w:p>
    <w:p w14:paraId="694965A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关于安全文明施工奖项的约定：</w:t>
      </w:r>
      <w:r>
        <w:rPr>
          <w:color w:val="auto"/>
          <w:highlight w:val="none"/>
          <w:u w:val="single"/>
        </w:rPr>
        <w:t xml:space="preserve">  </w:t>
      </w:r>
      <w:r>
        <w:rPr>
          <w:rFonts w:hint="eastAsia"/>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p w14:paraId="2B1BF711">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color w:val="auto"/>
          <w:highlight w:val="none"/>
        </w:rPr>
        <w:t xml:space="preserve">6.1.4 </w:t>
      </w:r>
      <w:r>
        <w:rPr>
          <w:rFonts w:hint="eastAsia" w:hAnsi="宋体" w:cs="宋体"/>
          <w:color w:val="auto"/>
          <w:highlight w:val="none"/>
        </w:rPr>
        <w:t>关于治安保卫的特别约定：</w:t>
      </w:r>
      <w:r>
        <w:rPr>
          <w:rFonts w:hint="eastAsia" w:hAnsi="宋体" w:cs="宋体"/>
          <w:color w:val="auto"/>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439B624C">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关于编制施工场地治安管理计划的约定：</w:t>
      </w:r>
      <w:r>
        <w:rPr>
          <w:color w:val="auto"/>
          <w:highlight w:val="none"/>
          <w:u w:val="single"/>
        </w:rPr>
        <w:t xml:space="preserve"> </w:t>
      </w:r>
      <w:r>
        <w:rPr>
          <w:rFonts w:hint="eastAsia"/>
          <w:color w:val="auto"/>
          <w:highlight w:val="none"/>
          <w:u w:val="single"/>
        </w:rPr>
        <w:t>承包人应承担施工安全保卫工作及夜间施工照明的责任，应采取一切合理的预防措施，防止人员伤亡、财产损失事故，费用及责任由承包人承担。承包人生活设施及施工场应自费配备消防设备，防止火灾发生</w:t>
      </w:r>
      <w:r>
        <w:rPr>
          <w:color w:val="auto"/>
          <w:highlight w:val="none"/>
          <w:u w:val="single"/>
        </w:rPr>
        <w:t xml:space="preserve">  </w:t>
      </w:r>
      <w:r>
        <w:rPr>
          <w:rFonts w:hint="eastAsia" w:hAnsi="宋体" w:cs="宋体"/>
          <w:color w:val="auto"/>
          <w:highlight w:val="none"/>
        </w:rPr>
        <w:t>。</w:t>
      </w:r>
    </w:p>
    <w:p w14:paraId="1F90064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6.1.5 </w:t>
      </w:r>
      <w:r>
        <w:rPr>
          <w:rFonts w:hint="eastAsia" w:hAnsi="宋体" w:cs="宋体"/>
          <w:color w:val="auto"/>
          <w:highlight w:val="none"/>
        </w:rPr>
        <w:t>文明施工</w:t>
      </w:r>
    </w:p>
    <w:p w14:paraId="2D336C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color w:val="auto"/>
          <w:highlight w:val="none"/>
        </w:rPr>
      </w:pPr>
      <w:r>
        <w:rPr>
          <w:rFonts w:hint="eastAsia" w:hAnsi="宋体" w:cs="宋体"/>
          <w:color w:val="auto"/>
          <w:highlight w:val="none"/>
        </w:rPr>
        <w:t>合同当事人对文明施工的要求：</w:t>
      </w:r>
      <w:r>
        <w:rPr>
          <w:color w:val="auto"/>
          <w:highlight w:val="none"/>
          <w:u w:val="single"/>
        </w:rPr>
        <w:t xml:space="preserve">   </w:t>
      </w:r>
      <w:r>
        <w:rPr>
          <w:rFonts w:hint="eastAsia"/>
          <w:color w:val="auto"/>
          <w:highlight w:val="none"/>
          <w:u w:val="single"/>
          <w:lang w:eastAsia="zh-CN"/>
        </w:rPr>
        <w:t>（</w:t>
      </w:r>
      <w:r>
        <w:rPr>
          <w:rFonts w:hint="eastAsia"/>
          <w:color w:val="auto"/>
          <w:highlight w:val="none"/>
          <w:u w:val="single"/>
        </w:rPr>
        <w:t>1</w:t>
      </w:r>
      <w:r>
        <w:rPr>
          <w:rFonts w:hint="eastAsia"/>
          <w:color w:val="auto"/>
          <w:highlight w:val="none"/>
          <w:u w:val="single"/>
          <w:lang w:eastAsia="zh-CN"/>
        </w:rPr>
        <w:t>）</w:t>
      </w:r>
      <w:r>
        <w:rPr>
          <w:rFonts w:hint="eastAsia"/>
          <w:color w:val="auto"/>
          <w:highlight w:val="none"/>
          <w:u w:val="single"/>
        </w:rPr>
        <w:t>承包人应按照北海市有关房屋建筑和市政基础设施工程施工扬尘控制工作、房屋建筑和市政基础设施工程现场文明施工标准等相关规定履行好施工扬尘控制、文明施工等责任。</w:t>
      </w:r>
      <w:r>
        <w:rPr>
          <w:rFonts w:hint="eastAsia"/>
          <w:color w:val="auto"/>
          <w:highlight w:val="none"/>
          <w:u w:val="single"/>
          <w:lang w:eastAsia="zh-CN"/>
        </w:rPr>
        <w:t>（</w:t>
      </w:r>
      <w:r>
        <w:rPr>
          <w:rFonts w:hint="eastAsia"/>
          <w:color w:val="auto"/>
          <w:highlight w:val="none"/>
          <w:u w:val="single"/>
        </w:rPr>
        <w:t>2</w:t>
      </w:r>
      <w:r>
        <w:rPr>
          <w:rFonts w:hint="eastAsia"/>
          <w:color w:val="auto"/>
          <w:highlight w:val="none"/>
          <w:u w:val="single"/>
          <w:lang w:eastAsia="zh-CN"/>
        </w:rPr>
        <w:t>）</w:t>
      </w:r>
      <w:r>
        <w:rPr>
          <w:rFonts w:hint="eastAsia"/>
          <w:color w:val="auto"/>
          <w:highlight w:val="none"/>
          <w:u w:val="single"/>
        </w:rPr>
        <w:t>承包人需自行办理的有关施工场地交通、环卫和施工噪音管理等手续，并应符合国家相关规定，并自行承担其费用。</w:t>
      </w:r>
      <w:r>
        <w:rPr>
          <w:rFonts w:hint="eastAsia"/>
          <w:color w:val="auto"/>
          <w:highlight w:val="none"/>
          <w:u w:val="single"/>
          <w:lang w:eastAsia="zh-CN"/>
        </w:rPr>
        <w:t>（</w:t>
      </w:r>
      <w:r>
        <w:rPr>
          <w:rFonts w:hint="eastAsia"/>
          <w:color w:val="auto"/>
          <w:highlight w:val="none"/>
          <w:u w:val="single"/>
        </w:rPr>
        <w:t>3</w:t>
      </w:r>
      <w:r>
        <w:rPr>
          <w:rFonts w:hint="eastAsia"/>
          <w:color w:val="auto"/>
          <w:highlight w:val="none"/>
          <w:u w:val="single"/>
          <w:lang w:eastAsia="zh-CN"/>
        </w:rPr>
        <w:t>）</w:t>
      </w:r>
      <w:r>
        <w:rPr>
          <w:rFonts w:hint="eastAsia"/>
          <w:color w:val="auto"/>
          <w:highlight w:val="none"/>
          <w:u w:val="single"/>
        </w:rPr>
        <w:t xml:space="preserve"> 对施工中的地上地下建筑物</w:t>
      </w:r>
      <w:r>
        <w:rPr>
          <w:rFonts w:hint="eastAsia"/>
          <w:color w:val="auto"/>
          <w:highlight w:val="none"/>
          <w:u w:val="single"/>
          <w:lang w:eastAsia="zh-CN"/>
        </w:rPr>
        <w:t>（</w:t>
      </w:r>
      <w:r>
        <w:rPr>
          <w:rFonts w:hint="eastAsia"/>
          <w:color w:val="auto"/>
          <w:highlight w:val="none"/>
          <w:u w:val="single"/>
        </w:rPr>
        <w:t>构筑物</w:t>
      </w:r>
      <w:r>
        <w:rPr>
          <w:rFonts w:hint="eastAsia"/>
          <w:color w:val="auto"/>
          <w:highlight w:val="none"/>
          <w:u w:val="single"/>
          <w:lang w:eastAsia="zh-CN"/>
        </w:rPr>
        <w:t>）</w:t>
      </w:r>
      <w:r>
        <w:rPr>
          <w:rFonts w:hint="eastAsia"/>
          <w:color w:val="auto"/>
          <w:highlight w:val="none"/>
          <w:u w:val="single"/>
        </w:rPr>
        <w:t>管线、电力设施等应按有关规定加强监控测量和保护，相应的费用或因保护不当造成的损失及法律责任由承包人承担。</w:t>
      </w:r>
      <w:r>
        <w:rPr>
          <w:rFonts w:hint="eastAsia"/>
          <w:color w:val="auto"/>
          <w:highlight w:val="none"/>
          <w:u w:val="single"/>
          <w:lang w:eastAsia="zh-CN"/>
        </w:rPr>
        <w:t>（</w:t>
      </w:r>
      <w:r>
        <w:rPr>
          <w:rFonts w:hint="eastAsia"/>
          <w:color w:val="auto"/>
          <w:highlight w:val="none"/>
          <w:u w:val="single"/>
        </w:rPr>
        <w:t>4</w:t>
      </w:r>
      <w:r>
        <w:rPr>
          <w:rFonts w:hint="eastAsia"/>
          <w:color w:val="auto"/>
          <w:highlight w:val="none"/>
          <w:u w:val="single"/>
          <w:lang w:eastAsia="zh-CN"/>
        </w:rPr>
        <w:t>）</w:t>
      </w:r>
      <w:r>
        <w:rPr>
          <w:rFonts w:hint="eastAsia"/>
          <w:color w:val="auto"/>
          <w:highlight w:val="none"/>
          <w:u w:val="single"/>
        </w:rPr>
        <w:t>环境保护工作属承包方范围内的由承包方全权负责，执行国家和广西区、北海市的相关规定。施工现场内不得随地抛洒剩饭及生活垃圾等，更不能将其随意倒至施工区外，施工区内不得随处大小便。做到工完场地清。</w:t>
      </w:r>
      <w:r>
        <w:rPr>
          <w:rFonts w:hint="eastAsia"/>
          <w:color w:val="auto"/>
          <w:highlight w:val="none"/>
          <w:u w:val="single"/>
          <w:lang w:eastAsia="zh-CN"/>
        </w:rPr>
        <w:t>（</w:t>
      </w:r>
      <w:r>
        <w:rPr>
          <w:rFonts w:hint="eastAsia"/>
          <w:color w:val="auto"/>
          <w:highlight w:val="none"/>
          <w:u w:val="single"/>
        </w:rPr>
        <w:t>5</w:t>
      </w:r>
      <w:r>
        <w:rPr>
          <w:rFonts w:hint="eastAsia"/>
          <w:color w:val="auto"/>
          <w:highlight w:val="none"/>
          <w:u w:val="single"/>
          <w:lang w:eastAsia="zh-CN"/>
        </w:rPr>
        <w:t>）</w:t>
      </w:r>
      <w:r>
        <w:rPr>
          <w:rFonts w:hint="eastAsia"/>
          <w:color w:val="auto"/>
          <w:highlight w:val="none"/>
          <w:u w:val="single"/>
        </w:rPr>
        <w:t>施工机械设备进场前，应做好清洁、保养和维护工作。出场车辆应有专人打扫、清洗。有密封要求的按规定必须达到。</w:t>
      </w:r>
      <w:r>
        <w:rPr>
          <w:rFonts w:hint="eastAsia"/>
          <w:color w:val="auto"/>
          <w:highlight w:val="none"/>
          <w:u w:val="single"/>
          <w:lang w:eastAsia="zh-CN"/>
        </w:rPr>
        <w:t>（</w:t>
      </w:r>
      <w:r>
        <w:rPr>
          <w:rFonts w:hint="eastAsia"/>
          <w:color w:val="auto"/>
          <w:highlight w:val="none"/>
          <w:u w:val="single"/>
        </w:rPr>
        <w:t>6</w:t>
      </w:r>
      <w:r>
        <w:rPr>
          <w:rFonts w:hint="eastAsia"/>
          <w:color w:val="auto"/>
          <w:highlight w:val="none"/>
          <w:u w:val="single"/>
          <w:lang w:eastAsia="zh-CN"/>
        </w:rPr>
        <w:t>）</w:t>
      </w:r>
      <w:r>
        <w:rPr>
          <w:rFonts w:hint="eastAsia"/>
          <w:color w:val="auto"/>
          <w:highlight w:val="none"/>
          <w:u w:val="single"/>
        </w:rPr>
        <w:t>施工期间必须保证周边单位的正常工作及居民的正常生活，尽量减少粉尘、噪声、振动等污染的扰民。必须按北海市有关部门的临时要求，调整作业方式，调整作业时间，停止高粉尘、高噪音作业或爆破作业等。</w:t>
      </w:r>
      <w:r>
        <w:rPr>
          <w:rFonts w:hint="eastAsia"/>
          <w:color w:val="auto"/>
          <w:highlight w:val="none"/>
          <w:u w:val="single"/>
          <w:lang w:eastAsia="zh-CN"/>
        </w:rPr>
        <w:t>（</w:t>
      </w:r>
      <w:r>
        <w:rPr>
          <w:rFonts w:hint="eastAsia"/>
          <w:color w:val="auto"/>
          <w:highlight w:val="none"/>
          <w:u w:val="single"/>
        </w:rPr>
        <w:t>7</w:t>
      </w:r>
      <w:r>
        <w:rPr>
          <w:rFonts w:hint="eastAsia"/>
          <w:color w:val="auto"/>
          <w:highlight w:val="none"/>
          <w:u w:val="single"/>
          <w:lang w:eastAsia="zh-CN"/>
        </w:rPr>
        <w:t>）</w:t>
      </w:r>
      <w:r>
        <w:rPr>
          <w:rFonts w:hint="eastAsia"/>
          <w:color w:val="auto"/>
          <w:highlight w:val="none"/>
          <w:u w:val="single"/>
        </w:rPr>
        <w:t>保证周围建</w:t>
      </w:r>
      <w:r>
        <w:rPr>
          <w:rFonts w:hint="eastAsia"/>
          <w:color w:val="auto"/>
          <w:highlight w:val="none"/>
          <w:u w:val="single"/>
          <w:lang w:eastAsia="zh-CN"/>
        </w:rPr>
        <w:t>（</w:t>
      </w:r>
      <w:r>
        <w:rPr>
          <w:rFonts w:hint="eastAsia"/>
          <w:color w:val="auto"/>
          <w:highlight w:val="none"/>
          <w:u w:val="single"/>
        </w:rPr>
        <w:t>构</w:t>
      </w:r>
      <w:r>
        <w:rPr>
          <w:rFonts w:hint="eastAsia"/>
          <w:color w:val="auto"/>
          <w:highlight w:val="none"/>
          <w:u w:val="single"/>
          <w:lang w:eastAsia="zh-CN"/>
        </w:rPr>
        <w:t>）</w:t>
      </w:r>
      <w:r>
        <w:rPr>
          <w:rFonts w:hint="eastAsia"/>
          <w:color w:val="auto"/>
          <w:highlight w:val="none"/>
          <w:u w:val="single"/>
        </w:rPr>
        <w:t>筑物、地下及地上管线、地下人防等设施安全。</w:t>
      </w:r>
      <w:r>
        <w:rPr>
          <w:rFonts w:hint="eastAsia"/>
          <w:color w:val="auto"/>
          <w:highlight w:val="none"/>
          <w:u w:val="single"/>
          <w:lang w:eastAsia="zh-CN"/>
        </w:rPr>
        <w:t>（</w:t>
      </w:r>
      <w:r>
        <w:rPr>
          <w:rFonts w:hint="eastAsia"/>
          <w:color w:val="auto"/>
          <w:highlight w:val="none"/>
          <w:u w:val="single"/>
        </w:rPr>
        <w:t>8</w:t>
      </w:r>
      <w:r>
        <w:rPr>
          <w:rFonts w:hint="eastAsia"/>
          <w:color w:val="auto"/>
          <w:highlight w:val="none"/>
          <w:u w:val="single"/>
          <w:lang w:eastAsia="zh-CN"/>
        </w:rPr>
        <w:t>）</w:t>
      </w:r>
      <w:r>
        <w:rPr>
          <w:rFonts w:hint="eastAsia"/>
          <w:color w:val="auto"/>
          <w:highlight w:val="none"/>
          <w:u w:val="single"/>
        </w:rPr>
        <w:t>做到进入现场的施工和作业人员统一着装，配证上岗，文明施工。</w:t>
      </w:r>
      <w:r>
        <w:rPr>
          <w:rFonts w:hint="eastAsia"/>
          <w:color w:val="auto"/>
          <w:highlight w:val="none"/>
          <w:u w:val="single"/>
          <w:lang w:eastAsia="zh-CN"/>
        </w:rPr>
        <w:t>（</w:t>
      </w:r>
      <w:r>
        <w:rPr>
          <w:rFonts w:hint="eastAsia"/>
          <w:color w:val="auto"/>
          <w:highlight w:val="none"/>
          <w:u w:val="single"/>
        </w:rPr>
        <w:t>9</w:t>
      </w:r>
      <w:r>
        <w:rPr>
          <w:rFonts w:hint="eastAsia"/>
          <w:color w:val="auto"/>
          <w:highlight w:val="none"/>
          <w:u w:val="single"/>
          <w:lang w:eastAsia="zh-CN"/>
        </w:rPr>
        <w:t>）</w:t>
      </w:r>
      <w:r>
        <w:rPr>
          <w:rFonts w:hint="eastAsia"/>
          <w:color w:val="auto"/>
          <w:highlight w:val="none"/>
          <w:u w:val="single"/>
        </w:rPr>
        <w:t>承包方施工现场临时加工区、库房等围墙</w:t>
      </w:r>
      <w:r>
        <w:rPr>
          <w:rFonts w:hint="eastAsia"/>
          <w:color w:val="auto"/>
          <w:highlight w:val="none"/>
          <w:u w:val="single"/>
          <w:lang w:eastAsia="zh-CN"/>
        </w:rPr>
        <w:t>（</w:t>
      </w:r>
      <w:r>
        <w:rPr>
          <w:rFonts w:hint="eastAsia"/>
          <w:color w:val="auto"/>
          <w:highlight w:val="none"/>
          <w:u w:val="single"/>
        </w:rPr>
        <w:t>围挡</w:t>
      </w:r>
      <w:r>
        <w:rPr>
          <w:rFonts w:hint="eastAsia"/>
          <w:color w:val="auto"/>
          <w:highlight w:val="none"/>
          <w:u w:val="single"/>
          <w:lang w:eastAsia="zh-CN"/>
        </w:rPr>
        <w:t>）</w:t>
      </w:r>
      <w:r>
        <w:rPr>
          <w:rFonts w:hint="eastAsia"/>
          <w:color w:val="auto"/>
          <w:highlight w:val="none"/>
          <w:u w:val="single"/>
        </w:rPr>
        <w:t>等维护设施应安全、美观、耐久，非施工相关人员不许入内</w:t>
      </w:r>
      <w:r>
        <w:rPr>
          <w:color w:val="auto"/>
          <w:highlight w:val="none"/>
          <w:u w:val="single"/>
        </w:rPr>
        <w:t xml:space="preserve">  </w:t>
      </w:r>
      <w:r>
        <w:rPr>
          <w:rFonts w:hint="eastAsia" w:cs="宋体"/>
          <w:color w:val="auto"/>
          <w:highlight w:val="none"/>
        </w:rPr>
        <w:t>。</w:t>
      </w:r>
    </w:p>
    <w:p w14:paraId="720A0DFE">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color w:val="auto"/>
          <w:highlight w:val="none"/>
        </w:rPr>
        <w:t>6.1.6</w:t>
      </w:r>
      <w:r>
        <w:rPr>
          <w:rFonts w:hAnsi="宋体" w:cs="宋体"/>
          <w:color w:val="auto"/>
          <w:kern w:val="0"/>
          <w:highlight w:val="none"/>
        </w:rPr>
        <w:t>关于安全</w:t>
      </w:r>
      <w:r>
        <w:rPr>
          <w:rFonts w:hint="eastAsia" w:hAnsi="宋体" w:cs="宋体"/>
          <w:color w:val="auto"/>
          <w:kern w:val="0"/>
          <w:highlight w:val="none"/>
        </w:rPr>
        <w:t>生产</w:t>
      </w:r>
      <w:r>
        <w:rPr>
          <w:rFonts w:hAnsi="宋体" w:cs="宋体"/>
          <w:color w:val="auto"/>
          <w:kern w:val="0"/>
          <w:highlight w:val="none"/>
        </w:rPr>
        <w:t>费</w:t>
      </w:r>
      <w:r>
        <w:rPr>
          <w:rFonts w:hint="eastAsia" w:hAnsi="宋体" w:cs="宋体"/>
          <w:color w:val="auto"/>
          <w:kern w:val="0"/>
          <w:highlight w:val="none"/>
        </w:rPr>
        <w:t>总额、</w:t>
      </w:r>
      <w:r>
        <w:rPr>
          <w:rFonts w:hAnsi="宋体" w:cs="宋体"/>
          <w:color w:val="auto"/>
          <w:kern w:val="0"/>
          <w:highlight w:val="none"/>
        </w:rPr>
        <w:t>支付比例</w:t>
      </w:r>
      <w:r>
        <w:rPr>
          <w:rFonts w:hint="eastAsia" w:hAnsi="宋体" w:cs="宋体"/>
          <w:color w:val="auto"/>
          <w:kern w:val="0"/>
          <w:highlight w:val="none"/>
        </w:rPr>
        <w:t>、</w:t>
      </w:r>
      <w:r>
        <w:rPr>
          <w:rFonts w:hAnsi="宋体" w:cs="宋体"/>
          <w:color w:val="auto"/>
          <w:kern w:val="0"/>
          <w:highlight w:val="none"/>
        </w:rPr>
        <w:t>支付期限</w:t>
      </w:r>
      <w:r>
        <w:rPr>
          <w:rFonts w:hint="eastAsia" w:hAnsi="宋体" w:cs="宋体"/>
          <w:color w:val="auto"/>
          <w:kern w:val="0"/>
          <w:highlight w:val="none"/>
        </w:rPr>
        <w:t>、转入和结余收回</w:t>
      </w:r>
      <w:r>
        <w:rPr>
          <w:rFonts w:hAnsi="宋体" w:cs="宋体"/>
          <w:color w:val="auto"/>
          <w:kern w:val="0"/>
          <w:highlight w:val="none"/>
        </w:rPr>
        <w:t>的约定：</w:t>
      </w:r>
    </w:p>
    <w:p w14:paraId="26DC576F">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w:t>
      </w:r>
      <w:r>
        <w:rPr>
          <w:rFonts w:hAnsi="宋体"/>
          <w:color w:val="auto"/>
          <w:kern w:val="0"/>
          <w:highlight w:val="none"/>
        </w:rPr>
        <w:t>1</w:t>
      </w:r>
      <w:r>
        <w:rPr>
          <w:rFonts w:hint="eastAsia" w:hAnsi="宋体" w:cs="宋体"/>
          <w:color w:val="auto"/>
          <w:kern w:val="0"/>
          <w:highlight w:val="none"/>
        </w:rPr>
        <w:t>）本合同价款已包含安全文明施工费</w:t>
      </w:r>
      <w:r>
        <w:rPr>
          <w:rFonts w:hAnsi="宋体"/>
          <w:color w:val="auto"/>
          <w:kern w:val="0"/>
          <w:highlight w:val="none"/>
          <w:u w:val="single"/>
        </w:rPr>
        <w:t xml:space="preserve">           </w:t>
      </w:r>
      <w:r>
        <w:rPr>
          <w:rFonts w:hint="eastAsia" w:hAnsi="宋体" w:cs="宋体"/>
          <w:color w:val="auto"/>
          <w:kern w:val="0"/>
          <w:highlight w:val="none"/>
        </w:rPr>
        <w:t>元。</w:t>
      </w:r>
    </w:p>
    <w:p w14:paraId="7DA68C67">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w:t>
      </w:r>
      <w:r>
        <w:rPr>
          <w:rFonts w:hAnsi="宋体"/>
          <w:color w:val="auto"/>
          <w:kern w:val="0"/>
          <w:highlight w:val="none"/>
        </w:rPr>
        <w:t>2</w:t>
      </w:r>
      <w:r>
        <w:rPr>
          <w:rFonts w:hint="eastAsia" w:hAnsi="宋体" w:cs="宋体"/>
          <w:color w:val="auto"/>
          <w:kern w:val="0"/>
          <w:highlight w:val="none"/>
        </w:rPr>
        <w:t>）使用要求：专款专用。具体按</w:t>
      </w:r>
      <w:r>
        <w:rPr>
          <w:rFonts w:hint="eastAsia" w:hAnsi="宋体" w:cs="宋体"/>
          <w:color w:val="auto"/>
          <w:kern w:val="0"/>
          <w:highlight w:val="none"/>
          <w:u w:val="single"/>
        </w:rPr>
        <w:t>《广西壮族自治区建设工程安全文明施工费使用管理细则》（桂建质〔</w:t>
      </w:r>
      <w:r>
        <w:rPr>
          <w:rFonts w:hAnsi="宋体"/>
          <w:color w:val="auto"/>
          <w:kern w:val="0"/>
          <w:highlight w:val="none"/>
          <w:u w:val="single"/>
        </w:rPr>
        <w:t>2015</w:t>
      </w:r>
      <w:r>
        <w:rPr>
          <w:rFonts w:hint="eastAsia" w:hAnsi="宋体" w:cs="宋体"/>
          <w:color w:val="auto"/>
          <w:kern w:val="0"/>
          <w:highlight w:val="none"/>
          <w:u w:val="single"/>
        </w:rPr>
        <w:t>〕</w:t>
      </w:r>
      <w:r>
        <w:rPr>
          <w:rFonts w:hAnsi="宋体"/>
          <w:color w:val="auto"/>
          <w:kern w:val="0"/>
          <w:highlight w:val="none"/>
          <w:u w:val="single"/>
        </w:rPr>
        <w:t>16</w:t>
      </w:r>
      <w:r>
        <w:rPr>
          <w:rFonts w:hint="eastAsia" w:hAnsi="宋体" w:cs="宋体"/>
          <w:color w:val="auto"/>
          <w:kern w:val="0"/>
          <w:highlight w:val="none"/>
          <w:u w:val="single"/>
        </w:rPr>
        <w:t>号）</w:t>
      </w:r>
      <w:r>
        <w:rPr>
          <w:rFonts w:hint="eastAsia" w:hAnsi="宋体" w:cs="宋体"/>
          <w:color w:val="auto"/>
          <w:kern w:val="0"/>
          <w:highlight w:val="none"/>
        </w:rPr>
        <w:t>和</w:t>
      </w:r>
      <w:r>
        <w:rPr>
          <w:rFonts w:hAnsi="宋体"/>
          <w:color w:val="auto"/>
          <w:kern w:val="0"/>
          <w:highlight w:val="none"/>
          <w:u w:val="single"/>
        </w:rPr>
        <w:t xml:space="preserve">  </w:t>
      </w:r>
      <w:r>
        <w:rPr>
          <w:rFonts w:hint="eastAsia" w:hAnsi="宋体"/>
          <w:color w:val="auto"/>
          <w:kern w:val="0"/>
          <w:highlight w:val="none"/>
          <w:u w:val="single"/>
          <w:lang w:val="en-US" w:eastAsia="zh-CN"/>
        </w:rPr>
        <w:t>北海</w:t>
      </w:r>
      <w:r>
        <w:rPr>
          <w:rFonts w:hAnsi="宋体"/>
          <w:color w:val="auto"/>
          <w:kern w:val="0"/>
          <w:highlight w:val="none"/>
          <w:u w:val="single"/>
        </w:rPr>
        <w:t xml:space="preserve">  </w:t>
      </w:r>
      <w:r>
        <w:rPr>
          <w:rFonts w:hint="eastAsia" w:hAnsi="宋体" w:cs="宋体"/>
          <w:color w:val="auto"/>
          <w:kern w:val="0"/>
          <w:highlight w:val="none"/>
        </w:rPr>
        <w:t>市相关规定执行。</w:t>
      </w:r>
    </w:p>
    <w:p w14:paraId="61E1A2D1">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Ansi="宋体" w:cs="宋体"/>
          <w:color w:val="auto"/>
          <w:kern w:val="0"/>
          <w:highlight w:val="none"/>
        </w:rPr>
      </w:pPr>
      <w:r>
        <w:rPr>
          <w:rFonts w:hint="eastAsia" w:hAnsi="宋体" w:cs="宋体"/>
          <w:color w:val="auto"/>
          <w:kern w:val="0"/>
          <w:highlight w:val="none"/>
        </w:rPr>
        <w:t>（</w:t>
      </w:r>
      <w:r>
        <w:rPr>
          <w:rFonts w:hAnsi="宋体"/>
          <w:color w:val="auto"/>
          <w:kern w:val="0"/>
          <w:highlight w:val="none"/>
        </w:rPr>
        <w:t>3</w:t>
      </w:r>
      <w:r>
        <w:rPr>
          <w:rFonts w:hint="eastAsia" w:hAnsi="宋体" w:cs="宋体"/>
          <w:color w:val="auto"/>
          <w:kern w:val="0"/>
          <w:highlight w:val="none"/>
        </w:rPr>
        <w:t>）支付约定：</w:t>
      </w:r>
      <w:r>
        <w:rPr>
          <w:rFonts w:hint="eastAsia" w:cs="宋体"/>
          <w:color w:val="auto"/>
          <w:kern w:val="0"/>
          <w:highlight w:val="none"/>
        </w:rPr>
        <w:t>在本合同签订后</w:t>
      </w:r>
      <w:r>
        <w:rPr>
          <w:rFonts w:hint="eastAsia"/>
          <w:color w:val="auto"/>
          <w:kern w:val="0"/>
          <w:highlight w:val="none"/>
          <w:lang w:val="en-US" w:eastAsia="zh-CN"/>
        </w:rPr>
        <w:t>28</w:t>
      </w:r>
      <w:r>
        <w:rPr>
          <w:rFonts w:hint="eastAsia" w:cs="宋体"/>
          <w:color w:val="auto"/>
          <w:kern w:val="0"/>
          <w:highlight w:val="none"/>
        </w:rPr>
        <w:t>个工作日内，预付安全文明施工费总额的   %，其余部分与进度款同期支付，安全文明施工费预付款在工程进度款累计金额超过合同价的   %时开始起扣，每月从支付给承包商的工程款内按安全文明预付款占合同总价的同一百分比扣回</w:t>
      </w:r>
      <w:r>
        <w:rPr>
          <w:rFonts w:hint="eastAsia" w:hAnsi="宋体" w:cs="宋体"/>
          <w:color w:val="auto"/>
          <w:kern w:val="0"/>
          <w:highlight w:val="none"/>
        </w:rPr>
        <w:t>。</w:t>
      </w:r>
    </w:p>
    <w:p w14:paraId="7633DEA5">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s="宋体"/>
          <w:color w:val="auto"/>
          <w:kern w:val="0"/>
          <w:highlight w:val="none"/>
        </w:rPr>
      </w:pPr>
      <w:r>
        <w:rPr>
          <w:rFonts w:hint="eastAsia" w:hAnsi="宋体" w:cs="宋体"/>
          <w:color w:val="auto"/>
          <w:kern w:val="0"/>
          <w:highlight w:val="none"/>
        </w:rPr>
        <w:t>（4）建设单位按规定将安全生产费用转入施工单位设立的安全生产费用专户。</w:t>
      </w:r>
    </w:p>
    <w:p w14:paraId="7BA56DA0">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s="宋体"/>
          <w:color w:val="auto"/>
          <w:kern w:val="0"/>
          <w:highlight w:val="none"/>
        </w:rPr>
      </w:pPr>
      <w:r>
        <w:rPr>
          <w:rFonts w:hint="eastAsia" w:hAnsi="宋体" w:cs="宋体"/>
          <w:color w:val="auto"/>
          <w:kern w:val="0"/>
          <w:highlight w:val="none"/>
        </w:rPr>
        <w:t>（5）工程施工完成后安全生产费用尚有结余的，结余部分由建设单位收回。</w:t>
      </w:r>
    </w:p>
    <w:p w14:paraId="03F5528B">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s="宋体"/>
          <w:color w:val="auto"/>
          <w:kern w:val="0"/>
          <w:highlight w:val="none"/>
        </w:rPr>
      </w:pPr>
      <w:r>
        <w:rPr>
          <w:rFonts w:hint="eastAsia" w:hAnsi="宋体" w:cs="宋体"/>
          <w:color w:val="auto"/>
          <w:kern w:val="0"/>
          <w:highlight w:val="none"/>
        </w:rPr>
        <w:t>（6）施工单位将安全生产费用使用情况定期报告建设单位和监理单位，并提供相应的材料接受建设行政主管部门对此事项监管。</w:t>
      </w:r>
    </w:p>
    <w:p w14:paraId="0728618D">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olor w:val="auto"/>
          <w:kern w:val="0"/>
          <w:highlight w:val="none"/>
        </w:rPr>
      </w:pPr>
      <w:r>
        <w:rPr>
          <w:rFonts w:hint="eastAsia" w:hAnsi="宋体" w:cs="宋体"/>
          <w:color w:val="auto"/>
          <w:kern w:val="0"/>
          <w:highlight w:val="none"/>
        </w:rPr>
        <w:t>（7）安全生产费用专户：</w:t>
      </w:r>
      <w:r>
        <w:rPr>
          <w:rFonts w:hAnsi="宋体" w:cs="宋体"/>
          <w:color w:val="auto"/>
          <w:kern w:val="0"/>
          <w:highlight w:val="none"/>
        </w:rPr>
        <w:t>××××</w:t>
      </w:r>
      <w:r>
        <w:rPr>
          <w:rFonts w:hint="eastAsia" w:hAnsi="宋体" w:cs="宋体"/>
          <w:color w:val="auto"/>
          <w:kern w:val="0"/>
          <w:highlight w:val="none"/>
        </w:rPr>
        <w:t>公司安全生产费用专户。账号：</w:t>
      </w:r>
      <w:r>
        <w:rPr>
          <w:rFonts w:hAnsi="宋体" w:cs="宋体"/>
          <w:color w:val="auto"/>
          <w:kern w:val="0"/>
          <w:highlight w:val="none"/>
        </w:rPr>
        <w:t xml:space="preserve"> </w:t>
      </w:r>
      <w:r>
        <w:rPr>
          <w:rFonts w:hint="eastAsia" w:hAnsi="宋体" w:cs="宋体"/>
          <w:color w:val="auto"/>
          <w:kern w:val="0"/>
          <w:highlight w:val="none"/>
        </w:rPr>
        <w:t xml:space="preserve">                。</w:t>
      </w:r>
    </w:p>
    <w:p w14:paraId="0822773F">
      <w:pPr>
        <w:pStyle w:val="4"/>
        <w:pageBreakBefore w:val="0"/>
        <w:widowControl w:val="0"/>
        <w:kinsoku/>
        <w:wordWrap/>
        <w:overflowPunct/>
        <w:topLinePunct w:val="0"/>
        <w:bidi w:val="0"/>
        <w:spacing w:before="0" w:after="0" w:line="360" w:lineRule="auto"/>
        <w:textAlignment w:val="auto"/>
        <w:rPr>
          <w:color w:val="auto"/>
          <w:highlight w:val="none"/>
        </w:rPr>
      </w:pPr>
      <w:bookmarkStart w:id="390" w:name="_Toc407135223"/>
      <w:bookmarkStart w:id="391" w:name="_Toc373227721"/>
      <w:bookmarkStart w:id="392" w:name="_Toc1076"/>
      <w:bookmarkStart w:id="393" w:name="_Toc373478368"/>
      <w:bookmarkStart w:id="394" w:name="_Toc78449809"/>
      <w:bookmarkStart w:id="395" w:name="_Toc1922268668"/>
      <w:bookmarkStart w:id="396" w:name="_Toc389065287"/>
      <w:r>
        <w:rPr>
          <w:color w:val="auto"/>
          <w:highlight w:val="none"/>
        </w:rPr>
        <w:t xml:space="preserve">6.3 </w:t>
      </w:r>
      <w:r>
        <w:rPr>
          <w:rFonts w:hint="eastAsia" w:hAnsi="宋体" w:cs="黑体"/>
          <w:color w:val="auto"/>
          <w:highlight w:val="none"/>
        </w:rPr>
        <w:t>环境保护</w:t>
      </w:r>
      <w:bookmarkEnd w:id="390"/>
      <w:bookmarkEnd w:id="391"/>
      <w:bookmarkEnd w:id="392"/>
      <w:bookmarkEnd w:id="393"/>
      <w:bookmarkEnd w:id="394"/>
      <w:bookmarkEnd w:id="395"/>
      <w:bookmarkEnd w:id="396"/>
    </w:p>
    <w:p w14:paraId="14A0D25D">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u w:val="single"/>
        </w:rPr>
        <w:t>因施工需要，经发包人批准，由承包人办理有关施工场地交通、环卫和施工噪音管理等手续，费用由承包人负责。</w:t>
      </w:r>
    </w:p>
    <w:p w14:paraId="6758BB89">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u w:val="single"/>
        </w:rPr>
        <w:t>经过城市道路的施工车辆，必须按交警、城管、运输等部门相关规定执行。由于施工车辆造成的道路、环境等污染，其责任和费用均由承包人承担。</w:t>
      </w:r>
    </w:p>
    <w:bookmarkEnd w:id="368"/>
    <w:bookmarkEnd w:id="369"/>
    <w:bookmarkEnd w:id="370"/>
    <w:bookmarkEnd w:id="371"/>
    <w:bookmarkEnd w:id="372"/>
    <w:bookmarkEnd w:id="373"/>
    <w:bookmarkEnd w:id="374"/>
    <w:p w14:paraId="68F99E7C">
      <w:pPr>
        <w:pStyle w:val="3"/>
        <w:pageBreakBefore w:val="0"/>
        <w:widowControl w:val="0"/>
        <w:kinsoku/>
        <w:wordWrap/>
        <w:overflowPunct/>
        <w:topLinePunct w:val="0"/>
        <w:bidi w:val="0"/>
        <w:spacing w:before="0" w:after="0" w:line="360" w:lineRule="auto"/>
        <w:textAlignment w:val="auto"/>
        <w:rPr>
          <w:color w:val="auto"/>
          <w:highlight w:val="none"/>
        </w:rPr>
      </w:pPr>
      <w:bookmarkStart w:id="397" w:name="_Toc351203639"/>
      <w:bookmarkStart w:id="398" w:name="_Toc10420"/>
      <w:bookmarkStart w:id="399" w:name="_Toc78449810"/>
      <w:bookmarkStart w:id="400" w:name="_Toc373478369"/>
      <w:bookmarkStart w:id="401" w:name="_Toc373227722"/>
      <w:bookmarkStart w:id="402" w:name="_Toc407135224"/>
      <w:bookmarkStart w:id="403" w:name="_Toc1408286886"/>
      <w:bookmarkStart w:id="404" w:name="_Toc389065288"/>
      <w:r>
        <w:rPr>
          <w:color w:val="auto"/>
          <w:highlight w:val="none"/>
        </w:rPr>
        <w:t xml:space="preserve">7. </w:t>
      </w:r>
      <w:r>
        <w:rPr>
          <w:rFonts w:hint="eastAsia" w:cs="黑体"/>
          <w:color w:val="auto"/>
          <w:highlight w:val="none"/>
        </w:rPr>
        <w:t>工期和进度</w:t>
      </w:r>
      <w:bookmarkEnd w:id="397"/>
      <w:bookmarkEnd w:id="398"/>
      <w:bookmarkEnd w:id="399"/>
      <w:bookmarkEnd w:id="400"/>
      <w:bookmarkEnd w:id="401"/>
      <w:bookmarkEnd w:id="402"/>
      <w:bookmarkEnd w:id="403"/>
      <w:bookmarkEnd w:id="404"/>
    </w:p>
    <w:p w14:paraId="76EFF6B3">
      <w:pPr>
        <w:pStyle w:val="4"/>
        <w:pageBreakBefore w:val="0"/>
        <w:widowControl w:val="0"/>
        <w:kinsoku/>
        <w:wordWrap/>
        <w:overflowPunct/>
        <w:topLinePunct w:val="0"/>
        <w:bidi w:val="0"/>
        <w:spacing w:before="0" w:after="0" w:line="360" w:lineRule="auto"/>
        <w:textAlignment w:val="auto"/>
        <w:rPr>
          <w:color w:val="auto"/>
          <w:highlight w:val="none"/>
        </w:rPr>
      </w:pPr>
      <w:bookmarkStart w:id="405" w:name="_Toc373227723"/>
      <w:bookmarkStart w:id="406" w:name="_Toc18892"/>
      <w:bookmarkStart w:id="407" w:name="_Toc407135225"/>
      <w:bookmarkStart w:id="408" w:name="_Toc1194482517"/>
      <w:bookmarkStart w:id="409" w:name="_Toc373478370"/>
      <w:bookmarkStart w:id="410" w:name="_Toc78449811"/>
      <w:bookmarkStart w:id="411" w:name="_Toc389065289"/>
      <w:r>
        <w:rPr>
          <w:color w:val="auto"/>
          <w:highlight w:val="none"/>
        </w:rPr>
        <w:t xml:space="preserve">7.1 </w:t>
      </w:r>
      <w:r>
        <w:rPr>
          <w:rFonts w:hint="eastAsia" w:cs="黑体"/>
          <w:color w:val="auto"/>
          <w:highlight w:val="none"/>
        </w:rPr>
        <w:t>施工组织设计</w:t>
      </w:r>
      <w:bookmarkEnd w:id="405"/>
      <w:bookmarkEnd w:id="406"/>
      <w:bookmarkEnd w:id="407"/>
      <w:bookmarkEnd w:id="408"/>
      <w:bookmarkEnd w:id="409"/>
      <w:bookmarkEnd w:id="410"/>
      <w:bookmarkEnd w:id="411"/>
    </w:p>
    <w:p w14:paraId="1194B697">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u w:val="single"/>
        </w:rPr>
      </w:pPr>
      <w:r>
        <w:rPr>
          <w:color w:val="auto"/>
          <w:highlight w:val="none"/>
        </w:rPr>
        <w:t xml:space="preserve">7.1.1 </w:t>
      </w:r>
      <w:r>
        <w:rPr>
          <w:rFonts w:hint="eastAsia" w:hAnsi="宋体" w:cs="宋体"/>
          <w:color w:val="auto"/>
          <w:highlight w:val="none"/>
        </w:rPr>
        <w:t>合</w:t>
      </w:r>
      <w:r>
        <w:rPr>
          <w:rFonts w:hint="eastAsia" w:hAnsi="宋体" w:cs="宋体"/>
          <w:color w:val="auto"/>
          <w:kern w:val="0"/>
          <w:highlight w:val="none"/>
        </w:rPr>
        <w:t>同当事人约定的施工组织设计应包括的其他内容：</w:t>
      </w:r>
      <w:r>
        <w:rPr>
          <w:color w:val="auto"/>
          <w:highlight w:val="none"/>
          <w:u w:val="single"/>
        </w:rPr>
        <w:t xml:space="preserve"> </w:t>
      </w:r>
      <w:r>
        <w:rPr>
          <w:rFonts w:hint="eastAsia"/>
          <w:color w:val="auto"/>
          <w:highlight w:val="none"/>
          <w:u w:val="single"/>
        </w:rPr>
        <w:t>按专业要求编制施工组织设计和专项施工方案。其中施工方案中的重要节点工期必须细化到具体日历天，发包人将以该节点工期为工程形象进度作为确定和拨付工程进度款和考核工期的重要依据</w:t>
      </w:r>
      <w:r>
        <w:rPr>
          <w:color w:val="auto"/>
          <w:highlight w:val="none"/>
          <w:u w:val="single"/>
        </w:rPr>
        <w:t xml:space="preserve"> </w:t>
      </w:r>
      <w:r>
        <w:rPr>
          <w:rFonts w:hint="eastAsia" w:hAnsi="宋体" w:cs="宋体"/>
          <w:color w:val="auto"/>
          <w:highlight w:val="none"/>
        </w:rPr>
        <w:t>。</w:t>
      </w:r>
    </w:p>
    <w:p w14:paraId="4B4930EE">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color w:val="auto"/>
          <w:highlight w:val="none"/>
        </w:rPr>
        <w:t xml:space="preserve">7.1.2 </w:t>
      </w:r>
      <w:r>
        <w:rPr>
          <w:rFonts w:hint="eastAsia" w:hAnsi="宋体" w:cs="宋体"/>
          <w:color w:val="auto"/>
          <w:kern w:val="0"/>
          <w:highlight w:val="none"/>
        </w:rPr>
        <w:t>施工组织设计的提交和修改</w:t>
      </w:r>
    </w:p>
    <w:p w14:paraId="6B268A11">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承包人提交详细施工组织设计的期限的约定：</w:t>
      </w:r>
      <w:r>
        <w:rPr>
          <w:color w:val="auto"/>
          <w:highlight w:val="none"/>
          <w:u w:val="single"/>
        </w:rPr>
        <w:t xml:space="preserve">   </w:t>
      </w:r>
      <w:r>
        <w:rPr>
          <w:rFonts w:hint="eastAsia"/>
          <w:color w:val="auto"/>
          <w:highlight w:val="none"/>
          <w:u w:val="single"/>
        </w:rPr>
        <w:t>在收到监理人发出的开工通知后7天内</w:t>
      </w:r>
      <w:r>
        <w:rPr>
          <w:color w:val="auto"/>
          <w:highlight w:val="none"/>
          <w:u w:val="single"/>
        </w:rPr>
        <w:t xml:space="preserve">  </w:t>
      </w:r>
      <w:r>
        <w:rPr>
          <w:rFonts w:hint="eastAsia" w:hAnsi="宋体" w:cs="宋体"/>
          <w:color w:val="auto"/>
          <w:highlight w:val="none"/>
        </w:rPr>
        <w:t>。</w:t>
      </w:r>
    </w:p>
    <w:p w14:paraId="5E0E5B4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发包人和监理人在收到详细的施工组织设计后确认或提出修改意见的期限：</w:t>
      </w:r>
      <w:r>
        <w:rPr>
          <w:color w:val="auto"/>
          <w:highlight w:val="none"/>
          <w:u w:val="single"/>
        </w:rPr>
        <w:t xml:space="preserve"> </w:t>
      </w:r>
      <w:r>
        <w:rPr>
          <w:rFonts w:hint="eastAsia"/>
          <w:color w:val="auto"/>
          <w:highlight w:val="none"/>
          <w:u w:val="single"/>
        </w:rPr>
        <w:t>收到相应文件后7天内</w:t>
      </w:r>
      <w:r>
        <w:rPr>
          <w:color w:val="auto"/>
          <w:highlight w:val="none"/>
          <w:u w:val="single"/>
        </w:rPr>
        <w:t xml:space="preserve">  </w:t>
      </w:r>
      <w:r>
        <w:rPr>
          <w:rFonts w:hint="eastAsia" w:hAnsi="宋体" w:cs="宋体"/>
          <w:color w:val="auto"/>
          <w:highlight w:val="none"/>
        </w:rPr>
        <w:t>。</w:t>
      </w:r>
    </w:p>
    <w:p w14:paraId="6D27AC06">
      <w:pPr>
        <w:pStyle w:val="4"/>
        <w:pageBreakBefore w:val="0"/>
        <w:widowControl w:val="0"/>
        <w:kinsoku/>
        <w:wordWrap/>
        <w:overflowPunct/>
        <w:topLinePunct w:val="0"/>
        <w:bidi w:val="0"/>
        <w:spacing w:before="0" w:after="0" w:line="360" w:lineRule="auto"/>
        <w:textAlignment w:val="auto"/>
        <w:rPr>
          <w:color w:val="auto"/>
          <w:highlight w:val="none"/>
        </w:rPr>
      </w:pPr>
      <w:bookmarkStart w:id="412" w:name="_Toc78449812"/>
      <w:bookmarkStart w:id="413" w:name="_Toc373227724"/>
      <w:bookmarkStart w:id="414" w:name="_Toc389065290"/>
      <w:bookmarkStart w:id="415" w:name="_Toc1393005721"/>
      <w:bookmarkStart w:id="416" w:name="_Toc373478371"/>
      <w:bookmarkStart w:id="417" w:name="_Toc407135226"/>
      <w:bookmarkStart w:id="418" w:name="_Toc20906"/>
      <w:r>
        <w:rPr>
          <w:color w:val="auto"/>
          <w:highlight w:val="none"/>
        </w:rPr>
        <w:t>7</w:t>
      </w:r>
      <w:bookmarkStart w:id="419" w:name="_Toc304295541"/>
      <w:bookmarkStart w:id="420" w:name="_Toc297123514"/>
      <w:bookmarkStart w:id="421" w:name="_Toc312677479"/>
      <w:bookmarkStart w:id="422" w:name="_Toc312678005"/>
      <w:bookmarkStart w:id="423" w:name="_Toc303539123"/>
      <w:bookmarkStart w:id="424" w:name="_Toc297216173"/>
      <w:bookmarkStart w:id="425" w:name="_Toc300934966"/>
      <w:r>
        <w:rPr>
          <w:color w:val="auto"/>
          <w:highlight w:val="none"/>
        </w:rPr>
        <w:t xml:space="preserve">.2 </w:t>
      </w:r>
      <w:r>
        <w:rPr>
          <w:rFonts w:hint="eastAsia" w:cs="黑体"/>
          <w:color w:val="auto"/>
          <w:highlight w:val="none"/>
        </w:rPr>
        <w:t>施工进度计划</w:t>
      </w:r>
      <w:bookmarkEnd w:id="412"/>
      <w:bookmarkEnd w:id="413"/>
      <w:bookmarkEnd w:id="414"/>
      <w:bookmarkEnd w:id="415"/>
      <w:bookmarkEnd w:id="416"/>
      <w:bookmarkEnd w:id="417"/>
      <w:bookmarkEnd w:id="418"/>
    </w:p>
    <w:p w14:paraId="75522B0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7.2.2 </w:t>
      </w:r>
      <w:r>
        <w:rPr>
          <w:rFonts w:hint="eastAsia" w:hAnsi="宋体" w:cs="宋体"/>
          <w:color w:val="auto"/>
          <w:highlight w:val="none"/>
        </w:rPr>
        <w:t>施工进度计划的修订</w:t>
      </w:r>
    </w:p>
    <w:p w14:paraId="457118D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发包人和监理人在收到修订的施工进度计划后确认或提出修改意见的期限：</w:t>
      </w:r>
      <w:r>
        <w:rPr>
          <w:color w:val="auto"/>
          <w:highlight w:val="none"/>
          <w:u w:val="single"/>
        </w:rPr>
        <w:t xml:space="preserve"> </w:t>
      </w:r>
      <w:r>
        <w:rPr>
          <w:rFonts w:hint="eastAsia"/>
          <w:color w:val="auto"/>
          <w:highlight w:val="none"/>
          <w:u w:val="single"/>
        </w:rPr>
        <w:t>收到相应文件后7天内</w:t>
      </w:r>
      <w:r>
        <w:rPr>
          <w:color w:val="auto"/>
          <w:highlight w:val="none"/>
          <w:u w:val="single"/>
        </w:rPr>
        <w:t xml:space="preserve"> </w:t>
      </w:r>
      <w:r>
        <w:rPr>
          <w:rFonts w:hint="eastAsia" w:hAnsi="宋体" w:cs="宋体"/>
          <w:color w:val="auto"/>
          <w:highlight w:val="none"/>
        </w:rPr>
        <w:t>。</w:t>
      </w:r>
    </w:p>
    <w:p w14:paraId="5C810784">
      <w:pPr>
        <w:pStyle w:val="4"/>
        <w:pageBreakBefore w:val="0"/>
        <w:widowControl w:val="0"/>
        <w:kinsoku/>
        <w:wordWrap/>
        <w:overflowPunct/>
        <w:topLinePunct w:val="0"/>
        <w:bidi w:val="0"/>
        <w:spacing w:before="0" w:after="0" w:line="360" w:lineRule="auto"/>
        <w:textAlignment w:val="auto"/>
        <w:rPr>
          <w:color w:val="auto"/>
          <w:highlight w:val="none"/>
        </w:rPr>
      </w:pPr>
      <w:bookmarkStart w:id="426" w:name="_Toc407135227"/>
      <w:bookmarkStart w:id="427" w:name="_Toc373478372"/>
      <w:bookmarkStart w:id="428" w:name="_Toc389065291"/>
      <w:bookmarkStart w:id="429" w:name="_Toc423062567"/>
      <w:bookmarkStart w:id="430" w:name="_Toc29648"/>
      <w:bookmarkStart w:id="431" w:name="_Toc78449813"/>
      <w:bookmarkStart w:id="432" w:name="_Toc373227725"/>
      <w:r>
        <w:rPr>
          <w:color w:val="auto"/>
          <w:highlight w:val="none"/>
        </w:rPr>
        <w:t xml:space="preserve">7.3 </w:t>
      </w:r>
      <w:r>
        <w:rPr>
          <w:rFonts w:hint="eastAsia" w:cs="黑体"/>
          <w:color w:val="auto"/>
          <w:highlight w:val="none"/>
        </w:rPr>
        <w:t>开工</w:t>
      </w:r>
      <w:bookmarkEnd w:id="426"/>
      <w:bookmarkEnd w:id="427"/>
      <w:bookmarkEnd w:id="428"/>
      <w:bookmarkEnd w:id="429"/>
      <w:bookmarkEnd w:id="430"/>
      <w:bookmarkEnd w:id="431"/>
      <w:bookmarkEnd w:id="432"/>
    </w:p>
    <w:p w14:paraId="19852DD3">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7.3.1 </w:t>
      </w:r>
      <w:r>
        <w:rPr>
          <w:rFonts w:hint="eastAsia" w:hAnsi="宋体" w:cs="宋体"/>
          <w:color w:val="auto"/>
          <w:highlight w:val="none"/>
        </w:rPr>
        <w:t>开工准备</w:t>
      </w:r>
    </w:p>
    <w:p w14:paraId="57868155">
      <w:pPr>
        <w:pageBreakBefore w:val="0"/>
        <w:widowControl w:val="0"/>
        <w:kinsoku/>
        <w:wordWrap/>
        <w:overflowPunct/>
        <w:topLinePunct w:val="0"/>
        <w:bidi w:val="0"/>
        <w:spacing w:line="360" w:lineRule="auto"/>
        <w:ind w:firstLine="426"/>
        <w:jc w:val="left"/>
        <w:textAlignment w:val="auto"/>
        <w:rPr>
          <w:color w:val="auto"/>
          <w:highlight w:val="none"/>
          <w:u w:val="single"/>
        </w:rPr>
      </w:pPr>
      <w:r>
        <w:rPr>
          <w:rFonts w:hint="eastAsia" w:hAnsi="宋体" w:cs="宋体"/>
          <w:color w:val="auto"/>
          <w:highlight w:val="none"/>
        </w:rPr>
        <w:t>关于承包人提交</w:t>
      </w:r>
      <w:r>
        <w:rPr>
          <w:rFonts w:hint="eastAsia" w:hAnsi="宋体" w:cs="宋体"/>
          <w:color w:val="auto"/>
          <w:kern w:val="0"/>
          <w:highlight w:val="none"/>
        </w:rPr>
        <w:t>工程开工报审表的期限：</w:t>
      </w:r>
      <w:r>
        <w:rPr>
          <w:color w:val="auto"/>
          <w:highlight w:val="none"/>
          <w:u w:val="single"/>
        </w:rPr>
        <w:t xml:space="preserve">  </w:t>
      </w:r>
      <w:r>
        <w:rPr>
          <w:rFonts w:hint="eastAsia"/>
          <w:color w:val="auto"/>
          <w:highlight w:val="none"/>
          <w:u w:val="single"/>
        </w:rPr>
        <w:t>开工前7日内</w:t>
      </w:r>
      <w:r>
        <w:rPr>
          <w:color w:val="auto"/>
          <w:highlight w:val="none"/>
          <w:u w:val="single"/>
        </w:rPr>
        <w:t xml:space="preserve">  </w:t>
      </w:r>
      <w:r>
        <w:rPr>
          <w:rFonts w:hint="eastAsia" w:hAnsi="宋体" w:cs="宋体"/>
          <w:color w:val="auto"/>
          <w:highlight w:val="none"/>
        </w:rPr>
        <w:t>。</w:t>
      </w:r>
    </w:p>
    <w:p w14:paraId="074FFD8C">
      <w:pPr>
        <w:pageBreakBefore w:val="0"/>
        <w:widowControl w:val="0"/>
        <w:kinsoku/>
        <w:wordWrap/>
        <w:overflowPunct/>
        <w:topLinePunct w:val="0"/>
        <w:bidi w:val="0"/>
        <w:spacing w:line="360" w:lineRule="auto"/>
        <w:ind w:firstLine="426"/>
        <w:jc w:val="left"/>
        <w:textAlignment w:val="auto"/>
        <w:rPr>
          <w:color w:val="auto"/>
          <w:highlight w:val="none"/>
          <w:u w:val="single"/>
        </w:rPr>
      </w:pPr>
      <w:r>
        <w:rPr>
          <w:rFonts w:hint="eastAsia" w:hAnsi="宋体" w:cs="宋体"/>
          <w:color w:val="auto"/>
          <w:highlight w:val="none"/>
        </w:rPr>
        <w:t>关于发包人应完成的其他开工准备工作及期限：</w:t>
      </w:r>
      <w:r>
        <w:rPr>
          <w:color w:val="auto"/>
          <w:highlight w:val="none"/>
          <w:u w:val="single"/>
        </w:rPr>
        <w:t xml:space="preserve">  </w:t>
      </w:r>
      <w:r>
        <w:rPr>
          <w:rFonts w:hint="eastAsia"/>
          <w:color w:val="auto"/>
          <w:highlight w:val="none"/>
          <w:u w:val="single"/>
        </w:rPr>
        <w:t>开工前7日内</w:t>
      </w:r>
      <w:r>
        <w:rPr>
          <w:color w:val="auto"/>
          <w:highlight w:val="none"/>
          <w:u w:val="single"/>
        </w:rPr>
        <w:t xml:space="preserve">  </w:t>
      </w:r>
      <w:r>
        <w:rPr>
          <w:rFonts w:hint="eastAsia" w:hAnsi="宋体" w:cs="宋体"/>
          <w:color w:val="auto"/>
          <w:highlight w:val="none"/>
        </w:rPr>
        <w:t>。</w:t>
      </w:r>
    </w:p>
    <w:p w14:paraId="1EAC9621">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关于承包人应完成的其他开工准备工作及期限：</w:t>
      </w:r>
      <w:r>
        <w:rPr>
          <w:color w:val="auto"/>
          <w:highlight w:val="none"/>
          <w:u w:val="single"/>
        </w:rPr>
        <w:t xml:space="preserve">  </w:t>
      </w:r>
      <w:r>
        <w:rPr>
          <w:rFonts w:hint="eastAsia"/>
          <w:color w:val="auto"/>
          <w:highlight w:val="none"/>
          <w:u w:val="single"/>
        </w:rPr>
        <w:t>开工前7日内</w:t>
      </w:r>
      <w:r>
        <w:rPr>
          <w:color w:val="auto"/>
          <w:highlight w:val="none"/>
          <w:u w:val="single"/>
        </w:rPr>
        <w:t xml:space="preserve">  </w:t>
      </w:r>
      <w:r>
        <w:rPr>
          <w:rFonts w:hint="eastAsia" w:hAnsi="宋体" w:cs="宋体"/>
          <w:color w:val="auto"/>
          <w:highlight w:val="none"/>
        </w:rPr>
        <w:t>。</w:t>
      </w:r>
    </w:p>
    <w:p w14:paraId="1713965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7.3.2 </w:t>
      </w:r>
      <w:r>
        <w:rPr>
          <w:rFonts w:hint="eastAsia" w:hAnsi="宋体" w:cs="宋体"/>
          <w:color w:val="auto"/>
          <w:highlight w:val="none"/>
        </w:rPr>
        <w:t>开工通知</w:t>
      </w:r>
    </w:p>
    <w:p w14:paraId="4D3986B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因发包人原因造成监理人未能在计划开工日期之日起</w:t>
      </w:r>
      <w:r>
        <w:rPr>
          <w:color w:val="auto"/>
          <w:highlight w:val="none"/>
          <w:u w:val="single"/>
        </w:rPr>
        <w:t xml:space="preserve"> </w:t>
      </w:r>
      <w:r>
        <w:rPr>
          <w:rFonts w:hint="eastAsia"/>
          <w:color w:val="auto"/>
          <w:highlight w:val="none"/>
          <w:u w:val="single"/>
          <w:lang w:val="en-US" w:eastAsia="zh-CN"/>
        </w:rPr>
        <w:t>30</w:t>
      </w:r>
      <w:r>
        <w:rPr>
          <w:color w:val="auto"/>
          <w:highlight w:val="none"/>
          <w:u w:val="single"/>
        </w:rPr>
        <w:t xml:space="preserve"> </w:t>
      </w:r>
      <w:r>
        <w:rPr>
          <w:rFonts w:hint="eastAsia" w:hAnsi="宋体" w:cs="宋体"/>
          <w:color w:val="auto"/>
          <w:highlight w:val="none"/>
        </w:rPr>
        <w:t>天内发出开工通知的，承包人有权提出价格调整要求，或者解除合同。</w:t>
      </w:r>
    </w:p>
    <w:bookmarkEnd w:id="419"/>
    <w:bookmarkEnd w:id="420"/>
    <w:bookmarkEnd w:id="421"/>
    <w:bookmarkEnd w:id="422"/>
    <w:bookmarkEnd w:id="423"/>
    <w:bookmarkEnd w:id="424"/>
    <w:bookmarkEnd w:id="425"/>
    <w:p w14:paraId="508CFA0A">
      <w:pPr>
        <w:pStyle w:val="4"/>
        <w:pageBreakBefore w:val="0"/>
        <w:widowControl w:val="0"/>
        <w:kinsoku/>
        <w:wordWrap/>
        <w:overflowPunct/>
        <w:topLinePunct w:val="0"/>
        <w:bidi w:val="0"/>
        <w:spacing w:before="0" w:after="0" w:line="360" w:lineRule="auto"/>
        <w:textAlignment w:val="auto"/>
        <w:rPr>
          <w:color w:val="auto"/>
          <w:highlight w:val="none"/>
        </w:rPr>
      </w:pPr>
      <w:bookmarkStart w:id="433" w:name="_Toc78449814"/>
      <w:bookmarkStart w:id="434" w:name="_Toc373478373"/>
      <w:bookmarkStart w:id="435" w:name="_Toc407135228"/>
      <w:bookmarkStart w:id="436" w:name="_Toc389065292"/>
      <w:bookmarkStart w:id="437" w:name="_Toc741356765"/>
      <w:bookmarkStart w:id="438" w:name="_Toc373227726"/>
      <w:bookmarkStart w:id="439" w:name="_Toc11916"/>
      <w:r>
        <w:rPr>
          <w:color w:val="auto"/>
          <w:highlight w:val="none"/>
        </w:rPr>
        <w:t xml:space="preserve">7.4 </w:t>
      </w:r>
      <w:r>
        <w:rPr>
          <w:rFonts w:hint="eastAsia" w:hAnsi="宋体" w:cs="黑体"/>
          <w:color w:val="auto"/>
          <w:highlight w:val="none"/>
        </w:rPr>
        <w:t>测量放线</w:t>
      </w:r>
      <w:bookmarkEnd w:id="433"/>
      <w:bookmarkEnd w:id="434"/>
      <w:bookmarkEnd w:id="435"/>
      <w:bookmarkEnd w:id="436"/>
      <w:bookmarkEnd w:id="437"/>
      <w:bookmarkEnd w:id="438"/>
      <w:bookmarkEnd w:id="439"/>
    </w:p>
    <w:p w14:paraId="66550358">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color w:val="auto"/>
          <w:highlight w:val="none"/>
        </w:rPr>
        <w:t>7.4.1</w:t>
      </w:r>
      <w:r>
        <w:rPr>
          <w:rFonts w:hint="eastAsia" w:hAnsi="宋体" w:cs="宋体"/>
          <w:color w:val="auto"/>
          <w:highlight w:val="none"/>
        </w:rPr>
        <w:t>发包人通过监理人向承包人提供测量基准点、基准线和水准点及其书面资料的期限：</w:t>
      </w:r>
    </w:p>
    <w:p w14:paraId="0BD73198">
      <w:pPr>
        <w:pageBreakBefore w:val="0"/>
        <w:widowControl w:val="0"/>
        <w:kinsoku/>
        <w:wordWrap/>
        <w:overflowPunct/>
        <w:topLinePunct w:val="0"/>
        <w:bidi w:val="0"/>
        <w:spacing w:line="360" w:lineRule="auto"/>
        <w:jc w:val="left"/>
        <w:textAlignment w:val="auto"/>
        <w:rPr>
          <w:color w:val="auto"/>
          <w:highlight w:val="none"/>
          <w:u w:val="single"/>
        </w:rPr>
      </w:pPr>
      <w:r>
        <w:rPr>
          <w:color w:val="auto"/>
          <w:highlight w:val="none"/>
          <w:u w:val="single"/>
        </w:rPr>
        <w:t xml:space="preserve">  </w:t>
      </w:r>
      <w:r>
        <w:rPr>
          <w:rFonts w:hint="eastAsia"/>
          <w:color w:val="auto"/>
          <w:highlight w:val="none"/>
          <w:u w:val="single"/>
        </w:rPr>
        <w:t>开工7天前以书面形式交验，并于交付施工现场时，在现场实际交验，同时做好交验记录</w:t>
      </w:r>
      <w:r>
        <w:rPr>
          <w:color w:val="auto"/>
          <w:highlight w:val="none"/>
          <w:u w:val="single"/>
        </w:rPr>
        <w:t xml:space="preserve"> </w:t>
      </w:r>
      <w:r>
        <w:rPr>
          <w:rFonts w:hint="eastAsia" w:hAnsi="宋体" w:cs="宋体"/>
          <w:color w:val="auto"/>
          <w:highlight w:val="none"/>
        </w:rPr>
        <w:t>。</w:t>
      </w:r>
    </w:p>
    <w:p w14:paraId="2BE2896A">
      <w:pPr>
        <w:pStyle w:val="4"/>
        <w:pageBreakBefore w:val="0"/>
        <w:widowControl w:val="0"/>
        <w:kinsoku/>
        <w:wordWrap/>
        <w:overflowPunct/>
        <w:topLinePunct w:val="0"/>
        <w:bidi w:val="0"/>
        <w:spacing w:before="0" w:after="0" w:line="360" w:lineRule="auto"/>
        <w:textAlignment w:val="auto"/>
        <w:rPr>
          <w:color w:val="auto"/>
          <w:highlight w:val="none"/>
        </w:rPr>
      </w:pPr>
      <w:bookmarkStart w:id="440" w:name="_Toc389065293"/>
      <w:bookmarkStart w:id="441" w:name="_Toc373227727"/>
      <w:bookmarkStart w:id="442" w:name="_Toc78449815"/>
      <w:bookmarkStart w:id="443" w:name="_Toc1417437583"/>
      <w:bookmarkStart w:id="444" w:name="_Toc28543"/>
      <w:bookmarkStart w:id="445" w:name="_Toc407135229"/>
      <w:bookmarkStart w:id="446" w:name="_Toc373478374"/>
      <w:r>
        <w:rPr>
          <w:color w:val="auto"/>
          <w:highlight w:val="none"/>
        </w:rPr>
        <w:t>7</w:t>
      </w:r>
      <w:bookmarkStart w:id="447" w:name="_Toc297216175"/>
      <w:bookmarkStart w:id="448" w:name="_Toc300934968"/>
      <w:bookmarkStart w:id="449" w:name="_Toc297123516"/>
      <w:bookmarkStart w:id="450" w:name="_Toc312678010"/>
      <w:bookmarkStart w:id="451" w:name="_Toc312677484"/>
      <w:bookmarkStart w:id="452" w:name="_Toc304295546"/>
      <w:bookmarkStart w:id="453" w:name="_Toc303539125"/>
      <w:r>
        <w:rPr>
          <w:color w:val="auto"/>
          <w:highlight w:val="none"/>
        </w:rPr>
        <w:t xml:space="preserve">.5 </w:t>
      </w:r>
      <w:r>
        <w:rPr>
          <w:rFonts w:hint="eastAsia" w:hAnsi="宋体" w:cs="黑体"/>
          <w:color w:val="auto"/>
          <w:highlight w:val="none"/>
        </w:rPr>
        <w:t>工期延误</w:t>
      </w:r>
      <w:bookmarkEnd w:id="440"/>
      <w:bookmarkEnd w:id="441"/>
      <w:bookmarkEnd w:id="442"/>
      <w:bookmarkEnd w:id="443"/>
      <w:bookmarkEnd w:id="444"/>
      <w:bookmarkEnd w:id="445"/>
      <w:bookmarkEnd w:id="446"/>
    </w:p>
    <w:bookmarkEnd w:id="447"/>
    <w:bookmarkEnd w:id="448"/>
    <w:bookmarkEnd w:id="449"/>
    <w:bookmarkEnd w:id="450"/>
    <w:bookmarkEnd w:id="451"/>
    <w:bookmarkEnd w:id="452"/>
    <w:bookmarkEnd w:id="453"/>
    <w:p w14:paraId="1602025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7.5.1 </w:t>
      </w:r>
      <w:r>
        <w:rPr>
          <w:rFonts w:hint="eastAsia" w:hAnsi="宋体" w:cs="宋体"/>
          <w:color w:val="auto"/>
          <w:highlight w:val="none"/>
        </w:rPr>
        <w:t>因发包人原因导致工期延误</w:t>
      </w:r>
    </w:p>
    <w:p w14:paraId="6862FB9A">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w:t>
      </w:r>
      <w:r>
        <w:rPr>
          <w:color w:val="auto"/>
          <w:highlight w:val="none"/>
        </w:rPr>
        <w:t>7</w:t>
      </w:r>
      <w:r>
        <w:rPr>
          <w:rFonts w:hint="eastAsia" w:hAnsi="宋体" w:cs="宋体"/>
          <w:color w:val="auto"/>
          <w:highlight w:val="none"/>
        </w:rPr>
        <w:t>）因发包人原因导致工期延误的其他情形：</w:t>
      </w:r>
      <w:r>
        <w:rPr>
          <w:rFonts w:hint="eastAsia" w:ascii="宋体" w:hAnsi="宋体" w:cs="宋体"/>
          <w:color w:val="auto"/>
          <w:highlight w:val="none"/>
          <w:u w:val="single"/>
        </w:rPr>
        <w:t>①重大图纸变更影响关健线路工序施工；②施工期间如因停电、停水连续</w:t>
      </w:r>
      <w:r>
        <w:rPr>
          <w:rFonts w:ascii="宋体" w:hAnsi="宋体" w:cs="宋体"/>
          <w:color w:val="auto"/>
          <w:highlight w:val="none"/>
          <w:u w:val="single"/>
        </w:rPr>
        <w:t>8</w:t>
      </w:r>
      <w:r>
        <w:rPr>
          <w:rFonts w:hint="eastAsia" w:ascii="宋体" w:hAnsi="宋体" w:cs="宋体"/>
          <w:color w:val="auto"/>
          <w:highlight w:val="none"/>
          <w:u w:val="single"/>
        </w:rPr>
        <w:t>小时以上或一周内间歇性停水、停电累计</w:t>
      </w:r>
      <w:r>
        <w:rPr>
          <w:rFonts w:ascii="宋体" w:hAnsi="宋体" w:cs="宋体"/>
          <w:color w:val="auto"/>
          <w:highlight w:val="none"/>
          <w:u w:val="single"/>
        </w:rPr>
        <w:t>8</w:t>
      </w:r>
      <w:r>
        <w:rPr>
          <w:rFonts w:hint="eastAsia" w:ascii="宋体" w:hAnsi="宋体" w:cs="宋体"/>
          <w:color w:val="auto"/>
          <w:highlight w:val="none"/>
          <w:u w:val="single"/>
        </w:rPr>
        <w:t>小时（含</w:t>
      </w:r>
      <w:r>
        <w:rPr>
          <w:rFonts w:ascii="宋体" w:hAnsi="宋体" w:cs="宋体"/>
          <w:color w:val="auto"/>
          <w:highlight w:val="none"/>
          <w:u w:val="single"/>
        </w:rPr>
        <w:t>8</w:t>
      </w:r>
      <w:r>
        <w:rPr>
          <w:rFonts w:hint="eastAsia" w:ascii="宋体" w:hAnsi="宋体" w:cs="宋体"/>
          <w:color w:val="auto"/>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Ansi="宋体"/>
          <w:color w:val="auto"/>
          <w:highlight w:val="none"/>
        </w:rPr>
        <w:t xml:space="preserve"> </w:t>
      </w:r>
      <w:r>
        <w:rPr>
          <w:rFonts w:hint="eastAsia" w:hAnsi="宋体" w:cs="宋体"/>
          <w:color w:val="auto"/>
          <w:highlight w:val="none"/>
        </w:rPr>
        <w:t>。</w:t>
      </w:r>
    </w:p>
    <w:p w14:paraId="41E364F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7</w:t>
      </w:r>
      <w:bookmarkStart w:id="454" w:name="_Toc312677486"/>
      <w:bookmarkStart w:id="455" w:name="_Toc312678012"/>
      <w:bookmarkStart w:id="456" w:name="_Toc318581169"/>
      <w:bookmarkStart w:id="457" w:name="_Toc297216177"/>
      <w:bookmarkStart w:id="458" w:name="_Toc304295548"/>
      <w:bookmarkStart w:id="459" w:name="_Toc297123518"/>
      <w:bookmarkStart w:id="460" w:name="_Toc300934970"/>
      <w:bookmarkStart w:id="461" w:name="_Toc303539127"/>
      <w:r>
        <w:rPr>
          <w:color w:val="auto"/>
          <w:highlight w:val="none"/>
        </w:rPr>
        <w:t xml:space="preserve">.5.2 </w:t>
      </w:r>
      <w:r>
        <w:rPr>
          <w:rFonts w:hint="eastAsia" w:hAnsi="宋体" w:cs="宋体"/>
          <w:color w:val="auto"/>
          <w:highlight w:val="none"/>
        </w:rPr>
        <w:t>因承包人原因导致工期延误</w:t>
      </w:r>
    </w:p>
    <w:bookmarkEnd w:id="454"/>
    <w:bookmarkEnd w:id="455"/>
    <w:bookmarkEnd w:id="456"/>
    <w:p w14:paraId="342F6F6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双方约定经监理工程师确认，工期相应顺延的情况：</w:t>
      </w:r>
      <w:r>
        <w:rPr>
          <w:color w:val="auto"/>
          <w:highlight w:val="none"/>
          <w:u w:val="single"/>
        </w:rPr>
        <w:t xml:space="preserve"> </w:t>
      </w:r>
      <w:r>
        <w:rPr>
          <w:rFonts w:hint="eastAsia"/>
          <w:color w:val="auto"/>
          <w:highlight w:val="none"/>
          <w:u w:val="single"/>
        </w:rPr>
        <w:t>因异常恶劣的气候条件影响工期的</w:t>
      </w:r>
      <w:r>
        <w:rPr>
          <w:color w:val="auto"/>
          <w:highlight w:val="none"/>
          <w:u w:val="single"/>
        </w:rPr>
        <w:t xml:space="preserve"> </w:t>
      </w:r>
      <w:r>
        <w:rPr>
          <w:rFonts w:hint="eastAsia" w:hAnsi="宋体" w:cs="宋体"/>
          <w:color w:val="auto"/>
          <w:highlight w:val="none"/>
        </w:rPr>
        <w:t>。</w:t>
      </w:r>
    </w:p>
    <w:p w14:paraId="5882EF2C">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因</w:t>
      </w:r>
      <w:bookmarkStart w:id="462" w:name="_Toc312678013"/>
      <w:bookmarkStart w:id="463" w:name="_Toc312677487"/>
      <w:bookmarkStart w:id="464" w:name="_Toc318581170"/>
      <w:r>
        <w:rPr>
          <w:rFonts w:hint="eastAsia" w:hAnsi="宋体" w:cs="宋体"/>
          <w:color w:val="auto"/>
          <w:highlight w:val="none"/>
        </w:rPr>
        <w:t>承包人原因造成工期延误，逾期竣工违约金的计算方法为：</w:t>
      </w:r>
      <w:r>
        <w:rPr>
          <w:rFonts w:hint="eastAsia" w:ascii="宋体" w:hAnsi="宋体" w:cs="宋体"/>
          <w:color w:val="auto"/>
          <w:highlight w:val="none"/>
          <w:u w:val="single"/>
        </w:rPr>
        <w:t>按逾期竣工的单项工程罚款，每延误一天</w:t>
      </w:r>
      <w:r>
        <w:rPr>
          <w:rFonts w:hint="eastAsia" w:ascii="宋体" w:cs="宋体"/>
          <w:color w:val="auto"/>
          <w:highlight w:val="none"/>
          <w:u w:val="single"/>
          <w:lang w:eastAsia="zh-CN"/>
        </w:rPr>
        <w:t>，</w:t>
      </w:r>
      <w:r>
        <w:rPr>
          <w:rFonts w:hint="eastAsia" w:ascii="宋体" w:hAnsi="宋体" w:cs="宋体"/>
          <w:color w:val="auto"/>
          <w:highlight w:val="none"/>
          <w:u w:val="single"/>
        </w:rPr>
        <w:t>按单项工程应支付给承包人的结算造价的万分之</w:t>
      </w:r>
      <w:r>
        <w:rPr>
          <w:rFonts w:ascii="宋体" w:hAnsi="宋体" w:cs="宋体"/>
          <w:color w:val="auto"/>
          <w:highlight w:val="none"/>
          <w:u w:val="single"/>
        </w:rPr>
        <w:t xml:space="preserve">   </w:t>
      </w:r>
      <w:r>
        <w:rPr>
          <w:rFonts w:hint="eastAsia" w:ascii="宋体" w:hAnsi="宋体" w:cs="宋体"/>
          <w:color w:val="auto"/>
          <w:highlight w:val="none"/>
          <w:u w:val="single"/>
        </w:rPr>
        <w:t>处罚</w:t>
      </w:r>
      <w:r>
        <w:rPr>
          <w:rFonts w:hint="eastAsia" w:ascii="宋体" w:cs="宋体"/>
          <w:color w:val="auto"/>
          <w:highlight w:val="none"/>
          <w:u w:val="single"/>
          <w:lang w:eastAsia="zh-CN"/>
        </w:rPr>
        <w:t>，</w:t>
      </w:r>
      <w:r>
        <w:rPr>
          <w:rFonts w:hint="eastAsia" w:ascii="宋体" w:hAnsi="宋体" w:cs="宋体"/>
          <w:color w:val="auto"/>
          <w:highlight w:val="none"/>
          <w:u w:val="single"/>
        </w:rPr>
        <w:t>罚款直接从结算款中扣除。</w:t>
      </w:r>
      <w:r>
        <w:rPr>
          <w:rFonts w:hint="eastAsia" w:hAnsi="宋体" w:cs="宋体"/>
          <w:color w:val="auto"/>
          <w:highlight w:val="none"/>
          <w:u w:val="single"/>
        </w:rPr>
        <w:t>误期时间从规定竣工日期起直到实际竣工日期的天数（扣除发包人批准顺延的工期）。</w:t>
      </w:r>
      <w:bookmarkEnd w:id="457"/>
      <w:bookmarkEnd w:id="458"/>
      <w:bookmarkEnd w:id="459"/>
      <w:bookmarkEnd w:id="460"/>
      <w:bookmarkEnd w:id="461"/>
      <w:bookmarkEnd w:id="462"/>
      <w:bookmarkEnd w:id="463"/>
      <w:bookmarkEnd w:id="464"/>
      <w:r>
        <w:rPr>
          <w:rFonts w:hint="eastAsia" w:hAnsi="宋体" w:cs="宋体"/>
          <w:color w:val="auto"/>
          <w:highlight w:val="none"/>
        </w:rPr>
        <w:t>因承包人原因造成工期延误，逾</w:t>
      </w:r>
      <w:bookmarkStart w:id="465" w:name="_Toc312678014"/>
      <w:bookmarkStart w:id="466" w:name="_Toc318581171"/>
      <w:r>
        <w:rPr>
          <w:rFonts w:hint="eastAsia" w:hAnsi="宋体" w:cs="宋体"/>
          <w:color w:val="auto"/>
          <w:highlight w:val="none"/>
        </w:rPr>
        <w:t>期竣工违约金的上限：</w:t>
      </w:r>
      <w:r>
        <w:rPr>
          <w:rFonts w:hint="eastAsia" w:ascii="宋体" w:hAnsi="宋体" w:cs="宋体"/>
          <w:color w:val="auto"/>
          <w:highlight w:val="none"/>
          <w:u w:val="single"/>
        </w:rPr>
        <w:t>逾期竣工的单项工程结算造价</w:t>
      </w:r>
      <w:r>
        <w:rPr>
          <w:rFonts w:hint="eastAsia" w:hAnsi="宋体" w:cs="宋体"/>
          <w:color w:val="auto"/>
          <w:highlight w:val="none"/>
          <w:u w:val="single"/>
        </w:rPr>
        <w:t>的</w:t>
      </w:r>
      <w:r>
        <w:rPr>
          <w:color w:val="auto"/>
          <w:highlight w:val="none"/>
          <w:u w:val="single"/>
        </w:rPr>
        <w:t xml:space="preserve">    %</w:t>
      </w:r>
      <w:r>
        <w:rPr>
          <w:rFonts w:hint="eastAsia" w:hAnsi="宋体" w:cs="宋体"/>
          <w:color w:val="auto"/>
          <w:highlight w:val="none"/>
        </w:rPr>
        <w:t>。</w:t>
      </w:r>
    </w:p>
    <w:bookmarkEnd w:id="465"/>
    <w:bookmarkEnd w:id="466"/>
    <w:p w14:paraId="536EF238">
      <w:pPr>
        <w:pStyle w:val="4"/>
        <w:pageBreakBefore w:val="0"/>
        <w:widowControl w:val="0"/>
        <w:kinsoku/>
        <w:wordWrap/>
        <w:overflowPunct/>
        <w:topLinePunct w:val="0"/>
        <w:bidi w:val="0"/>
        <w:spacing w:before="0" w:after="0" w:line="360" w:lineRule="auto"/>
        <w:textAlignment w:val="auto"/>
        <w:rPr>
          <w:color w:val="auto"/>
          <w:highlight w:val="none"/>
        </w:rPr>
      </w:pPr>
      <w:bookmarkStart w:id="467" w:name="_Toc78449816"/>
      <w:bookmarkStart w:id="468" w:name="_Toc389065294"/>
      <w:bookmarkStart w:id="469" w:name="_Toc373227728"/>
      <w:bookmarkStart w:id="470" w:name="_Toc407135230"/>
      <w:bookmarkStart w:id="471" w:name="_Toc373478375"/>
      <w:bookmarkStart w:id="472" w:name="_Toc1954543271"/>
      <w:bookmarkStart w:id="473" w:name="_Toc6943"/>
      <w:r>
        <w:rPr>
          <w:color w:val="auto"/>
          <w:highlight w:val="none"/>
        </w:rPr>
        <w:t>7</w:t>
      </w:r>
      <w:bookmarkStart w:id="474" w:name="_Toc303539128"/>
      <w:bookmarkStart w:id="475" w:name="_Toc312678015"/>
      <w:bookmarkStart w:id="476" w:name="_Toc297216178"/>
      <w:bookmarkStart w:id="477" w:name="_Toc304295549"/>
      <w:bookmarkStart w:id="478" w:name="_Toc297123519"/>
      <w:bookmarkStart w:id="479" w:name="_Toc300934971"/>
      <w:r>
        <w:rPr>
          <w:color w:val="auto"/>
          <w:highlight w:val="none"/>
        </w:rPr>
        <w:t xml:space="preserve">.6 </w:t>
      </w:r>
      <w:r>
        <w:rPr>
          <w:rFonts w:hint="eastAsia" w:cs="黑体"/>
          <w:color w:val="auto"/>
          <w:highlight w:val="none"/>
        </w:rPr>
        <w:t>不</w:t>
      </w:r>
      <w:bookmarkEnd w:id="474"/>
      <w:bookmarkEnd w:id="475"/>
      <w:bookmarkEnd w:id="476"/>
      <w:bookmarkEnd w:id="477"/>
      <w:bookmarkEnd w:id="478"/>
      <w:bookmarkEnd w:id="479"/>
      <w:r>
        <w:rPr>
          <w:rFonts w:hint="eastAsia" w:cs="黑体"/>
          <w:color w:val="auto"/>
          <w:highlight w:val="none"/>
        </w:rPr>
        <w:t>利物质条件</w:t>
      </w:r>
      <w:bookmarkEnd w:id="467"/>
      <w:bookmarkEnd w:id="468"/>
      <w:bookmarkEnd w:id="469"/>
      <w:bookmarkEnd w:id="470"/>
      <w:bookmarkEnd w:id="471"/>
      <w:bookmarkEnd w:id="472"/>
      <w:bookmarkEnd w:id="473"/>
    </w:p>
    <w:p w14:paraId="1A3048FF">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bookmarkStart w:id="480" w:name="_Toc318581172"/>
      <w:bookmarkStart w:id="481" w:name="_Toc312678016"/>
      <w:bookmarkStart w:id="482" w:name="_Toc300934972"/>
      <w:bookmarkStart w:id="483" w:name="_Toc304295550"/>
      <w:bookmarkStart w:id="484" w:name="_Toc303539129"/>
      <w:bookmarkStart w:id="485" w:name="_Toc297216179"/>
      <w:bookmarkStart w:id="486" w:name="_Toc297123520"/>
      <w:r>
        <w:rPr>
          <w:rFonts w:hint="eastAsia" w:hAnsi="宋体" w:cs="宋体"/>
          <w:color w:val="auto"/>
          <w:highlight w:val="none"/>
        </w:rPr>
        <w:t>不利物质条件的其他情形和有关约定：</w:t>
      </w:r>
      <w:r>
        <w:rPr>
          <w:color w:val="auto"/>
          <w:highlight w:val="none"/>
          <w:u w:val="single"/>
        </w:rPr>
        <w:t xml:space="preserve">   </w:t>
      </w:r>
      <w:r>
        <w:rPr>
          <w:rFonts w:hint="eastAsia"/>
          <w:color w:val="auto"/>
          <w:highlight w:val="none"/>
          <w:u w:val="single"/>
        </w:rPr>
        <w:t>按通用条款约定</w:t>
      </w:r>
      <w:r>
        <w:rPr>
          <w:color w:val="auto"/>
          <w:highlight w:val="none"/>
          <w:u w:val="single"/>
        </w:rPr>
        <w:t xml:space="preserve">  </w:t>
      </w:r>
      <w:r>
        <w:rPr>
          <w:rFonts w:hint="eastAsia" w:hAnsi="宋体" w:cs="宋体"/>
          <w:color w:val="auto"/>
          <w:highlight w:val="none"/>
        </w:rPr>
        <w:t>。</w:t>
      </w:r>
    </w:p>
    <w:bookmarkEnd w:id="480"/>
    <w:bookmarkEnd w:id="481"/>
    <w:bookmarkEnd w:id="482"/>
    <w:bookmarkEnd w:id="483"/>
    <w:bookmarkEnd w:id="484"/>
    <w:bookmarkEnd w:id="485"/>
    <w:bookmarkEnd w:id="486"/>
    <w:p w14:paraId="3CC1DCE8">
      <w:pPr>
        <w:pStyle w:val="4"/>
        <w:pageBreakBefore w:val="0"/>
        <w:widowControl w:val="0"/>
        <w:kinsoku/>
        <w:wordWrap/>
        <w:overflowPunct/>
        <w:topLinePunct w:val="0"/>
        <w:bidi w:val="0"/>
        <w:spacing w:before="0" w:after="0" w:line="360" w:lineRule="auto"/>
        <w:textAlignment w:val="auto"/>
        <w:rPr>
          <w:color w:val="auto"/>
          <w:highlight w:val="none"/>
        </w:rPr>
      </w:pPr>
      <w:bookmarkStart w:id="487" w:name="_Toc407135231"/>
      <w:bookmarkStart w:id="488" w:name="_Toc78449817"/>
      <w:bookmarkStart w:id="489" w:name="_Toc389065295"/>
      <w:bookmarkStart w:id="490" w:name="_Toc373227729"/>
      <w:bookmarkStart w:id="491" w:name="_Toc18180"/>
      <w:bookmarkStart w:id="492" w:name="_Toc373478376"/>
      <w:bookmarkStart w:id="493" w:name="_Toc851880484"/>
      <w:r>
        <w:rPr>
          <w:color w:val="auto"/>
          <w:highlight w:val="none"/>
        </w:rPr>
        <w:t>7</w:t>
      </w:r>
      <w:bookmarkStart w:id="494" w:name="_Toc303539130"/>
      <w:bookmarkStart w:id="495" w:name="_Toc304295551"/>
      <w:bookmarkStart w:id="496" w:name="_Toc300934973"/>
      <w:bookmarkStart w:id="497" w:name="_Toc297123521"/>
      <w:bookmarkStart w:id="498" w:name="_Toc312678017"/>
      <w:bookmarkStart w:id="499" w:name="_Toc297216180"/>
      <w:r>
        <w:rPr>
          <w:color w:val="auto"/>
          <w:highlight w:val="none"/>
        </w:rPr>
        <w:t xml:space="preserve">.7 </w:t>
      </w:r>
      <w:r>
        <w:rPr>
          <w:rFonts w:hint="eastAsia" w:cs="黑体"/>
          <w:color w:val="auto"/>
          <w:highlight w:val="none"/>
        </w:rPr>
        <w:t>异常恶劣的气候条件</w:t>
      </w:r>
      <w:bookmarkEnd w:id="487"/>
      <w:bookmarkEnd w:id="488"/>
      <w:bookmarkEnd w:id="489"/>
      <w:bookmarkEnd w:id="490"/>
      <w:bookmarkEnd w:id="491"/>
      <w:bookmarkEnd w:id="492"/>
      <w:bookmarkEnd w:id="493"/>
    </w:p>
    <w:bookmarkEnd w:id="494"/>
    <w:bookmarkEnd w:id="495"/>
    <w:bookmarkEnd w:id="496"/>
    <w:bookmarkEnd w:id="497"/>
    <w:bookmarkEnd w:id="498"/>
    <w:bookmarkEnd w:id="499"/>
    <w:p w14:paraId="4A23EDB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发包人和承包人同意以下情形视为异常恶劣的气候条件：</w:t>
      </w:r>
    </w:p>
    <w:p w14:paraId="4EFDC612">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（1）</w:t>
      </w:r>
      <w:r>
        <w:rPr>
          <w:rFonts w:hint="eastAsia" w:hAnsi="宋体" w:cs="宋体"/>
          <w:color w:val="auto"/>
          <w:highlight w:val="none"/>
          <w:u w:val="single"/>
        </w:rPr>
        <w:t>当地</w:t>
      </w:r>
      <w:r>
        <w:rPr>
          <w:rFonts w:hint="eastAsia" w:hAnsi="宋体" w:cs="宋体"/>
          <w:color w:val="auto"/>
          <w:highlight w:val="none"/>
          <w:u w:val="single"/>
          <w:lang w:val="en-US" w:eastAsia="zh-CN"/>
        </w:rPr>
        <w:t>6</w:t>
      </w:r>
      <w:r>
        <w:rPr>
          <w:rFonts w:hint="eastAsia" w:hAnsi="宋体" w:cs="宋体"/>
          <w:color w:val="auto"/>
          <w:highlight w:val="none"/>
          <w:u w:val="single"/>
        </w:rPr>
        <w:t>级以上的破坏性地震；</w:t>
      </w:r>
    </w:p>
    <w:p w14:paraId="60D43397">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（2）</w:t>
      </w:r>
      <w:r>
        <w:rPr>
          <w:rFonts w:hint="eastAsia" w:hAnsi="宋体" w:cs="宋体"/>
          <w:color w:val="auto"/>
          <w:highlight w:val="none"/>
          <w:u w:val="single"/>
        </w:rPr>
        <w:t>暴雨级以上的持续</w:t>
      </w:r>
      <w:r>
        <w:rPr>
          <w:rFonts w:hint="eastAsia" w:hAnsi="宋体" w:cs="宋体"/>
          <w:color w:val="auto"/>
          <w:highlight w:val="none"/>
          <w:u w:val="single"/>
          <w:lang w:val="en-US" w:eastAsia="zh-CN"/>
        </w:rPr>
        <w:t>2</w:t>
      </w:r>
      <w:r>
        <w:rPr>
          <w:rFonts w:hint="eastAsia" w:hAnsi="宋体" w:cs="宋体"/>
          <w:color w:val="auto"/>
          <w:highlight w:val="none"/>
          <w:u w:val="single"/>
        </w:rPr>
        <w:t>天的大雨；</w:t>
      </w:r>
    </w:p>
    <w:p w14:paraId="2248BF75">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（3）</w:t>
      </w:r>
      <w:r>
        <w:rPr>
          <w:rFonts w:hint="eastAsia" w:hAnsi="宋体" w:cs="宋体"/>
          <w:color w:val="auto"/>
          <w:highlight w:val="none"/>
          <w:u w:val="single"/>
        </w:rPr>
        <w:t>5年以上未发生过的、持续5天的高温天气；</w:t>
      </w:r>
    </w:p>
    <w:p w14:paraId="39CEABD3">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（4）</w:t>
      </w:r>
      <w:r>
        <w:rPr>
          <w:rFonts w:hint="eastAsia" w:hAnsi="宋体" w:cs="宋体"/>
          <w:color w:val="auto"/>
          <w:highlight w:val="none"/>
          <w:u w:val="single"/>
        </w:rPr>
        <w:t>百年一遇的洪水；</w:t>
      </w:r>
    </w:p>
    <w:p w14:paraId="75A29ACB">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（5）</w:t>
      </w:r>
      <w:r>
        <w:rPr>
          <w:rFonts w:hint="eastAsia" w:hAnsi="宋体" w:cs="宋体"/>
          <w:color w:val="auto"/>
          <w:highlight w:val="none"/>
          <w:u w:val="single"/>
        </w:rPr>
        <w:t>10 级以上持续 1 天的大风 ；</w:t>
      </w:r>
    </w:p>
    <w:p w14:paraId="0B1A05E9">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（6）</w:t>
      </w:r>
      <w:r>
        <w:rPr>
          <w:rFonts w:hint="eastAsia" w:hAnsi="宋体" w:cs="宋体"/>
          <w:color w:val="auto"/>
          <w:highlight w:val="none"/>
          <w:u w:val="single"/>
        </w:rPr>
        <w:t>山洪及泥石流。</w:t>
      </w:r>
    </w:p>
    <w:p w14:paraId="2568B3CF">
      <w:pPr>
        <w:pStyle w:val="4"/>
        <w:pageBreakBefore w:val="0"/>
        <w:widowControl w:val="0"/>
        <w:kinsoku/>
        <w:wordWrap/>
        <w:overflowPunct/>
        <w:topLinePunct w:val="0"/>
        <w:bidi w:val="0"/>
        <w:spacing w:before="0" w:after="0" w:line="360" w:lineRule="auto"/>
        <w:textAlignment w:val="auto"/>
        <w:rPr>
          <w:color w:val="auto"/>
          <w:highlight w:val="none"/>
          <w:lang w:val="en-US"/>
        </w:rPr>
      </w:pPr>
      <w:bookmarkStart w:id="500" w:name="_Toc389065296"/>
      <w:bookmarkStart w:id="501" w:name="_Toc407135232"/>
      <w:bookmarkStart w:id="502" w:name="_Toc373227730"/>
      <w:bookmarkStart w:id="503" w:name="_Toc78449818"/>
      <w:bookmarkStart w:id="504" w:name="_Toc2166"/>
      <w:bookmarkStart w:id="505" w:name="_Toc373478377"/>
      <w:bookmarkStart w:id="506" w:name="_Toc657185480"/>
      <w:r>
        <w:rPr>
          <w:color w:val="auto"/>
          <w:highlight w:val="none"/>
          <w:lang w:val="en-US"/>
        </w:rPr>
        <w:t xml:space="preserve">7.9 </w:t>
      </w:r>
      <w:r>
        <w:rPr>
          <w:rFonts w:hint="eastAsia" w:hAnsi="宋体" w:cs="黑体"/>
          <w:color w:val="auto"/>
          <w:highlight w:val="none"/>
        </w:rPr>
        <w:t>提前竣工</w:t>
      </w:r>
      <w:bookmarkEnd w:id="500"/>
      <w:bookmarkEnd w:id="501"/>
      <w:bookmarkEnd w:id="502"/>
      <w:bookmarkEnd w:id="503"/>
      <w:bookmarkEnd w:id="504"/>
      <w:bookmarkEnd w:id="505"/>
      <w:bookmarkEnd w:id="506"/>
    </w:p>
    <w:p w14:paraId="24545559">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color w:val="auto"/>
          <w:highlight w:val="none"/>
        </w:rPr>
        <w:t>7.9.2</w:t>
      </w:r>
      <w:r>
        <w:rPr>
          <w:rFonts w:hint="eastAsia" w:hAnsi="宋体" w:cs="宋体"/>
          <w:color w:val="auto"/>
          <w:highlight w:val="none"/>
        </w:rPr>
        <w:t>提前竣工（赶工）增加费的计算方法：</w:t>
      </w:r>
      <w:r>
        <w:rPr>
          <w:color w:val="auto"/>
          <w:highlight w:val="none"/>
          <w:u w:val="single"/>
        </w:rPr>
        <w:t xml:space="preserve">                                </w:t>
      </w:r>
      <w:r>
        <w:rPr>
          <w:rFonts w:hint="eastAsia" w:hAnsi="宋体" w:cs="宋体"/>
          <w:color w:val="auto"/>
          <w:highlight w:val="none"/>
        </w:rPr>
        <w:t>。</w:t>
      </w:r>
    </w:p>
    <w:p w14:paraId="24D9E055">
      <w:pPr>
        <w:pStyle w:val="3"/>
        <w:pageBreakBefore w:val="0"/>
        <w:widowControl w:val="0"/>
        <w:kinsoku/>
        <w:wordWrap/>
        <w:overflowPunct/>
        <w:topLinePunct w:val="0"/>
        <w:bidi w:val="0"/>
        <w:spacing w:before="0" w:after="0" w:line="360" w:lineRule="auto"/>
        <w:textAlignment w:val="auto"/>
        <w:rPr>
          <w:color w:val="auto"/>
          <w:highlight w:val="none"/>
        </w:rPr>
      </w:pPr>
      <w:bookmarkStart w:id="507" w:name="_Toc407135233"/>
      <w:bookmarkStart w:id="508" w:name="_Toc373478378"/>
      <w:bookmarkStart w:id="509" w:name="_Toc351203640"/>
      <w:bookmarkStart w:id="510" w:name="_Toc16499"/>
      <w:bookmarkStart w:id="511" w:name="_Toc1302158431"/>
      <w:bookmarkStart w:id="512" w:name="_Toc389065297"/>
      <w:bookmarkStart w:id="513" w:name="_Toc373227731"/>
      <w:bookmarkStart w:id="514" w:name="_Toc78449819"/>
      <w:r>
        <w:rPr>
          <w:color w:val="auto"/>
          <w:highlight w:val="none"/>
        </w:rPr>
        <w:t xml:space="preserve">8. </w:t>
      </w:r>
      <w:r>
        <w:rPr>
          <w:rFonts w:hint="eastAsia" w:cs="黑体"/>
          <w:color w:val="auto"/>
          <w:highlight w:val="none"/>
        </w:rPr>
        <w:t>材料与设备</w:t>
      </w:r>
      <w:bookmarkEnd w:id="507"/>
      <w:bookmarkEnd w:id="508"/>
      <w:bookmarkEnd w:id="509"/>
      <w:bookmarkEnd w:id="510"/>
      <w:bookmarkEnd w:id="511"/>
      <w:bookmarkEnd w:id="512"/>
      <w:bookmarkEnd w:id="513"/>
      <w:bookmarkEnd w:id="514"/>
    </w:p>
    <w:bookmarkEnd w:id="351"/>
    <w:bookmarkEnd w:id="352"/>
    <w:bookmarkEnd w:id="353"/>
    <w:bookmarkEnd w:id="354"/>
    <w:bookmarkEnd w:id="355"/>
    <w:bookmarkEnd w:id="356"/>
    <w:bookmarkEnd w:id="357"/>
    <w:bookmarkEnd w:id="358"/>
    <w:bookmarkEnd w:id="359"/>
    <w:bookmarkEnd w:id="360"/>
    <w:p w14:paraId="63BE04F6">
      <w:pPr>
        <w:pStyle w:val="4"/>
        <w:pageBreakBefore w:val="0"/>
        <w:widowControl w:val="0"/>
        <w:kinsoku/>
        <w:wordWrap/>
        <w:overflowPunct/>
        <w:topLinePunct w:val="0"/>
        <w:bidi w:val="0"/>
        <w:spacing w:before="0" w:after="0" w:line="360" w:lineRule="auto"/>
        <w:textAlignment w:val="auto"/>
        <w:rPr>
          <w:color w:val="auto"/>
          <w:highlight w:val="none"/>
        </w:rPr>
      </w:pPr>
      <w:bookmarkStart w:id="515" w:name="_Toc1119561048"/>
      <w:bookmarkStart w:id="516" w:name="_Toc115"/>
      <w:bookmarkStart w:id="517" w:name="_Toc389065298"/>
      <w:bookmarkStart w:id="518" w:name="_Toc373227732"/>
      <w:bookmarkStart w:id="519" w:name="_Toc407135234"/>
      <w:bookmarkStart w:id="520" w:name="_Toc78449820"/>
      <w:bookmarkStart w:id="521" w:name="_Toc373478379"/>
      <w:r>
        <w:rPr>
          <w:color w:val="auto"/>
          <w:highlight w:val="none"/>
        </w:rPr>
        <w:t xml:space="preserve">8.2 </w:t>
      </w:r>
      <w:r>
        <w:rPr>
          <w:rFonts w:hint="eastAsia" w:cs="黑体"/>
          <w:color w:val="auto"/>
          <w:highlight w:val="none"/>
        </w:rPr>
        <w:t>承包人采购材料与工程设备</w:t>
      </w:r>
      <w:bookmarkEnd w:id="515"/>
      <w:bookmarkEnd w:id="516"/>
      <w:bookmarkEnd w:id="517"/>
      <w:bookmarkEnd w:id="518"/>
      <w:bookmarkEnd w:id="519"/>
      <w:bookmarkEnd w:id="520"/>
      <w:bookmarkEnd w:id="521"/>
    </w:p>
    <w:p w14:paraId="1BB9CDE6">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cs="宋体"/>
          <w:color w:val="auto"/>
          <w:highlight w:val="none"/>
        </w:rPr>
      </w:pPr>
      <w:r>
        <w:rPr>
          <w:rFonts w:hint="eastAsia" w:cs="宋体"/>
          <w:color w:val="auto"/>
          <w:kern w:val="0"/>
          <w:highlight w:val="none"/>
        </w:rPr>
        <w:t>除已标价工程量清单《发包人提供主要材料和工程设备一览表》（表</w:t>
      </w:r>
      <w:r>
        <w:rPr>
          <w:color w:val="auto"/>
          <w:kern w:val="0"/>
          <w:highlight w:val="none"/>
        </w:rPr>
        <w:t>-21</w:t>
      </w:r>
      <w:r>
        <w:rPr>
          <w:rFonts w:hint="eastAsia" w:cs="宋体"/>
          <w:color w:val="auto"/>
          <w:kern w:val="0"/>
          <w:highlight w:val="none"/>
        </w:rPr>
        <w:t>）中明确的材料、工程设备外，由承包人负责材料和工程设备的采购、运输和保管。</w:t>
      </w:r>
      <w:bookmarkStart w:id="522" w:name="_Toc373478380"/>
      <w:bookmarkStart w:id="523" w:name="_Toc373227733"/>
      <w:bookmarkStart w:id="524" w:name="_Toc389065299"/>
    </w:p>
    <w:p w14:paraId="639EB707">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cs="宋体"/>
          <w:color w:val="auto"/>
          <w:highlight w:val="none"/>
        </w:rPr>
      </w:pPr>
      <w:r>
        <w:rPr>
          <w:rFonts w:hint="eastAsia" w:cs="宋体"/>
          <w:color w:val="auto"/>
          <w:highlight w:val="none"/>
        </w:rPr>
        <w:t>对发包人在招标时有</w:t>
      </w:r>
      <w:r>
        <w:rPr>
          <w:rFonts w:hint="eastAsia" w:cs="宋体"/>
          <w:color w:val="auto"/>
          <w:highlight w:val="none"/>
          <w:lang w:eastAsia="zh-CN"/>
        </w:rPr>
        <w:t>“</w:t>
      </w:r>
      <w:r>
        <w:rPr>
          <w:rFonts w:hint="eastAsia" w:cs="宋体"/>
          <w:color w:val="auto"/>
          <w:highlight w:val="none"/>
        </w:rPr>
        <w:t>参照或相当于</w:t>
      </w:r>
      <w:r>
        <w:rPr>
          <w:color w:val="auto"/>
          <w:highlight w:val="none"/>
        </w:rPr>
        <w:t>**</w:t>
      </w:r>
      <w:r>
        <w:rPr>
          <w:rFonts w:hint="eastAsia" w:cs="宋体"/>
          <w:color w:val="auto"/>
          <w:highlight w:val="none"/>
        </w:rPr>
        <w:t>品牌、级别</w:t>
      </w:r>
      <w:r>
        <w:rPr>
          <w:rFonts w:hint="eastAsia" w:cs="宋体"/>
          <w:color w:val="auto"/>
          <w:highlight w:val="none"/>
          <w:lang w:eastAsia="zh-CN"/>
        </w:rPr>
        <w:t>”</w:t>
      </w:r>
      <w:r>
        <w:rPr>
          <w:rFonts w:hint="eastAsia" w:cs="宋体"/>
          <w:color w:val="auto"/>
          <w:highlight w:val="none"/>
        </w:rPr>
        <w:t>约定的材料或设备，承包人采购时必须按类似于或优于所约定品牌、等级进行采购，施工期间该部分材料或设备如未超过招标约定的风险幅度的，结算时按投标单价支付，不得调整。</w:t>
      </w:r>
    </w:p>
    <w:p w14:paraId="427698B3">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color w:val="auto"/>
          <w:highlight w:val="none"/>
        </w:rPr>
      </w:pPr>
      <w:r>
        <w:rPr>
          <w:rFonts w:hint="eastAsia"/>
          <w:color w:val="auto"/>
          <w:highlight w:val="none"/>
        </w:rPr>
        <w:t>禁止使用松木、松木包装材料设备、种子、苗木、花卉及繁殖材料。</w:t>
      </w:r>
    </w:p>
    <w:p w14:paraId="0EEEF173">
      <w:pPr>
        <w:pStyle w:val="4"/>
        <w:pageBreakBefore w:val="0"/>
        <w:widowControl w:val="0"/>
        <w:kinsoku/>
        <w:wordWrap/>
        <w:overflowPunct/>
        <w:topLinePunct w:val="0"/>
        <w:bidi w:val="0"/>
        <w:spacing w:before="0" w:after="0" w:line="360" w:lineRule="auto"/>
        <w:textAlignment w:val="auto"/>
        <w:rPr>
          <w:color w:val="auto"/>
          <w:highlight w:val="none"/>
        </w:rPr>
      </w:pPr>
      <w:bookmarkStart w:id="525" w:name="_Toc407135235"/>
      <w:bookmarkStart w:id="526" w:name="_Toc800965933"/>
      <w:bookmarkStart w:id="527" w:name="_Toc12730"/>
      <w:bookmarkStart w:id="528" w:name="_Toc78449821"/>
      <w:r>
        <w:rPr>
          <w:color w:val="auto"/>
          <w:highlight w:val="none"/>
        </w:rPr>
        <w:t>8</w:t>
      </w:r>
      <w:bookmarkStart w:id="529" w:name="_Toc297123527"/>
      <w:bookmarkStart w:id="530" w:name="_Toc304295556"/>
      <w:bookmarkStart w:id="531" w:name="_Toc296346668"/>
      <w:bookmarkStart w:id="532" w:name="_Toc300934979"/>
      <w:bookmarkStart w:id="533" w:name="_Toc296347166"/>
      <w:bookmarkStart w:id="534" w:name="_Toc296890995"/>
      <w:bookmarkStart w:id="535" w:name="_Toc312677493"/>
      <w:bookmarkStart w:id="536" w:name="_Toc297120467"/>
      <w:bookmarkStart w:id="537" w:name="_Toc296891207"/>
      <w:bookmarkStart w:id="538" w:name="_Toc292559877"/>
      <w:bookmarkStart w:id="539" w:name="_Toc312678019"/>
      <w:bookmarkStart w:id="540" w:name="_Toc303539136"/>
      <w:bookmarkStart w:id="541" w:name="_Toc280868654"/>
      <w:bookmarkStart w:id="542" w:name="_Toc296944506"/>
      <w:bookmarkStart w:id="543" w:name="_Toc297216186"/>
      <w:bookmarkStart w:id="544" w:name="_Toc297048353"/>
      <w:bookmarkStart w:id="545" w:name="_Toc296503167"/>
      <w:bookmarkStart w:id="546" w:name="_Toc292559372"/>
      <w:bookmarkStart w:id="547" w:name="_Toc267251424"/>
      <w:bookmarkStart w:id="548" w:name="_Toc280868656"/>
      <w:bookmarkStart w:id="549" w:name="_Toc280868655"/>
      <w:r>
        <w:rPr>
          <w:color w:val="auto"/>
          <w:highlight w:val="none"/>
        </w:rPr>
        <w:t xml:space="preserve">.4 </w:t>
      </w:r>
      <w:r>
        <w:rPr>
          <w:rFonts w:hint="eastAsia" w:cs="黑体"/>
          <w:color w:val="auto"/>
          <w:highlight w:val="none"/>
        </w:rPr>
        <w:t>材料与工程设备的保管与使用</w:t>
      </w:r>
      <w:bookmarkEnd w:id="522"/>
      <w:bookmarkEnd w:id="523"/>
      <w:bookmarkEnd w:id="524"/>
      <w:bookmarkEnd w:id="525"/>
      <w:bookmarkEnd w:id="526"/>
      <w:bookmarkEnd w:id="527"/>
      <w:bookmarkEnd w:id="528"/>
    </w:p>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14:paraId="66A2EFBF">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color w:val="auto"/>
          <w:highlight w:val="none"/>
        </w:rPr>
        <w:t>8</w:t>
      </w:r>
      <w:bookmarkStart w:id="550" w:name="_Toc292559878"/>
      <w:bookmarkStart w:id="551" w:name="_Toc292559373"/>
      <w:bookmarkStart w:id="552" w:name="_Toc303539137"/>
      <w:bookmarkStart w:id="553" w:name="_Toc304295557"/>
      <w:bookmarkStart w:id="554" w:name="_Toc296944507"/>
      <w:bookmarkStart w:id="555" w:name="_Toc300934980"/>
      <w:bookmarkStart w:id="556" w:name="_Toc318581173"/>
      <w:bookmarkStart w:id="557" w:name="_Toc297123528"/>
      <w:bookmarkStart w:id="558" w:name="_Toc297048354"/>
      <w:bookmarkStart w:id="559" w:name="_Toc296891208"/>
      <w:bookmarkStart w:id="560" w:name="_Toc297120468"/>
      <w:bookmarkStart w:id="561" w:name="_Toc296347167"/>
      <w:bookmarkStart w:id="562" w:name="_Toc312678020"/>
      <w:bookmarkStart w:id="563" w:name="_Toc296890996"/>
      <w:bookmarkStart w:id="564" w:name="_Toc297216187"/>
      <w:bookmarkStart w:id="565" w:name="_Toc296503168"/>
      <w:bookmarkStart w:id="566" w:name="_Toc312677494"/>
      <w:bookmarkStart w:id="567" w:name="_Toc296346669"/>
      <w:r>
        <w:rPr>
          <w:color w:val="auto"/>
          <w:highlight w:val="none"/>
        </w:rPr>
        <w:t>.4.1</w:t>
      </w:r>
      <w:r>
        <w:rPr>
          <w:rFonts w:hint="eastAsia" w:hAnsi="宋体" w:cs="宋体"/>
          <w:color w:val="auto"/>
          <w:highlight w:val="none"/>
        </w:rPr>
        <w:t>发包人供应的材料设备的保管费用的承担：</w:t>
      </w:r>
      <w:r>
        <w:rPr>
          <w:color w:val="auto"/>
          <w:highlight w:val="none"/>
          <w:u w:val="single"/>
        </w:rPr>
        <w:t xml:space="preserve"> </w:t>
      </w:r>
      <w:r>
        <w:rPr>
          <w:rFonts w:hint="eastAsia"/>
          <w:color w:val="auto"/>
          <w:highlight w:val="none"/>
          <w:u w:val="single"/>
        </w:rPr>
        <w:t>由承包人负责保管</w:t>
      </w:r>
      <w:r>
        <w:rPr>
          <w:color w:val="auto"/>
          <w:highlight w:val="none"/>
          <w:u w:val="single"/>
        </w:rPr>
        <w:t xml:space="preserve"> </w:t>
      </w:r>
      <w:r>
        <w:rPr>
          <w:rFonts w:hint="eastAsia" w:hAnsi="宋体" w:cs="宋体"/>
          <w:color w:val="auto"/>
          <w:highlight w:val="none"/>
        </w:rPr>
        <w:t>。</w:t>
      </w:r>
    </w:p>
    <w:bookmarkEnd w:id="550"/>
    <w:bookmarkEnd w:id="551"/>
    <w:p w14:paraId="57E5B7D6">
      <w:pPr>
        <w:pStyle w:val="4"/>
        <w:pageBreakBefore w:val="0"/>
        <w:widowControl w:val="0"/>
        <w:kinsoku/>
        <w:wordWrap/>
        <w:overflowPunct/>
        <w:topLinePunct w:val="0"/>
        <w:bidi w:val="0"/>
        <w:spacing w:before="0" w:after="0" w:line="360" w:lineRule="auto"/>
        <w:textAlignment w:val="auto"/>
        <w:rPr>
          <w:color w:val="auto"/>
          <w:highlight w:val="none"/>
        </w:rPr>
      </w:pPr>
      <w:bookmarkStart w:id="568" w:name="_Toc3712"/>
      <w:bookmarkStart w:id="569" w:name="_Toc125914831"/>
      <w:bookmarkStart w:id="570" w:name="_Toc407135236"/>
      <w:bookmarkStart w:id="571" w:name="_Toc373478381"/>
      <w:bookmarkStart w:id="572" w:name="_Toc373227734"/>
      <w:bookmarkStart w:id="573" w:name="_Toc78449822"/>
      <w:bookmarkStart w:id="574" w:name="_Toc389065300"/>
      <w:r>
        <w:rPr>
          <w:color w:val="auto"/>
          <w:highlight w:val="none"/>
        </w:rPr>
        <w:t xml:space="preserve">8.6 </w:t>
      </w:r>
      <w:r>
        <w:rPr>
          <w:rFonts w:hint="eastAsia" w:hAnsi="宋体" w:cs="黑体"/>
          <w:color w:val="auto"/>
          <w:highlight w:val="none"/>
        </w:rPr>
        <w:t>样品</w:t>
      </w:r>
      <w:bookmarkEnd w:id="568"/>
      <w:bookmarkEnd w:id="569"/>
      <w:bookmarkEnd w:id="570"/>
      <w:bookmarkEnd w:id="571"/>
      <w:bookmarkEnd w:id="572"/>
      <w:bookmarkEnd w:id="573"/>
      <w:bookmarkEnd w:id="574"/>
    </w:p>
    <w:p w14:paraId="04E2F035">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color w:val="auto"/>
          <w:kern w:val="0"/>
          <w:highlight w:val="none"/>
        </w:rPr>
        <w:t xml:space="preserve">8.6.1 </w:t>
      </w:r>
      <w:r>
        <w:rPr>
          <w:rFonts w:hint="eastAsia" w:hAnsi="宋体" w:cs="宋体"/>
          <w:color w:val="auto"/>
          <w:kern w:val="0"/>
          <w:highlight w:val="none"/>
        </w:rPr>
        <w:t>样品的报送与封存</w:t>
      </w:r>
    </w:p>
    <w:p w14:paraId="4D16A7E9">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需要承包人报送样品的材料或工程设备，样品的种类、名称、规格、数量要求：</w:t>
      </w:r>
      <w:r>
        <w:rPr>
          <w:rFonts w:hint="eastAsia" w:hAnsi="宋体" w:cs="宋体"/>
          <w:color w:val="auto"/>
          <w:highlight w:val="none"/>
          <w:u w:val="single"/>
        </w:rPr>
        <w:t>主要材料涉及品种、款式、颜色等方面内容的，承包人应提交准备合格的材料样品送发包人选定。</w:t>
      </w:r>
    </w:p>
    <w:p w14:paraId="3416CD87">
      <w:pPr>
        <w:pStyle w:val="4"/>
        <w:pageBreakBefore w:val="0"/>
        <w:widowControl w:val="0"/>
        <w:kinsoku/>
        <w:wordWrap/>
        <w:overflowPunct/>
        <w:topLinePunct w:val="0"/>
        <w:bidi w:val="0"/>
        <w:spacing w:before="0" w:after="0" w:line="360" w:lineRule="auto"/>
        <w:textAlignment w:val="auto"/>
        <w:rPr>
          <w:color w:val="auto"/>
          <w:highlight w:val="none"/>
        </w:rPr>
      </w:pPr>
      <w:bookmarkStart w:id="575" w:name="_Toc373227735"/>
      <w:bookmarkStart w:id="576" w:name="_Toc373478382"/>
      <w:bookmarkStart w:id="577" w:name="_Toc389065301"/>
      <w:bookmarkStart w:id="578" w:name="_Toc6409"/>
      <w:bookmarkStart w:id="579" w:name="_Toc1049576644"/>
      <w:bookmarkStart w:id="580" w:name="_Toc407135237"/>
      <w:bookmarkStart w:id="581" w:name="_Toc78449823"/>
      <w:r>
        <w:rPr>
          <w:color w:val="auto"/>
          <w:highlight w:val="none"/>
        </w:rPr>
        <w:t xml:space="preserve">8.8 </w:t>
      </w:r>
      <w:r>
        <w:rPr>
          <w:rFonts w:hint="eastAsia" w:cs="黑体"/>
          <w:color w:val="auto"/>
          <w:highlight w:val="none"/>
        </w:rPr>
        <w:t>施工设备和临时设施</w:t>
      </w:r>
      <w:bookmarkEnd w:id="575"/>
      <w:bookmarkEnd w:id="576"/>
      <w:bookmarkEnd w:id="577"/>
      <w:bookmarkEnd w:id="578"/>
      <w:bookmarkEnd w:id="579"/>
      <w:bookmarkEnd w:id="580"/>
      <w:bookmarkEnd w:id="581"/>
    </w:p>
    <w:p w14:paraId="787C709C">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color w:val="auto"/>
          <w:highlight w:val="none"/>
        </w:rPr>
        <w:t xml:space="preserve">8.8.1 </w:t>
      </w:r>
      <w:r>
        <w:rPr>
          <w:rFonts w:hint="eastAsia" w:hAnsi="宋体" w:cs="宋体"/>
          <w:color w:val="auto"/>
          <w:highlight w:val="none"/>
        </w:rPr>
        <w:t>承包人提供的施工设备和临时设施</w:t>
      </w:r>
    </w:p>
    <w:p w14:paraId="048FF9C6">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cs="宋体"/>
          <w:color w:val="auto"/>
          <w:highlight w:val="none"/>
        </w:rPr>
        <w:t>承包人用于本工程的主要机械设备清单见合同附件4。</w:t>
      </w:r>
    </w:p>
    <w:p w14:paraId="6E7C62B3">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关于修建临时设施费用承担的约定：</w:t>
      </w:r>
    </w:p>
    <w:p w14:paraId="74342A85">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olor w:val="auto"/>
          <w:highlight w:val="none"/>
          <w:u w:val="single"/>
        </w:rPr>
      </w:pPr>
      <w:r>
        <w:rPr>
          <w:rFonts w:hint="eastAsia" w:hAnsi="宋体"/>
          <w:color w:val="auto"/>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1D703F41">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hAnsi="宋体"/>
          <w:color w:val="auto"/>
          <w:highlight w:val="none"/>
          <w:u w:val="single"/>
        </w:rPr>
      </w:pPr>
      <w:r>
        <w:rPr>
          <w:rFonts w:hint="eastAsia" w:hAnsi="宋体"/>
          <w:color w:val="auto"/>
          <w:highlight w:val="none"/>
          <w:u w:val="single"/>
        </w:rPr>
        <w:t>②承包人负责合同实施期间其合同段内临时交通道路（含场内外连接公共交通道路）和交通设施的修建、维修、养护和交通管理工作，并承担一切费用。</w:t>
      </w:r>
    </w:p>
    <w:p w14:paraId="0A832BE6">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olor w:val="auto"/>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color w:val="auto"/>
          <w:highlight w:val="none"/>
        </w:rPr>
        <w:t xml:space="preserve">8.8.2 </w:t>
      </w:r>
      <w:r>
        <w:rPr>
          <w:rFonts w:hint="eastAsia" w:hAnsi="宋体" w:cs="宋体"/>
          <w:color w:val="auto"/>
          <w:highlight w:val="none"/>
        </w:rPr>
        <w:t>发包人提供的施工设备和临时设施</w:t>
      </w:r>
    </w:p>
    <w:p w14:paraId="31850E78">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发包人提供的施工设备和临时设施：</w:t>
      </w:r>
      <w:r>
        <w:rPr>
          <w:color w:val="auto"/>
          <w:highlight w:val="none"/>
          <w:u w:val="single"/>
        </w:rPr>
        <w:t xml:space="preserve">   </w:t>
      </w:r>
      <w:r>
        <w:rPr>
          <w:rFonts w:hint="eastAsia"/>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p w14:paraId="744BA5BF">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rPr>
      </w:pPr>
      <w:r>
        <w:rPr>
          <w:rFonts w:hint="eastAsia" w:hAnsi="宋体" w:cs="宋体"/>
          <w:color w:val="auto"/>
          <w:highlight w:val="none"/>
        </w:rPr>
        <w:t>发包人提供的施工设备和临时设施的运行、维护、拆除、清运费用的承担人：</w:t>
      </w:r>
      <w:r>
        <w:rPr>
          <w:color w:val="auto"/>
          <w:highlight w:val="none"/>
          <w:u w:val="single"/>
        </w:rPr>
        <w:t xml:space="preserve"> </w:t>
      </w:r>
      <w:r>
        <w:rPr>
          <w:rFonts w:hint="eastAsia"/>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14:paraId="0D4D657F">
      <w:pPr>
        <w:pStyle w:val="3"/>
        <w:pageBreakBefore w:val="0"/>
        <w:widowControl w:val="0"/>
        <w:kinsoku/>
        <w:wordWrap/>
        <w:overflowPunct/>
        <w:topLinePunct w:val="0"/>
        <w:bidi w:val="0"/>
        <w:spacing w:before="0" w:after="0" w:line="360" w:lineRule="auto"/>
        <w:textAlignment w:val="auto"/>
        <w:rPr>
          <w:color w:val="auto"/>
          <w:highlight w:val="none"/>
        </w:rPr>
      </w:pPr>
      <w:bookmarkStart w:id="582" w:name="_Toc389065302"/>
      <w:bookmarkStart w:id="583" w:name="_Toc78449824"/>
      <w:bookmarkStart w:id="584" w:name="_Toc351203641"/>
      <w:bookmarkStart w:id="585" w:name="_Toc407135238"/>
      <w:bookmarkStart w:id="586" w:name="_Toc32467"/>
      <w:bookmarkStart w:id="587" w:name="_Toc373478383"/>
      <w:bookmarkStart w:id="588" w:name="_Toc373227736"/>
      <w:bookmarkStart w:id="589" w:name="_Toc2039161841"/>
      <w:r>
        <w:rPr>
          <w:color w:val="auto"/>
          <w:highlight w:val="none"/>
        </w:rPr>
        <w:t>9</w:t>
      </w:r>
      <w:bookmarkEnd w:id="547"/>
      <w:bookmarkEnd w:id="548"/>
      <w:bookmarkEnd w:id="549"/>
      <w:bookmarkStart w:id="590" w:name="_Toc303539139"/>
      <w:bookmarkStart w:id="591" w:name="_Toc297216192"/>
      <w:bookmarkStart w:id="592" w:name="_Toc312678021"/>
      <w:bookmarkStart w:id="593" w:name="_Toc304295559"/>
      <w:bookmarkStart w:id="594" w:name="_Toc312677495"/>
      <w:bookmarkStart w:id="595" w:name="_Toc300934982"/>
      <w:bookmarkStart w:id="596" w:name="_Toc297123533"/>
      <w:bookmarkStart w:id="597" w:name="_Toc297048359"/>
      <w:bookmarkStart w:id="598" w:name="_Toc267251427"/>
      <w:bookmarkStart w:id="599" w:name="_Toc297120473"/>
      <w:bookmarkStart w:id="600" w:name="_Toc296891001"/>
      <w:bookmarkStart w:id="601" w:name="_Toc296346674"/>
      <w:bookmarkStart w:id="602" w:name="_Toc296347172"/>
      <w:bookmarkStart w:id="603" w:name="_Toc296891213"/>
      <w:bookmarkStart w:id="604" w:name="_Toc296944512"/>
      <w:bookmarkStart w:id="605" w:name="_Toc292559883"/>
      <w:bookmarkStart w:id="606" w:name="_Toc267251428"/>
      <w:bookmarkStart w:id="607" w:name="_Toc292559378"/>
      <w:bookmarkStart w:id="608" w:name="_Toc296503173"/>
      <w:r>
        <w:rPr>
          <w:color w:val="auto"/>
          <w:highlight w:val="none"/>
        </w:rPr>
        <w:t xml:space="preserve">. </w:t>
      </w:r>
      <w:r>
        <w:rPr>
          <w:rFonts w:hint="eastAsia" w:cs="黑体"/>
          <w:color w:val="auto"/>
          <w:highlight w:val="none"/>
        </w:rPr>
        <w:t>试验与检验</w:t>
      </w:r>
      <w:bookmarkEnd w:id="582"/>
      <w:bookmarkEnd w:id="583"/>
      <w:bookmarkEnd w:id="584"/>
      <w:bookmarkEnd w:id="585"/>
      <w:bookmarkEnd w:id="586"/>
      <w:bookmarkEnd w:id="587"/>
      <w:bookmarkEnd w:id="588"/>
      <w:bookmarkEnd w:id="589"/>
    </w:p>
    <w:bookmarkEnd w:id="590"/>
    <w:bookmarkEnd w:id="591"/>
    <w:bookmarkEnd w:id="592"/>
    <w:bookmarkEnd w:id="593"/>
    <w:bookmarkEnd w:id="594"/>
    <w:bookmarkEnd w:id="595"/>
    <w:bookmarkEnd w:id="596"/>
    <w:p w14:paraId="74220B6E">
      <w:pPr>
        <w:pStyle w:val="4"/>
        <w:pageBreakBefore w:val="0"/>
        <w:widowControl w:val="0"/>
        <w:kinsoku/>
        <w:wordWrap/>
        <w:overflowPunct/>
        <w:topLinePunct w:val="0"/>
        <w:bidi w:val="0"/>
        <w:spacing w:before="0" w:after="0" w:line="360" w:lineRule="auto"/>
        <w:textAlignment w:val="auto"/>
        <w:rPr>
          <w:color w:val="auto"/>
          <w:highlight w:val="none"/>
        </w:rPr>
      </w:pPr>
      <w:bookmarkStart w:id="609" w:name="_Toc407135239"/>
      <w:bookmarkStart w:id="610" w:name="_Toc373227737"/>
      <w:bookmarkStart w:id="611" w:name="_Toc1307315193"/>
      <w:bookmarkStart w:id="612" w:name="_Toc389065303"/>
      <w:bookmarkStart w:id="613" w:name="_Toc78449825"/>
      <w:bookmarkStart w:id="614" w:name="_Toc17783"/>
      <w:bookmarkStart w:id="615" w:name="_Toc373478384"/>
      <w:r>
        <w:rPr>
          <w:color w:val="auto"/>
          <w:highlight w:val="none"/>
        </w:rPr>
        <w:t>9</w:t>
      </w:r>
      <w:bookmarkStart w:id="616" w:name="_Toc303539140"/>
      <w:bookmarkStart w:id="617" w:name="_Toc312677496"/>
      <w:bookmarkStart w:id="618" w:name="_Toc297216193"/>
      <w:bookmarkStart w:id="619" w:name="_Toc300934983"/>
      <w:bookmarkStart w:id="620" w:name="_Toc312678022"/>
      <w:bookmarkStart w:id="621" w:name="_Toc304295560"/>
      <w:bookmarkStart w:id="622" w:name="_Toc297123534"/>
      <w:r>
        <w:rPr>
          <w:color w:val="auto"/>
          <w:highlight w:val="none"/>
        </w:rPr>
        <w:t xml:space="preserve">.1 </w:t>
      </w:r>
      <w:r>
        <w:rPr>
          <w:rFonts w:hint="eastAsia" w:cs="黑体"/>
          <w:color w:val="auto"/>
          <w:highlight w:val="none"/>
        </w:rPr>
        <w:t>试验设备与试验人员</w:t>
      </w:r>
      <w:bookmarkEnd w:id="609"/>
      <w:bookmarkEnd w:id="610"/>
      <w:bookmarkEnd w:id="611"/>
      <w:bookmarkEnd w:id="612"/>
      <w:bookmarkEnd w:id="613"/>
      <w:bookmarkEnd w:id="614"/>
      <w:bookmarkEnd w:id="615"/>
    </w:p>
    <w:bookmarkEnd w:id="616"/>
    <w:bookmarkEnd w:id="617"/>
    <w:bookmarkEnd w:id="618"/>
    <w:bookmarkEnd w:id="619"/>
    <w:bookmarkEnd w:id="620"/>
    <w:bookmarkEnd w:id="621"/>
    <w:bookmarkEnd w:id="622"/>
    <w:p w14:paraId="13AC3DE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9</w:t>
      </w:r>
      <w:bookmarkStart w:id="623" w:name="_Toc300934984"/>
      <w:bookmarkStart w:id="624" w:name="_Toc312677497"/>
      <w:bookmarkStart w:id="625" w:name="_Toc297123535"/>
      <w:bookmarkStart w:id="626" w:name="_Toc297216194"/>
      <w:bookmarkStart w:id="627" w:name="_Toc303539141"/>
      <w:bookmarkStart w:id="628" w:name="_Toc312678023"/>
      <w:bookmarkStart w:id="629" w:name="_Toc304295561"/>
      <w:bookmarkStart w:id="630" w:name="_Toc318581174"/>
      <w:r>
        <w:rPr>
          <w:color w:val="auto"/>
          <w:highlight w:val="none"/>
        </w:rPr>
        <w:t xml:space="preserve">.1.2 </w:t>
      </w:r>
      <w:r>
        <w:rPr>
          <w:rFonts w:hint="eastAsia" w:hAnsi="宋体" w:cs="宋体"/>
          <w:color w:val="auto"/>
          <w:highlight w:val="none"/>
        </w:rPr>
        <w:t>试验设备</w:t>
      </w:r>
    </w:p>
    <w:p w14:paraId="24E0DB2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施工现场需要配置的试验场所：</w:t>
      </w:r>
      <w:bookmarkEnd w:id="623"/>
      <w:bookmarkEnd w:id="624"/>
      <w:bookmarkEnd w:id="625"/>
      <w:bookmarkEnd w:id="626"/>
      <w:bookmarkEnd w:id="627"/>
      <w:bookmarkEnd w:id="628"/>
      <w:bookmarkEnd w:id="629"/>
      <w:bookmarkStart w:id="631" w:name="_Toc304295562"/>
      <w:bookmarkStart w:id="632" w:name="_Toc300934985"/>
      <w:bookmarkStart w:id="633" w:name="_Toc312677498"/>
      <w:bookmarkStart w:id="634" w:name="_Toc312678024"/>
      <w:bookmarkStart w:id="635" w:name="_Toc297216195"/>
      <w:bookmarkStart w:id="636" w:name="_Toc303539142"/>
      <w:bookmarkStart w:id="637" w:name="_Toc297123536"/>
      <w:r>
        <w:rPr>
          <w:color w:val="auto"/>
          <w:highlight w:val="none"/>
          <w:u w:val="single"/>
        </w:rPr>
        <w:t xml:space="preserve"> </w:t>
      </w:r>
      <w:r>
        <w:rPr>
          <w:rFonts w:hint="eastAsia"/>
          <w:color w:val="auto"/>
          <w:highlight w:val="none"/>
          <w:u w:val="single"/>
        </w:rPr>
        <w:t>按照有关文件要求执行</w:t>
      </w:r>
      <w:r>
        <w:rPr>
          <w:color w:val="auto"/>
          <w:highlight w:val="none"/>
          <w:u w:val="single"/>
        </w:rPr>
        <w:t xml:space="preserve"> </w:t>
      </w:r>
      <w:r>
        <w:rPr>
          <w:rFonts w:hint="eastAsia" w:hAnsi="宋体" w:cs="宋体"/>
          <w:color w:val="auto"/>
          <w:highlight w:val="none"/>
        </w:rPr>
        <w:t>。</w:t>
      </w:r>
    </w:p>
    <w:p w14:paraId="53479DB3">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施工现场需要配备的试验设备：</w:t>
      </w:r>
      <w:r>
        <w:rPr>
          <w:color w:val="auto"/>
          <w:highlight w:val="none"/>
          <w:u w:val="single"/>
        </w:rPr>
        <w:t xml:space="preserve"> </w:t>
      </w:r>
      <w:r>
        <w:rPr>
          <w:rFonts w:hint="eastAsia"/>
          <w:color w:val="auto"/>
          <w:highlight w:val="none"/>
          <w:u w:val="single"/>
        </w:rPr>
        <w:t>按照有关文件要求执行</w:t>
      </w:r>
      <w:r>
        <w:rPr>
          <w:color w:val="auto"/>
          <w:highlight w:val="none"/>
          <w:u w:val="single"/>
        </w:rPr>
        <w:t xml:space="preserve"> </w:t>
      </w:r>
      <w:r>
        <w:rPr>
          <w:rFonts w:hint="eastAsia" w:hAnsi="宋体" w:cs="宋体"/>
          <w:color w:val="auto"/>
          <w:highlight w:val="none"/>
        </w:rPr>
        <w:t>。</w:t>
      </w:r>
    </w:p>
    <w:p w14:paraId="701359BA">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施工现场需要具备的其他试验条件：</w:t>
      </w:r>
      <w:r>
        <w:rPr>
          <w:color w:val="auto"/>
          <w:highlight w:val="none"/>
          <w:u w:val="single"/>
        </w:rPr>
        <w:t xml:space="preserve"> </w:t>
      </w:r>
      <w:r>
        <w:rPr>
          <w:rFonts w:hint="eastAsia"/>
          <w:color w:val="auto"/>
          <w:highlight w:val="none"/>
          <w:u w:val="single"/>
        </w:rPr>
        <w:t>按照有关文件要求执行</w:t>
      </w:r>
      <w:r>
        <w:rPr>
          <w:color w:val="auto"/>
          <w:highlight w:val="none"/>
          <w:u w:val="single"/>
        </w:rPr>
        <w:t xml:space="preserve"> </w:t>
      </w:r>
      <w:r>
        <w:rPr>
          <w:rFonts w:hint="eastAsia" w:hAnsi="宋体" w:cs="宋体"/>
          <w:color w:val="auto"/>
          <w:highlight w:val="none"/>
        </w:rPr>
        <w:t>。</w:t>
      </w:r>
    </w:p>
    <w:p w14:paraId="44FF1287">
      <w:pPr>
        <w:pStyle w:val="4"/>
        <w:pageBreakBefore w:val="0"/>
        <w:widowControl w:val="0"/>
        <w:kinsoku/>
        <w:wordWrap/>
        <w:overflowPunct/>
        <w:topLinePunct w:val="0"/>
        <w:bidi w:val="0"/>
        <w:spacing w:before="0" w:after="0" w:line="360" w:lineRule="auto"/>
        <w:textAlignment w:val="auto"/>
        <w:rPr>
          <w:color w:val="auto"/>
          <w:highlight w:val="none"/>
        </w:rPr>
      </w:pPr>
      <w:bookmarkStart w:id="638" w:name="_Toc2012255079"/>
      <w:bookmarkStart w:id="639" w:name="_Toc373478385"/>
      <w:bookmarkStart w:id="640" w:name="_Toc389065304"/>
      <w:bookmarkStart w:id="641" w:name="_Toc78449826"/>
      <w:bookmarkStart w:id="642" w:name="_Toc12531"/>
      <w:bookmarkStart w:id="643" w:name="_Toc373227738"/>
      <w:bookmarkStart w:id="644" w:name="_Toc407135240"/>
      <w:r>
        <w:rPr>
          <w:color w:val="auto"/>
          <w:highlight w:val="none"/>
        </w:rPr>
        <w:t xml:space="preserve">9.4 </w:t>
      </w:r>
      <w:r>
        <w:rPr>
          <w:rFonts w:hint="eastAsia" w:hAnsi="宋体" w:cs="黑体"/>
          <w:color w:val="auto"/>
          <w:highlight w:val="none"/>
        </w:rPr>
        <w:t>现场工艺试验</w:t>
      </w:r>
      <w:bookmarkEnd w:id="638"/>
      <w:bookmarkEnd w:id="639"/>
      <w:bookmarkEnd w:id="640"/>
      <w:bookmarkEnd w:id="641"/>
      <w:bookmarkEnd w:id="642"/>
      <w:bookmarkEnd w:id="643"/>
      <w:bookmarkEnd w:id="644"/>
      <w:r>
        <w:rPr>
          <w:color w:val="auto"/>
          <w:highlight w:val="none"/>
        </w:rPr>
        <w:t xml:space="preserve"> </w:t>
      </w:r>
    </w:p>
    <w:p w14:paraId="6123A3B3">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现场工艺试验的有关约定：</w:t>
      </w:r>
      <w:r>
        <w:rPr>
          <w:color w:val="auto"/>
          <w:highlight w:val="none"/>
          <w:u w:val="single"/>
        </w:rPr>
        <w:t xml:space="preserve"> </w:t>
      </w:r>
      <w:r>
        <w:rPr>
          <w:rFonts w:hint="eastAsia"/>
          <w:color w:val="auto"/>
          <w:highlight w:val="none"/>
          <w:u w:val="single"/>
        </w:rPr>
        <w:t>按照有关文件要求执行</w:t>
      </w:r>
      <w:r>
        <w:rPr>
          <w:color w:val="auto"/>
          <w:highlight w:val="none"/>
          <w:u w:val="single"/>
        </w:rPr>
        <w:t xml:space="preserve"> </w:t>
      </w:r>
      <w:r>
        <w:rPr>
          <w:rFonts w:hint="eastAsia" w:hAnsi="宋体" w:cs="宋体"/>
          <w:color w:val="auto"/>
          <w:highlight w:val="none"/>
        </w:rPr>
        <w:t>。</w:t>
      </w:r>
    </w:p>
    <w:p w14:paraId="46E5B829">
      <w:pPr>
        <w:pStyle w:val="4"/>
        <w:pageBreakBefore w:val="0"/>
        <w:widowControl w:val="0"/>
        <w:kinsoku/>
        <w:wordWrap/>
        <w:overflowPunct/>
        <w:topLinePunct w:val="0"/>
        <w:bidi w:val="0"/>
        <w:spacing w:before="0" w:after="0" w:line="360" w:lineRule="auto"/>
        <w:textAlignment w:val="auto"/>
        <w:rPr>
          <w:color w:val="auto"/>
          <w:highlight w:val="none"/>
        </w:rPr>
      </w:pPr>
      <w:bookmarkStart w:id="645" w:name="_Toc31226"/>
      <w:bookmarkStart w:id="646" w:name="_Toc78449827"/>
      <w:bookmarkStart w:id="647" w:name="_Toc407135241"/>
      <w:bookmarkStart w:id="648" w:name="_Toc393419678"/>
      <w:bookmarkStart w:id="649" w:name="OLE_LINK1"/>
      <w:r>
        <w:rPr>
          <w:color w:val="auto"/>
          <w:highlight w:val="none"/>
        </w:rPr>
        <w:t xml:space="preserve">9.5 </w:t>
      </w:r>
      <w:r>
        <w:rPr>
          <w:rFonts w:hint="eastAsia" w:hAnsi="宋体" w:cs="黑体"/>
          <w:color w:val="auto"/>
          <w:highlight w:val="none"/>
        </w:rPr>
        <w:t>检验费用</w:t>
      </w:r>
      <w:bookmarkEnd w:id="645"/>
      <w:bookmarkEnd w:id="646"/>
      <w:bookmarkEnd w:id="647"/>
      <w:bookmarkEnd w:id="648"/>
    </w:p>
    <w:p w14:paraId="5699A22C">
      <w:pPr>
        <w:pageBreakBefore w:val="0"/>
        <w:widowControl w:val="0"/>
        <w:kinsoku/>
        <w:wordWrap/>
        <w:overflowPunct/>
        <w:topLinePunct w:val="0"/>
        <w:bidi w:val="0"/>
        <w:spacing w:line="360" w:lineRule="auto"/>
        <w:ind w:firstLine="411" w:firstLineChars="196"/>
        <w:textAlignment w:val="auto"/>
        <w:rPr>
          <w:color w:val="auto"/>
          <w:highlight w:val="none"/>
        </w:rPr>
      </w:pPr>
      <w:r>
        <w:rPr>
          <w:rFonts w:hint="eastAsia" w:hAnsi="宋体" w:cs="宋体"/>
          <w:color w:val="auto"/>
          <w:highlight w:val="none"/>
        </w:rPr>
        <w:t>工程质量检测业务由发包人委托有相应资质的检测机构检测。费用从发包人的项目建设经费中支出并直接支付给检测机构，不计入合同价款内。</w:t>
      </w:r>
    </w:p>
    <w:bookmarkEnd w:id="630"/>
    <w:bookmarkEnd w:id="631"/>
    <w:bookmarkEnd w:id="632"/>
    <w:bookmarkEnd w:id="633"/>
    <w:bookmarkEnd w:id="634"/>
    <w:bookmarkEnd w:id="635"/>
    <w:bookmarkEnd w:id="636"/>
    <w:bookmarkEnd w:id="637"/>
    <w:bookmarkEnd w:id="649"/>
    <w:p w14:paraId="1663F21C">
      <w:pPr>
        <w:pStyle w:val="3"/>
        <w:pageBreakBefore w:val="0"/>
        <w:widowControl w:val="0"/>
        <w:kinsoku/>
        <w:wordWrap/>
        <w:overflowPunct/>
        <w:topLinePunct w:val="0"/>
        <w:bidi w:val="0"/>
        <w:spacing w:before="0" w:after="0" w:line="360" w:lineRule="auto"/>
        <w:textAlignment w:val="auto"/>
        <w:rPr>
          <w:color w:val="auto"/>
          <w:highlight w:val="none"/>
        </w:rPr>
      </w:pPr>
      <w:bookmarkStart w:id="650" w:name="_Toc407135242"/>
      <w:bookmarkStart w:id="651" w:name="_Toc373478386"/>
      <w:bookmarkStart w:id="652" w:name="_Toc373227739"/>
      <w:bookmarkStart w:id="653" w:name="_Toc351203642"/>
      <w:bookmarkStart w:id="654" w:name="_Toc603662032"/>
      <w:bookmarkStart w:id="655" w:name="_Toc24417"/>
      <w:bookmarkStart w:id="656" w:name="_Toc78449828"/>
      <w:bookmarkStart w:id="657" w:name="_Toc389065305"/>
      <w:r>
        <w:rPr>
          <w:color w:val="auto"/>
          <w:highlight w:val="none"/>
        </w:rPr>
        <w:t>1</w:t>
      </w:r>
      <w:bookmarkEnd w:id="597"/>
      <w:bookmarkEnd w:id="598"/>
      <w:bookmarkEnd w:id="599"/>
      <w:bookmarkEnd w:id="600"/>
      <w:bookmarkEnd w:id="601"/>
      <w:bookmarkEnd w:id="602"/>
      <w:bookmarkEnd w:id="603"/>
      <w:bookmarkEnd w:id="604"/>
      <w:bookmarkEnd w:id="605"/>
      <w:bookmarkEnd w:id="606"/>
      <w:bookmarkEnd w:id="607"/>
      <w:bookmarkEnd w:id="608"/>
      <w:bookmarkStart w:id="658" w:name="_Toc297048379"/>
      <w:bookmarkStart w:id="659" w:name="_Toc296891021"/>
      <w:bookmarkStart w:id="660" w:name="_Toc292559903"/>
      <w:bookmarkStart w:id="661" w:name="_Toc296891233"/>
      <w:bookmarkStart w:id="662" w:name="_Toc296346694"/>
      <w:bookmarkStart w:id="663" w:name="_Toc297120493"/>
      <w:bookmarkStart w:id="664" w:name="_Toc296347192"/>
      <w:bookmarkStart w:id="665" w:name="_Toc296503193"/>
      <w:bookmarkStart w:id="666" w:name="_Toc296944532"/>
      <w:bookmarkStart w:id="667" w:name="_Toc297216199"/>
      <w:bookmarkStart w:id="668" w:name="_Toc292559398"/>
      <w:bookmarkStart w:id="669" w:name="_Toc300934989"/>
      <w:bookmarkStart w:id="670" w:name="_Toc297123540"/>
      <w:bookmarkStart w:id="671" w:name="_Toc303539146"/>
      <w:bookmarkStart w:id="672" w:name="_Toc304295566"/>
      <w:bookmarkStart w:id="673" w:name="_Toc312678025"/>
      <w:bookmarkStart w:id="674" w:name="_Toc312677499"/>
      <w:bookmarkStart w:id="675" w:name="_Toc267251441"/>
      <w:bookmarkStart w:id="676" w:name="_Toc267251439"/>
      <w:bookmarkStart w:id="677" w:name="_Toc267251440"/>
      <w:bookmarkStart w:id="678" w:name="_Toc267251433"/>
      <w:bookmarkStart w:id="679" w:name="_Toc267251435"/>
      <w:bookmarkStart w:id="680" w:name="_Toc267251437"/>
      <w:bookmarkStart w:id="681" w:name="_Toc267251442"/>
      <w:r>
        <w:rPr>
          <w:color w:val="auto"/>
          <w:highlight w:val="none"/>
        </w:rPr>
        <w:t xml:space="preserve">0. </w:t>
      </w:r>
      <w:r>
        <w:rPr>
          <w:rFonts w:hint="eastAsia" w:hAnsi="宋体" w:cs="黑体"/>
          <w:color w:val="auto"/>
          <w:highlight w:val="none"/>
        </w:rPr>
        <w:t>变更</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bookmarkEnd w:id="673"/>
    <w:bookmarkEnd w:id="674"/>
    <w:p w14:paraId="360CD82F">
      <w:pPr>
        <w:pStyle w:val="4"/>
        <w:pageBreakBefore w:val="0"/>
        <w:widowControl w:val="0"/>
        <w:kinsoku/>
        <w:wordWrap/>
        <w:overflowPunct/>
        <w:topLinePunct w:val="0"/>
        <w:bidi w:val="0"/>
        <w:spacing w:before="0" w:after="0" w:line="360" w:lineRule="auto"/>
        <w:textAlignment w:val="auto"/>
        <w:rPr>
          <w:color w:val="auto"/>
          <w:highlight w:val="none"/>
        </w:rPr>
      </w:pPr>
      <w:bookmarkStart w:id="682" w:name="_Toc407135243"/>
      <w:bookmarkStart w:id="683" w:name="_Toc373227740"/>
      <w:bookmarkStart w:id="684" w:name="_Toc1255"/>
      <w:bookmarkStart w:id="685" w:name="_Toc78449829"/>
      <w:bookmarkStart w:id="686" w:name="_Toc373478387"/>
      <w:bookmarkStart w:id="687" w:name="_Toc389065306"/>
      <w:bookmarkStart w:id="688" w:name="_Toc1890371558"/>
      <w:r>
        <w:rPr>
          <w:color w:val="auto"/>
          <w:highlight w:val="none"/>
        </w:rPr>
        <w:t>1</w:t>
      </w:r>
      <w:bookmarkStart w:id="689" w:name="_Toc296891234"/>
      <w:bookmarkStart w:id="690" w:name="_Toc312678026"/>
      <w:bookmarkStart w:id="691" w:name="_Toc292559904"/>
      <w:bookmarkStart w:id="692" w:name="_Toc297048380"/>
      <w:bookmarkStart w:id="693" w:name="_Toc297120494"/>
      <w:bookmarkStart w:id="694" w:name="_Toc296346695"/>
      <w:bookmarkStart w:id="695" w:name="_Toc297216200"/>
      <w:bookmarkStart w:id="696" w:name="_Toc296347193"/>
      <w:bookmarkStart w:id="697" w:name="_Toc296503194"/>
      <w:bookmarkStart w:id="698" w:name="_Toc304295567"/>
      <w:bookmarkStart w:id="699" w:name="_Toc296891022"/>
      <w:bookmarkStart w:id="700" w:name="_Toc292559399"/>
      <w:bookmarkStart w:id="701" w:name="_Toc297123541"/>
      <w:bookmarkStart w:id="702" w:name="_Toc300934990"/>
      <w:bookmarkStart w:id="703" w:name="_Toc303539147"/>
      <w:bookmarkStart w:id="704" w:name="_Toc312677500"/>
      <w:bookmarkStart w:id="705" w:name="_Toc296944533"/>
      <w:r>
        <w:rPr>
          <w:color w:val="auto"/>
          <w:highlight w:val="none"/>
        </w:rPr>
        <w:t xml:space="preserve">0.1 </w:t>
      </w:r>
      <w:r>
        <w:rPr>
          <w:rFonts w:hint="eastAsia" w:hAnsi="宋体" w:cs="黑体"/>
          <w:color w:val="auto"/>
          <w:highlight w:val="none"/>
        </w:rPr>
        <w:t>变更的范围</w:t>
      </w:r>
      <w:bookmarkEnd w:id="682"/>
      <w:bookmarkEnd w:id="683"/>
      <w:bookmarkEnd w:id="684"/>
      <w:bookmarkEnd w:id="685"/>
      <w:bookmarkEnd w:id="686"/>
      <w:bookmarkEnd w:id="687"/>
      <w:bookmarkEnd w:id="688"/>
    </w:p>
    <w:p w14:paraId="42FB8724">
      <w:pPr>
        <w:pageBreakBefore w:val="0"/>
        <w:widowControl w:val="0"/>
        <w:kinsoku/>
        <w:wordWrap/>
        <w:overflowPunct/>
        <w:topLinePunct w:val="0"/>
        <w:bidi w:val="0"/>
        <w:spacing w:line="360" w:lineRule="auto"/>
        <w:ind w:firstLine="426"/>
        <w:jc w:val="left"/>
        <w:textAlignment w:val="auto"/>
        <w:rPr>
          <w:color w:val="auto"/>
          <w:highlight w:val="none"/>
        </w:rPr>
      </w:pPr>
      <w:r>
        <w:rPr>
          <w:rFonts w:hint="eastAsia" w:hAnsi="宋体" w:cs="宋体"/>
          <w:color w:val="auto"/>
          <w:highlight w:val="none"/>
        </w:rPr>
        <w:t>关于变更的范围的约定：</w:t>
      </w:r>
      <w:r>
        <w:rPr>
          <w:color w:val="auto"/>
          <w:highlight w:val="none"/>
          <w:u w:val="single"/>
        </w:rPr>
        <w:t xml:space="preserve"> </w:t>
      </w:r>
      <w:r>
        <w:rPr>
          <w:rFonts w:hint="eastAsia"/>
          <w:color w:val="auto"/>
          <w:highlight w:val="none"/>
          <w:u w:val="single"/>
        </w:rPr>
        <w:t>按照《北海市政府投资建设工程变更管理办法（暂行）》的规定执行</w:t>
      </w:r>
      <w:r>
        <w:rPr>
          <w:color w:val="auto"/>
          <w:highlight w:val="none"/>
          <w:u w:val="single"/>
        </w:rPr>
        <w:t xml:space="preserve"> </w:t>
      </w:r>
      <w:r>
        <w:rPr>
          <w:rFonts w:hint="eastAsia" w:hAnsi="宋体" w:cs="宋体"/>
          <w:color w:val="auto"/>
          <w:highlight w:val="none"/>
        </w:rPr>
        <w:t>。</w:t>
      </w:r>
    </w:p>
    <w:p w14:paraId="257F4430">
      <w:pPr>
        <w:pStyle w:val="4"/>
        <w:pageBreakBefore w:val="0"/>
        <w:widowControl w:val="0"/>
        <w:kinsoku/>
        <w:wordWrap/>
        <w:overflowPunct/>
        <w:topLinePunct w:val="0"/>
        <w:bidi w:val="0"/>
        <w:spacing w:before="0" w:after="0" w:line="360" w:lineRule="auto"/>
        <w:textAlignment w:val="auto"/>
        <w:rPr>
          <w:color w:val="auto"/>
          <w:highlight w:val="none"/>
        </w:rPr>
      </w:pPr>
      <w:bookmarkStart w:id="706" w:name="_Toc450749207"/>
      <w:bookmarkStart w:id="707" w:name="_Toc373478388"/>
      <w:bookmarkStart w:id="708" w:name="_Toc389065307"/>
      <w:bookmarkStart w:id="709" w:name="_Toc78449830"/>
      <w:bookmarkStart w:id="710" w:name="_Toc3473"/>
      <w:bookmarkStart w:id="711" w:name="_Toc407135244"/>
      <w:bookmarkStart w:id="712" w:name="_Toc373227741"/>
      <w:r>
        <w:rPr>
          <w:color w:val="auto"/>
          <w:highlight w:val="none"/>
        </w:rPr>
        <w:t xml:space="preserve">10.3 </w:t>
      </w:r>
      <w:r>
        <w:rPr>
          <w:rFonts w:hint="eastAsia" w:hAnsi="宋体" w:cs="黑体"/>
          <w:color w:val="auto"/>
          <w:highlight w:val="none"/>
        </w:rPr>
        <w:t>变更程序</w:t>
      </w:r>
      <w:bookmarkEnd w:id="706"/>
      <w:bookmarkEnd w:id="707"/>
      <w:bookmarkEnd w:id="708"/>
      <w:bookmarkEnd w:id="709"/>
      <w:bookmarkEnd w:id="710"/>
      <w:bookmarkEnd w:id="711"/>
      <w:bookmarkEnd w:id="712"/>
    </w:p>
    <w:p w14:paraId="75113C9E">
      <w:pPr>
        <w:pStyle w:val="25"/>
        <w:pageBreakBefore w:val="0"/>
        <w:widowControl w:val="0"/>
        <w:kinsoku/>
        <w:wordWrap/>
        <w:overflowPunct/>
        <w:topLinePunct w:val="0"/>
        <w:bidi w:val="0"/>
        <w:spacing w:line="360" w:lineRule="auto"/>
        <w:ind w:firstLine="441" w:firstLineChars="21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10.3.1</w:t>
      </w:r>
      <w:r>
        <w:rPr>
          <w:rFonts w:hint="eastAsia" w:ascii="Times New Roman" w:hAnsi="Times New Roman"/>
          <w:color w:val="auto"/>
          <w:sz w:val="21"/>
          <w:szCs w:val="21"/>
          <w:highlight w:val="none"/>
        </w:rPr>
        <w:t>国有投资项目：</w:t>
      </w:r>
    </w:p>
    <w:p w14:paraId="63D11812">
      <w:pPr>
        <w:pStyle w:val="25"/>
        <w:pageBreakBefore w:val="0"/>
        <w:widowControl w:val="0"/>
        <w:kinsoku/>
        <w:wordWrap/>
        <w:overflowPunct/>
        <w:topLinePunct w:val="0"/>
        <w:bidi w:val="0"/>
        <w:spacing w:line="360" w:lineRule="auto"/>
        <w:ind w:firstLine="441" w:firstLineChars="210"/>
        <w:textAlignment w:val="auto"/>
        <w:rPr>
          <w:rFonts w:ascii="Times New Roman" w:hAnsi="宋体"/>
          <w:bCs/>
          <w:color w:val="auto"/>
          <w:sz w:val="21"/>
          <w:szCs w:val="21"/>
          <w:highlight w:val="none"/>
        </w:rPr>
      </w:pPr>
      <w:r>
        <w:rPr>
          <w:rFonts w:hint="eastAsia" w:ascii="Times New Roman" w:hAnsi="宋体"/>
          <w:bCs/>
          <w:color w:val="auto"/>
          <w:sz w:val="21"/>
          <w:szCs w:val="21"/>
          <w:highlight w:val="none"/>
        </w:rPr>
        <w:t>⑴设计变更和工程签证，按各市政府或相关部门的规定办理。属不可抗力（自然灾害、突发事件等）造成变更的，按特事特办原则予以办理。</w:t>
      </w:r>
    </w:p>
    <w:p w14:paraId="35759E99">
      <w:pPr>
        <w:pStyle w:val="25"/>
        <w:pageBreakBefore w:val="0"/>
        <w:widowControl w:val="0"/>
        <w:kinsoku/>
        <w:wordWrap/>
        <w:overflowPunct/>
        <w:topLinePunct w:val="0"/>
        <w:bidi w:val="0"/>
        <w:spacing w:line="360" w:lineRule="auto"/>
        <w:ind w:firstLine="441" w:firstLineChars="210"/>
        <w:textAlignment w:val="auto"/>
        <w:rPr>
          <w:rFonts w:ascii="Times New Roman" w:hAnsi="宋体"/>
          <w:bCs/>
          <w:color w:val="auto"/>
          <w:sz w:val="21"/>
          <w:szCs w:val="21"/>
          <w:highlight w:val="none"/>
        </w:rPr>
      </w:pPr>
      <w:r>
        <w:rPr>
          <w:rFonts w:hint="eastAsia" w:ascii="Times New Roman" w:hAnsi="宋体"/>
          <w:bCs/>
          <w:color w:val="auto"/>
          <w:sz w:val="21"/>
          <w:szCs w:val="21"/>
          <w:highlight w:val="none"/>
        </w:rPr>
        <w:t>⑵建设单位在实施项目过程中，若发生单价变动，由发包人、承包人、监理或造价咨询等单位共同商定并签字确认。</w:t>
      </w:r>
    </w:p>
    <w:p w14:paraId="1FE390FC">
      <w:pPr>
        <w:pStyle w:val="25"/>
        <w:pageBreakBefore w:val="0"/>
        <w:widowControl w:val="0"/>
        <w:kinsoku/>
        <w:wordWrap/>
        <w:overflowPunct/>
        <w:topLinePunct w:val="0"/>
        <w:bidi w:val="0"/>
        <w:spacing w:line="360" w:lineRule="auto"/>
        <w:ind w:firstLine="441" w:firstLineChars="210"/>
        <w:textAlignment w:val="auto"/>
        <w:rPr>
          <w:rFonts w:ascii="Times New Roman" w:hAnsi="宋体"/>
          <w:bCs/>
          <w:color w:val="auto"/>
          <w:sz w:val="21"/>
          <w:szCs w:val="21"/>
          <w:highlight w:val="none"/>
        </w:rPr>
      </w:pPr>
      <w:r>
        <w:rPr>
          <w:rFonts w:hint="eastAsia" w:ascii="Times New Roman" w:hAnsi="宋体"/>
          <w:bCs/>
          <w:color w:val="auto"/>
          <w:sz w:val="21"/>
          <w:szCs w:val="21"/>
          <w:highlight w:val="none"/>
        </w:rPr>
        <w:t>⑶</w:t>
      </w:r>
      <w:r>
        <w:rPr>
          <w:rFonts w:ascii="Times New Roman" w:hAnsi="宋体"/>
          <w:bCs/>
          <w:color w:val="auto"/>
          <w:sz w:val="21"/>
          <w:szCs w:val="21"/>
          <w:highlight w:val="none"/>
        </w:rPr>
        <w:t xml:space="preserve"> </w:t>
      </w:r>
      <w:r>
        <w:rPr>
          <w:rFonts w:hint="eastAsia" w:ascii="Times New Roman" w:hAnsi="宋体"/>
          <w:bCs/>
          <w:color w:val="auto"/>
          <w:sz w:val="21"/>
          <w:szCs w:val="21"/>
          <w:highlight w:val="none"/>
        </w:rPr>
        <w:t>当合同规定的合同价款调整情况发生后，承包人未在规定时间内通知发包人，或者未在规定时间内提出调整报告，发包人可以根据有关资料，决定是否调整和调整的金额，并书面通知承包人。</w:t>
      </w:r>
    </w:p>
    <w:p w14:paraId="62CB911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10.3.2 </w:t>
      </w:r>
      <w:r>
        <w:rPr>
          <w:rFonts w:hint="eastAsia" w:cs="宋体"/>
          <w:color w:val="auto"/>
          <w:highlight w:val="none"/>
        </w:rPr>
        <w:t>非国有投资项目：</w:t>
      </w:r>
      <w:r>
        <w:rPr>
          <w:color w:val="auto"/>
          <w:highlight w:val="none"/>
        </w:rPr>
        <w:t xml:space="preserve"> </w:t>
      </w:r>
    </w:p>
    <w:p w14:paraId="7784FBB5">
      <w:pPr>
        <w:pageBreakBefore w:val="0"/>
        <w:widowControl w:val="0"/>
        <w:kinsoku/>
        <w:wordWrap/>
        <w:overflowPunct/>
        <w:topLinePunct w:val="0"/>
        <w:bidi w:val="0"/>
        <w:spacing w:line="360" w:lineRule="auto"/>
        <w:jc w:val="left"/>
        <w:textAlignment w:val="auto"/>
        <w:rPr>
          <w:color w:val="auto"/>
          <w:highlight w:val="none"/>
        </w:rPr>
      </w:pPr>
      <w:r>
        <w:rPr>
          <w:color w:val="auto"/>
          <w:highlight w:val="none"/>
          <w:u w:val="single"/>
        </w:rPr>
        <w:t xml:space="preserve">                                                                            </w:t>
      </w:r>
      <w:r>
        <w:rPr>
          <w:rFonts w:hint="eastAsia" w:hAnsi="宋体" w:cs="宋体"/>
          <w:color w:val="auto"/>
          <w:highlight w:val="none"/>
        </w:rPr>
        <w:t>。</w:t>
      </w:r>
    </w:p>
    <w:p w14:paraId="1313C3B3">
      <w:pPr>
        <w:pStyle w:val="4"/>
        <w:pageBreakBefore w:val="0"/>
        <w:widowControl w:val="0"/>
        <w:kinsoku/>
        <w:wordWrap/>
        <w:overflowPunct/>
        <w:topLinePunct w:val="0"/>
        <w:bidi w:val="0"/>
        <w:spacing w:before="0" w:after="0" w:line="360" w:lineRule="auto"/>
        <w:textAlignment w:val="auto"/>
        <w:rPr>
          <w:color w:val="auto"/>
          <w:highlight w:val="none"/>
        </w:rPr>
      </w:pPr>
      <w:bookmarkStart w:id="713" w:name="_Toc22672"/>
      <w:bookmarkStart w:id="714" w:name="_Toc373478389"/>
      <w:bookmarkStart w:id="715" w:name="_Toc1645711468"/>
      <w:bookmarkStart w:id="716" w:name="_Toc78449831"/>
      <w:bookmarkStart w:id="717" w:name="_Toc389065308"/>
      <w:bookmarkStart w:id="718" w:name="_Toc373227742"/>
      <w:bookmarkStart w:id="719" w:name="_Toc407135245"/>
      <w:r>
        <w:rPr>
          <w:color w:val="auto"/>
          <w:highlight w:val="none"/>
        </w:rPr>
        <w:t xml:space="preserve">10.4 </w:t>
      </w:r>
      <w:r>
        <w:rPr>
          <w:rFonts w:hint="eastAsia" w:hAnsi="宋体" w:cs="黑体"/>
          <w:color w:val="auto"/>
          <w:highlight w:val="none"/>
        </w:rPr>
        <w:t>变更估价</w:t>
      </w:r>
      <w:bookmarkEnd w:id="713"/>
      <w:bookmarkEnd w:id="714"/>
      <w:bookmarkEnd w:id="715"/>
      <w:bookmarkEnd w:id="716"/>
      <w:bookmarkEnd w:id="717"/>
      <w:bookmarkEnd w:id="718"/>
      <w:bookmarkEnd w:id="719"/>
    </w:p>
    <w:p w14:paraId="60EAED1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10.4.1 </w:t>
      </w:r>
      <w:r>
        <w:rPr>
          <w:rFonts w:hint="eastAsia" w:hAnsi="宋体" w:cs="宋体"/>
          <w:color w:val="auto"/>
          <w:highlight w:val="none"/>
        </w:rPr>
        <w:t>变更估价原则</w:t>
      </w:r>
    </w:p>
    <w:p w14:paraId="55B256B1">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关于变更估价的约定</w:t>
      </w:r>
      <w:r>
        <w:rPr>
          <w:rFonts w:hint="eastAsia"/>
          <w:color w:val="auto"/>
          <w:highlight w:val="none"/>
          <w:lang w:eastAsia="zh-CN"/>
        </w:rPr>
        <w:t>：</w:t>
      </w:r>
      <w:r>
        <w:rPr>
          <w:color w:val="auto"/>
          <w:highlight w:val="none"/>
        </w:rPr>
        <w:t xml:space="preserve"> </w:t>
      </w:r>
      <w:bookmarkStart w:id="720" w:name="_Toc251051742"/>
      <w:r>
        <w:rPr>
          <w:rFonts w:hint="eastAsia" w:hAnsi="宋体" w:cs="宋体"/>
          <w:color w:val="auto"/>
          <w:highlight w:val="none"/>
          <w:u w:val="single"/>
        </w:rPr>
        <w:t>工程变更合同价款按下列方法进行：（</w:t>
      </w:r>
      <w:r>
        <w:rPr>
          <w:color w:val="auto"/>
          <w:highlight w:val="none"/>
          <w:u w:val="single"/>
        </w:rPr>
        <w:t>1</w:t>
      </w:r>
      <w:r>
        <w:rPr>
          <w:rFonts w:hint="eastAsia" w:hAnsi="宋体" w:cs="宋体"/>
          <w:color w:val="auto"/>
          <w:highlight w:val="none"/>
          <w:u w:val="single"/>
        </w:rPr>
        <w:t>）合同中已有相同清单项目的，按合同该清单项目价格进行计算；（</w:t>
      </w:r>
      <w:r>
        <w:rPr>
          <w:color w:val="auto"/>
          <w:highlight w:val="none"/>
          <w:u w:val="single"/>
        </w:rPr>
        <w:t>2</w:t>
      </w:r>
      <w:r>
        <w:rPr>
          <w:rFonts w:hint="eastAsia" w:hAnsi="宋体" w:cs="宋体"/>
          <w:color w:val="auto"/>
          <w:highlight w:val="none"/>
          <w:u w:val="single"/>
        </w:rPr>
        <w:t>）合同中只有类似清单项目的，参照该类似清单项目价格进行计算；（</w:t>
      </w:r>
      <w:r>
        <w:rPr>
          <w:color w:val="auto"/>
          <w:highlight w:val="none"/>
          <w:u w:val="single"/>
        </w:rPr>
        <w:t>3</w:t>
      </w:r>
      <w:r>
        <w:rPr>
          <w:rFonts w:hint="eastAsia" w:hAnsi="宋体" w:cs="宋体"/>
          <w:color w:val="auto"/>
          <w:highlight w:val="none"/>
          <w:u w:val="single"/>
        </w:rPr>
        <w:t>）合同中没有适用或类似清单项目的价格计算方法：有定额的套定额，并（</w:t>
      </w:r>
      <w:r>
        <w:rPr>
          <w:rFonts w:hint="eastAsia" w:cs="宋体"/>
          <w:b/>
          <w:bCs/>
          <w:color w:val="auto"/>
          <w:highlight w:val="none"/>
          <w:lang w:eastAsia="zh-CN"/>
        </w:rPr>
        <w:t>☑</w:t>
      </w:r>
      <w:r>
        <w:rPr>
          <w:rFonts w:hint="eastAsia" w:hAnsi="宋体" w:cs="宋体"/>
          <w:color w:val="auto"/>
          <w:highlight w:val="none"/>
          <w:u w:val="single"/>
        </w:rPr>
        <w:t>乘以下浮系数</w:t>
      </w:r>
      <w:r>
        <w:rPr>
          <w:rFonts w:hint="eastAsia" w:hAnsi="宋体" w:cs="宋体"/>
          <w:color w:val="auto"/>
          <w:highlight w:val="none"/>
          <w:u w:val="single"/>
          <w:lang w:eastAsia="zh-CN"/>
        </w:rPr>
        <w:t>（</w:t>
      </w:r>
      <w:r>
        <w:rPr>
          <w:rFonts w:hint="eastAsia"/>
          <w:color w:val="auto"/>
          <w:highlight w:val="none"/>
          <w:u w:val="single"/>
        </w:rPr>
        <w:t>中标价/经审定的工程招标控制价</w:t>
      </w:r>
      <w:r>
        <w:rPr>
          <w:rFonts w:hint="eastAsia" w:hAnsi="宋体" w:cs="宋体"/>
          <w:color w:val="auto"/>
          <w:highlight w:val="none"/>
          <w:u w:val="single"/>
          <w:lang w:eastAsia="zh-CN"/>
        </w:rPr>
        <w:t>）</w:t>
      </w:r>
      <w:r>
        <w:rPr>
          <w:rFonts w:hint="eastAsia" w:cs="宋体"/>
          <w:color w:val="auto"/>
          <w:highlight w:val="none"/>
          <w:u w:val="single"/>
        </w:rPr>
        <w:t>，</w:t>
      </w:r>
      <w:r>
        <w:rPr>
          <w:rFonts w:hint="eastAsia" w:cs="宋体"/>
          <w:b/>
          <w:bCs/>
          <w:color w:val="auto"/>
          <w:highlight w:val="none"/>
        </w:rPr>
        <w:t>□</w:t>
      </w:r>
      <w:r>
        <w:rPr>
          <w:rFonts w:hint="eastAsia" w:hAnsi="宋体" w:cs="宋体"/>
          <w:color w:val="auto"/>
          <w:highlight w:val="none"/>
          <w:u w:val="single"/>
        </w:rPr>
        <w:t>不乘下浮系数）计算，其中：材料设备价格按施工期间的《</w:t>
      </w:r>
      <w:r>
        <w:rPr>
          <w:rFonts w:hint="eastAsia"/>
          <w:color w:val="auto"/>
          <w:highlight w:val="none"/>
          <w:u w:val="single"/>
          <w:lang w:val="en-US" w:eastAsia="zh-CN"/>
        </w:rPr>
        <w:t>北海</w:t>
      </w:r>
      <w:r>
        <w:rPr>
          <w:rFonts w:hint="eastAsia" w:hAnsi="宋体" w:cs="宋体"/>
          <w:color w:val="auto"/>
          <w:highlight w:val="none"/>
          <w:u w:val="single"/>
        </w:rPr>
        <w:t>市建设工程造价信息》相应信息价的加权平均值计算，《</w:t>
      </w:r>
      <w:r>
        <w:rPr>
          <w:rFonts w:hint="eastAsia"/>
          <w:color w:val="auto"/>
          <w:highlight w:val="none"/>
          <w:u w:val="single"/>
          <w:lang w:val="en-US" w:eastAsia="zh-CN"/>
        </w:rPr>
        <w:t>北海</w:t>
      </w:r>
      <w:r>
        <w:rPr>
          <w:rFonts w:hint="eastAsia" w:hAnsi="宋体" w:cs="宋体"/>
          <w:color w:val="auto"/>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720"/>
      <w:r>
        <w:rPr>
          <w:rFonts w:hint="eastAsia" w:hAnsi="宋体" w:cs="宋体"/>
          <w:color w:val="auto"/>
          <w:highlight w:val="none"/>
        </w:rPr>
        <w:t>。以上约定同时适用于招标工程量清单缺项以及工程量清单项目特征与图纸不符时的价款确定。</w:t>
      </w:r>
    </w:p>
    <w:p w14:paraId="2A6061A2">
      <w:pPr>
        <w:pageBreakBefore w:val="0"/>
        <w:widowControl w:val="0"/>
        <w:kinsoku/>
        <w:wordWrap/>
        <w:overflowPunct/>
        <w:topLinePunct w:val="0"/>
        <w:bidi w:val="0"/>
        <w:spacing w:line="360" w:lineRule="auto"/>
        <w:ind w:firstLine="420" w:firstLineChars="200"/>
        <w:jc w:val="left"/>
        <w:textAlignment w:val="auto"/>
        <w:rPr>
          <w:rFonts w:hint="eastAsia" w:cs="宋体"/>
          <w:color w:val="auto"/>
          <w:highlight w:val="none"/>
          <w:u w:val="single"/>
        </w:rPr>
      </w:pPr>
      <w:r>
        <w:rPr>
          <w:rFonts w:hint="eastAsia" w:cs="宋体"/>
          <w:color w:val="auto"/>
          <w:highlight w:val="none"/>
          <w:u w:val="single"/>
        </w:rPr>
        <w:t>工程变更导致实际完成的变更工程量与已标价清单或预算书中列明的该项目工程量有偏差时，其综合单价的确定按专用条款</w:t>
      </w:r>
      <w:r>
        <w:rPr>
          <w:rFonts w:hint="eastAsia" w:cs="宋体"/>
          <w:color w:val="auto"/>
          <w:highlight w:val="none"/>
          <w:u w:val="single"/>
          <w:lang w:eastAsia="zh-CN"/>
        </w:rPr>
        <w:t>“</w:t>
      </w:r>
      <w:r>
        <w:rPr>
          <w:color w:val="auto"/>
          <w:highlight w:val="none"/>
          <w:u w:val="single"/>
        </w:rPr>
        <w:t>1.13</w:t>
      </w:r>
      <w:r>
        <w:rPr>
          <w:rFonts w:hint="eastAsia" w:cs="宋体"/>
          <w:color w:val="auto"/>
          <w:highlight w:val="none"/>
          <w:u w:val="single"/>
        </w:rPr>
        <w:t>工程量清单错误的修正</w:t>
      </w:r>
      <w:r>
        <w:rPr>
          <w:rFonts w:hint="eastAsia" w:cs="宋体"/>
          <w:color w:val="auto"/>
          <w:highlight w:val="none"/>
          <w:u w:val="single"/>
          <w:lang w:eastAsia="zh-CN"/>
        </w:rPr>
        <w:t>”</w:t>
      </w:r>
      <w:r>
        <w:rPr>
          <w:rFonts w:hint="eastAsia" w:cs="宋体"/>
          <w:color w:val="auto"/>
          <w:highlight w:val="none"/>
          <w:u w:val="single"/>
        </w:rPr>
        <w:t>执行。</w:t>
      </w:r>
    </w:p>
    <w:p w14:paraId="3569907F">
      <w:pPr>
        <w:pStyle w:val="4"/>
        <w:pageBreakBefore w:val="0"/>
        <w:widowControl w:val="0"/>
        <w:kinsoku/>
        <w:wordWrap/>
        <w:overflowPunct/>
        <w:topLinePunct w:val="0"/>
        <w:bidi w:val="0"/>
        <w:spacing w:before="0" w:after="0" w:line="360" w:lineRule="auto"/>
        <w:textAlignment w:val="auto"/>
        <w:rPr>
          <w:color w:val="auto"/>
          <w:highlight w:val="none"/>
        </w:rPr>
      </w:pPr>
      <w:bookmarkStart w:id="721" w:name="_Toc650800266"/>
      <w:bookmarkStart w:id="722" w:name="_Toc407135246"/>
      <w:bookmarkStart w:id="723" w:name="_Toc78449832"/>
      <w:bookmarkStart w:id="724" w:name="_Toc373227743"/>
      <w:bookmarkStart w:id="725" w:name="_Toc5778"/>
      <w:bookmarkStart w:id="726" w:name="_Toc373478390"/>
      <w:bookmarkStart w:id="727" w:name="_Toc389065309"/>
      <w:r>
        <w:rPr>
          <w:color w:val="auto"/>
          <w:highlight w:val="none"/>
        </w:rPr>
        <w:t>1</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Start w:id="728" w:name="_Toc300934993"/>
      <w:bookmarkStart w:id="729" w:name="_Toc292559907"/>
      <w:bookmarkStart w:id="730" w:name="_Toc296347196"/>
      <w:bookmarkStart w:id="731" w:name="_Toc296891237"/>
      <w:bookmarkStart w:id="732" w:name="_Toc296503197"/>
      <w:bookmarkStart w:id="733" w:name="_Toc303539150"/>
      <w:bookmarkStart w:id="734" w:name="_Toc297123544"/>
      <w:bookmarkStart w:id="735" w:name="_Toc296891025"/>
      <w:bookmarkStart w:id="736" w:name="_Toc292559402"/>
      <w:bookmarkStart w:id="737" w:name="_Toc296944536"/>
      <w:bookmarkStart w:id="738" w:name="_Toc297120497"/>
      <w:bookmarkStart w:id="739" w:name="_Toc296346698"/>
      <w:bookmarkStart w:id="740" w:name="_Toc297048383"/>
      <w:bookmarkStart w:id="741" w:name="_Toc297216203"/>
      <w:bookmarkStart w:id="742" w:name="_Toc312678029"/>
      <w:bookmarkStart w:id="743" w:name="_Toc312677503"/>
      <w:bookmarkStart w:id="744" w:name="_Toc304295570"/>
      <w:r>
        <w:rPr>
          <w:color w:val="auto"/>
          <w:highlight w:val="none"/>
        </w:rPr>
        <w:t xml:space="preserve">0.5 </w:t>
      </w:r>
      <w:r>
        <w:rPr>
          <w:rFonts w:hint="eastAsia" w:cs="黑体"/>
          <w:color w:val="auto"/>
          <w:highlight w:val="none"/>
        </w:rPr>
        <w:t>承</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Start w:id="745" w:name="_Toc297120503"/>
      <w:bookmarkStart w:id="746" w:name="_Toc296347202"/>
      <w:bookmarkStart w:id="747" w:name="_Toc296503203"/>
      <w:bookmarkStart w:id="748" w:name="_Toc296891031"/>
      <w:bookmarkStart w:id="749" w:name="_Toc297123545"/>
      <w:bookmarkStart w:id="750" w:name="_Toc297216204"/>
      <w:bookmarkStart w:id="751" w:name="_Toc296346704"/>
      <w:bookmarkStart w:id="752" w:name="_Toc303539151"/>
      <w:bookmarkStart w:id="753" w:name="_Toc292559913"/>
      <w:bookmarkStart w:id="754" w:name="_Toc300934994"/>
      <w:bookmarkStart w:id="755" w:name="_Toc296944542"/>
      <w:bookmarkStart w:id="756" w:name="_Toc297048389"/>
      <w:bookmarkStart w:id="757" w:name="_Toc292559408"/>
      <w:bookmarkStart w:id="758" w:name="_Toc296891243"/>
      <w:r>
        <w:rPr>
          <w:rFonts w:hint="eastAsia" w:cs="黑体"/>
          <w:color w:val="auto"/>
          <w:highlight w:val="none"/>
        </w:rPr>
        <w:t>包人的合理化建议</w:t>
      </w:r>
      <w:bookmarkEnd w:id="721"/>
      <w:bookmarkEnd w:id="722"/>
      <w:bookmarkEnd w:id="723"/>
      <w:bookmarkEnd w:id="724"/>
      <w:bookmarkEnd w:id="725"/>
      <w:bookmarkEnd w:id="726"/>
      <w:bookmarkEnd w:id="727"/>
    </w:p>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14:paraId="2237644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监理人审查承包人合理化建议的期限：</w:t>
      </w:r>
      <w:r>
        <w:rPr>
          <w:color w:val="auto"/>
          <w:highlight w:val="none"/>
          <w:u w:val="single"/>
        </w:rPr>
        <w:t xml:space="preserve"> </w:t>
      </w:r>
      <w:r>
        <w:rPr>
          <w:rFonts w:hint="eastAsia"/>
          <w:color w:val="auto"/>
          <w:highlight w:val="none"/>
          <w:u w:val="single"/>
        </w:rPr>
        <w:t>承包人提交建议后7日内</w:t>
      </w:r>
      <w:r>
        <w:rPr>
          <w:color w:val="auto"/>
          <w:highlight w:val="none"/>
          <w:u w:val="single"/>
        </w:rPr>
        <w:t xml:space="preserve"> </w:t>
      </w:r>
      <w:r>
        <w:rPr>
          <w:rFonts w:hint="eastAsia" w:hAnsi="宋体" w:cs="宋体"/>
          <w:color w:val="auto"/>
          <w:highlight w:val="none"/>
        </w:rPr>
        <w:t>。</w:t>
      </w:r>
    </w:p>
    <w:p w14:paraId="76730D49">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发包人审批承包人合理化建议的期限：</w:t>
      </w:r>
      <w:r>
        <w:rPr>
          <w:color w:val="auto"/>
          <w:highlight w:val="none"/>
          <w:u w:val="single"/>
        </w:rPr>
        <w:t xml:space="preserve"> </w:t>
      </w:r>
      <w:r>
        <w:rPr>
          <w:rFonts w:hint="eastAsia"/>
          <w:color w:val="auto"/>
          <w:highlight w:val="none"/>
          <w:u w:val="single"/>
        </w:rPr>
        <w:t>监理人审查意见提交后15日内</w:t>
      </w:r>
      <w:r>
        <w:rPr>
          <w:color w:val="auto"/>
          <w:highlight w:val="none"/>
          <w:u w:val="single"/>
        </w:rPr>
        <w:t xml:space="preserve"> </w:t>
      </w:r>
      <w:r>
        <w:rPr>
          <w:rFonts w:hint="eastAsia" w:hAnsi="宋体" w:cs="宋体"/>
          <w:color w:val="auto"/>
          <w:highlight w:val="none"/>
        </w:rPr>
        <w:t>。</w:t>
      </w:r>
    </w:p>
    <w:p w14:paraId="30AD077E">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承</w:t>
      </w:r>
      <w:bookmarkStart w:id="759" w:name="_Toc318581175"/>
      <w:bookmarkStart w:id="760" w:name="_Toc297048390"/>
      <w:bookmarkStart w:id="761" w:name="_Toc296503204"/>
      <w:bookmarkStart w:id="762" w:name="_Toc312678030"/>
      <w:bookmarkStart w:id="763" w:name="_Toc303539152"/>
      <w:bookmarkStart w:id="764" w:name="_Toc296346705"/>
      <w:bookmarkStart w:id="765" w:name="_Toc297120504"/>
      <w:bookmarkStart w:id="766" w:name="_Toc304295571"/>
      <w:bookmarkStart w:id="767" w:name="_Toc296891032"/>
      <w:bookmarkStart w:id="768" w:name="_Toc292559914"/>
      <w:bookmarkStart w:id="769" w:name="_Toc297216205"/>
      <w:bookmarkStart w:id="770" w:name="_Toc296347203"/>
      <w:bookmarkStart w:id="771" w:name="_Toc312677504"/>
      <w:bookmarkStart w:id="772" w:name="_Toc296891244"/>
      <w:bookmarkStart w:id="773" w:name="_Toc297123546"/>
      <w:bookmarkStart w:id="774" w:name="_Toc296944543"/>
      <w:bookmarkStart w:id="775" w:name="_Toc292559409"/>
      <w:bookmarkStart w:id="776" w:name="_Toc300934995"/>
      <w:r>
        <w:rPr>
          <w:rFonts w:hint="eastAsia" w:hAnsi="宋体" w:cs="宋体"/>
          <w:color w:val="auto"/>
          <w:highlight w:val="none"/>
        </w:rPr>
        <w:t>包人提出的合理化建议降低了合同价格或者提高了工程经济效益的奖励的方法和金额为：</w:t>
      </w:r>
      <w:r>
        <w:rPr>
          <w:color w:val="auto"/>
          <w:highlight w:val="none"/>
          <w:u w:val="single"/>
        </w:rPr>
        <w:t xml:space="preserve"> </w:t>
      </w:r>
      <w:r>
        <w:rPr>
          <w:rFonts w:hint="eastAsia"/>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14:paraId="7117AEE6">
      <w:pPr>
        <w:pStyle w:val="4"/>
        <w:pageBreakBefore w:val="0"/>
        <w:widowControl w:val="0"/>
        <w:kinsoku/>
        <w:wordWrap/>
        <w:overflowPunct/>
        <w:topLinePunct w:val="0"/>
        <w:bidi w:val="0"/>
        <w:spacing w:before="0" w:after="0" w:line="360" w:lineRule="auto"/>
        <w:textAlignment w:val="auto"/>
        <w:rPr>
          <w:color w:val="auto"/>
          <w:highlight w:val="none"/>
        </w:rPr>
      </w:pPr>
      <w:bookmarkStart w:id="777" w:name="_Toc389065310"/>
      <w:bookmarkStart w:id="778" w:name="_Toc373227744"/>
      <w:bookmarkStart w:id="779" w:name="_Toc407135247"/>
      <w:bookmarkStart w:id="780" w:name="_Toc2045792355"/>
      <w:bookmarkStart w:id="781" w:name="_Toc373478391"/>
      <w:bookmarkStart w:id="782" w:name="_Toc78449833"/>
      <w:bookmarkStart w:id="783" w:name="_Toc21949"/>
      <w:r>
        <w:rPr>
          <w:color w:val="auto"/>
          <w:highlight w:val="none"/>
        </w:rPr>
        <w:t>1</w:t>
      </w:r>
      <w:bookmarkStart w:id="784" w:name="_Toc297048385"/>
      <w:bookmarkStart w:id="785" w:name="_Toc312677507"/>
      <w:bookmarkStart w:id="786" w:name="_Toc292559404"/>
      <w:bookmarkStart w:id="787" w:name="_Toc303539154"/>
      <w:bookmarkStart w:id="788" w:name="_Toc296891027"/>
      <w:bookmarkStart w:id="789" w:name="_Toc297216207"/>
      <w:bookmarkStart w:id="790" w:name="_Toc297123548"/>
      <w:bookmarkStart w:id="791" w:name="_Toc300934997"/>
      <w:bookmarkStart w:id="792" w:name="_Toc296944538"/>
      <w:bookmarkStart w:id="793" w:name="_Toc304295574"/>
      <w:bookmarkStart w:id="794" w:name="_Toc296347198"/>
      <w:bookmarkStart w:id="795" w:name="_Toc296346700"/>
      <w:bookmarkStart w:id="796" w:name="_Toc312678033"/>
      <w:bookmarkStart w:id="797" w:name="_Toc292559909"/>
      <w:bookmarkStart w:id="798" w:name="_Toc297120499"/>
      <w:bookmarkStart w:id="799" w:name="_Toc296891239"/>
      <w:bookmarkStart w:id="800" w:name="_Toc296503199"/>
      <w:r>
        <w:rPr>
          <w:color w:val="auto"/>
          <w:highlight w:val="none"/>
        </w:rPr>
        <w:t xml:space="preserve">0.7 </w:t>
      </w:r>
      <w:r>
        <w:rPr>
          <w:rFonts w:hint="eastAsia" w:hAnsi="宋体" w:cs="黑体"/>
          <w:color w:val="auto"/>
          <w:highlight w:val="none"/>
        </w:rPr>
        <w:t>暂估价</w:t>
      </w:r>
      <w:bookmarkEnd w:id="777"/>
      <w:bookmarkEnd w:id="778"/>
      <w:bookmarkEnd w:id="779"/>
      <w:bookmarkEnd w:id="780"/>
      <w:bookmarkEnd w:id="781"/>
      <w:bookmarkEnd w:id="782"/>
      <w:bookmarkEnd w:id="783"/>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14:paraId="785188B5">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kern w:val="0"/>
          <w:highlight w:val="none"/>
        </w:rPr>
        <w:t>暂</w:t>
      </w:r>
      <w:bookmarkStart w:id="801" w:name="_Toc312677508"/>
      <w:bookmarkStart w:id="802" w:name="_Toc312678034"/>
      <w:bookmarkStart w:id="803" w:name="_Toc318581176"/>
      <w:r>
        <w:rPr>
          <w:rFonts w:hint="eastAsia" w:hAnsi="宋体" w:cs="宋体"/>
          <w:color w:val="auto"/>
          <w:kern w:val="0"/>
          <w:highlight w:val="none"/>
        </w:rPr>
        <w:t>估价材料和工程设备的明细详见已标价工程量清单《</w:t>
      </w:r>
      <w:r>
        <w:rPr>
          <w:rFonts w:hint="eastAsia" w:cs="宋体"/>
          <w:color w:val="auto"/>
          <w:highlight w:val="none"/>
        </w:rPr>
        <w:t>材料（工程设备）暂估价格及调整表》</w:t>
      </w:r>
      <w:r>
        <w:rPr>
          <w:rFonts w:hint="eastAsia" w:hAnsi="宋体" w:cs="宋体"/>
          <w:color w:val="auto"/>
          <w:kern w:val="0"/>
          <w:highlight w:val="none"/>
        </w:rPr>
        <w:t>（表</w:t>
      </w:r>
      <w:r>
        <w:rPr>
          <w:rFonts w:hAnsi="宋体"/>
          <w:color w:val="auto"/>
          <w:kern w:val="0"/>
          <w:highlight w:val="none"/>
        </w:rPr>
        <w:t>12-2</w:t>
      </w:r>
      <w:r>
        <w:rPr>
          <w:rFonts w:hint="eastAsia" w:hAnsi="宋体" w:cs="宋体"/>
          <w:color w:val="auto"/>
          <w:kern w:val="0"/>
          <w:highlight w:val="none"/>
        </w:rPr>
        <w:t>）和《</w:t>
      </w:r>
      <w:r>
        <w:rPr>
          <w:rFonts w:hint="eastAsia" w:cs="宋体"/>
          <w:color w:val="auto"/>
          <w:highlight w:val="none"/>
        </w:rPr>
        <w:t>专业工程暂估价表》（</w:t>
      </w:r>
      <w:r>
        <w:rPr>
          <w:rFonts w:hint="eastAsia" w:hAnsi="宋体" w:cs="宋体"/>
          <w:color w:val="auto"/>
          <w:kern w:val="0"/>
          <w:highlight w:val="none"/>
        </w:rPr>
        <w:t>表</w:t>
      </w:r>
      <w:r>
        <w:rPr>
          <w:rFonts w:hAnsi="宋体"/>
          <w:color w:val="auto"/>
          <w:kern w:val="0"/>
          <w:highlight w:val="none"/>
        </w:rPr>
        <w:t>12-3</w:t>
      </w:r>
      <w:r>
        <w:rPr>
          <w:rFonts w:hint="eastAsia" w:hAnsi="宋体" w:cs="宋体"/>
          <w:color w:val="auto"/>
          <w:kern w:val="0"/>
          <w:highlight w:val="none"/>
        </w:rPr>
        <w:t>）。</w:t>
      </w:r>
    </w:p>
    <w:bookmarkEnd w:id="801"/>
    <w:bookmarkEnd w:id="802"/>
    <w:bookmarkEnd w:id="803"/>
    <w:p w14:paraId="1F28F70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w:t>
      </w:r>
      <w:bookmarkStart w:id="804" w:name="_Toc312677509"/>
      <w:bookmarkStart w:id="805" w:name="_Toc312678035"/>
      <w:bookmarkStart w:id="806" w:name="_Toc318581177"/>
      <w:r>
        <w:rPr>
          <w:color w:val="auto"/>
          <w:highlight w:val="none"/>
        </w:rPr>
        <w:t xml:space="preserve">0.7.1 </w:t>
      </w:r>
      <w:r>
        <w:rPr>
          <w:rFonts w:hint="eastAsia" w:hAnsi="宋体" w:cs="宋体"/>
          <w:color w:val="auto"/>
          <w:highlight w:val="none"/>
        </w:rPr>
        <w:t>依法必须招标的暂估价项目</w:t>
      </w:r>
    </w:p>
    <w:bookmarkEnd w:id="804"/>
    <w:bookmarkEnd w:id="805"/>
    <w:bookmarkEnd w:id="806"/>
    <w:p w14:paraId="51E7D93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对于依法必须招标的暂估价项目的确认和批准采取第</w:t>
      </w:r>
      <w:r>
        <w:rPr>
          <w:color w:val="auto"/>
          <w:highlight w:val="none"/>
          <w:u w:val="single"/>
        </w:rPr>
        <w:t xml:space="preserve">    </w:t>
      </w:r>
      <w:r>
        <w:rPr>
          <w:rFonts w:hint="eastAsia" w:hAnsi="宋体" w:cs="宋体"/>
          <w:color w:val="auto"/>
          <w:highlight w:val="none"/>
        </w:rPr>
        <w:t>种方式确定。</w:t>
      </w:r>
    </w:p>
    <w:p w14:paraId="3A52C4CB">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ascii="Times New Roman" w:hAnsi="宋体" w:eastAsia="宋体" w:cs="宋体"/>
          <w:color w:val="auto"/>
          <w:highlight w:val="none"/>
        </w:rPr>
        <w:t>第1种方式：对于依法必须招标的暂估价项目，由承包人招标，对该暂估价项目的确认和批准按照以下约定执行：</w:t>
      </w:r>
    </w:p>
    <w:p w14:paraId="6BD78962">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ascii="Times New Roman" w:hAnsi="宋体" w:eastAsia="宋体" w:cs="宋体"/>
          <w:color w:val="auto"/>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3C332F35">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ascii="Times New Roman" w:hAnsi="宋体" w:eastAsia="宋体" w:cs="宋体"/>
          <w:color w:val="auto"/>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35061AA0">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ascii="Times New Roman" w:hAnsi="宋体" w:eastAsia="宋体" w:cs="宋体"/>
          <w:color w:val="auto"/>
          <w:highlight w:val="none"/>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3D17394F">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ascii="Times New Roman" w:hAnsi="宋体" w:eastAsia="宋体" w:cs="宋体"/>
          <w:color w:val="auto"/>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74E0FE9C">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10.7.2 </w:t>
      </w:r>
      <w:r>
        <w:rPr>
          <w:rFonts w:hint="eastAsia" w:hAnsi="宋体" w:cs="宋体"/>
          <w:color w:val="auto"/>
          <w:highlight w:val="none"/>
        </w:rPr>
        <w:t>不属于依法必须招标的暂估价项目</w:t>
      </w:r>
    </w:p>
    <w:p w14:paraId="0383356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对于不属于依法必须招标的暂估价项目的确认和批准采取第</w:t>
      </w:r>
      <w:r>
        <w:rPr>
          <w:color w:val="auto"/>
          <w:highlight w:val="none"/>
          <w:u w:val="single"/>
        </w:rPr>
        <w:t xml:space="preserve">   </w:t>
      </w:r>
      <w:r>
        <w:rPr>
          <w:color w:val="auto"/>
          <w:highlight w:val="none"/>
        </w:rPr>
        <w:t xml:space="preserve"> </w:t>
      </w:r>
      <w:r>
        <w:rPr>
          <w:rFonts w:hint="eastAsia" w:hAnsi="宋体" w:cs="宋体"/>
          <w:color w:val="auto"/>
          <w:highlight w:val="none"/>
        </w:rPr>
        <w:t>种方式确定。</w:t>
      </w:r>
    </w:p>
    <w:p w14:paraId="412235BA">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highlight w:val="none"/>
        </w:rPr>
        <w:t>第</w:t>
      </w:r>
      <w:r>
        <w:rPr>
          <w:color w:val="auto"/>
          <w:highlight w:val="none"/>
        </w:rPr>
        <w:t>3</w:t>
      </w:r>
      <w:r>
        <w:rPr>
          <w:rFonts w:hint="eastAsia" w:hAnsi="宋体" w:cs="宋体"/>
          <w:color w:val="auto"/>
          <w:highlight w:val="none"/>
        </w:rPr>
        <w:t>种方式：</w:t>
      </w:r>
      <w:r>
        <w:rPr>
          <w:rFonts w:hint="eastAsia" w:hAnsi="宋体" w:cs="宋体"/>
          <w:color w:val="auto"/>
          <w:kern w:val="0"/>
          <w:highlight w:val="none"/>
        </w:rPr>
        <w:t>承包人直接实施的暂估价项目</w:t>
      </w:r>
    </w:p>
    <w:p w14:paraId="33AC4744">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承包人直接实施的暂估价项目的约定：</w:t>
      </w:r>
      <w:r>
        <w:rPr>
          <w:color w:val="auto"/>
          <w:highlight w:val="none"/>
          <w:u w:val="single"/>
        </w:rPr>
        <w:t xml:space="preserve">                     </w:t>
      </w:r>
      <w:r>
        <w:rPr>
          <w:rFonts w:hint="eastAsia" w:hAnsi="宋体" w:cs="宋体"/>
          <w:color w:val="auto"/>
          <w:highlight w:val="none"/>
        </w:rPr>
        <w:t>。</w:t>
      </w:r>
    </w:p>
    <w:p w14:paraId="5FF14730">
      <w:pPr>
        <w:pStyle w:val="4"/>
        <w:pageBreakBefore w:val="0"/>
        <w:widowControl w:val="0"/>
        <w:kinsoku/>
        <w:wordWrap/>
        <w:overflowPunct/>
        <w:topLinePunct w:val="0"/>
        <w:bidi w:val="0"/>
        <w:spacing w:before="0" w:after="0" w:line="360" w:lineRule="auto"/>
        <w:textAlignment w:val="auto"/>
        <w:rPr>
          <w:color w:val="auto"/>
          <w:highlight w:val="none"/>
        </w:rPr>
      </w:pPr>
      <w:bookmarkStart w:id="807" w:name="_Toc389065311"/>
      <w:bookmarkStart w:id="808" w:name="_Toc373478392"/>
      <w:bookmarkStart w:id="809" w:name="_Toc27163"/>
      <w:bookmarkStart w:id="810" w:name="_Toc407135248"/>
      <w:bookmarkStart w:id="811" w:name="_Toc78449834"/>
      <w:bookmarkStart w:id="812" w:name="_Toc373227745"/>
      <w:bookmarkStart w:id="813" w:name="_Toc2032108729"/>
      <w:r>
        <w:rPr>
          <w:color w:val="auto"/>
          <w:highlight w:val="none"/>
        </w:rPr>
        <w:t xml:space="preserve">10.8 </w:t>
      </w:r>
      <w:r>
        <w:rPr>
          <w:rFonts w:hint="eastAsia" w:hAnsi="宋体" w:cs="黑体"/>
          <w:color w:val="auto"/>
          <w:highlight w:val="none"/>
        </w:rPr>
        <w:t>暂列金额</w:t>
      </w:r>
      <w:bookmarkEnd w:id="807"/>
      <w:bookmarkEnd w:id="808"/>
      <w:bookmarkEnd w:id="809"/>
      <w:bookmarkEnd w:id="810"/>
      <w:bookmarkEnd w:id="811"/>
      <w:bookmarkEnd w:id="812"/>
      <w:bookmarkEnd w:id="813"/>
    </w:p>
    <w:p w14:paraId="090710F1">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合同当事人关于暂列金额使用的约定：</w:t>
      </w:r>
      <w:r>
        <w:rPr>
          <w:color w:val="auto"/>
          <w:highlight w:val="none"/>
          <w:u w:val="single"/>
        </w:rPr>
        <w:t xml:space="preserve"> </w:t>
      </w:r>
      <w:r>
        <w:rPr>
          <w:rFonts w:hint="eastAsia"/>
          <w:color w:val="auto"/>
          <w:highlight w:val="none"/>
          <w:u w:val="single"/>
        </w:rPr>
        <w:t>按照通用条款执行</w:t>
      </w:r>
      <w:r>
        <w:rPr>
          <w:color w:val="auto"/>
          <w:highlight w:val="none"/>
          <w:u w:val="single"/>
        </w:rPr>
        <w:t xml:space="preserve"> </w:t>
      </w:r>
      <w:r>
        <w:rPr>
          <w:rFonts w:hint="eastAsia" w:hAnsi="宋体" w:cs="宋体"/>
          <w:color w:val="auto"/>
          <w:kern w:val="0"/>
          <w:highlight w:val="none"/>
        </w:rPr>
        <w:t>。</w:t>
      </w:r>
    </w:p>
    <w:p w14:paraId="2F7B9AEB">
      <w:pPr>
        <w:pStyle w:val="3"/>
        <w:pageBreakBefore w:val="0"/>
        <w:widowControl w:val="0"/>
        <w:numPr>
          <w:ilvl w:val="0"/>
          <w:numId w:val="0"/>
        </w:numPr>
        <w:kinsoku/>
        <w:wordWrap/>
        <w:overflowPunct/>
        <w:topLinePunct w:val="0"/>
        <w:bidi w:val="0"/>
        <w:spacing w:before="0" w:after="0" w:line="360" w:lineRule="auto"/>
        <w:textAlignment w:val="auto"/>
        <w:rPr>
          <w:color w:val="auto"/>
          <w:highlight w:val="none"/>
        </w:rPr>
      </w:pPr>
      <w:bookmarkStart w:id="814" w:name="_Toc1190723452"/>
      <w:bookmarkStart w:id="815" w:name="_Toc78449835"/>
      <w:bookmarkStart w:id="816" w:name="_Toc16150"/>
      <w:bookmarkStart w:id="817" w:name="_Toc373478393"/>
      <w:bookmarkStart w:id="818" w:name="_Toc389065312"/>
      <w:bookmarkStart w:id="819" w:name="_Toc373227746"/>
      <w:bookmarkStart w:id="820" w:name="_Toc407135249"/>
      <w:bookmarkStart w:id="821" w:name="_Toc351203643"/>
      <w:r>
        <w:rPr>
          <w:rFonts w:ascii="Cambria" w:hAnsi="Cambria"/>
          <w:b/>
          <w:bCs/>
          <w:color w:val="auto"/>
          <w:kern w:val="2"/>
          <w:sz w:val="32"/>
          <w:szCs w:val="32"/>
          <w:highlight w:val="none"/>
          <w:lang w:val="en-US" w:eastAsia="zh-CN" w:bidi="ar-SA"/>
        </w:rPr>
        <w:t>11.</w:t>
      </w:r>
      <w:r>
        <w:rPr>
          <w:rFonts w:hint="eastAsia" w:hAnsi="宋体" w:cs="黑体"/>
          <w:color w:val="auto"/>
          <w:highlight w:val="none"/>
        </w:rPr>
        <w:t>价格调整</w:t>
      </w:r>
      <w:bookmarkEnd w:id="814"/>
      <w:bookmarkEnd w:id="815"/>
      <w:bookmarkEnd w:id="816"/>
      <w:bookmarkEnd w:id="817"/>
      <w:bookmarkEnd w:id="818"/>
      <w:bookmarkEnd w:id="819"/>
      <w:bookmarkEnd w:id="820"/>
      <w:bookmarkEnd w:id="821"/>
    </w:p>
    <w:p w14:paraId="1D986340">
      <w:pPr>
        <w:pStyle w:val="4"/>
        <w:pageBreakBefore w:val="0"/>
        <w:widowControl w:val="0"/>
        <w:kinsoku/>
        <w:wordWrap/>
        <w:overflowPunct/>
        <w:topLinePunct w:val="0"/>
        <w:bidi w:val="0"/>
        <w:spacing w:before="0" w:after="0" w:line="360" w:lineRule="auto"/>
        <w:textAlignment w:val="auto"/>
        <w:rPr>
          <w:color w:val="auto"/>
          <w:highlight w:val="none"/>
        </w:rPr>
      </w:pPr>
      <w:bookmarkStart w:id="822" w:name="_Toc373478394"/>
      <w:bookmarkStart w:id="823" w:name="_Toc389065313"/>
      <w:bookmarkStart w:id="824" w:name="_Toc1501386015"/>
      <w:bookmarkStart w:id="825" w:name="_Toc373227747"/>
      <w:bookmarkStart w:id="826" w:name="_Toc78449836"/>
      <w:bookmarkStart w:id="827" w:name="_Toc13012"/>
      <w:bookmarkStart w:id="828" w:name="_Toc407135250"/>
      <w:bookmarkStart w:id="829" w:name="_Toc304295577"/>
      <w:bookmarkStart w:id="830" w:name="_Toc292559911"/>
      <w:bookmarkStart w:id="831" w:name="_Toc303539157"/>
      <w:bookmarkStart w:id="832" w:name="_Toc296891241"/>
      <w:bookmarkStart w:id="833" w:name="_Toc296891029"/>
      <w:bookmarkStart w:id="834" w:name="_Toc297048387"/>
      <w:bookmarkStart w:id="835" w:name="_Toc297123550"/>
      <w:bookmarkStart w:id="836" w:name="_Toc296346702"/>
      <w:bookmarkStart w:id="837" w:name="_Toc297216209"/>
      <w:bookmarkStart w:id="838" w:name="_Toc312678039"/>
      <w:bookmarkStart w:id="839" w:name="_Toc297120501"/>
      <w:bookmarkStart w:id="840" w:name="_Toc292559406"/>
      <w:bookmarkStart w:id="841" w:name="_Toc296944540"/>
      <w:bookmarkStart w:id="842" w:name="_Toc300935000"/>
      <w:bookmarkStart w:id="843" w:name="_Toc296347200"/>
      <w:bookmarkStart w:id="844" w:name="_Toc296503201"/>
      <w:r>
        <w:rPr>
          <w:color w:val="auto"/>
          <w:highlight w:val="none"/>
        </w:rPr>
        <w:t xml:space="preserve">11.1 </w:t>
      </w:r>
      <w:r>
        <w:rPr>
          <w:rFonts w:hint="eastAsia" w:cs="黑体"/>
          <w:color w:val="auto"/>
          <w:highlight w:val="none"/>
        </w:rPr>
        <w:t>市场价格波动引起的调整</w:t>
      </w:r>
      <w:bookmarkEnd w:id="822"/>
      <w:bookmarkEnd w:id="823"/>
      <w:bookmarkEnd w:id="824"/>
      <w:bookmarkEnd w:id="825"/>
      <w:bookmarkEnd w:id="826"/>
      <w:bookmarkEnd w:id="827"/>
      <w:bookmarkEnd w:id="828"/>
    </w:p>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14:paraId="66A69205">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kern w:val="0"/>
          <w:highlight w:val="none"/>
        </w:rPr>
        <w:t>市场价格波动是否调整合同价格的约定：</w:t>
      </w:r>
      <w:r>
        <w:rPr>
          <w:rFonts w:hint="eastAsia"/>
          <w:color w:val="auto"/>
          <w:highlight w:val="none"/>
          <w:u w:val="single"/>
          <w:lang w:val="en-US" w:eastAsia="zh-CN"/>
        </w:rPr>
        <w:t>不调整</w:t>
      </w:r>
      <w:r>
        <w:rPr>
          <w:rFonts w:hint="eastAsia" w:hAnsi="宋体" w:cs="宋体"/>
          <w:color w:val="auto"/>
          <w:highlight w:val="none"/>
        </w:rPr>
        <w:t>。</w:t>
      </w:r>
    </w:p>
    <w:p w14:paraId="23AC3EF8">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因市场价格波动调整合同价格，采用以下第</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种方式对合同价格进行调整：</w:t>
      </w:r>
    </w:p>
    <w:p w14:paraId="67951A1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第</w:t>
      </w:r>
      <w:r>
        <w:rPr>
          <w:color w:val="auto"/>
          <w:highlight w:val="none"/>
        </w:rPr>
        <w:t>1</w:t>
      </w:r>
      <w:r>
        <w:rPr>
          <w:rFonts w:hint="eastAsia" w:hAnsi="宋体" w:cs="宋体"/>
          <w:color w:val="auto"/>
          <w:highlight w:val="none"/>
        </w:rPr>
        <w:t>种方式：采用价格指数进行价格调整。</w:t>
      </w:r>
    </w:p>
    <w:p w14:paraId="1F101204">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关于各可调因子、定值和变值权重，以及基本价格指数及其来源的约定：</w:t>
      </w:r>
      <w:r>
        <w:rPr>
          <w:color w:val="auto"/>
          <w:highlight w:val="none"/>
          <w:u w:val="single"/>
        </w:rPr>
        <w:t xml:space="preserve">                </w:t>
      </w:r>
      <w:r>
        <w:rPr>
          <w:rFonts w:hint="eastAsia" w:hAnsi="宋体" w:cs="宋体"/>
          <w:color w:val="auto"/>
          <w:highlight w:val="none"/>
        </w:rPr>
        <w:t>；</w:t>
      </w:r>
      <w:r>
        <w:rPr>
          <w:color w:val="auto"/>
          <w:highlight w:val="none"/>
        </w:rPr>
        <w:t xml:space="preserve">  </w:t>
      </w:r>
    </w:p>
    <w:p w14:paraId="679B0103">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第</w:t>
      </w:r>
      <w:r>
        <w:rPr>
          <w:color w:val="auto"/>
          <w:highlight w:val="none"/>
        </w:rPr>
        <w:t>2</w:t>
      </w:r>
      <w:r>
        <w:rPr>
          <w:rFonts w:hint="eastAsia" w:hAnsi="宋体" w:cs="宋体"/>
          <w:color w:val="auto"/>
          <w:highlight w:val="none"/>
        </w:rPr>
        <w:t>种方式：采用造价信息进行价格调整。</w:t>
      </w:r>
    </w:p>
    <w:p w14:paraId="79581896">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）允许调整主要材料和</w:t>
      </w:r>
      <w:r>
        <w:rPr>
          <w:rFonts w:hint="default" w:hAnsi="宋体" w:cs="宋体"/>
          <w:color w:val="auto"/>
          <w:highlight w:val="none"/>
          <w:lang w:val="en"/>
        </w:rPr>
        <w:t>工程</w:t>
      </w:r>
      <w:r>
        <w:rPr>
          <w:rFonts w:hint="eastAsia" w:hAnsi="宋体" w:cs="宋体"/>
          <w:color w:val="auto"/>
          <w:highlight w:val="none"/>
        </w:rPr>
        <w:t>设备、基期价格、风险系数、投标报价详见《</w:t>
      </w:r>
      <w:r>
        <w:rPr>
          <w:rFonts w:hint="default" w:hAnsi="宋体" w:cs="宋体"/>
          <w:color w:val="auto"/>
          <w:highlight w:val="none"/>
          <w:lang w:val="en" w:eastAsia="zh-CN"/>
        </w:rPr>
        <w:t>允许调整</w:t>
      </w:r>
      <w:r>
        <w:rPr>
          <w:rFonts w:hint="eastAsia" w:hAnsi="宋体" w:cs="宋体"/>
          <w:color w:val="auto"/>
          <w:highlight w:val="none"/>
        </w:rPr>
        <w:t>主要材料和</w:t>
      </w:r>
      <w:r>
        <w:rPr>
          <w:rFonts w:hint="default" w:hAnsi="宋体" w:cs="宋体"/>
          <w:color w:val="auto"/>
          <w:highlight w:val="none"/>
          <w:lang w:val="en"/>
        </w:rPr>
        <w:t>工程</w:t>
      </w:r>
      <w:r>
        <w:rPr>
          <w:rFonts w:hint="eastAsia" w:hAnsi="宋体" w:cs="宋体"/>
          <w:color w:val="auto"/>
          <w:highlight w:val="none"/>
        </w:rPr>
        <w:t>设备一览表》</w:t>
      </w:r>
      <w:r>
        <w:rPr>
          <w:rFonts w:hint="eastAsia" w:ascii="宋体" w:hAnsi="宋体"/>
          <w:color w:val="auto"/>
          <w:kern w:val="0"/>
          <w:sz w:val="20"/>
          <w:highlight w:val="none"/>
        </w:rPr>
        <w:t>（表</w:t>
      </w:r>
      <w:r>
        <w:rPr>
          <w:rFonts w:ascii="宋体" w:hAnsi="宋体"/>
          <w:color w:val="auto"/>
          <w:kern w:val="0"/>
          <w:sz w:val="20"/>
          <w:highlight w:val="none"/>
        </w:rPr>
        <w:t>-22</w:t>
      </w:r>
      <w:r>
        <w:rPr>
          <w:rFonts w:hint="eastAsia" w:ascii="宋体" w:hAnsi="宋体"/>
          <w:color w:val="auto"/>
          <w:kern w:val="0"/>
          <w:sz w:val="20"/>
          <w:highlight w:val="none"/>
        </w:rPr>
        <w:t>）</w:t>
      </w:r>
      <w:r>
        <w:rPr>
          <w:rFonts w:hint="eastAsia" w:hAnsi="宋体" w:cs="宋体"/>
          <w:color w:val="auto"/>
          <w:highlight w:val="none"/>
          <w:lang w:eastAsia="zh-CN"/>
        </w:rPr>
        <w:t>，</w:t>
      </w:r>
      <w:r>
        <w:rPr>
          <w:rFonts w:hint="eastAsia" w:hAnsi="宋体" w:cs="宋体"/>
          <w:color w:val="auto"/>
          <w:highlight w:val="none"/>
        </w:rPr>
        <w:t>价</w:t>
      </w:r>
      <w:r>
        <w:rPr>
          <w:rFonts w:hAnsi="宋体" w:cs="宋体"/>
          <w:color w:val="auto"/>
          <w:highlight w:val="none"/>
        </w:rPr>
        <w:t>差</w:t>
      </w:r>
      <w:r>
        <w:rPr>
          <w:rFonts w:hint="eastAsia" w:ascii="Calibri" w:hAnsi="宋体" w:cs="宋体"/>
          <w:color w:val="auto"/>
          <w:highlight w:val="none"/>
        </w:rPr>
        <w:t>调整部分仅计算税金，除此表列明的材料、设备外，其余材料设备价差原则上不予调整。</w:t>
      </w:r>
    </w:p>
    <w:p w14:paraId="2E0F1C82">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）主要材料和</w:t>
      </w:r>
      <w:r>
        <w:rPr>
          <w:rFonts w:hint="default" w:hAnsi="宋体" w:cs="宋体"/>
          <w:color w:val="auto"/>
          <w:highlight w:val="none"/>
          <w:lang w:val="en"/>
        </w:rPr>
        <w:t>工程</w:t>
      </w:r>
      <w:r>
        <w:rPr>
          <w:rFonts w:hint="eastAsia" w:hAnsi="宋体" w:cs="宋体"/>
          <w:color w:val="auto"/>
          <w:highlight w:val="none"/>
        </w:rPr>
        <w:t>设备确认价：</w:t>
      </w:r>
    </w:p>
    <w:p w14:paraId="11C07BB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按施工期间《</w:t>
      </w:r>
      <w:r>
        <w:rPr>
          <w:color w:val="auto"/>
          <w:highlight w:val="none"/>
          <w:u w:val="single"/>
        </w:rPr>
        <w:t xml:space="preserve">  </w:t>
      </w:r>
      <w:r>
        <w:rPr>
          <w:rFonts w:hint="eastAsia"/>
          <w:color w:val="auto"/>
          <w:highlight w:val="none"/>
          <w:u w:val="single"/>
          <w:lang w:val="en-US" w:eastAsia="zh-CN"/>
        </w:rPr>
        <w:t xml:space="preserve">北海 </w:t>
      </w:r>
      <w:r>
        <w:rPr>
          <w:color w:val="auto"/>
          <w:highlight w:val="none"/>
          <w:u w:val="single"/>
        </w:rPr>
        <w:t xml:space="preserve"> </w:t>
      </w:r>
      <w:r>
        <w:rPr>
          <w:rFonts w:hint="eastAsia" w:hAnsi="宋体" w:cs="宋体"/>
          <w:color w:val="auto"/>
          <w:highlight w:val="none"/>
        </w:rPr>
        <w:t>市建设工程造价信息》材料信息价的加权平均价计算，信息价没有的按通用条款规定确定。</w:t>
      </w:r>
    </w:p>
    <w:p w14:paraId="3C352349">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w:t>
      </w:r>
      <w:r>
        <w:rPr>
          <w:color w:val="auto"/>
          <w:highlight w:val="none"/>
        </w:rPr>
        <w:t>3</w:t>
      </w:r>
      <w:r>
        <w:rPr>
          <w:rFonts w:hint="eastAsia" w:hAnsi="宋体" w:cs="宋体"/>
          <w:color w:val="auto"/>
          <w:highlight w:val="none"/>
        </w:rPr>
        <w:t>）价差计算方法：</w:t>
      </w:r>
    </w:p>
    <w:p w14:paraId="09E332DA">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①《</w:t>
      </w:r>
      <w:r>
        <w:rPr>
          <w:rFonts w:hint="default" w:hAnsi="宋体" w:cs="宋体"/>
          <w:color w:val="auto"/>
          <w:highlight w:val="none"/>
          <w:lang w:val="en" w:eastAsia="zh-CN"/>
        </w:rPr>
        <w:t>允许调整</w:t>
      </w:r>
      <w:r>
        <w:rPr>
          <w:rFonts w:hint="eastAsia" w:hAnsi="宋体" w:cs="宋体"/>
          <w:color w:val="auto"/>
          <w:highlight w:val="none"/>
        </w:rPr>
        <w:t>主要材料和</w:t>
      </w:r>
      <w:r>
        <w:rPr>
          <w:rFonts w:hint="eastAsia" w:hAnsi="宋体" w:cs="宋体"/>
          <w:color w:val="auto"/>
          <w:highlight w:val="none"/>
          <w:lang w:eastAsia="zh-CN"/>
        </w:rPr>
        <w:t>工程</w:t>
      </w:r>
      <w:r>
        <w:rPr>
          <w:rFonts w:hint="eastAsia" w:hAnsi="宋体" w:cs="宋体"/>
          <w:color w:val="auto"/>
          <w:highlight w:val="none"/>
        </w:rPr>
        <w:t>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1774B125">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②承包人在《</w:t>
      </w:r>
      <w:r>
        <w:rPr>
          <w:rFonts w:hint="default" w:hAnsi="宋体" w:cs="宋体"/>
          <w:color w:val="auto"/>
          <w:highlight w:val="none"/>
          <w:lang w:val="en" w:eastAsia="zh-CN"/>
        </w:rPr>
        <w:t>允许调整</w:t>
      </w:r>
      <w:r>
        <w:rPr>
          <w:rFonts w:hint="eastAsia" w:hAnsi="宋体" w:cs="宋体"/>
          <w:color w:val="auto"/>
          <w:highlight w:val="none"/>
        </w:rPr>
        <w:t>主要材料和</w:t>
      </w:r>
      <w:r>
        <w:rPr>
          <w:rFonts w:hint="eastAsia" w:hAnsi="宋体" w:cs="宋体"/>
          <w:color w:val="auto"/>
          <w:highlight w:val="none"/>
          <w:lang w:eastAsia="zh-CN"/>
        </w:rPr>
        <w:t>工程</w:t>
      </w:r>
      <w:r>
        <w:rPr>
          <w:rFonts w:hint="eastAsia" w:hAnsi="宋体" w:cs="宋体"/>
          <w:color w:val="auto"/>
          <w:highlight w:val="none"/>
        </w:rPr>
        <w:t>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54CF30D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③承包人在《</w:t>
      </w:r>
      <w:r>
        <w:rPr>
          <w:rFonts w:hint="default" w:hAnsi="宋体" w:cs="宋体"/>
          <w:color w:val="auto"/>
          <w:highlight w:val="none"/>
          <w:lang w:val="en" w:eastAsia="zh-CN"/>
        </w:rPr>
        <w:t>允许调整</w:t>
      </w:r>
      <w:r>
        <w:rPr>
          <w:rFonts w:hint="eastAsia" w:hAnsi="宋体" w:cs="宋体"/>
          <w:color w:val="auto"/>
          <w:highlight w:val="none"/>
        </w:rPr>
        <w:t>主要材料和</w:t>
      </w:r>
      <w:r>
        <w:rPr>
          <w:rFonts w:hint="eastAsia" w:hAnsi="宋体" w:cs="宋体"/>
          <w:color w:val="auto"/>
          <w:highlight w:val="none"/>
          <w:lang w:eastAsia="zh-CN"/>
        </w:rPr>
        <w:t>工程</w:t>
      </w:r>
      <w:r>
        <w:rPr>
          <w:rFonts w:hint="eastAsia" w:hAnsi="宋体" w:cs="宋体"/>
          <w:color w:val="auto"/>
          <w:highlight w:val="none"/>
        </w:rPr>
        <w:t>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19C2FFEA">
      <w:pPr>
        <w:pageBreakBefore w:val="0"/>
        <w:widowControl w:val="0"/>
        <w:kinsoku/>
        <w:wordWrap/>
        <w:overflowPunct/>
        <w:topLinePunct w:val="0"/>
        <w:bidi w:val="0"/>
        <w:spacing w:line="360" w:lineRule="auto"/>
        <w:ind w:firstLine="645"/>
        <w:jc w:val="left"/>
        <w:textAlignment w:val="auto"/>
        <w:rPr>
          <w:color w:val="auto"/>
          <w:highlight w:val="none"/>
        </w:rPr>
      </w:pPr>
      <w:r>
        <w:rPr>
          <w:rFonts w:hint="eastAsia" w:hAnsi="宋体" w:cs="宋体"/>
          <w:color w:val="auto"/>
          <w:highlight w:val="none"/>
        </w:rPr>
        <w:t>第</w:t>
      </w:r>
      <w:r>
        <w:rPr>
          <w:rFonts w:hAnsi="宋体"/>
          <w:color w:val="auto"/>
          <w:highlight w:val="none"/>
        </w:rPr>
        <w:t>3</w:t>
      </w:r>
      <w:r>
        <w:rPr>
          <w:rFonts w:hint="eastAsia" w:hAnsi="宋体" w:cs="宋体"/>
          <w:color w:val="auto"/>
          <w:highlight w:val="none"/>
        </w:rPr>
        <w:t>种方式：</w:t>
      </w:r>
      <w:r>
        <w:rPr>
          <w:color w:val="auto"/>
          <w:highlight w:val="none"/>
          <w:u w:val="single"/>
        </w:rPr>
        <w:t xml:space="preserve">                                                            </w:t>
      </w:r>
      <w:r>
        <w:rPr>
          <w:color w:val="auto"/>
          <w:highlight w:val="none"/>
        </w:rPr>
        <w:t xml:space="preserve"> </w:t>
      </w:r>
      <w:r>
        <w:rPr>
          <w:rFonts w:hint="eastAsia" w:cs="宋体"/>
          <w:color w:val="auto"/>
          <w:highlight w:val="none"/>
        </w:rPr>
        <w:t>。</w:t>
      </w:r>
    </w:p>
    <w:bookmarkEnd w:id="675"/>
    <w:bookmarkEnd w:id="676"/>
    <w:bookmarkEnd w:id="677"/>
    <w:bookmarkEnd w:id="678"/>
    <w:bookmarkEnd w:id="679"/>
    <w:bookmarkEnd w:id="680"/>
    <w:p w14:paraId="4F682C56">
      <w:pPr>
        <w:pStyle w:val="3"/>
        <w:pageBreakBefore w:val="0"/>
        <w:widowControl w:val="0"/>
        <w:kinsoku/>
        <w:wordWrap/>
        <w:overflowPunct/>
        <w:topLinePunct w:val="0"/>
        <w:bidi w:val="0"/>
        <w:spacing w:before="0" w:after="0" w:line="360" w:lineRule="auto"/>
        <w:textAlignment w:val="auto"/>
        <w:rPr>
          <w:color w:val="auto"/>
          <w:highlight w:val="none"/>
        </w:rPr>
      </w:pPr>
      <w:bookmarkStart w:id="845" w:name="_Toc296347204"/>
      <w:bookmarkStart w:id="846" w:name="_Toc296944544"/>
      <w:bookmarkStart w:id="847" w:name="_Toc296346706"/>
      <w:bookmarkStart w:id="848" w:name="_Toc296503205"/>
      <w:bookmarkStart w:id="849" w:name="_Toc297048391"/>
      <w:bookmarkStart w:id="850" w:name="_Toc297120505"/>
      <w:bookmarkStart w:id="851" w:name="_Toc292559410"/>
      <w:bookmarkStart w:id="852" w:name="_Toc292559915"/>
      <w:bookmarkStart w:id="853" w:name="_Toc296891245"/>
      <w:bookmarkStart w:id="854" w:name="_Toc296891033"/>
      <w:bookmarkStart w:id="855" w:name="_Toc351203644"/>
      <w:bookmarkStart w:id="856" w:name="_Toc407135251"/>
      <w:bookmarkStart w:id="857" w:name="_Toc373478395"/>
      <w:bookmarkStart w:id="858" w:name="_Toc17594"/>
      <w:bookmarkStart w:id="859" w:name="_Toc373227748"/>
      <w:bookmarkStart w:id="860" w:name="_Toc1720046426"/>
      <w:bookmarkStart w:id="861" w:name="_Toc78449837"/>
      <w:bookmarkStart w:id="862" w:name="_Toc297216211"/>
      <w:bookmarkStart w:id="863" w:name="_Toc303539159"/>
      <w:bookmarkStart w:id="864" w:name="_Toc297123552"/>
      <w:bookmarkStart w:id="865" w:name="_Toc304295579"/>
      <w:bookmarkStart w:id="866" w:name="_Toc300935002"/>
      <w:bookmarkStart w:id="867" w:name="_Toc312678040"/>
      <w:r>
        <w:rPr>
          <w:color w:val="auto"/>
          <w:highlight w:val="none"/>
        </w:rPr>
        <w:t xml:space="preserve">12. </w:t>
      </w:r>
      <w:bookmarkEnd w:id="845"/>
      <w:bookmarkEnd w:id="846"/>
      <w:bookmarkEnd w:id="847"/>
      <w:bookmarkEnd w:id="848"/>
      <w:bookmarkEnd w:id="849"/>
      <w:bookmarkEnd w:id="850"/>
      <w:bookmarkEnd w:id="851"/>
      <w:bookmarkEnd w:id="852"/>
      <w:bookmarkEnd w:id="853"/>
      <w:bookmarkEnd w:id="854"/>
      <w:r>
        <w:rPr>
          <w:rFonts w:hint="eastAsia" w:cs="黑体"/>
          <w:color w:val="auto"/>
          <w:highlight w:val="none"/>
        </w:rPr>
        <w:t>合同价格、计量与支付</w:t>
      </w:r>
      <w:bookmarkEnd w:id="855"/>
      <w:bookmarkEnd w:id="856"/>
      <w:bookmarkEnd w:id="857"/>
      <w:bookmarkEnd w:id="858"/>
      <w:bookmarkEnd w:id="859"/>
      <w:bookmarkEnd w:id="860"/>
      <w:bookmarkEnd w:id="861"/>
    </w:p>
    <w:bookmarkEnd w:id="862"/>
    <w:bookmarkEnd w:id="863"/>
    <w:bookmarkEnd w:id="864"/>
    <w:bookmarkEnd w:id="865"/>
    <w:bookmarkEnd w:id="866"/>
    <w:bookmarkEnd w:id="867"/>
    <w:p w14:paraId="4822D1C0">
      <w:pPr>
        <w:pStyle w:val="4"/>
        <w:pageBreakBefore w:val="0"/>
        <w:widowControl w:val="0"/>
        <w:kinsoku/>
        <w:wordWrap/>
        <w:overflowPunct/>
        <w:topLinePunct w:val="0"/>
        <w:bidi w:val="0"/>
        <w:spacing w:before="0" w:after="0" w:line="360" w:lineRule="auto"/>
        <w:textAlignment w:val="auto"/>
        <w:rPr>
          <w:color w:val="auto"/>
          <w:highlight w:val="none"/>
        </w:rPr>
      </w:pPr>
      <w:bookmarkStart w:id="868" w:name="_Toc267251461"/>
      <w:bookmarkStart w:id="869" w:name="_Toc292559916"/>
      <w:bookmarkStart w:id="870" w:name="_Toc292559411"/>
      <w:bookmarkStart w:id="871" w:name="_Toc296503206"/>
      <w:bookmarkStart w:id="872" w:name="_Toc296347205"/>
      <w:bookmarkStart w:id="873" w:name="_Toc296891246"/>
      <w:bookmarkStart w:id="874" w:name="_Toc296944545"/>
      <w:bookmarkStart w:id="875" w:name="_Toc296346707"/>
      <w:bookmarkStart w:id="876" w:name="_Toc296891034"/>
      <w:bookmarkStart w:id="877" w:name="_Toc297048392"/>
      <w:bookmarkStart w:id="878" w:name="_Toc297120506"/>
      <w:bookmarkStart w:id="879" w:name="_Toc407135252"/>
      <w:bookmarkStart w:id="880" w:name="_Toc78449838"/>
      <w:bookmarkStart w:id="881" w:name="_Toc14358"/>
      <w:bookmarkStart w:id="882" w:name="_Toc389065314"/>
      <w:bookmarkStart w:id="883" w:name="_Toc373478396"/>
      <w:bookmarkStart w:id="884" w:name="_Toc1894565429"/>
      <w:bookmarkStart w:id="885" w:name="_Toc373227749"/>
      <w:bookmarkStart w:id="886" w:name="_Toc304295580"/>
      <w:bookmarkStart w:id="887" w:name="_Toc303539160"/>
      <w:bookmarkStart w:id="888" w:name="_Toc300935003"/>
      <w:bookmarkStart w:id="889" w:name="_Toc312678041"/>
      <w:bookmarkStart w:id="890" w:name="_Toc297123553"/>
      <w:bookmarkStart w:id="891" w:name="_Toc297216212"/>
      <w:r>
        <w:rPr>
          <w:color w:val="auto"/>
          <w:highlight w:val="none"/>
        </w:rPr>
        <w:t xml:space="preserve">12.1 </w:t>
      </w:r>
      <w:r>
        <w:rPr>
          <w:rFonts w:hint="eastAsia" w:hAnsi="宋体" w:cs="黑体"/>
          <w:color w:val="auto"/>
          <w:highlight w:val="none"/>
        </w:rPr>
        <w:t>合</w:t>
      </w:r>
      <w:bookmarkEnd w:id="868"/>
      <w:bookmarkEnd w:id="869"/>
      <w:bookmarkEnd w:id="870"/>
      <w:r>
        <w:rPr>
          <w:rFonts w:hint="eastAsia" w:hAnsi="宋体" w:cs="黑体"/>
          <w:color w:val="auto"/>
          <w:highlight w:val="none"/>
        </w:rPr>
        <w:t>同价</w:t>
      </w:r>
      <w:bookmarkEnd w:id="871"/>
      <w:bookmarkEnd w:id="872"/>
      <w:bookmarkEnd w:id="873"/>
      <w:bookmarkEnd w:id="874"/>
      <w:bookmarkEnd w:id="875"/>
      <w:bookmarkEnd w:id="876"/>
      <w:bookmarkEnd w:id="877"/>
      <w:bookmarkEnd w:id="878"/>
      <w:r>
        <w:rPr>
          <w:rFonts w:hint="eastAsia" w:hAnsi="宋体" w:cs="黑体"/>
          <w:color w:val="auto"/>
          <w:highlight w:val="none"/>
        </w:rPr>
        <w:t>格形式</w:t>
      </w:r>
      <w:bookmarkEnd w:id="879"/>
      <w:bookmarkEnd w:id="880"/>
      <w:bookmarkEnd w:id="881"/>
      <w:bookmarkEnd w:id="882"/>
      <w:bookmarkEnd w:id="883"/>
      <w:bookmarkEnd w:id="884"/>
      <w:bookmarkEnd w:id="885"/>
    </w:p>
    <w:bookmarkEnd w:id="886"/>
    <w:bookmarkEnd w:id="887"/>
    <w:bookmarkEnd w:id="888"/>
    <w:bookmarkEnd w:id="889"/>
    <w:bookmarkEnd w:id="890"/>
    <w:bookmarkEnd w:id="891"/>
    <w:p w14:paraId="0AAF842B">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bookmarkStart w:id="892" w:name="_Toc389065315"/>
      <w:bookmarkStart w:id="893" w:name="_Toc373227750"/>
      <w:bookmarkStart w:id="894" w:name="_Toc373478397"/>
      <w:bookmarkStart w:id="895" w:name="_Toc297216213"/>
      <w:bookmarkStart w:id="896" w:name="_Toc303539161"/>
      <w:bookmarkStart w:id="897" w:name="_Toc300935004"/>
      <w:bookmarkStart w:id="898" w:name="_Toc312678042"/>
      <w:bookmarkStart w:id="899" w:name="_Toc297123554"/>
      <w:bookmarkStart w:id="900" w:name="_Toc304295581"/>
      <w:bookmarkStart w:id="901" w:name="_Toc292559412"/>
      <w:bookmarkStart w:id="902" w:name="_Toc296891035"/>
      <w:bookmarkStart w:id="903" w:name="_Toc297048393"/>
      <w:bookmarkStart w:id="904" w:name="_Toc296944546"/>
      <w:bookmarkStart w:id="905" w:name="_Toc296346708"/>
      <w:bookmarkStart w:id="906" w:name="_Toc297120507"/>
      <w:bookmarkStart w:id="907" w:name="_Toc292559917"/>
      <w:bookmarkStart w:id="908" w:name="_Toc296347206"/>
      <w:bookmarkStart w:id="909" w:name="_Toc296891247"/>
      <w:bookmarkStart w:id="910" w:name="_Toc296503207"/>
      <w:r>
        <w:rPr>
          <w:rFonts w:hint="eastAsia" w:hAnsi="宋体" w:cs="宋体"/>
          <w:color w:val="auto"/>
          <w:highlight w:val="none"/>
        </w:rPr>
        <w:t>本工程采用</w:t>
      </w:r>
      <w:r>
        <w:rPr>
          <w:rFonts w:hAnsi="宋体"/>
          <w:color w:val="auto"/>
          <w:highlight w:val="none"/>
          <w:u w:val="single"/>
        </w:rPr>
        <w:t xml:space="preserve"> </w:t>
      </w:r>
      <w:r>
        <w:rPr>
          <w:rFonts w:hint="eastAsia" w:hAnsi="宋体"/>
          <w:color w:val="auto"/>
          <w:highlight w:val="none"/>
          <w:u w:val="single"/>
        </w:rPr>
        <w:t>固定综合单价</w:t>
      </w:r>
      <w:r>
        <w:rPr>
          <w:rFonts w:hAnsi="宋体"/>
          <w:color w:val="auto"/>
          <w:highlight w:val="none"/>
          <w:u w:val="single"/>
        </w:rPr>
        <w:t xml:space="preserve"> </w:t>
      </w:r>
      <w:r>
        <w:rPr>
          <w:rFonts w:hint="eastAsia" w:hAnsi="宋体" w:cs="宋体"/>
          <w:color w:val="auto"/>
          <w:highlight w:val="none"/>
        </w:rPr>
        <w:t>合同价格形式，合同价格包含增值税，本工程计价时采用的增值税计税方法为：</w:t>
      </w:r>
      <w:r>
        <w:rPr>
          <w:rFonts w:hint="eastAsia" w:ascii="宋体" w:hAnsi="宋体" w:cs="宋体"/>
          <w:color w:val="auto"/>
          <w:highlight w:val="none"/>
          <w:lang w:eastAsia="zh-CN"/>
        </w:rPr>
        <w:t>☑</w:t>
      </w:r>
      <w:r>
        <w:rPr>
          <w:rFonts w:hint="eastAsia" w:hAnsi="宋体" w:cs="宋体"/>
          <w:color w:val="auto"/>
          <w:highlight w:val="none"/>
        </w:rPr>
        <w:t xml:space="preserve">一般计税法   </w:t>
      </w:r>
      <w:r>
        <w:rPr>
          <w:rFonts w:hint="eastAsia" w:ascii="宋体" w:hAnsi="宋体" w:cs="宋体"/>
          <w:color w:val="auto"/>
          <w:highlight w:val="none"/>
        </w:rPr>
        <w:t>□</w:t>
      </w:r>
      <w:r>
        <w:rPr>
          <w:rFonts w:hint="eastAsia" w:hAnsi="宋体" w:cs="宋体"/>
          <w:color w:val="auto"/>
          <w:highlight w:val="none"/>
        </w:rPr>
        <w:t>简易计税法。</w:t>
      </w:r>
    </w:p>
    <w:p w14:paraId="59A9051C">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w:t>
      </w:r>
      <w:r>
        <w:rPr>
          <w:rFonts w:hAnsi="宋体"/>
          <w:color w:val="auto"/>
          <w:highlight w:val="none"/>
        </w:rPr>
        <w:t>1</w:t>
      </w:r>
      <w:r>
        <w:rPr>
          <w:rFonts w:hint="eastAsia" w:hAnsi="宋体" w:cs="宋体"/>
          <w:color w:val="auto"/>
          <w:highlight w:val="none"/>
        </w:rPr>
        <w:t>）单价合同。</w:t>
      </w:r>
    </w:p>
    <w:p w14:paraId="49A064BE">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采用综合单价合同方式时，工程量按建设单位、监理单位、施工单位三方确认的竣工图结算。</w:t>
      </w:r>
    </w:p>
    <w:p w14:paraId="0434D437">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综合单价包含的风险范围：</w:t>
      </w:r>
      <w:r>
        <w:rPr>
          <w:rFonts w:hint="eastAsia" w:hAnsi="宋体" w:cs="宋体"/>
          <w:color w:val="auto"/>
          <w:highlight w:val="none"/>
          <w:u w:val="single"/>
        </w:rPr>
        <w:t>除工程变更、项目特征不符、工程量清单缺项、工程量偏差、政策性调整、市场价格波动。</w:t>
      </w:r>
    </w:p>
    <w:p w14:paraId="44C4ED62">
      <w:pPr>
        <w:pageBreakBefore w:val="0"/>
        <w:widowControl w:val="0"/>
        <w:kinsoku/>
        <w:wordWrap/>
        <w:overflowPunct/>
        <w:topLinePunct w:val="0"/>
        <w:bidi w:val="0"/>
        <w:spacing w:line="360" w:lineRule="auto"/>
        <w:ind w:firstLine="420" w:firstLineChars="200"/>
        <w:jc w:val="left"/>
        <w:textAlignment w:val="auto"/>
        <w:rPr>
          <w:rFonts w:hAnsi="宋体" w:cs="宋体"/>
          <w:color w:val="auto"/>
          <w:highlight w:val="none"/>
        </w:rPr>
      </w:pPr>
      <w:r>
        <w:rPr>
          <w:rFonts w:hint="eastAsia" w:hAnsi="宋体" w:cs="宋体"/>
          <w:color w:val="auto"/>
          <w:highlight w:val="none"/>
        </w:rPr>
        <w:t>风险范围以外合同价格的调整方法：</w:t>
      </w:r>
    </w:p>
    <w:p w14:paraId="24F8EF56">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①工程变更</w:t>
      </w:r>
      <w:r>
        <w:rPr>
          <w:rFonts w:hint="eastAsia" w:ascii="Calibri" w:hAnsi="宋体" w:cs="宋体"/>
          <w:color w:val="auto"/>
          <w:highlight w:val="none"/>
        </w:rPr>
        <w:t>、项目特征不符、工程量清单缺项</w:t>
      </w:r>
      <w:r>
        <w:rPr>
          <w:rFonts w:hint="eastAsia" w:hAnsi="宋体" w:cs="宋体"/>
          <w:color w:val="auto"/>
          <w:highlight w:val="none"/>
        </w:rPr>
        <w:t>：按</w:t>
      </w:r>
      <w:r>
        <w:rPr>
          <w:rFonts w:hAnsi="宋体" w:cs="宋体"/>
          <w:color w:val="auto"/>
          <w:highlight w:val="none"/>
        </w:rPr>
        <w:t>10.4.1</w:t>
      </w:r>
      <w:r>
        <w:rPr>
          <w:rFonts w:hint="eastAsia" w:hAnsi="宋体" w:cs="宋体"/>
          <w:color w:val="auto"/>
          <w:highlight w:val="none"/>
        </w:rPr>
        <w:t>变更估价原则的约定调整。</w:t>
      </w:r>
    </w:p>
    <w:p w14:paraId="3255F581">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②</w:t>
      </w:r>
      <w:r>
        <w:rPr>
          <w:rFonts w:hint="eastAsia" w:ascii="Calibri" w:hAnsi="宋体" w:cs="宋体"/>
          <w:color w:val="auto"/>
          <w:highlight w:val="none"/>
        </w:rPr>
        <w:t>工程量偏差：按1.13工程量清单错误修正的约定调整。</w:t>
      </w:r>
    </w:p>
    <w:p w14:paraId="38799305">
      <w:pPr>
        <w:pageBreakBefore w:val="0"/>
        <w:widowControl w:val="0"/>
        <w:kinsoku/>
        <w:wordWrap/>
        <w:overflowPunct/>
        <w:topLinePunct w:val="0"/>
        <w:bidi w:val="0"/>
        <w:spacing w:line="360" w:lineRule="auto"/>
        <w:ind w:firstLine="420" w:firstLineChars="200"/>
        <w:jc w:val="left"/>
        <w:textAlignment w:val="auto"/>
        <w:rPr>
          <w:rFonts w:hAnsi="宋体" w:cs="宋体"/>
          <w:color w:val="auto"/>
          <w:highlight w:val="none"/>
        </w:rPr>
      </w:pPr>
      <w:r>
        <w:rPr>
          <w:rFonts w:hint="eastAsia" w:hAnsi="宋体" w:cs="宋体"/>
          <w:color w:val="auto"/>
          <w:highlight w:val="none"/>
        </w:rPr>
        <w:t>③政策性调整：</w:t>
      </w:r>
      <w:r>
        <w:rPr>
          <w:rFonts w:hint="eastAsia" w:ascii="仿宋_GB2312" w:hAnsi="宋体"/>
          <w:color w:val="auto"/>
          <w:highlight w:val="none"/>
        </w:rPr>
        <w:t>按国家、自治区住房城乡建设厅或工程所在地</w:t>
      </w:r>
      <w:r>
        <w:rPr>
          <w:rFonts w:hint="eastAsia" w:ascii="仿宋_GB2312" w:hAnsi="宋体" w:eastAsia="宋体"/>
          <w:color w:val="auto"/>
          <w:sz w:val="21"/>
          <w:szCs w:val="21"/>
          <w:highlight w:val="none"/>
        </w:rPr>
        <w:t>市级</w:t>
      </w:r>
      <w:r>
        <w:rPr>
          <w:rFonts w:hint="eastAsia" w:ascii="仿宋_GB2312" w:hAnsi="宋体"/>
          <w:color w:val="auto"/>
          <w:highlight w:val="none"/>
        </w:rPr>
        <w:t>住房城乡建设主管部门颁布的文件执行</w:t>
      </w:r>
      <w:r>
        <w:rPr>
          <w:rFonts w:hint="eastAsia" w:hAnsi="宋体" w:cs="宋体"/>
          <w:color w:val="auto"/>
          <w:highlight w:val="none"/>
        </w:rPr>
        <w:t>。</w:t>
      </w:r>
    </w:p>
    <w:p w14:paraId="3605B962">
      <w:pPr>
        <w:pageBreakBefore w:val="0"/>
        <w:widowControl w:val="0"/>
        <w:kinsoku/>
        <w:wordWrap/>
        <w:overflowPunct/>
        <w:topLinePunct w:val="0"/>
        <w:bidi w:val="0"/>
        <w:spacing w:line="360" w:lineRule="auto"/>
        <w:ind w:firstLine="420" w:firstLineChars="200"/>
        <w:jc w:val="left"/>
        <w:textAlignment w:val="auto"/>
        <w:rPr>
          <w:rFonts w:hAnsi="宋体" w:cs="宋体"/>
          <w:color w:val="auto"/>
          <w:highlight w:val="none"/>
        </w:rPr>
      </w:pPr>
      <w:r>
        <w:rPr>
          <w:rFonts w:hint="eastAsia" w:hAnsi="宋体" w:cs="宋体"/>
          <w:color w:val="auto"/>
          <w:highlight w:val="none"/>
        </w:rPr>
        <w:t>④市场波动引起的调整：按</w:t>
      </w:r>
      <w:r>
        <w:rPr>
          <w:rFonts w:hAnsi="宋体" w:cs="宋体"/>
          <w:color w:val="auto"/>
          <w:highlight w:val="none"/>
        </w:rPr>
        <w:t>11.1</w:t>
      </w:r>
      <w:r>
        <w:rPr>
          <w:rFonts w:hint="eastAsia" w:hAnsi="宋体" w:cs="宋体"/>
          <w:color w:val="auto"/>
          <w:highlight w:val="none"/>
        </w:rPr>
        <w:t>的约定调整。</w:t>
      </w:r>
    </w:p>
    <w:p w14:paraId="4A090BC3">
      <w:pPr>
        <w:pageBreakBefore w:val="0"/>
        <w:widowControl w:val="0"/>
        <w:kinsoku/>
        <w:wordWrap/>
        <w:overflowPunct/>
        <w:topLinePunct w:val="0"/>
        <w:bidi w:val="0"/>
        <w:spacing w:line="360" w:lineRule="auto"/>
        <w:ind w:firstLine="420" w:firstLineChars="200"/>
        <w:jc w:val="left"/>
        <w:textAlignment w:val="auto"/>
        <w:rPr>
          <w:rFonts w:hint="default" w:hAnsi="宋体" w:eastAsia="宋体"/>
          <w:color w:val="auto"/>
          <w:highlight w:val="none"/>
          <w:lang w:val="en-US" w:eastAsia="zh-CN"/>
        </w:rPr>
      </w:pPr>
      <w:r>
        <w:rPr>
          <w:rFonts w:hint="eastAsia" w:hAnsi="宋体" w:cs="宋体"/>
          <w:color w:val="auto"/>
          <w:highlight w:val="none"/>
        </w:rPr>
        <w:t>⑤其它：</w:t>
      </w:r>
      <w:r>
        <w:rPr>
          <w:rFonts w:hint="eastAsia" w:hAnsi="宋体"/>
          <w:color w:val="auto"/>
          <w:highlight w:val="none"/>
          <w:u w:val="single"/>
          <w:lang w:val="en-US" w:eastAsia="zh-CN"/>
        </w:rPr>
        <w:t xml:space="preserve">         。</w:t>
      </w:r>
    </w:p>
    <w:p w14:paraId="3E16F107">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w:t>
      </w:r>
      <w:r>
        <w:rPr>
          <w:rFonts w:hAnsi="宋体"/>
          <w:color w:val="auto"/>
          <w:highlight w:val="none"/>
        </w:rPr>
        <w:t>2</w:t>
      </w:r>
      <w:r>
        <w:rPr>
          <w:rFonts w:hint="eastAsia" w:hAnsi="宋体" w:cs="宋体"/>
          <w:color w:val="auto"/>
          <w:highlight w:val="none"/>
        </w:rPr>
        <w:t>）总价合同。</w:t>
      </w:r>
    </w:p>
    <w:p w14:paraId="5792B1DC">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总价包含的风险范围：包含除工程变更、政策性调整、</w:t>
      </w:r>
      <w:r>
        <w:rPr>
          <w:rFonts w:hint="eastAsia" w:hAnsi="宋体" w:cs="宋体"/>
          <w:color w:val="auto"/>
          <w:highlight w:val="none"/>
          <w:u w:val="single"/>
        </w:rPr>
        <w:t>市场价格波动。除工程变更外，结算时不再对招标施工图对应的工程量重新计量</w:t>
      </w:r>
      <w:r>
        <w:rPr>
          <w:rFonts w:hAnsi="宋体"/>
          <w:color w:val="auto"/>
          <w:highlight w:val="none"/>
          <w:u w:val="single"/>
        </w:rPr>
        <w:t xml:space="preserve">    </w:t>
      </w:r>
      <w:r>
        <w:rPr>
          <w:rFonts w:hint="eastAsia" w:hAnsi="宋体" w:cs="宋体"/>
          <w:color w:val="auto"/>
          <w:highlight w:val="none"/>
        </w:rPr>
        <w:t>。</w:t>
      </w:r>
    </w:p>
    <w:p w14:paraId="65BAC88A">
      <w:pPr>
        <w:pageBreakBefore w:val="0"/>
        <w:widowControl w:val="0"/>
        <w:kinsoku/>
        <w:wordWrap/>
        <w:overflowPunct/>
        <w:topLinePunct w:val="0"/>
        <w:bidi w:val="0"/>
        <w:spacing w:line="360" w:lineRule="auto"/>
        <w:ind w:firstLine="420" w:firstLineChars="200"/>
        <w:jc w:val="left"/>
        <w:textAlignment w:val="auto"/>
        <w:rPr>
          <w:rFonts w:hint="eastAsia" w:ascii="Times New Roman" w:hAnsi="Times New Roman" w:eastAsia="宋体" w:cs="宋体"/>
          <w:color w:val="auto"/>
          <w:highlight w:val="none"/>
        </w:rPr>
      </w:pPr>
      <w:r>
        <w:rPr>
          <w:rFonts w:hint="eastAsia" w:cs="宋体"/>
          <w:color w:val="auto"/>
          <w:highlight w:val="none"/>
        </w:rPr>
        <w:t>风险范</w:t>
      </w:r>
      <w:r>
        <w:rPr>
          <w:rFonts w:hint="eastAsia" w:ascii="Times New Roman" w:hAnsi="Times New Roman" w:eastAsia="宋体" w:cs="宋体"/>
          <w:color w:val="auto"/>
          <w:highlight w:val="none"/>
        </w:rPr>
        <w:t>围以外合同价格的调整方法：</w:t>
      </w:r>
    </w:p>
    <w:p w14:paraId="6C8B76B5">
      <w:pPr>
        <w:pageBreakBefore w:val="0"/>
        <w:widowControl w:val="0"/>
        <w:kinsoku/>
        <w:wordWrap/>
        <w:overflowPunct/>
        <w:topLinePunct w:val="0"/>
        <w:bidi w:val="0"/>
        <w:spacing w:line="360" w:lineRule="auto"/>
        <w:ind w:firstLine="420" w:firstLineChars="200"/>
        <w:jc w:val="left"/>
        <w:textAlignment w:val="auto"/>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lang w:val="en-US" w:eastAsia="zh-CN"/>
        </w:rPr>
        <w:t>①</w:t>
      </w:r>
      <w:r>
        <w:rPr>
          <w:rFonts w:hint="eastAsia" w:ascii="Times New Roman" w:hAnsi="Times New Roman" w:eastAsia="宋体" w:cs="宋体"/>
          <w:color w:val="auto"/>
          <w:highlight w:val="none"/>
        </w:rPr>
        <w:t>工程变更：按10.4.1变更估价原则的约定调整。</w:t>
      </w:r>
    </w:p>
    <w:p w14:paraId="4FEE0D70">
      <w:pPr>
        <w:pageBreakBefore w:val="0"/>
        <w:widowControl w:val="0"/>
        <w:kinsoku/>
        <w:wordWrap/>
        <w:overflowPunct/>
        <w:topLinePunct w:val="0"/>
        <w:bidi w:val="0"/>
        <w:spacing w:line="360" w:lineRule="auto"/>
        <w:ind w:firstLine="420" w:firstLineChars="200"/>
        <w:jc w:val="left"/>
        <w:textAlignment w:val="auto"/>
        <w:rPr>
          <w:rFonts w:hAnsi="宋体" w:cs="宋体"/>
          <w:color w:val="auto"/>
          <w:highlight w:val="none"/>
        </w:rPr>
      </w:pPr>
      <w:r>
        <w:rPr>
          <w:rFonts w:hint="eastAsia" w:ascii="Times New Roman" w:hAnsi="Times New Roman" w:eastAsia="宋体" w:cs="宋体"/>
          <w:color w:val="auto"/>
          <w:highlight w:val="none"/>
        </w:rPr>
        <w:t>②政策性调整：按国家、自治区住房城乡建设厅或工程所在地市级住房城乡建设主管部门颁布的文件执行。</w:t>
      </w:r>
    </w:p>
    <w:p w14:paraId="35B1094F">
      <w:pPr>
        <w:pageBreakBefore w:val="0"/>
        <w:widowControl w:val="0"/>
        <w:kinsoku/>
        <w:wordWrap/>
        <w:overflowPunct/>
        <w:topLinePunct w:val="0"/>
        <w:bidi w:val="0"/>
        <w:spacing w:line="360" w:lineRule="auto"/>
        <w:ind w:firstLine="420" w:firstLineChars="200"/>
        <w:jc w:val="left"/>
        <w:textAlignment w:val="auto"/>
        <w:rPr>
          <w:rFonts w:hAnsi="宋体" w:cs="宋体"/>
          <w:color w:val="auto"/>
          <w:highlight w:val="none"/>
        </w:rPr>
      </w:pPr>
      <w:r>
        <w:rPr>
          <w:rFonts w:hint="eastAsia" w:hAnsi="宋体" w:cs="宋体"/>
          <w:color w:val="auto"/>
          <w:highlight w:val="none"/>
        </w:rPr>
        <w:t>③市场波动引起的调整：按</w:t>
      </w:r>
      <w:r>
        <w:rPr>
          <w:rFonts w:hAnsi="宋体" w:cs="宋体"/>
          <w:color w:val="auto"/>
          <w:highlight w:val="none"/>
        </w:rPr>
        <w:t>11.1</w:t>
      </w:r>
      <w:r>
        <w:rPr>
          <w:rFonts w:hint="eastAsia" w:hAnsi="宋体" w:cs="宋体"/>
          <w:color w:val="auto"/>
          <w:highlight w:val="none"/>
        </w:rPr>
        <w:t>的约定调整。</w:t>
      </w:r>
    </w:p>
    <w:p w14:paraId="453632B8">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Ansi="宋体" w:cs="宋体"/>
          <w:color w:val="auto"/>
          <w:highlight w:val="none"/>
        </w:rPr>
        <w:fldChar w:fldCharType="begin"/>
      </w:r>
      <w:r>
        <w:rPr>
          <w:rFonts w:hAnsi="宋体" w:cs="宋体"/>
          <w:color w:val="auto"/>
          <w:highlight w:val="none"/>
        </w:rPr>
        <w:instrText xml:space="preserve"> </w:instrText>
      </w:r>
      <w:r>
        <w:rPr>
          <w:rFonts w:hint="eastAsia" w:hAnsi="宋体" w:cs="宋体"/>
          <w:color w:val="auto"/>
          <w:highlight w:val="none"/>
        </w:rPr>
        <w:instrText xml:space="preserve">= 4 \* GB3</w:instrText>
      </w:r>
      <w:r>
        <w:rPr>
          <w:rFonts w:hAnsi="宋体" w:cs="宋体"/>
          <w:color w:val="auto"/>
          <w:highlight w:val="none"/>
        </w:rPr>
        <w:instrText xml:space="preserve"> </w:instrText>
      </w:r>
      <w:r>
        <w:rPr>
          <w:rFonts w:hAnsi="宋体" w:cs="宋体"/>
          <w:color w:val="auto"/>
          <w:highlight w:val="none"/>
        </w:rPr>
        <w:fldChar w:fldCharType="separate"/>
      </w:r>
      <w:r>
        <w:rPr>
          <w:rFonts w:hint="eastAsia" w:hAnsi="宋体" w:cs="宋体"/>
          <w:color w:val="auto"/>
          <w:highlight w:val="none"/>
        </w:rPr>
        <w:t>④</w:t>
      </w:r>
      <w:r>
        <w:rPr>
          <w:rFonts w:hAnsi="宋体" w:cs="宋体"/>
          <w:color w:val="auto"/>
          <w:highlight w:val="none"/>
        </w:rPr>
        <w:fldChar w:fldCharType="end"/>
      </w:r>
      <w:r>
        <w:rPr>
          <w:rFonts w:hint="eastAsia" w:hAnsi="宋体" w:cs="宋体"/>
          <w:color w:val="auto"/>
          <w:highlight w:val="none"/>
        </w:rPr>
        <w:t>其它：</w:t>
      </w:r>
      <w:r>
        <w:rPr>
          <w:rFonts w:hAnsi="宋体"/>
          <w:color w:val="auto"/>
          <w:highlight w:val="none"/>
          <w:u w:val="single"/>
        </w:rPr>
        <w:t xml:space="preserve">                                                  </w:t>
      </w:r>
      <w:r>
        <w:rPr>
          <w:rFonts w:hint="eastAsia" w:hAnsi="宋体" w:cs="宋体"/>
          <w:color w:val="auto"/>
          <w:highlight w:val="none"/>
        </w:rPr>
        <w:t>。</w:t>
      </w:r>
    </w:p>
    <w:p w14:paraId="72EE270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）其他价格方式：</w:t>
      </w:r>
      <w:r>
        <w:rPr>
          <w:color w:val="auto"/>
          <w:highlight w:val="none"/>
          <w:u w:val="single"/>
        </w:rPr>
        <w:t xml:space="preserve">                                       </w:t>
      </w:r>
      <w:r>
        <w:rPr>
          <w:rFonts w:hint="eastAsia" w:cs="宋体"/>
          <w:color w:val="auto"/>
          <w:highlight w:val="none"/>
        </w:rPr>
        <w:t>。</w:t>
      </w:r>
    </w:p>
    <w:p w14:paraId="73FDF5D3">
      <w:pPr>
        <w:pStyle w:val="4"/>
        <w:pageBreakBefore w:val="0"/>
        <w:widowControl w:val="0"/>
        <w:kinsoku/>
        <w:wordWrap/>
        <w:overflowPunct/>
        <w:topLinePunct w:val="0"/>
        <w:bidi w:val="0"/>
        <w:spacing w:before="0" w:after="0" w:line="360" w:lineRule="auto"/>
        <w:textAlignment w:val="auto"/>
        <w:rPr>
          <w:color w:val="auto"/>
          <w:highlight w:val="none"/>
        </w:rPr>
      </w:pPr>
      <w:bookmarkStart w:id="911" w:name="_Toc1681900246"/>
      <w:bookmarkStart w:id="912" w:name="_Toc407135253"/>
      <w:bookmarkStart w:id="913" w:name="_Toc78449839"/>
      <w:bookmarkStart w:id="914" w:name="_Toc20877"/>
      <w:r>
        <w:rPr>
          <w:color w:val="auto"/>
          <w:highlight w:val="none"/>
        </w:rPr>
        <w:t xml:space="preserve">12.2 </w:t>
      </w:r>
      <w:r>
        <w:rPr>
          <w:rFonts w:hint="eastAsia" w:hAnsi="宋体" w:cs="黑体"/>
          <w:color w:val="auto"/>
          <w:highlight w:val="none"/>
        </w:rPr>
        <w:t>预付款</w:t>
      </w:r>
      <w:bookmarkEnd w:id="892"/>
      <w:bookmarkEnd w:id="893"/>
      <w:bookmarkEnd w:id="894"/>
      <w:bookmarkEnd w:id="911"/>
      <w:bookmarkEnd w:id="912"/>
      <w:bookmarkEnd w:id="913"/>
      <w:bookmarkEnd w:id="914"/>
    </w:p>
    <w:bookmarkEnd w:id="895"/>
    <w:bookmarkEnd w:id="896"/>
    <w:bookmarkEnd w:id="897"/>
    <w:bookmarkEnd w:id="898"/>
    <w:bookmarkEnd w:id="899"/>
    <w:bookmarkEnd w:id="900"/>
    <w:p w14:paraId="70DF70B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12.2.1 </w:t>
      </w:r>
      <w:r>
        <w:rPr>
          <w:rFonts w:hint="eastAsia" w:hAnsi="宋体" w:cs="宋体"/>
          <w:color w:val="auto"/>
          <w:highlight w:val="none"/>
        </w:rPr>
        <w:t>预付款的支付</w:t>
      </w:r>
    </w:p>
    <w:p w14:paraId="5C73132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预付款支付比例或金额：</w:t>
      </w:r>
      <w:r>
        <w:rPr>
          <w:color w:val="auto"/>
          <w:highlight w:val="none"/>
          <w:u w:val="single"/>
        </w:rPr>
        <w:t xml:space="preserve">   </w:t>
      </w:r>
      <w:r>
        <w:rPr>
          <w:rFonts w:hint="eastAsia"/>
          <w:color w:val="auto"/>
          <w:highlight w:val="none"/>
          <w:u w:val="single"/>
        </w:rPr>
        <w:t>合同总价的</w:t>
      </w:r>
      <w:r>
        <w:rPr>
          <w:rFonts w:hint="eastAsia"/>
          <w:color w:val="auto"/>
          <w:highlight w:val="none"/>
          <w:u w:val="single"/>
          <w:lang w:val="en-US" w:eastAsia="zh-CN"/>
        </w:rPr>
        <w:t>3</w:t>
      </w:r>
      <w:r>
        <w:rPr>
          <w:rFonts w:hint="eastAsia"/>
          <w:color w:val="auto"/>
          <w:highlight w:val="none"/>
          <w:u w:val="single"/>
        </w:rPr>
        <w:t>0%</w:t>
      </w:r>
      <w:r>
        <w:rPr>
          <w:color w:val="auto"/>
          <w:highlight w:val="none"/>
          <w:u w:val="single"/>
        </w:rPr>
        <w:t xml:space="preserve"> </w:t>
      </w:r>
      <w:r>
        <w:rPr>
          <w:rFonts w:hint="eastAsia" w:hAnsi="宋体" w:cs="宋体"/>
          <w:color w:val="auto"/>
          <w:highlight w:val="none"/>
        </w:rPr>
        <w:t>。</w:t>
      </w:r>
    </w:p>
    <w:p w14:paraId="26676F9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预付款支付期限：</w:t>
      </w:r>
      <w:r>
        <w:rPr>
          <w:color w:val="auto"/>
          <w:highlight w:val="none"/>
          <w:u w:val="single"/>
        </w:rPr>
        <w:t xml:space="preserve">   </w:t>
      </w:r>
      <w:r>
        <w:rPr>
          <w:rFonts w:hint="eastAsia"/>
          <w:color w:val="auto"/>
          <w:highlight w:val="none"/>
          <w:u w:val="single"/>
          <w:lang w:val="en-US" w:eastAsia="zh-CN"/>
        </w:rPr>
        <w:t xml:space="preserve">        </w:t>
      </w:r>
      <w:r>
        <w:rPr>
          <w:color w:val="auto"/>
          <w:highlight w:val="none"/>
          <w:u w:val="single"/>
        </w:rPr>
        <w:t xml:space="preserve">    </w:t>
      </w:r>
      <w:r>
        <w:rPr>
          <w:rFonts w:hint="eastAsia" w:hAnsi="宋体" w:cs="宋体"/>
          <w:color w:val="auto"/>
          <w:highlight w:val="none"/>
        </w:rPr>
        <w:t>。</w:t>
      </w:r>
    </w:p>
    <w:p w14:paraId="1CFB2AB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预付款扣回的方式：</w:t>
      </w:r>
      <w:r>
        <w:rPr>
          <w:rFonts w:hint="eastAsia"/>
          <w:color w:val="auto"/>
          <w:highlight w:val="none"/>
          <w:u w:val="single"/>
          <w:lang w:val="en-US" w:eastAsia="zh-CN"/>
        </w:rPr>
        <w:t xml:space="preserve">      /       </w:t>
      </w:r>
      <w:r>
        <w:rPr>
          <w:rFonts w:hint="eastAsia" w:hAnsi="宋体" w:cs="宋体"/>
          <w:color w:val="auto"/>
          <w:highlight w:val="none"/>
        </w:rPr>
        <w:t>。</w:t>
      </w:r>
    </w:p>
    <w:p w14:paraId="79667844">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12.2.2 </w:t>
      </w:r>
      <w:r>
        <w:rPr>
          <w:rFonts w:hint="eastAsia" w:hAnsi="宋体" w:cs="宋体"/>
          <w:color w:val="auto"/>
          <w:highlight w:val="none"/>
        </w:rPr>
        <w:t>预付款担保</w:t>
      </w:r>
    </w:p>
    <w:p w14:paraId="628FECA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承包人提交预付款担保的期限：</w:t>
      </w:r>
      <w:r>
        <w:rPr>
          <w:color w:val="auto"/>
          <w:highlight w:val="none"/>
          <w:u w:val="single"/>
        </w:rPr>
        <w:t xml:space="preserve"> </w:t>
      </w:r>
      <w:r>
        <w:rPr>
          <w:rFonts w:hint="eastAsia"/>
          <w:color w:val="auto"/>
          <w:highlight w:val="none"/>
          <w:u w:val="single"/>
          <w:lang w:val="en-US" w:eastAsia="zh-CN"/>
        </w:rPr>
        <w:t>不采用</w:t>
      </w:r>
      <w:r>
        <w:rPr>
          <w:color w:val="auto"/>
          <w:highlight w:val="none"/>
          <w:u w:val="single"/>
        </w:rPr>
        <w:t xml:space="preserve"> </w:t>
      </w:r>
      <w:r>
        <w:rPr>
          <w:rFonts w:hint="eastAsia" w:hAnsi="宋体" w:cs="宋体"/>
          <w:color w:val="auto"/>
          <w:highlight w:val="none"/>
        </w:rPr>
        <w:t>。</w:t>
      </w:r>
    </w:p>
    <w:p w14:paraId="289A363F">
      <w:pPr>
        <w:pageBreakBefore w:val="0"/>
        <w:widowControl w:val="0"/>
        <w:kinsoku/>
        <w:wordWrap/>
        <w:overflowPunct/>
        <w:topLinePunct w:val="0"/>
        <w:bidi w:val="0"/>
        <w:spacing w:line="360" w:lineRule="auto"/>
        <w:ind w:firstLine="420" w:firstLineChars="200"/>
        <w:jc w:val="left"/>
        <w:textAlignment w:val="auto"/>
        <w:rPr>
          <w:rFonts w:hint="eastAsia" w:ascii="Times New Roman" w:hAnsi="宋体" w:eastAsia="宋体" w:cs="宋体"/>
          <w:color w:val="auto"/>
          <w:highlight w:val="none"/>
        </w:rPr>
      </w:pPr>
      <w:r>
        <w:rPr>
          <w:rFonts w:hint="eastAsia" w:hAnsi="宋体" w:cs="宋体"/>
          <w:color w:val="auto"/>
          <w:highlight w:val="none"/>
        </w:rPr>
        <w:t>预付款担保的形式为：</w:t>
      </w:r>
      <w:r>
        <w:rPr>
          <w:rFonts w:hint="eastAsia"/>
          <w:color w:val="auto"/>
          <w:highlight w:val="none"/>
          <w:u w:val="none"/>
          <w:lang w:eastAsia="zh-CN"/>
        </w:rPr>
        <w:t>可以是</w:t>
      </w:r>
      <w:r>
        <w:rPr>
          <w:rFonts w:hint="eastAsia" w:ascii="Times New Roman" w:hAnsi="宋体" w:eastAsia="宋体" w:cs="宋体"/>
          <w:color w:val="auto"/>
          <w:highlight w:val="none"/>
        </w:rPr>
        <w:t>银行转账、电汇或网上支付、保函（银行保函、电子保函、保证保险保函、工程担保保函）等</w:t>
      </w:r>
      <w:r>
        <w:rPr>
          <w:rFonts w:hint="eastAsia" w:ascii="Times New Roman" w:hAnsi="宋体" w:eastAsia="宋体" w:cs="宋体"/>
          <w:color w:val="auto"/>
          <w:highlight w:val="none"/>
          <w:lang w:eastAsia="zh-CN"/>
        </w:rPr>
        <w:t>形</w:t>
      </w:r>
      <w:r>
        <w:rPr>
          <w:rFonts w:hint="eastAsia" w:ascii="Times New Roman" w:hAnsi="宋体" w:eastAsia="宋体" w:cs="宋体"/>
          <w:color w:val="auto"/>
          <w:highlight w:val="none"/>
        </w:rPr>
        <w:t>式。工程担保保证人应将出具的保函相关信息录入</w:t>
      </w:r>
      <w:r>
        <w:rPr>
          <w:rFonts w:hint="eastAsia" w:ascii="Times New Roman" w:hAnsi="宋体" w:eastAsia="宋体" w:cs="宋体"/>
          <w:color w:val="auto"/>
          <w:highlight w:val="none"/>
          <w:lang w:eastAsia="zh-CN"/>
        </w:rPr>
        <w:t>“</w:t>
      </w:r>
      <w:r>
        <w:rPr>
          <w:rFonts w:hint="eastAsia" w:ascii="Times New Roman" w:hAnsi="宋体" w:eastAsia="宋体" w:cs="宋体"/>
          <w:color w:val="auto"/>
          <w:highlight w:val="none"/>
        </w:rPr>
        <w:t>广西建筑市场监管云</w:t>
      </w:r>
      <w:r>
        <w:rPr>
          <w:rFonts w:hint="eastAsia" w:ascii="Times New Roman" w:hAnsi="宋体" w:eastAsia="宋体" w:cs="宋体"/>
          <w:color w:val="auto"/>
          <w:highlight w:val="none"/>
          <w:lang w:eastAsia="zh-CN"/>
        </w:rPr>
        <w:t>”</w:t>
      </w:r>
      <w:r>
        <w:rPr>
          <w:rFonts w:hint="eastAsia" w:ascii="Times New Roman" w:hAnsi="宋体" w:eastAsia="宋体" w:cs="宋体"/>
          <w:color w:val="auto"/>
          <w:highlight w:val="none"/>
        </w:rPr>
        <w:t>平台（http</w:t>
      </w:r>
      <w:r>
        <w:rPr>
          <w:rFonts w:hint="eastAsia" w:ascii="Times New Roman" w:hAnsi="宋体" w:eastAsia="宋体" w:cs="宋体"/>
          <w:color w:val="auto"/>
          <w:highlight w:val="none"/>
          <w:lang w:eastAsia="zh-CN"/>
        </w:rPr>
        <w:t>：</w:t>
      </w:r>
      <w:r>
        <w:rPr>
          <w:rFonts w:hint="eastAsia" w:ascii="Times New Roman" w:hAnsi="宋体" w:eastAsia="宋体" w:cs="宋体"/>
          <w:color w:val="auto"/>
          <w:highlight w:val="none"/>
        </w:rPr>
        <w:t>//gxjzsc.caihcloud.com），以实现保函查询及验真功能</w:t>
      </w:r>
      <w:r>
        <w:rPr>
          <w:rFonts w:hint="eastAsia" w:ascii="Times New Roman" w:hAnsi="宋体" w:eastAsia="宋体" w:cs="宋体"/>
          <w:color w:val="auto"/>
          <w:highlight w:val="none"/>
          <w:lang w:eastAsia="zh-CN"/>
        </w:rPr>
        <w:t>。</w:t>
      </w:r>
    </w:p>
    <w:p w14:paraId="4DB3B48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ascii="宋体" w:hAnsi="宋体" w:cs="宋体"/>
          <w:color w:val="auto"/>
          <w:highlight w:val="none"/>
        </w:rPr>
        <w:t>预付款担保格式见合同附件8。预付款支付申请（核准）表见合同附件10</w:t>
      </w:r>
    </w:p>
    <w:bookmarkEnd w:id="901"/>
    <w:bookmarkEnd w:id="902"/>
    <w:bookmarkEnd w:id="903"/>
    <w:bookmarkEnd w:id="904"/>
    <w:bookmarkEnd w:id="905"/>
    <w:bookmarkEnd w:id="906"/>
    <w:bookmarkEnd w:id="907"/>
    <w:bookmarkEnd w:id="908"/>
    <w:bookmarkEnd w:id="909"/>
    <w:bookmarkEnd w:id="910"/>
    <w:p w14:paraId="691324E8">
      <w:pPr>
        <w:pStyle w:val="4"/>
        <w:pageBreakBefore w:val="0"/>
        <w:widowControl w:val="0"/>
        <w:kinsoku/>
        <w:wordWrap/>
        <w:overflowPunct/>
        <w:topLinePunct w:val="0"/>
        <w:bidi w:val="0"/>
        <w:spacing w:before="0" w:after="0" w:line="360" w:lineRule="auto"/>
        <w:textAlignment w:val="auto"/>
        <w:rPr>
          <w:color w:val="auto"/>
          <w:highlight w:val="none"/>
        </w:rPr>
      </w:pPr>
      <w:bookmarkStart w:id="915" w:name="_Toc78449840"/>
      <w:bookmarkStart w:id="916" w:name="_Toc7797"/>
      <w:bookmarkStart w:id="917" w:name="_Toc1494831447"/>
      <w:bookmarkStart w:id="918" w:name="_Toc407135254"/>
      <w:bookmarkStart w:id="919" w:name="_Toc373227751"/>
      <w:bookmarkStart w:id="920" w:name="_Toc373478398"/>
      <w:bookmarkStart w:id="921" w:name="_Toc389065316"/>
      <w:r>
        <w:rPr>
          <w:color w:val="auto"/>
          <w:highlight w:val="none"/>
        </w:rPr>
        <w:t xml:space="preserve">12.3 </w:t>
      </w:r>
      <w:r>
        <w:rPr>
          <w:rFonts w:hint="eastAsia" w:hAnsi="宋体" w:cs="黑体"/>
          <w:color w:val="auto"/>
          <w:highlight w:val="none"/>
        </w:rPr>
        <w:t>计量</w:t>
      </w:r>
      <w:bookmarkEnd w:id="915"/>
      <w:bookmarkEnd w:id="916"/>
      <w:bookmarkEnd w:id="917"/>
      <w:bookmarkEnd w:id="918"/>
      <w:bookmarkEnd w:id="919"/>
      <w:bookmarkEnd w:id="920"/>
      <w:bookmarkEnd w:id="921"/>
    </w:p>
    <w:p w14:paraId="611648F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12.3.1 </w:t>
      </w:r>
      <w:r>
        <w:rPr>
          <w:rFonts w:hint="eastAsia" w:hAnsi="宋体" w:cs="宋体"/>
          <w:color w:val="auto"/>
          <w:highlight w:val="none"/>
        </w:rPr>
        <w:t>计量原则</w:t>
      </w:r>
    </w:p>
    <w:p w14:paraId="08BF09E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工程量计算规则：</w:t>
      </w:r>
      <w:r>
        <w:rPr>
          <w:rFonts w:hint="eastAsia" w:hAnsi="宋体" w:cs="宋体"/>
          <w:color w:val="auto"/>
          <w:highlight w:val="none"/>
          <w:u w:val="single"/>
        </w:rPr>
        <w:t>工程的计量均以</w:t>
      </w:r>
      <w:r>
        <w:rPr>
          <w:rFonts w:hint="eastAsia" w:hAnsi="宋体" w:cs="宋体"/>
          <w:color w:val="auto"/>
          <w:highlight w:val="none"/>
          <w:u w:val="single"/>
          <w:lang w:eastAsia="zh-CN"/>
        </w:rPr>
        <w:t>《广西壮族自治区建设工程全过程计价规范》《广西壮族自治区建设工程多层级工程量清单计算规范（房屋建筑与装饰工程、仿古建筑工程、通用安装工程、市政工程、城市轨道交通工程、园林绿化工程）》《市政工程工程量计算标准》（GB/T50857-2024）</w:t>
      </w:r>
      <w:r>
        <w:rPr>
          <w:rFonts w:hint="eastAsia" w:hAnsi="宋体" w:cs="宋体"/>
          <w:color w:val="auto"/>
          <w:highlight w:val="none"/>
          <w:u w:val="single"/>
          <w:lang w:val="en-US" w:eastAsia="zh-CN"/>
        </w:rPr>
        <w:t>及</w:t>
      </w:r>
      <w:r>
        <w:rPr>
          <w:rFonts w:hint="eastAsia" w:hAnsi="宋体" w:cs="宋体"/>
          <w:color w:val="auto"/>
          <w:highlight w:val="none"/>
          <w:u w:val="single"/>
        </w:rPr>
        <w:t>本工程补充项目清单为准。</w:t>
      </w:r>
    </w:p>
    <w:p w14:paraId="5A08417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12.3.2 </w:t>
      </w:r>
      <w:r>
        <w:rPr>
          <w:rFonts w:hint="eastAsia" w:hAnsi="宋体" w:cs="宋体"/>
          <w:color w:val="auto"/>
          <w:highlight w:val="none"/>
        </w:rPr>
        <w:t>计量周期</w:t>
      </w:r>
    </w:p>
    <w:p w14:paraId="27D716F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关于计量周期的约定：</w:t>
      </w:r>
      <w:r>
        <w:rPr>
          <w:rFonts w:hint="eastAsia" w:hAnsi="宋体" w:cs="宋体"/>
          <w:color w:val="auto"/>
          <w:highlight w:val="none"/>
          <w:u w:val="single"/>
        </w:rPr>
        <w:t>每月</w:t>
      </w:r>
      <w:r>
        <w:rPr>
          <w:color w:val="auto"/>
          <w:highlight w:val="none"/>
          <w:u w:val="single"/>
        </w:rPr>
        <w:t>25</w:t>
      </w:r>
      <w:r>
        <w:rPr>
          <w:rFonts w:hint="eastAsia" w:hAnsi="宋体" w:cs="宋体"/>
          <w:color w:val="auto"/>
          <w:highlight w:val="none"/>
          <w:u w:val="single"/>
        </w:rPr>
        <w:t>日前</w:t>
      </w:r>
      <w:r>
        <w:rPr>
          <w:rFonts w:hint="eastAsia" w:hAnsi="宋体" w:cs="宋体"/>
          <w:color w:val="auto"/>
          <w:highlight w:val="none"/>
        </w:rPr>
        <w:t>。</w:t>
      </w:r>
    </w:p>
    <w:p w14:paraId="72B2EC4B">
      <w:pPr>
        <w:pageBreakBefore w:val="0"/>
        <w:widowControl w:val="0"/>
        <w:kinsoku/>
        <w:wordWrap/>
        <w:overflowPunct/>
        <w:topLinePunct w:val="0"/>
        <w:bidi w:val="0"/>
        <w:spacing w:line="360" w:lineRule="auto"/>
        <w:ind w:firstLine="420" w:firstLineChars="200"/>
        <w:jc w:val="left"/>
        <w:textAlignment w:val="auto"/>
        <w:outlineLvl w:val="0"/>
        <w:rPr>
          <w:color w:val="auto"/>
          <w:highlight w:val="none"/>
        </w:rPr>
      </w:pPr>
      <w:r>
        <w:rPr>
          <w:color w:val="auto"/>
          <w:highlight w:val="none"/>
        </w:rPr>
        <w:t xml:space="preserve">12.3.3 </w:t>
      </w:r>
      <w:r>
        <w:rPr>
          <w:rFonts w:hint="eastAsia" w:hAnsi="宋体" w:cs="宋体"/>
          <w:color w:val="auto"/>
          <w:highlight w:val="none"/>
        </w:rPr>
        <w:t>单价合同的计量</w:t>
      </w:r>
    </w:p>
    <w:p w14:paraId="6C9D276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关于单价合同计量的约定：</w:t>
      </w:r>
    </w:p>
    <w:p w14:paraId="327F69E5">
      <w:pPr>
        <w:pageBreakBefore w:val="0"/>
        <w:widowControl w:val="0"/>
        <w:kinsoku/>
        <w:wordWrap/>
        <w:overflowPunct/>
        <w:topLinePunct w:val="0"/>
        <w:bidi w:val="0"/>
        <w:spacing w:line="360" w:lineRule="auto"/>
        <w:ind w:firstLine="441" w:firstLineChars="210"/>
        <w:textAlignment w:val="auto"/>
        <w:rPr>
          <w:color w:val="auto"/>
          <w:highlight w:val="none"/>
        </w:rPr>
      </w:pP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 xml:space="preserve"> </w:t>
      </w:r>
      <w:r>
        <w:rPr>
          <w:rFonts w:hint="eastAsia" w:hAnsi="宋体" w:cs="宋体"/>
          <w:color w:val="auto"/>
          <w:highlight w:val="none"/>
        </w:rPr>
        <w:t>工程量清单所列的工程量，不能作为承包人按合同履行其责任依据，实际施工中发生的工程量增加或减少并不影响承包人履行合同的责任，工程结算以完成的实际工程量为准。</w:t>
      </w:r>
    </w:p>
    <w:p w14:paraId="6CC95A50">
      <w:pPr>
        <w:pageBreakBefore w:val="0"/>
        <w:widowControl w:val="0"/>
        <w:kinsoku/>
        <w:wordWrap/>
        <w:overflowPunct/>
        <w:topLinePunct w:val="0"/>
        <w:bidi w:val="0"/>
        <w:spacing w:line="360" w:lineRule="auto"/>
        <w:ind w:firstLine="441" w:firstLineChars="210"/>
        <w:textAlignment w:val="auto"/>
        <w:rPr>
          <w:color w:val="auto"/>
          <w:highlight w:val="none"/>
        </w:rPr>
      </w:pPr>
      <w:r>
        <w:rPr>
          <w:rFonts w:hint="eastAsia"/>
          <w:color w:val="auto"/>
          <w:highlight w:val="none"/>
          <w:lang w:eastAsia="zh-CN"/>
        </w:rPr>
        <w:t>（</w:t>
      </w:r>
      <w:r>
        <w:rPr>
          <w:color w:val="auto"/>
          <w:highlight w:val="none"/>
        </w:rPr>
        <w:t>2</w:t>
      </w:r>
      <w:r>
        <w:rPr>
          <w:rFonts w:hint="eastAsia"/>
          <w:color w:val="auto"/>
          <w:highlight w:val="none"/>
          <w:lang w:eastAsia="zh-CN"/>
        </w:rPr>
        <w:t>）</w:t>
      </w:r>
      <w:r>
        <w:rPr>
          <w:color w:val="auto"/>
          <w:highlight w:val="none"/>
        </w:rPr>
        <w:t xml:space="preserve"> </w:t>
      </w:r>
      <w:r>
        <w:rPr>
          <w:rFonts w:hint="eastAsia" w:hAnsi="宋体" w:cs="宋体"/>
          <w:color w:val="auto"/>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0DCEB44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12.3.4 </w:t>
      </w:r>
      <w:r>
        <w:rPr>
          <w:rFonts w:hint="eastAsia" w:hAnsi="宋体" w:cs="宋体"/>
          <w:color w:val="auto"/>
          <w:highlight w:val="none"/>
        </w:rPr>
        <w:t>总价合同的计量</w:t>
      </w:r>
    </w:p>
    <w:p w14:paraId="179ACB77">
      <w:pPr>
        <w:pageBreakBefore w:val="0"/>
        <w:widowControl w:val="0"/>
        <w:kinsoku/>
        <w:wordWrap/>
        <w:overflowPunct/>
        <w:topLinePunct w:val="0"/>
        <w:bidi w:val="0"/>
        <w:spacing w:line="360" w:lineRule="auto"/>
        <w:ind w:firstLine="420" w:firstLineChars="200"/>
        <w:jc w:val="left"/>
        <w:textAlignment w:val="auto"/>
        <w:rPr>
          <w:rFonts w:cs="宋体"/>
          <w:color w:val="auto"/>
          <w:highlight w:val="none"/>
        </w:rPr>
      </w:pPr>
      <w:r>
        <w:rPr>
          <w:rFonts w:hint="eastAsia" w:ascii="Calibri" w:hAnsi="宋体" w:cs="宋体"/>
          <w:color w:val="auto"/>
          <w:highlight w:val="none"/>
        </w:rPr>
        <w:t>（1）总价合同计量约定：</w:t>
      </w:r>
      <w:r>
        <w:rPr>
          <w:rFonts w:hint="eastAsia" w:hAnsi="宋体" w:cs="宋体"/>
          <w:color w:val="auto"/>
          <w:highlight w:val="none"/>
        </w:rPr>
        <w:t>进度款按支付分解表支付</w:t>
      </w:r>
      <w:r>
        <w:rPr>
          <w:rFonts w:hint="eastAsia" w:ascii="宋体" w:hAnsi="宋体" w:cs="宋体"/>
          <w:color w:val="auto"/>
          <w:kern w:val="0"/>
          <w:highlight w:val="none"/>
        </w:rPr>
        <w:t>，</w:t>
      </w:r>
      <w:r>
        <w:rPr>
          <w:rFonts w:hint="eastAsia" w:cs="宋体"/>
          <w:color w:val="auto"/>
          <w:highlight w:val="none"/>
        </w:rPr>
        <w:t>支付分解表在招标完成后签合同之前制定，具体详见本专用合同条款12.4.6。</w:t>
      </w:r>
    </w:p>
    <w:p w14:paraId="25DD6D8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12.3.6 </w:t>
      </w:r>
      <w:r>
        <w:rPr>
          <w:rFonts w:hint="eastAsia" w:hAnsi="宋体" w:cs="宋体"/>
          <w:color w:val="auto"/>
          <w:highlight w:val="none"/>
        </w:rPr>
        <w:t>其他价格形式合同的计量</w:t>
      </w:r>
    </w:p>
    <w:p w14:paraId="559A762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其他价格形式的计量方式和程序：</w:t>
      </w:r>
      <w:r>
        <w:rPr>
          <w:color w:val="auto"/>
          <w:highlight w:val="none"/>
          <w:u w:val="single"/>
        </w:rPr>
        <w:t xml:space="preserve">                         </w:t>
      </w:r>
      <w:r>
        <w:rPr>
          <w:rFonts w:hint="eastAsia" w:hAnsi="宋体" w:cs="宋体"/>
          <w:color w:val="auto"/>
          <w:highlight w:val="none"/>
        </w:rPr>
        <w:t>。</w:t>
      </w:r>
    </w:p>
    <w:p w14:paraId="1C7B790C">
      <w:pPr>
        <w:pStyle w:val="4"/>
        <w:pageBreakBefore w:val="0"/>
        <w:widowControl w:val="0"/>
        <w:kinsoku/>
        <w:wordWrap/>
        <w:overflowPunct/>
        <w:topLinePunct w:val="0"/>
        <w:bidi w:val="0"/>
        <w:spacing w:before="0" w:after="0" w:line="360" w:lineRule="auto"/>
        <w:textAlignment w:val="auto"/>
        <w:rPr>
          <w:color w:val="auto"/>
          <w:highlight w:val="none"/>
        </w:rPr>
      </w:pPr>
      <w:bookmarkStart w:id="922" w:name="_Toc20490"/>
      <w:bookmarkStart w:id="923" w:name="_Toc78449841"/>
      <w:bookmarkStart w:id="924" w:name="_Toc389065317"/>
      <w:bookmarkStart w:id="925" w:name="_Toc373478399"/>
      <w:bookmarkStart w:id="926" w:name="_Toc407135255"/>
      <w:bookmarkStart w:id="927" w:name="_Toc373227752"/>
      <w:bookmarkStart w:id="928" w:name="_Toc1155368667"/>
      <w:r>
        <w:rPr>
          <w:color w:val="auto"/>
          <w:highlight w:val="none"/>
        </w:rPr>
        <w:t xml:space="preserve">12.4 </w:t>
      </w:r>
      <w:r>
        <w:rPr>
          <w:rFonts w:hint="eastAsia" w:cs="黑体"/>
          <w:color w:val="auto"/>
          <w:highlight w:val="none"/>
        </w:rPr>
        <w:t>工程进度款支付</w:t>
      </w:r>
      <w:bookmarkEnd w:id="922"/>
      <w:bookmarkEnd w:id="923"/>
      <w:bookmarkEnd w:id="924"/>
      <w:bookmarkEnd w:id="925"/>
      <w:bookmarkEnd w:id="926"/>
      <w:bookmarkEnd w:id="927"/>
      <w:bookmarkEnd w:id="928"/>
    </w:p>
    <w:p w14:paraId="14CE66E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color w:val="auto"/>
          <w:sz w:val="21"/>
          <w:szCs w:val="21"/>
          <w:highlight w:val="none"/>
        </w:rPr>
      </w:pPr>
      <w:bookmarkStart w:id="929" w:name="_Toc296503211"/>
      <w:bookmarkStart w:id="930" w:name="_Toc296347210"/>
      <w:bookmarkStart w:id="931" w:name="_Toc296944550"/>
      <w:bookmarkStart w:id="932" w:name="_Toc300935006"/>
      <w:bookmarkStart w:id="933" w:name="_Toc297048397"/>
      <w:bookmarkStart w:id="934" w:name="_Toc303539163"/>
      <w:bookmarkStart w:id="935" w:name="_Toc297120511"/>
      <w:bookmarkStart w:id="936" w:name="_Toc296346712"/>
      <w:bookmarkStart w:id="937" w:name="_Toc292559921"/>
      <w:bookmarkStart w:id="938" w:name="_Toc292559416"/>
      <w:bookmarkStart w:id="939" w:name="_Toc296891039"/>
      <w:bookmarkStart w:id="940" w:name="_Toc297216215"/>
      <w:bookmarkStart w:id="941" w:name="_Toc296891251"/>
      <w:bookmarkStart w:id="942" w:name="_Toc297123556"/>
      <w:r>
        <w:rPr>
          <w:rFonts w:ascii="宋体" w:hAnsi="宋体" w:eastAsia="宋体" w:cs="宋体"/>
          <w:color w:val="auto"/>
          <w:kern w:val="0"/>
          <w:sz w:val="21"/>
          <w:szCs w:val="21"/>
          <w:highlight w:val="none"/>
          <w:lang w:val="en-US" w:eastAsia="zh-CN" w:bidi="ar"/>
        </w:rPr>
        <w:t>政府机关、事业单位、国有企业建设工程进度款支付应不低于已完成工程价款的</w:t>
      </w:r>
      <w:r>
        <w:rPr>
          <w:rFonts w:hint="eastAsia" w:ascii="宋体" w:hAnsi="宋体" w:eastAsia="宋体" w:cs="宋体"/>
          <w:color w:val="auto"/>
          <w:kern w:val="0"/>
          <w:sz w:val="21"/>
          <w:szCs w:val="21"/>
          <w:highlight w:val="none"/>
          <w:lang w:val="en-US" w:eastAsia="zh-CN" w:bidi="ar"/>
        </w:rPr>
        <w:t>8</w:t>
      </w:r>
      <w:r>
        <w:rPr>
          <w:rFonts w:ascii="宋体" w:hAnsi="宋体" w:eastAsia="宋体" w:cs="宋体"/>
          <w:color w:val="auto"/>
          <w:kern w:val="0"/>
          <w:sz w:val="21"/>
          <w:szCs w:val="21"/>
          <w:highlight w:val="none"/>
          <w:lang w:val="en-US" w:eastAsia="zh-CN" w:bidi="ar"/>
        </w:rPr>
        <w:t>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r>
        <w:rPr>
          <w:rFonts w:hint="eastAsia" w:ascii="宋体" w:hAnsi="宋体" w:eastAsia="宋体" w:cs="宋体"/>
          <w:color w:val="auto"/>
          <w:kern w:val="0"/>
          <w:sz w:val="21"/>
          <w:szCs w:val="21"/>
          <w:highlight w:val="none"/>
          <w:lang w:val="en-US" w:eastAsia="zh-CN" w:bidi="ar"/>
        </w:rPr>
        <w:t>。</w:t>
      </w:r>
    </w:p>
    <w:p w14:paraId="1F9151F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eastAsia="宋体"/>
          <w:color w:val="auto"/>
          <w:sz w:val="21"/>
          <w:szCs w:val="21"/>
          <w:highlight w:val="none"/>
          <w:lang w:eastAsia="zh-CN"/>
        </w:rPr>
      </w:pPr>
      <w:r>
        <w:rPr>
          <w:color w:val="auto"/>
          <w:highlight w:val="none"/>
        </w:rPr>
        <w:t xml:space="preserve">12.4.1 </w:t>
      </w:r>
      <w:r>
        <w:rPr>
          <w:rFonts w:hint="eastAsia" w:hAnsi="宋体" w:cs="宋体"/>
          <w:color w:val="auto"/>
          <w:highlight w:val="none"/>
        </w:rPr>
        <w:t>工程款按工程进度支付，合同内进度款支付限额为合同价的90%（以实际进度时间及完成工程量为准）</w:t>
      </w:r>
      <w:r>
        <w:rPr>
          <w:rFonts w:hint="eastAsia" w:hAnsi="宋体" w:cs="宋体"/>
          <w:color w:val="auto"/>
          <w:highlight w:val="none"/>
          <w:lang w:eastAsia="zh-CN"/>
        </w:rPr>
        <w:t>。</w:t>
      </w:r>
      <w:r>
        <w:rPr>
          <w:rFonts w:hint="eastAsia" w:hAnsi="宋体" w:cs="宋体"/>
          <w:color w:val="auto"/>
          <w:highlight w:val="none"/>
          <w:lang w:val="en-US" w:eastAsia="zh-CN"/>
        </w:rPr>
        <w:t>工程</w:t>
      </w:r>
      <w:r>
        <w:rPr>
          <w:rFonts w:hint="eastAsia" w:hAnsi="宋体" w:cs="宋体"/>
          <w:color w:val="auto"/>
          <w:highlight w:val="none"/>
          <w:lang w:eastAsia="zh-CN"/>
        </w:rPr>
        <w:t>竣工验收并审计结算后，工程款支付至结算总价的97%。工程价款结算总额的3%预留工程质量保证金，待缺陷责任期（一年）满后一次性返还。</w:t>
      </w:r>
    </w:p>
    <w:p w14:paraId="477ACEB5">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12.4.2 </w:t>
      </w:r>
      <w:r>
        <w:rPr>
          <w:rFonts w:hint="eastAsia" w:hAnsi="宋体" w:cs="宋体"/>
          <w:color w:val="auto"/>
          <w:highlight w:val="none"/>
        </w:rPr>
        <w:t>进度付款申请单的编制</w:t>
      </w:r>
    </w:p>
    <w:p w14:paraId="45102B3C">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关于进度付款申请单编制的约定：</w:t>
      </w:r>
      <w:r>
        <w:rPr>
          <w:color w:val="auto"/>
          <w:highlight w:val="none"/>
          <w:u w:val="single"/>
        </w:rPr>
        <w:t xml:space="preserve">                       </w:t>
      </w:r>
      <w:r>
        <w:rPr>
          <w:rFonts w:hint="eastAsia" w:hAnsi="宋体" w:cs="宋体"/>
          <w:color w:val="auto"/>
          <w:highlight w:val="none"/>
        </w:rPr>
        <w:t>。</w:t>
      </w:r>
    </w:p>
    <w:p w14:paraId="04DCB9B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color w:val="auto"/>
          <w:highlight w:val="none"/>
        </w:rPr>
        <w:t xml:space="preserve">2.4.3 </w:t>
      </w:r>
      <w:r>
        <w:rPr>
          <w:rFonts w:hint="eastAsia" w:hAnsi="宋体" w:cs="宋体"/>
          <w:color w:val="auto"/>
          <w:highlight w:val="none"/>
        </w:rPr>
        <w:t>进度付款申请单的提交</w:t>
      </w:r>
    </w:p>
    <w:p w14:paraId="4B4A01F2">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）单价合同进度付款申请单提交的约定：</w:t>
      </w:r>
      <w:r>
        <w:rPr>
          <w:color w:val="auto"/>
          <w:highlight w:val="none"/>
          <w:u w:val="single"/>
        </w:rPr>
        <w:t xml:space="preserve">  </w:t>
      </w:r>
      <w:r>
        <w:rPr>
          <w:rFonts w:hint="eastAsia"/>
          <w:color w:val="auto"/>
          <w:highlight w:val="none"/>
          <w:u w:val="single"/>
        </w:rPr>
        <w:t>按通用条款执行</w:t>
      </w:r>
      <w:r>
        <w:rPr>
          <w:color w:val="auto"/>
          <w:highlight w:val="none"/>
          <w:u w:val="single"/>
        </w:rPr>
        <w:t xml:space="preserve">  </w:t>
      </w:r>
      <w:r>
        <w:rPr>
          <w:rFonts w:hint="eastAsia" w:hAnsi="宋体" w:cs="宋体"/>
          <w:color w:val="auto"/>
          <w:highlight w:val="none"/>
        </w:rPr>
        <w:t>。</w:t>
      </w:r>
    </w:p>
    <w:p w14:paraId="23069858">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）总价合同进度付款申请单提交的约定：</w:t>
      </w:r>
      <w:r>
        <w:rPr>
          <w:color w:val="auto"/>
          <w:highlight w:val="none"/>
          <w:u w:val="single"/>
        </w:rPr>
        <w:t xml:space="preserve"> </w:t>
      </w:r>
      <w:r>
        <w:rPr>
          <w:rFonts w:hint="eastAsia"/>
          <w:color w:val="auto"/>
          <w:highlight w:val="none"/>
          <w:u w:val="single"/>
        </w:rPr>
        <w:t>按通用条款执行</w:t>
      </w:r>
      <w:r>
        <w:rPr>
          <w:color w:val="auto"/>
          <w:highlight w:val="none"/>
          <w:u w:val="single"/>
        </w:rPr>
        <w:t xml:space="preserve"> </w:t>
      </w:r>
      <w:r>
        <w:rPr>
          <w:rFonts w:hint="eastAsia" w:hAnsi="宋体" w:cs="宋体"/>
          <w:color w:val="auto"/>
          <w:highlight w:val="none"/>
        </w:rPr>
        <w:t>。</w:t>
      </w:r>
    </w:p>
    <w:p w14:paraId="4A3FB84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w:t>
      </w:r>
      <w:r>
        <w:rPr>
          <w:color w:val="auto"/>
          <w:highlight w:val="none"/>
        </w:rPr>
        <w:t>3</w:t>
      </w:r>
      <w:r>
        <w:rPr>
          <w:rFonts w:hint="eastAsia" w:hAnsi="宋体" w:cs="宋体"/>
          <w:color w:val="auto"/>
          <w:highlight w:val="none"/>
        </w:rPr>
        <w:t>）其他价格形式合同进度付款申请单提交的约定：</w:t>
      </w:r>
      <w:r>
        <w:rPr>
          <w:color w:val="auto"/>
          <w:highlight w:val="none"/>
          <w:u w:val="single"/>
        </w:rPr>
        <w:t xml:space="preserve"> </w:t>
      </w:r>
      <w:r>
        <w:rPr>
          <w:rFonts w:hint="eastAsia"/>
          <w:color w:val="auto"/>
          <w:highlight w:val="none"/>
          <w:u w:val="single"/>
        </w:rPr>
        <w:t>按通用条款执行</w:t>
      </w:r>
      <w:r>
        <w:rPr>
          <w:color w:val="auto"/>
          <w:highlight w:val="none"/>
          <w:u w:val="single"/>
        </w:rPr>
        <w:t xml:space="preserve"> </w:t>
      </w:r>
      <w:r>
        <w:rPr>
          <w:rFonts w:hint="eastAsia" w:hAnsi="宋体" w:cs="宋体"/>
          <w:color w:val="auto"/>
          <w:highlight w:val="none"/>
        </w:rPr>
        <w:t>。</w:t>
      </w:r>
    </w:p>
    <w:p w14:paraId="3416165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12.4.4 </w:t>
      </w:r>
      <w:r>
        <w:rPr>
          <w:rFonts w:hint="eastAsia" w:hAnsi="宋体" w:cs="宋体"/>
          <w:color w:val="auto"/>
          <w:highlight w:val="none"/>
        </w:rPr>
        <w:t>进度款审核和支付</w:t>
      </w:r>
    </w:p>
    <w:p w14:paraId="3C16EDF7">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w:t>
      </w:r>
      <w:r>
        <w:rPr>
          <w:color w:val="auto"/>
          <w:highlight w:val="none"/>
        </w:rPr>
        <w:t>1</w:t>
      </w:r>
      <w:r>
        <w:rPr>
          <w:rFonts w:hint="eastAsia" w:hAnsi="宋体" w:cs="宋体"/>
          <w:color w:val="auto"/>
          <w:highlight w:val="none"/>
        </w:rPr>
        <w:t>）监理人审查并报送发包人的期限：</w:t>
      </w:r>
      <w:r>
        <w:rPr>
          <w:color w:val="auto"/>
          <w:highlight w:val="none"/>
          <w:u w:val="single"/>
        </w:rPr>
        <w:t xml:space="preserve"> </w:t>
      </w:r>
      <w:r>
        <w:rPr>
          <w:rFonts w:hint="eastAsia"/>
          <w:color w:val="auto"/>
          <w:highlight w:val="none"/>
          <w:u w:val="single"/>
        </w:rPr>
        <w:t>收到承包人进度付款申请单以及相关资料后3日内</w:t>
      </w:r>
      <w:r>
        <w:rPr>
          <w:color w:val="auto"/>
          <w:highlight w:val="none"/>
          <w:u w:val="single"/>
        </w:rPr>
        <w:t xml:space="preserve"> </w:t>
      </w:r>
      <w:r>
        <w:rPr>
          <w:rFonts w:hint="eastAsia" w:hAnsi="宋体" w:cs="宋体"/>
          <w:color w:val="auto"/>
          <w:highlight w:val="none"/>
        </w:rPr>
        <w:t>。</w:t>
      </w:r>
    </w:p>
    <w:p w14:paraId="4D3A4C17">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发包人完成审批并签发进度款支付证书的期限：</w:t>
      </w:r>
      <w:r>
        <w:rPr>
          <w:color w:val="auto"/>
          <w:highlight w:val="none"/>
          <w:u w:val="single"/>
        </w:rPr>
        <w:t xml:space="preserve"> </w:t>
      </w:r>
      <w:r>
        <w:rPr>
          <w:rFonts w:hint="eastAsia"/>
          <w:color w:val="auto"/>
          <w:highlight w:val="none"/>
          <w:u w:val="single"/>
        </w:rPr>
        <w:t>按发包人相关规定执行</w:t>
      </w:r>
      <w:r>
        <w:rPr>
          <w:color w:val="auto"/>
          <w:highlight w:val="none"/>
          <w:u w:val="single"/>
        </w:rPr>
        <w:t xml:space="preserve"> </w:t>
      </w:r>
      <w:r>
        <w:rPr>
          <w:rFonts w:hint="eastAsia" w:hAnsi="宋体" w:cs="宋体"/>
          <w:color w:val="auto"/>
          <w:highlight w:val="none"/>
        </w:rPr>
        <w:t>。</w:t>
      </w:r>
    </w:p>
    <w:p w14:paraId="5C12B9D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）发包人支付进度款的期限：</w:t>
      </w:r>
      <w:r>
        <w:rPr>
          <w:color w:val="auto"/>
          <w:highlight w:val="none"/>
          <w:u w:val="single"/>
        </w:rPr>
        <w:t xml:space="preserve"> </w:t>
      </w:r>
      <w:r>
        <w:rPr>
          <w:rFonts w:hint="eastAsia"/>
          <w:color w:val="auto"/>
          <w:highlight w:val="none"/>
          <w:u w:val="single"/>
        </w:rPr>
        <w:t>执行通用条款</w:t>
      </w:r>
      <w:r>
        <w:rPr>
          <w:color w:val="auto"/>
          <w:highlight w:val="none"/>
          <w:u w:val="single"/>
        </w:rPr>
        <w:t xml:space="preserve"> </w:t>
      </w:r>
      <w:r>
        <w:rPr>
          <w:rFonts w:hint="eastAsia" w:hAnsi="宋体" w:cs="宋体"/>
          <w:color w:val="auto"/>
          <w:highlight w:val="none"/>
        </w:rPr>
        <w:t>。</w:t>
      </w:r>
    </w:p>
    <w:p w14:paraId="6EF49BFA">
      <w:pPr>
        <w:pageBreakBefore w:val="0"/>
        <w:widowControl w:val="0"/>
        <w:kinsoku/>
        <w:wordWrap/>
        <w:overflowPunct/>
        <w:topLinePunct w:val="0"/>
        <w:bidi w:val="0"/>
        <w:spacing w:line="360" w:lineRule="auto"/>
        <w:ind w:firstLine="525" w:firstLineChars="250"/>
        <w:jc w:val="left"/>
        <w:textAlignment w:val="auto"/>
        <w:rPr>
          <w:color w:val="auto"/>
          <w:highlight w:val="none"/>
        </w:rPr>
      </w:pPr>
      <w:r>
        <w:rPr>
          <w:rFonts w:hint="eastAsia" w:hAnsi="宋体" w:cs="宋体"/>
          <w:color w:val="auto"/>
          <w:highlight w:val="none"/>
        </w:rPr>
        <w:t>发包人逾期支付进度款的违约金的计算方式：</w:t>
      </w:r>
      <w:r>
        <w:rPr>
          <w:color w:val="auto"/>
          <w:highlight w:val="none"/>
          <w:u w:val="single"/>
        </w:rPr>
        <w:t xml:space="preserve"> </w:t>
      </w:r>
      <w:r>
        <w:rPr>
          <w:rFonts w:hint="eastAsia"/>
          <w:color w:val="auto"/>
          <w:highlight w:val="none"/>
          <w:u w:val="single"/>
        </w:rPr>
        <w:t>执行通用条款</w:t>
      </w:r>
      <w:r>
        <w:rPr>
          <w:color w:val="auto"/>
          <w:highlight w:val="none"/>
          <w:u w:val="single"/>
        </w:rPr>
        <w:t xml:space="preserve"> </w:t>
      </w:r>
      <w:r>
        <w:rPr>
          <w:rFonts w:hint="eastAsia" w:hAnsi="宋体" w:cs="宋体"/>
          <w:color w:val="auto"/>
          <w:highlight w:val="none"/>
        </w:rPr>
        <w:t>。</w:t>
      </w:r>
    </w:p>
    <w:p w14:paraId="6F5CF738">
      <w:pPr>
        <w:pageBreakBefore w:val="0"/>
        <w:widowControl w:val="0"/>
        <w:kinsoku/>
        <w:wordWrap/>
        <w:overflowPunct/>
        <w:topLinePunct w:val="0"/>
        <w:bidi w:val="0"/>
        <w:spacing w:line="360" w:lineRule="auto"/>
        <w:ind w:firstLine="630" w:firstLineChars="300"/>
        <w:textAlignment w:val="auto"/>
        <w:rPr>
          <w:rFonts w:hAnsi="宋体" w:cs="宋体"/>
          <w:color w:val="auto"/>
          <w:highlight w:val="none"/>
        </w:rPr>
      </w:pPr>
      <w:r>
        <w:rPr>
          <w:rFonts w:hint="eastAsia" w:hAnsi="宋体" w:cs="宋体"/>
          <w:color w:val="auto"/>
          <w:highlight w:val="none"/>
        </w:rPr>
        <w:t>进度款支付方式：</w:t>
      </w:r>
      <w:r>
        <w:rPr>
          <w:rFonts w:hint="eastAsia" w:hAnsi="宋体" w:cs="宋体"/>
          <w:color w:val="auto"/>
          <w:highlight w:val="none"/>
          <w:u w:val="single"/>
        </w:rPr>
        <w:t>银行转账</w:t>
      </w:r>
      <w:r>
        <w:rPr>
          <w:rFonts w:hint="eastAsia" w:hAnsi="宋体" w:cs="宋体"/>
          <w:color w:val="auto"/>
          <w:highlight w:val="none"/>
        </w:rPr>
        <w:t>。</w:t>
      </w:r>
      <w:r>
        <w:rPr>
          <w:rFonts w:hint="eastAsia"/>
          <w:color w:val="auto"/>
          <w:highlight w:val="none"/>
        </w:rPr>
        <w:t>进度款支付申请（核准）表见合同附件11。</w:t>
      </w:r>
    </w:p>
    <w:p w14:paraId="215DE75D">
      <w:pPr>
        <w:pageBreakBefore w:val="0"/>
        <w:widowControl w:val="0"/>
        <w:kinsoku/>
        <w:wordWrap/>
        <w:overflowPunct/>
        <w:topLinePunct w:val="0"/>
        <w:bidi w:val="0"/>
        <w:spacing w:line="360" w:lineRule="auto"/>
        <w:ind w:firstLine="525" w:firstLineChars="250"/>
        <w:jc w:val="left"/>
        <w:textAlignment w:val="auto"/>
        <w:rPr>
          <w:rFonts w:hAnsi="宋体"/>
          <w:color w:val="auto"/>
          <w:highlight w:val="none"/>
        </w:rPr>
      </w:pPr>
      <w:bookmarkStart w:id="1235" w:name="_GoBack"/>
      <w:bookmarkEnd w:id="1235"/>
      <w:r>
        <w:rPr>
          <w:color w:val="auto"/>
          <w:highlight w:val="none"/>
        </w:rPr>
        <w:t xml:space="preserve">12.4.6 </w:t>
      </w:r>
      <w:r>
        <w:rPr>
          <w:rFonts w:hint="eastAsia" w:hAnsi="宋体" w:cs="宋体"/>
          <w:color w:val="auto"/>
          <w:highlight w:val="none"/>
        </w:rPr>
        <w:t>支付分解表的编制</w:t>
      </w:r>
    </w:p>
    <w:p w14:paraId="28615F2A">
      <w:pPr>
        <w:pageBreakBefore w:val="0"/>
        <w:widowControl w:val="0"/>
        <w:kinsoku/>
        <w:wordWrap/>
        <w:overflowPunct/>
        <w:topLinePunct w:val="0"/>
        <w:bidi w:val="0"/>
        <w:spacing w:line="360" w:lineRule="auto"/>
        <w:ind w:firstLine="525" w:firstLineChars="250"/>
        <w:jc w:val="left"/>
        <w:textAlignment w:val="auto"/>
        <w:rPr>
          <w:color w:val="auto"/>
          <w:highlight w:val="none"/>
          <w:u w:val="single"/>
        </w:rPr>
      </w:pPr>
      <w:r>
        <w:rPr>
          <w:rFonts w:hint="eastAsia"/>
          <w:color w:val="auto"/>
          <w:highlight w:val="none"/>
        </w:rPr>
        <w:t>（</w:t>
      </w:r>
      <w:r>
        <w:rPr>
          <w:color w:val="auto"/>
          <w:highlight w:val="none"/>
        </w:rPr>
        <w:t>1</w:t>
      </w:r>
      <w:r>
        <w:rPr>
          <w:rFonts w:hint="eastAsia"/>
          <w:color w:val="auto"/>
          <w:highlight w:val="none"/>
        </w:rPr>
        <w:t>）</w:t>
      </w:r>
      <w:r>
        <w:rPr>
          <w:rFonts w:hAnsi="宋体"/>
          <w:color w:val="auto"/>
          <w:highlight w:val="none"/>
        </w:rPr>
        <w:t xml:space="preserve"> </w:t>
      </w:r>
      <w:r>
        <w:rPr>
          <w:rFonts w:hint="eastAsia" w:hAnsi="宋体" w:cs="宋体"/>
          <w:color w:val="auto"/>
          <w:highlight w:val="none"/>
        </w:rPr>
        <w:t>总价合同支付分解表的编制与审批：</w:t>
      </w:r>
      <w:r>
        <w:rPr>
          <w:color w:val="auto"/>
          <w:highlight w:val="none"/>
          <w:u w:val="single"/>
        </w:rPr>
        <w:t xml:space="preserve">  </w:t>
      </w:r>
      <w:r>
        <w:rPr>
          <w:rFonts w:hint="eastAsia"/>
          <w:color w:val="auto"/>
          <w:highlight w:val="none"/>
          <w:u w:val="single"/>
        </w:rPr>
        <w:t>总价合同支付分解表在招标完成后由发包人和承包人共同编制，发包人审批，并作为本合同内容，具体详见合同附件14。</w:t>
      </w:r>
    </w:p>
    <w:p w14:paraId="49C990C7">
      <w:pPr>
        <w:pageBreakBefore w:val="0"/>
        <w:widowControl w:val="0"/>
        <w:kinsoku/>
        <w:wordWrap/>
        <w:overflowPunct/>
        <w:topLinePunct w:val="0"/>
        <w:bidi w:val="0"/>
        <w:spacing w:line="360" w:lineRule="auto"/>
        <w:ind w:firstLine="525" w:firstLineChars="250"/>
        <w:jc w:val="left"/>
        <w:textAlignment w:val="auto"/>
        <w:rPr>
          <w:color w:val="auto"/>
          <w:highlight w:val="none"/>
          <w:u w:val="single"/>
        </w:rPr>
      </w:pPr>
      <w:r>
        <w:rPr>
          <w:rFonts w:hint="eastAsia"/>
          <w:color w:val="auto"/>
          <w:highlight w:val="none"/>
        </w:rPr>
        <w:t>（2）</w:t>
      </w:r>
      <w:r>
        <w:rPr>
          <w:rFonts w:hint="eastAsia" w:hAnsi="宋体" w:cs="宋体"/>
          <w:color w:val="auto"/>
          <w:highlight w:val="none"/>
        </w:rPr>
        <w:t>单价合同的总价项目支付分解表的编制与审批：总价项目不采用支付分解表的方式计算，而按《广西壮族自治区建设工程全过程计价规范》《广西壮族自治区建设工程多层级工程量清单计算规范（房屋建筑与装饰工程、仿古建筑工程、通用安装工程、市政工程、城市轨道交通工程、园林绿化工程）》《市政工程工程量计算标准》（GB/T50857-2024）的规定执行。</w:t>
      </w:r>
    </w:p>
    <w:bookmarkEnd w:id="681"/>
    <w:p w14:paraId="457958CA">
      <w:pPr>
        <w:pStyle w:val="3"/>
        <w:pageBreakBefore w:val="0"/>
        <w:widowControl w:val="0"/>
        <w:kinsoku/>
        <w:wordWrap/>
        <w:overflowPunct/>
        <w:topLinePunct w:val="0"/>
        <w:bidi w:val="0"/>
        <w:spacing w:before="0" w:after="0" w:line="360" w:lineRule="auto"/>
        <w:textAlignment w:val="auto"/>
        <w:rPr>
          <w:color w:val="auto"/>
          <w:highlight w:val="none"/>
        </w:rPr>
      </w:pPr>
      <w:bookmarkStart w:id="943" w:name="_Toc373478400"/>
      <w:bookmarkStart w:id="944" w:name="_Toc407135256"/>
      <w:bookmarkStart w:id="945" w:name="_Toc351203645"/>
      <w:bookmarkStart w:id="946" w:name="_Toc389065318"/>
      <w:bookmarkStart w:id="947" w:name="_Toc78449842"/>
      <w:bookmarkStart w:id="948" w:name="_Toc728899116"/>
      <w:bookmarkStart w:id="949" w:name="_Toc373227753"/>
      <w:bookmarkStart w:id="950" w:name="_Toc1487"/>
      <w:bookmarkStart w:id="951" w:name="_Toc297123564"/>
      <w:bookmarkStart w:id="952" w:name="_Toc296891259"/>
      <w:bookmarkStart w:id="953" w:name="_Toc292559424"/>
      <w:bookmarkStart w:id="954" w:name="_Toc296346720"/>
      <w:bookmarkStart w:id="955" w:name="_Toc300935015"/>
      <w:bookmarkStart w:id="956" w:name="_Toc303539172"/>
      <w:bookmarkStart w:id="957" w:name="_Toc297216223"/>
      <w:bookmarkStart w:id="958" w:name="_Toc297048405"/>
      <w:bookmarkStart w:id="959" w:name="_Toc296347218"/>
      <w:bookmarkStart w:id="960" w:name="_Toc304295593"/>
      <w:bookmarkStart w:id="961" w:name="_Toc297120519"/>
      <w:bookmarkStart w:id="962" w:name="_Toc296891047"/>
      <w:bookmarkStart w:id="963" w:name="_Toc312678053"/>
      <w:bookmarkStart w:id="964" w:name="_Toc296944558"/>
      <w:bookmarkStart w:id="965" w:name="_Toc296503219"/>
      <w:bookmarkStart w:id="966" w:name="_Toc292559929"/>
      <w:r>
        <w:rPr>
          <w:color w:val="auto"/>
          <w:highlight w:val="none"/>
        </w:rPr>
        <w:t xml:space="preserve">13. </w:t>
      </w:r>
      <w:r>
        <w:rPr>
          <w:rFonts w:hint="eastAsia" w:cs="黑体"/>
          <w:color w:val="auto"/>
          <w:highlight w:val="none"/>
        </w:rPr>
        <w:t>验收和工程试车</w:t>
      </w:r>
      <w:bookmarkEnd w:id="943"/>
      <w:bookmarkEnd w:id="944"/>
      <w:bookmarkEnd w:id="945"/>
      <w:bookmarkEnd w:id="946"/>
      <w:bookmarkEnd w:id="947"/>
      <w:bookmarkEnd w:id="948"/>
      <w:bookmarkEnd w:id="949"/>
      <w:bookmarkEnd w:id="950"/>
    </w:p>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14:paraId="753EB73B">
      <w:pPr>
        <w:pStyle w:val="4"/>
        <w:pageBreakBefore w:val="0"/>
        <w:widowControl w:val="0"/>
        <w:kinsoku/>
        <w:wordWrap/>
        <w:overflowPunct/>
        <w:topLinePunct w:val="0"/>
        <w:bidi w:val="0"/>
        <w:spacing w:before="0" w:after="0" w:line="360" w:lineRule="auto"/>
        <w:textAlignment w:val="auto"/>
        <w:rPr>
          <w:color w:val="auto"/>
          <w:highlight w:val="none"/>
        </w:rPr>
      </w:pPr>
      <w:bookmarkStart w:id="967" w:name="_Toc740353520"/>
      <w:bookmarkStart w:id="968" w:name="_Toc2720"/>
      <w:bookmarkStart w:id="969" w:name="_Toc373227754"/>
      <w:bookmarkStart w:id="970" w:name="_Toc373478401"/>
      <w:bookmarkStart w:id="971" w:name="_Toc78449843"/>
      <w:bookmarkStart w:id="972" w:name="_Toc407135257"/>
      <w:bookmarkStart w:id="973" w:name="_Toc389065319"/>
      <w:r>
        <w:rPr>
          <w:color w:val="auto"/>
          <w:highlight w:val="none"/>
        </w:rPr>
        <w:t xml:space="preserve">13.1 </w:t>
      </w:r>
      <w:r>
        <w:rPr>
          <w:rFonts w:hint="eastAsia" w:cs="黑体"/>
          <w:color w:val="auto"/>
          <w:highlight w:val="none"/>
        </w:rPr>
        <w:t>分部分项工程验收</w:t>
      </w:r>
      <w:bookmarkEnd w:id="967"/>
      <w:bookmarkEnd w:id="968"/>
      <w:bookmarkEnd w:id="969"/>
      <w:bookmarkEnd w:id="970"/>
      <w:bookmarkEnd w:id="971"/>
      <w:bookmarkEnd w:id="972"/>
      <w:bookmarkEnd w:id="973"/>
    </w:p>
    <w:p w14:paraId="7C6DBA94">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13.1.2</w:t>
      </w:r>
      <w:r>
        <w:rPr>
          <w:rFonts w:hint="eastAsia" w:hAnsi="宋体" w:cs="宋体"/>
          <w:color w:val="auto"/>
          <w:highlight w:val="none"/>
        </w:rPr>
        <w:t>监理人不能按时进行验收时，应提前</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小时提交书面延期要求。</w:t>
      </w:r>
    </w:p>
    <w:p w14:paraId="0EE4C820">
      <w:pPr>
        <w:pageBreakBefore w:val="0"/>
        <w:widowControl w:val="0"/>
        <w:kinsoku/>
        <w:wordWrap/>
        <w:overflowPunct/>
        <w:topLinePunct w:val="0"/>
        <w:bidi w:val="0"/>
        <w:spacing w:line="360" w:lineRule="auto"/>
        <w:ind w:firstLine="420" w:firstLineChars="200"/>
        <w:jc w:val="left"/>
        <w:textAlignment w:val="auto"/>
        <w:rPr>
          <w:b/>
          <w:bCs/>
          <w:color w:val="auto"/>
          <w:highlight w:val="none"/>
        </w:rPr>
      </w:pPr>
      <w:r>
        <w:rPr>
          <w:rFonts w:hint="eastAsia" w:hAnsi="宋体" w:cs="宋体"/>
          <w:color w:val="auto"/>
          <w:highlight w:val="none"/>
        </w:rPr>
        <w:t>关于延期最长不得超过：</w:t>
      </w:r>
      <w:r>
        <w:rPr>
          <w:color w:val="auto"/>
          <w:highlight w:val="none"/>
          <w:u w:val="single"/>
        </w:rPr>
        <w:t xml:space="preserve"> </w:t>
      </w:r>
      <w:r>
        <w:rPr>
          <w:rFonts w:hint="eastAsia"/>
          <w:color w:val="auto"/>
          <w:highlight w:val="none"/>
          <w:u w:val="single"/>
          <w:lang w:val="en-US" w:eastAsia="zh-CN"/>
        </w:rPr>
        <w:t>48</w:t>
      </w:r>
      <w:r>
        <w:rPr>
          <w:color w:val="auto"/>
          <w:highlight w:val="none"/>
          <w:u w:val="single"/>
        </w:rPr>
        <w:t xml:space="preserve"> </w:t>
      </w:r>
      <w:r>
        <w:rPr>
          <w:rFonts w:hint="eastAsia" w:hAnsi="宋体" w:cs="宋体"/>
          <w:color w:val="auto"/>
          <w:highlight w:val="none"/>
        </w:rPr>
        <w:t>小时。</w:t>
      </w:r>
    </w:p>
    <w:p w14:paraId="564BD7C2">
      <w:pPr>
        <w:pStyle w:val="4"/>
        <w:pageBreakBefore w:val="0"/>
        <w:widowControl w:val="0"/>
        <w:kinsoku/>
        <w:wordWrap/>
        <w:overflowPunct/>
        <w:topLinePunct w:val="0"/>
        <w:bidi w:val="0"/>
        <w:spacing w:before="0" w:after="0" w:line="360" w:lineRule="auto"/>
        <w:textAlignment w:val="auto"/>
        <w:rPr>
          <w:color w:val="auto"/>
          <w:highlight w:val="none"/>
        </w:rPr>
      </w:pPr>
      <w:bookmarkStart w:id="974" w:name="_Toc14528"/>
      <w:bookmarkStart w:id="975" w:name="_Toc373478402"/>
      <w:bookmarkStart w:id="976" w:name="_Toc407135258"/>
      <w:bookmarkStart w:id="977" w:name="_Toc389065320"/>
      <w:bookmarkStart w:id="978" w:name="_Toc1578431234"/>
      <w:bookmarkStart w:id="979" w:name="_Toc78449844"/>
      <w:bookmarkStart w:id="980" w:name="_Toc373227755"/>
      <w:bookmarkStart w:id="981" w:name="_Toc296503223"/>
      <w:bookmarkStart w:id="982" w:name="_Toc296347222"/>
      <w:bookmarkStart w:id="983" w:name="_Toc292559933"/>
      <w:bookmarkStart w:id="984" w:name="_Toc297120523"/>
      <w:bookmarkStart w:id="985" w:name="_Toc297048409"/>
      <w:bookmarkStart w:id="986" w:name="_Toc296891051"/>
      <w:bookmarkStart w:id="987" w:name="_Toc297123565"/>
      <w:bookmarkStart w:id="988" w:name="_Toc303539173"/>
      <w:bookmarkStart w:id="989" w:name="_Toc296346724"/>
      <w:bookmarkStart w:id="990" w:name="_Toc297216224"/>
      <w:bookmarkStart w:id="991" w:name="_Toc312678056"/>
      <w:bookmarkStart w:id="992" w:name="_Toc300935016"/>
      <w:bookmarkStart w:id="993" w:name="_Toc304295596"/>
      <w:bookmarkStart w:id="994" w:name="_Toc296891263"/>
      <w:bookmarkStart w:id="995" w:name="_Toc292559428"/>
      <w:bookmarkStart w:id="996" w:name="_Toc296944562"/>
      <w:bookmarkStart w:id="997" w:name="_Toc267251474"/>
      <w:bookmarkStart w:id="998" w:name="_Toc267251470"/>
      <w:bookmarkStart w:id="999" w:name="_Toc267251476"/>
      <w:bookmarkStart w:id="1000" w:name="_Toc267251475"/>
      <w:bookmarkStart w:id="1001" w:name="_Toc267251471"/>
      <w:bookmarkStart w:id="1002" w:name="_Toc267251473"/>
      <w:bookmarkStart w:id="1003" w:name="_Toc267251472"/>
      <w:r>
        <w:rPr>
          <w:color w:val="auto"/>
          <w:highlight w:val="none"/>
        </w:rPr>
        <w:t xml:space="preserve">13.2 </w:t>
      </w:r>
      <w:r>
        <w:rPr>
          <w:rFonts w:hint="eastAsia" w:hAnsi="宋体" w:cs="黑体"/>
          <w:color w:val="auto"/>
          <w:highlight w:val="none"/>
        </w:rPr>
        <w:t>竣工验收</w:t>
      </w:r>
      <w:bookmarkEnd w:id="974"/>
      <w:bookmarkEnd w:id="975"/>
      <w:bookmarkEnd w:id="976"/>
      <w:bookmarkEnd w:id="977"/>
      <w:bookmarkEnd w:id="978"/>
      <w:bookmarkEnd w:id="979"/>
      <w:bookmarkEnd w:id="980"/>
    </w:p>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14:paraId="454EE08A">
      <w:pPr>
        <w:pageBreakBefore w:val="0"/>
        <w:widowControl w:val="0"/>
        <w:kinsoku/>
        <w:wordWrap/>
        <w:overflowPunct/>
        <w:topLinePunct w:val="0"/>
        <w:bidi w:val="0"/>
        <w:spacing w:line="360" w:lineRule="auto"/>
        <w:ind w:firstLine="420" w:firstLineChars="200"/>
        <w:jc w:val="left"/>
        <w:textAlignment w:val="auto"/>
        <w:rPr>
          <w:color w:val="auto"/>
          <w:highlight w:val="none"/>
        </w:rPr>
      </w:pPr>
      <w:bookmarkStart w:id="1004" w:name="_Toc280868704"/>
      <w:bookmarkStart w:id="1005" w:name="_Toc280868705"/>
      <w:bookmarkStart w:id="1006" w:name="_Toc280868706"/>
      <w:bookmarkStart w:id="1007" w:name="_Toc280868707"/>
      <w:bookmarkStart w:id="1008" w:name="_Toc280868708"/>
      <w:bookmarkStart w:id="1009" w:name="_Toc280868709"/>
      <w:r>
        <w:rPr>
          <w:color w:val="auto"/>
          <w:highlight w:val="none"/>
        </w:rPr>
        <w:t>13.2.1</w:t>
      </w:r>
      <w:r>
        <w:rPr>
          <w:rFonts w:hint="eastAsia" w:hAnsi="宋体" w:cs="宋体"/>
          <w:color w:val="auto"/>
          <w:highlight w:val="none"/>
        </w:rPr>
        <w:t>竣工验收条件</w:t>
      </w:r>
    </w:p>
    <w:p w14:paraId="22F4482B">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w:t>
      </w:r>
      <w:r>
        <w:rPr>
          <w:rFonts w:hint="eastAsia" w:hAnsi="宋体" w:cs="宋体"/>
          <w:color w:val="auto"/>
          <w:highlight w:val="none"/>
        </w:rPr>
        <w:t>承包人负责整理和提交的竣工验收资料应当符合工程所在地建设行政主管部门和</w:t>
      </w:r>
      <w:r>
        <w:rPr>
          <w:rFonts w:hint="eastAsia"/>
          <w:color w:val="auto"/>
          <w:highlight w:val="none"/>
          <w:lang w:eastAsia="zh-CN"/>
        </w:rPr>
        <w:t>（</w:t>
      </w:r>
      <w:r>
        <w:rPr>
          <w:rFonts w:hint="eastAsia" w:hAnsi="宋体" w:cs="宋体"/>
          <w:color w:val="auto"/>
          <w:highlight w:val="none"/>
        </w:rPr>
        <w:t>或</w:t>
      </w:r>
      <w:r>
        <w:rPr>
          <w:rFonts w:hint="eastAsia"/>
          <w:color w:val="auto"/>
          <w:highlight w:val="none"/>
          <w:lang w:eastAsia="zh-CN"/>
        </w:rPr>
        <w:t>）</w:t>
      </w:r>
      <w:r>
        <w:rPr>
          <w:rFonts w:hint="eastAsia" w:hAnsi="宋体" w:cs="宋体"/>
          <w:color w:val="auto"/>
          <w:highlight w:val="none"/>
        </w:rPr>
        <w:t>城市建设档案管理机构有关施工资料的要求，具体内容包括：</w:t>
      </w:r>
      <w:r>
        <w:rPr>
          <w:color w:val="auto"/>
          <w:highlight w:val="none"/>
          <w:u w:val="single"/>
        </w:rPr>
        <w:t xml:space="preserve"> </w:t>
      </w:r>
      <w:r>
        <w:rPr>
          <w:rFonts w:hint="eastAsia"/>
          <w:color w:val="auto"/>
          <w:highlight w:val="none"/>
          <w:u w:val="single"/>
        </w:rPr>
        <w:t>按有关规定执行</w:t>
      </w:r>
      <w:r>
        <w:rPr>
          <w:color w:val="auto"/>
          <w:highlight w:val="none"/>
          <w:u w:val="single"/>
        </w:rPr>
        <w:t xml:space="preserve"> </w:t>
      </w:r>
      <w:r>
        <w:rPr>
          <w:rFonts w:hint="eastAsia" w:hAnsi="宋体" w:cs="宋体"/>
          <w:color w:val="auto"/>
          <w:highlight w:val="none"/>
        </w:rPr>
        <w:t>。</w:t>
      </w:r>
    </w:p>
    <w:p w14:paraId="7FE596F7">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竣工验收资料的份数：</w:t>
      </w:r>
      <w:r>
        <w:rPr>
          <w:color w:val="auto"/>
          <w:highlight w:val="none"/>
          <w:u w:val="single"/>
        </w:rPr>
        <w:t xml:space="preserve"> </w:t>
      </w:r>
      <w:r>
        <w:rPr>
          <w:rFonts w:hint="eastAsia"/>
          <w:color w:val="auto"/>
          <w:highlight w:val="none"/>
          <w:u w:val="single"/>
        </w:rPr>
        <w:t>捌份</w:t>
      </w:r>
      <w:r>
        <w:rPr>
          <w:color w:val="auto"/>
          <w:highlight w:val="none"/>
          <w:u w:val="single"/>
        </w:rPr>
        <w:t xml:space="preserve"> </w:t>
      </w:r>
      <w:r>
        <w:rPr>
          <w:rFonts w:hint="eastAsia" w:hAnsi="宋体" w:cs="宋体"/>
          <w:color w:val="auto"/>
          <w:highlight w:val="none"/>
        </w:rPr>
        <w:t>。</w:t>
      </w:r>
    </w:p>
    <w:p w14:paraId="183BD26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承包人提供竣工图的约定：</w:t>
      </w:r>
      <w:r>
        <w:rPr>
          <w:rFonts w:hint="eastAsia" w:hAnsi="宋体" w:cs="宋体"/>
          <w:color w:val="auto"/>
          <w:highlight w:val="none"/>
          <w:u w:val="single"/>
        </w:rPr>
        <w:t>竣工验收正式通过后</w:t>
      </w:r>
      <w:r>
        <w:rPr>
          <w:color w:val="auto"/>
          <w:highlight w:val="none"/>
          <w:u w:val="single"/>
        </w:rPr>
        <w:t>5</w:t>
      </w:r>
      <w:r>
        <w:rPr>
          <w:rFonts w:hint="eastAsia" w:hAnsi="宋体" w:cs="宋体"/>
          <w:color w:val="auto"/>
          <w:highlight w:val="none"/>
          <w:u w:val="single"/>
        </w:rPr>
        <w:t>天（工程造价在</w:t>
      </w:r>
      <w:r>
        <w:rPr>
          <w:color w:val="auto"/>
          <w:highlight w:val="none"/>
          <w:u w:val="single"/>
        </w:rPr>
        <w:t>500</w:t>
      </w:r>
      <w:r>
        <w:rPr>
          <w:rFonts w:hint="eastAsia" w:hAnsi="宋体" w:cs="宋体"/>
          <w:color w:val="auto"/>
          <w:highlight w:val="none"/>
          <w:u w:val="single"/>
        </w:rPr>
        <w:t>万元以下含</w:t>
      </w:r>
      <w:r>
        <w:rPr>
          <w:color w:val="auto"/>
          <w:highlight w:val="none"/>
          <w:u w:val="single"/>
        </w:rPr>
        <w:t>500</w:t>
      </w:r>
      <w:r>
        <w:rPr>
          <w:rFonts w:hint="eastAsia" w:hAnsi="宋体" w:cs="宋体"/>
          <w:color w:val="auto"/>
          <w:highlight w:val="none"/>
          <w:u w:val="single"/>
        </w:rPr>
        <w:t>万元）、</w:t>
      </w:r>
      <w:r>
        <w:rPr>
          <w:color w:val="auto"/>
          <w:highlight w:val="none"/>
          <w:u w:val="single"/>
        </w:rPr>
        <w:t>10</w:t>
      </w:r>
      <w:r>
        <w:rPr>
          <w:rFonts w:hint="eastAsia" w:hAnsi="宋体" w:cs="宋体"/>
          <w:color w:val="auto"/>
          <w:highlight w:val="none"/>
          <w:u w:val="single"/>
        </w:rPr>
        <w:t>天（工程造价在</w:t>
      </w:r>
      <w:r>
        <w:rPr>
          <w:color w:val="auto"/>
          <w:highlight w:val="none"/>
          <w:u w:val="single"/>
        </w:rPr>
        <w:t>500</w:t>
      </w:r>
      <w:r>
        <w:rPr>
          <w:rFonts w:hint="eastAsia" w:hAnsi="宋体" w:cs="宋体"/>
          <w:color w:val="auto"/>
          <w:highlight w:val="none"/>
          <w:u w:val="single"/>
        </w:rPr>
        <w:t>万元至</w:t>
      </w:r>
      <w:r>
        <w:rPr>
          <w:color w:val="auto"/>
          <w:highlight w:val="none"/>
          <w:u w:val="single"/>
        </w:rPr>
        <w:t>1000</w:t>
      </w:r>
      <w:r>
        <w:rPr>
          <w:rFonts w:hint="eastAsia" w:hAnsi="宋体" w:cs="宋体"/>
          <w:color w:val="auto"/>
          <w:highlight w:val="none"/>
          <w:u w:val="single"/>
        </w:rPr>
        <w:t>万元之间含</w:t>
      </w:r>
      <w:r>
        <w:rPr>
          <w:color w:val="auto"/>
          <w:highlight w:val="none"/>
          <w:u w:val="single"/>
        </w:rPr>
        <w:t>1000</w:t>
      </w:r>
      <w:r>
        <w:rPr>
          <w:rFonts w:hint="eastAsia" w:hAnsi="宋体" w:cs="宋体"/>
          <w:color w:val="auto"/>
          <w:highlight w:val="none"/>
          <w:u w:val="single"/>
        </w:rPr>
        <w:t>万元）、</w:t>
      </w:r>
      <w:r>
        <w:rPr>
          <w:color w:val="auto"/>
          <w:highlight w:val="none"/>
          <w:u w:val="single"/>
        </w:rPr>
        <w:t>15</w:t>
      </w:r>
      <w:r>
        <w:rPr>
          <w:rFonts w:hint="eastAsia" w:hAnsi="宋体" w:cs="宋体"/>
          <w:color w:val="auto"/>
          <w:highlight w:val="none"/>
          <w:u w:val="single"/>
        </w:rPr>
        <w:t>天（工程造价在</w:t>
      </w:r>
      <w:r>
        <w:rPr>
          <w:color w:val="auto"/>
          <w:highlight w:val="none"/>
          <w:u w:val="single"/>
        </w:rPr>
        <w:t>1000</w:t>
      </w:r>
      <w:r>
        <w:rPr>
          <w:rFonts w:hint="eastAsia" w:hAnsi="宋体" w:cs="宋体"/>
          <w:color w:val="auto"/>
          <w:highlight w:val="none"/>
          <w:u w:val="single"/>
        </w:rPr>
        <w:t>万元以上），提供竣工图的数量分别为</w:t>
      </w:r>
      <w:r>
        <w:rPr>
          <w:color w:val="auto"/>
          <w:highlight w:val="none"/>
          <w:u w:val="single"/>
        </w:rPr>
        <w:t>2</w:t>
      </w:r>
      <w:r>
        <w:rPr>
          <w:rFonts w:hint="eastAsia" w:hAnsi="宋体" w:cs="宋体"/>
          <w:color w:val="auto"/>
          <w:highlight w:val="none"/>
          <w:u w:val="single"/>
        </w:rPr>
        <w:t>套、</w:t>
      </w:r>
      <w:r>
        <w:rPr>
          <w:color w:val="auto"/>
          <w:highlight w:val="none"/>
          <w:u w:val="single"/>
        </w:rPr>
        <w:t>4</w:t>
      </w:r>
      <w:r>
        <w:rPr>
          <w:rFonts w:hint="eastAsia" w:hAnsi="宋体" w:cs="宋体"/>
          <w:color w:val="auto"/>
          <w:highlight w:val="none"/>
          <w:u w:val="single"/>
        </w:rPr>
        <w:t>套、</w:t>
      </w:r>
      <w:r>
        <w:rPr>
          <w:color w:val="auto"/>
          <w:highlight w:val="none"/>
          <w:u w:val="single"/>
        </w:rPr>
        <w:t>6</w:t>
      </w:r>
      <w:r>
        <w:rPr>
          <w:rFonts w:hint="eastAsia" w:hAnsi="宋体" w:cs="宋体"/>
          <w:color w:val="auto"/>
          <w:highlight w:val="none"/>
          <w:u w:val="single"/>
        </w:rPr>
        <w:t>套。</w:t>
      </w:r>
    </w:p>
    <w:p w14:paraId="6EB92F2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13.2.2</w:t>
      </w:r>
      <w:r>
        <w:rPr>
          <w:rFonts w:hint="eastAsia" w:hAnsi="宋体" w:cs="宋体"/>
          <w:color w:val="auto"/>
          <w:highlight w:val="none"/>
        </w:rPr>
        <w:t>竣工验收程序</w:t>
      </w:r>
    </w:p>
    <w:bookmarkEnd w:id="1004"/>
    <w:p w14:paraId="5AC1D617">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关于竣工验收程序的约定：</w:t>
      </w:r>
      <w:r>
        <w:rPr>
          <w:color w:val="auto"/>
          <w:highlight w:val="none"/>
          <w:u w:val="single"/>
        </w:rPr>
        <w:t xml:space="preserve">  </w:t>
      </w:r>
      <w:r>
        <w:rPr>
          <w:rFonts w:hint="eastAsia"/>
          <w:color w:val="auto"/>
          <w:highlight w:val="none"/>
          <w:u w:val="single"/>
        </w:rPr>
        <w:t>按通用条款约定及国家现行法律法规执行</w:t>
      </w:r>
      <w:r>
        <w:rPr>
          <w:color w:val="auto"/>
          <w:highlight w:val="none"/>
          <w:u w:val="single"/>
        </w:rPr>
        <w:t xml:space="preserve"> </w:t>
      </w:r>
      <w:r>
        <w:rPr>
          <w:rFonts w:hint="eastAsia" w:hAnsi="宋体" w:cs="宋体"/>
          <w:color w:val="auto"/>
          <w:highlight w:val="none"/>
        </w:rPr>
        <w:t>。</w:t>
      </w:r>
    </w:p>
    <w:p w14:paraId="60C438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color w:val="auto"/>
          <w:highlight w:val="none"/>
        </w:rPr>
      </w:pPr>
      <w:r>
        <w:rPr>
          <w:rFonts w:hint="eastAsia" w:hAnsi="宋体" w:cs="宋体"/>
          <w:color w:val="auto"/>
          <w:kern w:val="0"/>
          <w:highlight w:val="none"/>
        </w:rPr>
        <w:t>发包人不按照本项约定组织竣工验收、颁发工程接收证书的违约金的计算方法：</w:t>
      </w:r>
      <w:r>
        <w:rPr>
          <w:color w:val="auto"/>
          <w:highlight w:val="none"/>
          <w:u w:val="single"/>
        </w:rPr>
        <w:t xml:space="preserve"> </w:t>
      </w:r>
      <w:r>
        <w:rPr>
          <w:rFonts w:hint="eastAsia"/>
          <w:color w:val="auto"/>
          <w:highlight w:val="none"/>
          <w:u w:val="single"/>
        </w:rPr>
        <w:t>以经发包人审核确认的工程进度款扣除发包人已支付进度款后的金额为基数，根据逾期天数按照中国人民银行发布的同期同类存款基准利率计算支付违约金</w:t>
      </w:r>
      <w:r>
        <w:rPr>
          <w:color w:val="auto"/>
          <w:highlight w:val="none"/>
          <w:u w:val="single"/>
        </w:rPr>
        <w:t xml:space="preserve">  </w:t>
      </w:r>
      <w:r>
        <w:rPr>
          <w:rFonts w:hint="eastAsia" w:hAnsi="宋体" w:cs="宋体"/>
          <w:color w:val="auto"/>
          <w:highlight w:val="none"/>
        </w:rPr>
        <w:t>。</w:t>
      </w:r>
    </w:p>
    <w:bookmarkEnd w:id="1005"/>
    <w:p w14:paraId="212B39D4">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13.2.5</w:t>
      </w:r>
      <w:r>
        <w:rPr>
          <w:rFonts w:hint="eastAsia" w:hAnsi="宋体" w:cs="宋体"/>
          <w:color w:val="auto"/>
          <w:highlight w:val="none"/>
        </w:rPr>
        <w:t>移交、接收全部与部分工程</w:t>
      </w:r>
    </w:p>
    <w:bookmarkEnd w:id="1006"/>
    <w:p w14:paraId="678E1ABF">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承包人向发包人移交工程的期限：</w:t>
      </w:r>
      <w:r>
        <w:rPr>
          <w:color w:val="auto"/>
          <w:highlight w:val="none"/>
          <w:u w:val="single"/>
        </w:rPr>
        <w:t xml:space="preserve"> </w:t>
      </w:r>
      <w:r>
        <w:rPr>
          <w:rFonts w:hint="eastAsia"/>
          <w:color w:val="auto"/>
          <w:highlight w:val="none"/>
          <w:u w:val="single"/>
        </w:rPr>
        <w:t>竣工验收合格后10日内</w:t>
      </w:r>
      <w:r>
        <w:rPr>
          <w:color w:val="auto"/>
          <w:highlight w:val="none"/>
          <w:u w:val="single"/>
        </w:rPr>
        <w:t xml:space="preserve"> </w:t>
      </w:r>
      <w:r>
        <w:rPr>
          <w:rFonts w:hint="eastAsia" w:hAnsi="宋体" w:cs="宋体"/>
          <w:color w:val="auto"/>
          <w:highlight w:val="none"/>
        </w:rPr>
        <w:t>。</w:t>
      </w:r>
    </w:p>
    <w:p w14:paraId="756F8EF6">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发包人未按本合同约定接收全部或部分工程的，违约金的计算方法为：</w:t>
      </w:r>
      <w:r>
        <w:rPr>
          <w:color w:val="auto"/>
          <w:highlight w:val="none"/>
          <w:u w:val="single"/>
        </w:rPr>
        <w:t xml:space="preserve"> </w:t>
      </w:r>
      <w:r>
        <w:rPr>
          <w:rFonts w:hint="eastAsia"/>
          <w:color w:val="auto"/>
          <w:highlight w:val="none"/>
          <w:u w:val="single"/>
        </w:rPr>
        <w:t>以该部分为接收工程造价为基数， 根据逾期天数按照中国人民银行发布的同期同类存款基准利率计算支付违约金</w:t>
      </w:r>
      <w:r>
        <w:rPr>
          <w:color w:val="auto"/>
          <w:highlight w:val="none"/>
          <w:u w:val="single"/>
        </w:rPr>
        <w:t xml:space="preserve"> </w:t>
      </w:r>
      <w:r>
        <w:rPr>
          <w:rFonts w:hint="eastAsia" w:hAnsi="宋体" w:cs="宋体"/>
          <w:color w:val="auto"/>
          <w:highlight w:val="none"/>
        </w:rPr>
        <w:t>。</w:t>
      </w:r>
    </w:p>
    <w:bookmarkEnd w:id="1007"/>
    <w:p w14:paraId="111D1FD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承包人未按时移交工程的，违约金的计算方法为：</w:t>
      </w:r>
      <w:r>
        <w:rPr>
          <w:color w:val="auto"/>
          <w:highlight w:val="none"/>
          <w:u w:val="single"/>
        </w:rPr>
        <w:t xml:space="preserve"> </w:t>
      </w:r>
      <w:r>
        <w:rPr>
          <w:rFonts w:hint="eastAsia"/>
          <w:color w:val="auto"/>
          <w:highlight w:val="none"/>
          <w:u w:val="single"/>
        </w:rPr>
        <w:t>执行本合同专用条款的7.5.2条款</w:t>
      </w:r>
      <w:r>
        <w:rPr>
          <w:color w:val="auto"/>
          <w:highlight w:val="none"/>
          <w:u w:val="single"/>
        </w:rPr>
        <w:t xml:space="preserve"> </w:t>
      </w:r>
      <w:r>
        <w:rPr>
          <w:rFonts w:hint="eastAsia" w:hAnsi="宋体" w:cs="宋体"/>
          <w:color w:val="auto"/>
          <w:highlight w:val="none"/>
        </w:rPr>
        <w:t>。</w:t>
      </w:r>
    </w:p>
    <w:p w14:paraId="7E59A2CD">
      <w:pPr>
        <w:pStyle w:val="4"/>
        <w:pageBreakBefore w:val="0"/>
        <w:widowControl w:val="0"/>
        <w:kinsoku/>
        <w:wordWrap/>
        <w:overflowPunct/>
        <w:topLinePunct w:val="0"/>
        <w:bidi w:val="0"/>
        <w:spacing w:before="0" w:after="0" w:line="360" w:lineRule="auto"/>
        <w:textAlignment w:val="auto"/>
        <w:rPr>
          <w:color w:val="auto"/>
          <w:highlight w:val="none"/>
        </w:rPr>
      </w:pPr>
      <w:bookmarkStart w:id="1010" w:name="_Toc389065321"/>
      <w:bookmarkStart w:id="1011" w:name="_Toc373227756"/>
      <w:bookmarkStart w:id="1012" w:name="_Toc11223"/>
      <w:bookmarkStart w:id="1013" w:name="_Toc373478403"/>
      <w:bookmarkStart w:id="1014" w:name="_Toc1470255881"/>
      <w:bookmarkStart w:id="1015" w:name="_Toc78449845"/>
      <w:bookmarkStart w:id="1016" w:name="_Toc407135259"/>
      <w:r>
        <w:rPr>
          <w:color w:val="auto"/>
          <w:highlight w:val="none"/>
        </w:rPr>
        <w:t xml:space="preserve">13.3 </w:t>
      </w:r>
      <w:r>
        <w:rPr>
          <w:rFonts w:hint="eastAsia" w:hAnsi="宋体" w:cs="黑体"/>
          <w:color w:val="auto"/>
          <w:highlight w:val="none"/>
        </w:rPr>
        <w:t>工程试车</w:t>
      </w:r>
      <w:bookmarkEnd w:id="1010"/>
      <w:bookmarkEnd w:id="1011"/>
      <w:bookmarkEnd w:id="1012"/>
      <w:bookmarkEnd w:id="1013"/>
      <w:bookmarkEnd w:id="1014"/>
      <w:bookmarkEnd w:id="1015"/>
      <w:bookmarkEnd w:id="1016"/>
    </w:p>
    <w:bookmarkEnd w:id="1008"/>
    <w:p w14:paraId="5B97A6B5">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color w:val="auto"/>
          <w:kern w:val="0"/>
          <w:highlight w:val="none"/>
        </w:rPr>
        <w:t xml:space="preserve">13.3.1 </w:t>
      </w:r>
      <w:r>
        <w:rPr>
          <w:rFonts w:hint="eastAsia" w:hAnsi="宋体" w:cs="宋体"/>
          <w:color w:val="auto"/>
          <w:kern w:val="0"/>
          <w:highlight w:val="none"/>
        </w:rPr>
        <w:t>试车程序</w:t>
      </w:r>
    </w:p>
    <w:p w14:paraId="3B2D8F6D">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工程试车内容：</w:t>
      </w:r>
      <w:r>
        <w:rPr>
          <w:color w:val="auto"/>
          <w:highlight w:val="none"/>
          <w:u w:val="single"/>
        </w:rPr>
        <w:t xml:space="preserve">  </w:t>
      </w:r>
      <w:r>
        <w:rPr>
          <w:rFonts w:hint="eastAsia"/>
          <w:color w:val="auto"/>
          <w:highlight w:val="none"/>
          <w:u w:val="single"/>
        </w:rPr>
        <w:t>招标范围内的全部图纸施工工程内容</w:t>
      </w:r>
      <w:r>
        <w:rPr>
          <w:color w:val="auto"/>
          <w:highlight w:val="none"/>
          <w:u w:val="single"/>
        </w:rPr>
        <w:t xml:space="preserve">  </w:t>
      </w:r>
      <w:r>
        <w:rPr>
          <w:rFonts w:hint="eastAsia" w:hAnsi="宋体" w:cs="宋体"/>
          <w:color w:val="auto"/>
          <w:highlight w:val="none"/>
        </w:rPr>
        <w:t>。</w:t>
      </w:r>
    </w:p>
    <w:p w14:paraId="1020C191">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）单机无负荷试车费用由</w:t>
      </w:r>
      <w:r>
        <w:rPr>
          <w:color w:val="auto"/>
          <w:highlight w:val="none"/>
          <w:u w:val="single"/>
        </w:rPr>
        <w:t xml:space="preserve">  </w:t>
      </w:r>
      <w:r>
        <w:rPr>
          <w:rFonts w:hint="eastAsia"/>
          <w:color w:val="auto"/>
          <w:highlight w:val="none"/>
          <w:u w:val="single"/>
        </w:rPr>
        <w:t>承包人</w:t>
      </w:r>
      <w:r>
        <w:rPr>
          <w:color w:val="auto"/>
          <w:highlight w:val="none"/>
          <w:u w:val="single"/>
        </w:rPr>
        <w:t xml:space="preserve">  </w:t>
      </w:r>
      <w:r>
        <w:rPr>
          <w:rFonts w:hint="eastAsia" w:hAnsi="宋体" w:cs="宋体"/>
          <w:color w:val="auto"/>
          <w:kern w:val="0"/>
          <w:highlight w:val="none"/>
        </w:rPr>
        <w:t>承担；</w:t>
      </w:r>
    </w:p>
    <w:p w14:paraId="30AEF6A0">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）无负荷联动试车费用由</w:t>
      </w:r>
      <w:r>
        <w:rPr>
          <w:color w:val="auto"/>
          <w:highlight w:val="none"/>
          <w:u w:val="single"/>
        </w:rPr>
        <w:t xml:space="preserve">  </w:t>
      </w:r>
      <w:r>
        <w:rPr>
          <w:rFonts w:hint="eastAsia"/>
          <w:color w:val="auto"/>
          <w:highlight w:val="none"/>
          <w:u w:val="single"/>
        </w:rPr>
        <w:t>承包人</w:t>
      </w:r>
      <w:r>
        <w:rPr>
          <w:color w:val="auto"/>
          <w:highlight w:val="none"/>
          <w:u w:val="single"/>
        </w:rPr>
        <w:t xml:space="preserve">  </w:t>
      </w:r>
      <w:r>
        <w:rPr>
          <w:rFonts w:hint="eastAsia" w:hAnsi="宋体" w:cs="宋体"/>
          <w:color w:val="auto"/>
          <w:kern w:val="0"/>
          <w:highlight w:val="none"/>
        </w:rPr>
        <w:t>承担。</w:t>
      </w:r>
    </w:p>
    <w:p w14:paraId="5BAC8A22">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color w:val="auto"/>
          <w:kern w:val="0"/>
          <w:highlight w:val="none"/>
        </w:rPr>
        <w:t xml:space="preserve">13.3.3 </w:t>
      </w:r>
      <w:r>
        <w:rPr>
          <w:rFonts w:hint="eastAsia" w:hAnsi="宋体" w:cs="宋体"/>
          <w:color w:val="auto"/>
          <w:kern w:val="0"/>
          <w:highlight w:val="none"/>
        </w:rPr>
        <w:t>投料试车</w:t>
      </w:r>
    </w:p>
    <w:p w14:paraId="388C864F">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关于投料试车相关事项的约定：</w:t>
      </w:r>
      <w:r>
        <w:rPr>
          <w:color w:val="auto"/>
          <w:highlight w:val="none"/>
          <w:u w:val="single"/>
        </w:rPr>
        <w:t xml:space="preserve">  </w:t>
      </w:r>
      <w:r>
        <w:rPr>
          <w:rFonts w:hint="eastAsia"/>
          <w:color w:val="auto"/>
          <w:highlight w:val="none"/>
          <w:u w:val="single"/>
        </w:rPr>
        <w:t>投料试车内容由双方商定，试车费用由承包人承担</w:t>
      </w:r>
      <w:r>
        <w:rPr>
          <w:color w:val="auto"/>
          <w:highlight w:val="none"/>
          <w:u w:val="single"/>
        </w:rPr>
        <w:t xml:space="preserve">  </w:t>
      </w:r>
      <w:r>
        <w:rPr>
          <w:rFonts w:hint="eastAsia" w:hAnsi="宋体" w:cs="宋体"/>
          <w:color w:val="auto"/>
          <w:highlight w:val="none"/>
        </w:rPr>
        <w:t>。</w:t>
      </w:r>
    </w:p>
    <w:p w14:paraId="6032F51E">
      <w:pPr>
        <w:pStyle w:val="4"/>
        <w:pageBreakBefore w:val="0"/>
        <w:widowControl w:val="0"/>
        <w:kinsoku/>
        <w:wordWrap/>
        <w:overflowPunct/>
        <w:topLinePunct w:val="0"/>
        <w:bidi w:val="0"/>
        <w:spacing w:before="0" w:after="0" w:line="360" w:lineRule="auto"/>
        <w:textAlignment w:val="auto"/>
        <w:rPr>
          <w:color w:val="auto"/>
          <w:highlight w:val="none"/>
        </w:rPr>
      </w:pPr>
      <w:bookmarkStart w:id="1017" w:name="_Toc10307455"/>
      <w:bookmarkStart w:id="1018" w:name="_Toc407135260"/>
      <w:bookmarkStart w:id="1019" w:name="_Toc78449846"/>
      <w:bookmarkStart w:id="1020" w:name="_Toc389065322"/>
      <w:bookmarkStart w:id="1021" w:name="_Toc157"/>
      <w:bookmarkStart w:id="1022" w:name="_Toc373478404"/>
      <w:bookmarkStart w:id="1023" w:name="_Toc373227757"/>
      <w:r>
        <w:rPr>
          <w:color w:val="auto"/>
          <w:highlight w:val="none"/>
        </w:rPr>
        <w:t xml:space="preserve">13.6 </w:t>
      </w:r>
      <w:r>
        <w:rPr>
          <w:rFonts w:hint="eastAsia" w:hAnsi="宋体" w:cs="黑体"/>
          <w:color w:val="auto"/>
          <w:highlight w:val="none"/>
        </w:rPr>
        <w:t>竣工退场</w:t>
      </w:r>
      <w:bookmarkEnd w:id="1017"/>
      <w:bookmarkEnd w:id="1018"/>
      <w:bookmarkEnd w:id="1019"/>
      <w:bookmarkEnd w:id="1020"/>
      <w:bookmarkEnd w:id="1021"/>
      <w:bookmarkEnd w:id="1022"/>
      <w:bookmarkEnd w:id="1023"/>
    </w:p>
    <w:p w14:paraId="704D8CAC">
      <w:pPr>
        <w:pageBreakBefore w:val="0"/>
        <w:widowControl w:val="0"/>
        <w:kinsoku/>
        <w:wordWrap/>
        <w:overflowPunct/>
        <w:topLinePunct w:val="0"/>
        <w:bidi w:val="0"/>
        <w:spacing w:line="360" w:lineRule="auto"/>
        <w:ind w:firstLine="420" w:firstLineChars="200"/>
        <w:jc w:val="left"/>
        <w:textAlignment w:val="auto"/>
        <w:outlineLvl w:val="0"/>
        <w:rPr>
          <w:color w:val="auto"/>
          <w:kern w:val="0"/>
          <w:highlight w:val="none"/>
        </w:rPr>
      </w:pPr>
      <w:r>
        <w:rPr>
          <w:color w:val="auto"/>
          <w:kern w:val="0"/>
          <w:highlight w:val="none"/>
        </w:rPr>
        <w:t xml:space="preserve">13.6.1 </w:t>
      </w:r>
      <w:r>
        <w:rPr>
          <w:rFonts w:hint="eastAsia" w:hAnsi="宋体" w:cs="宋体"/>
          <w:color w:val="auto"/>
          <w:kern w:val="0"/>
          <w:highlight w:val="none"/>
        </w:rPr>
        <w:t>竣工退场</w:t>
      </w:r>
    </w:p>
    <w:p w14:paraId="02C901B1">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承包人完成竣工退场的期限：</w:t>
      </w:r>
      <w:r>
        <w:rPr>
          <w:color w:val="auto"/>
          <w:highlight w:val="none"/>
          <w:u w:val="single"/>
        </w:rPr>
        <w:t xml:space="preserve">  </w:t>
      </w:r>
      <w:r>
        <w:rPr>
          <w:rFonts w:hint="eastAsia"/>
          <w:color w:val="auto"/>
          <w:highlight w:val="none"/>
          <w:u w:val="single"/>
        </w:rPr>
        <w:t>工程竣工验收合格交付使用后30天内清场</w:t>
      </w:r>
      <w:r>
        <w:rPr>
          <w:color w:val="auto"/>
          <w:highlight w:val="none"/>
          <w:u w:val="single"/>
        </w:rPr>
        <w:t xml:space="preserve">  </w:t>
      </w:r>
      <w:r>
        <w:rPr>
          <w:rFonts w:hint="eastAsia" w:hAnsi="宋体" w:cs="宋体"/>
          <w:color w:val="auto"/>
          <w:kern w:val="0"/>
          <w:highlight w:val="none"/>
        </w:rPr>
        <w:t>。</w:t>
      </w:r>
    </w:p>
    <w:p w14:paraId="14344EE2">
      <w:pPr>
        <w:pStyle w:val="3"/>
        <w:pageBreakBefore w:val="0"/>
        <w:widowControl w:val="0"/>
        <w:kinsoku/>
        <w:wordWrap/>
        <w:overflowPunct/>
        <w:topLinePunct w:val="0"/>
        <w:bidi w:val="0"/>
        <w:spacing w:before="0" w:after="0" w:line="360" w:lineRule="auto"/>
        <w:textAlignment w:val="auto"/>
        <w:rPr>
          <w:color w:val="auto"/>
          <w:highlight w:val="none"/>
        </w:rPr>
      </w:pPr>
      <w:bookmarkStart w:id="1024" w:name="_Toc373227758"/>
      <w:bookmarkStart w:id="1025" w:name="_Toc351203646"/>
      <w:bookmarkStart w:id="1026" w:name="_Toc1385490858"/>
      <w:bookmarkStart w:id="1027" w:name="_Toc373478405"/>
      <w:bookmarkStart w:id="1028" w:name="_Toc78449847"/>
      <w:bookmarkStart w:id="1029" w:name="_Toc407135261"/>
      <w:bookmarkStart w:id="1030" w:name="_Toc389065323"/>
      <w:bookmarkStart w:id="1031" w:name="_Toc17626"/>
      <w:r>
        <w:rPr>
          <w:color w:val="auto"/>
          <w:highlight w:val="none"/>
        </w:rPr>
        <w:t xml:space="preserve">14. </w:t>
      </w:r>
      <w:r>
        <w:rPr>
          <w:rFonts w:hint="eastAsia" w:hAnsi="宋体" w:cs="黑体"/>
          <w:color w:val="auto"/>
          <w:highlight w:val="none"/>
        </w:rPr>
        <w:t>竣工结算</w:t>
      </w:r>
      <w:bookmarkEnd w:id="1024"/>
      <w:bookmarkEnd w:id="1025"/>
      <w:bookmarkEnd w:id="1026"/>
      <w:bookmarkEnd w:id="1027"/>
      <w:bookmarkEnd w:id="1028"/>
      <w:bookmarkEnd w:id="1029"/>
      <w:bookmarkEnd w:id="1030"/>
      <w:bookmarkEnd w:id="1031"/>
    </w:p>
    <w:p w14:paraId="1930BB11">
      <w:pPr>
        <w:pStyle w:val="4"/>
        <w:pageBreakBefore w:val="0"/>
        <w:widowControl w:val="0"/>
        <w:kinsoku/>
        <w:wordWrap/>
        <w:overflowPunct/>
        <w:topLinePunct w:val="0"/>
        <w:bidi w:val="0"/>
        <w:spacing w:before="0" w:after="0" w:line="360" w:lineRule="auto"/>
        <w:textAlignment w:val="auto"/>
        <w:rPr>
          <w:color w:val="auto"/>
          <w:highlight w:val="none"/>
        </w:rPr>
      </w:pPr>
      <w:bookmarkStart w:id="1032" w:name="_Toc373478406"/>
      <w:bookmarkStart w:id="1033" w:name="_Toc407135262"/>
      <w:bookmarkStart w:id="1034" w:name="_Toc373227759"/>
      <w:bookmarkStart w:id="1035" w:name="_Toc2665"/>
      <w:bookmarkStart w:id="1036" w:name="_Toc389065324"/>
      <w:bookmarkStart w:id="1037" w:name="_Toc174652718"/>
      <w:bookmarkStart w:id="1038" w:name="_Toc78449848"/>
      <w:r>
        <w:rPr>
          <w:color w:val="auto"/>
          <w:highlight w:val="none"/>
        </w:rPr>
        <w:t xml:space="preserve">14.1 </w:t>
      </w:r>
      <w:r>
        <w:rPr>
          <w:rFonts w:hint="eastAsia" w:hAnsi="宋体" w:cs="黑体"/>
          <w:color w:val="auto"/>
          <w:highlight w:val="none"/>
        </w:rPr>
        <w:t>竣工付款申请</w:t>
      </w:r>
      <w:bookmarkEnd w:id="1032"/>
      <w:bookmarkEnd w:id="1033"/>
      <w:bookmarkEnd w:id="1034"/>
      <w:bookmarkEnd w:id="1035"/>
      <w:bookmarkEnd w:id="1036"/>
      <w:bookmarkEnd w:id="1037"/>
      <w:bookmarkEnd w:id="1038"/>
    </w:p>
    <w:p w14:paraId="54E7E54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承包人提交竣工付款申请单的期限：</w:t>
      </w:r>
      <w:r>
        <w:rPr>
          <w:color w:val="auto"/>
          <w:highlight w:val="none"/>
          <w:u w:val="single"/>
        </w:rPr>
        <w:t xml:space="preserve"> </w:t>
      </w:r>
      <w:r>
        <w:rPr>
          <w:rFonts w:hint="eastAsia"/>
          <w:color w:val="auto"/>
          <w:highlight w:val="none"/>
          <w:u w:val="single"/>
        </w:rPr>
        <w:t>在本工程竣工验收合格，提交完整的竣工归档资料并经业主结算完成后30天内提交竣工付款申请单</w:t>
      </w:r>
      <w:r>
        <w:rPr>
          <w:color w:val="auto"/>
          <w:highlight w:val="none"/>
          <w:u w:val="single"/>
        </w:rPr>
        <w:t xml:space="preserve">  </w:t>
      </w:r>
      <w:r>
        <w:rPr>
          <w:rFonts w:hint="eastAsia" w:hAnsi="宋体" w:cs="宋体"/>
          <w:color w:val="auto"/>
          <w:highlight w:val="none"/>
        </w:rPr>
        <w:t>。</w:t>
      </w:r>
    </w:p>
    <w:p w14:paraId="458EDB5E">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竣工付款申请单应包括的内容：</w:t>
      </w:r>
      <w:r>
        <w:rPr>
          <w:color w:val="auto"/>
          <w:highlight w:val="none"/>
          <w:u w:val="single"/>
        </w:rPr>
        <w:t xml:space="preserve">   </w:t>
      </w:r>
      <w:r>
        <w:rPr>
          <w:rFonts w:hint="eastAsia"/>
          <w:color w:val="auto"/>
          <w:highlight w:val="none"/>
          <w:u w:val="single"/>
        </w:rPr>
        <w:t>竣工结算合同总价、已支付的工程价款、应扣留的质量保修保函、应支付的竣工付款金额等</w:t>
      </w:r>
      <w:r>
        <w:rPr>
          <w:color w:val="auto"/>
          <w:highlight w:val="none"/>
          <w:u w:val="single"/>
        </w:rPr>
        <w:t xml:space="preserve">  </w:t>
      </w:r>
      <w:r>
        <w:rPr>
          <w:rFonts w:hint="eastAsia" w:hAnsi="宋体" w:cs="宋体"/>
          <w:color w:val="auto"/>
          <w:highlight w:val="none"/>
        </w:rPr>
        <w:t>。竣工结算款支付申请（核准）表见合同附件12。</w:t>
      </w:r>
    </w:p>
    <w:p w14:paraId="4A76D6AE">
      <w:pPr>
        <w:pStyle w:val="4"/>
        <w:pageBreakBefore w:val="0"/>
        <w:widowControl w:val="0"/>
        <w:kinsoku/>
        <w:wordWrap/>
        <w:overflowPunct/>
        <w:topLinePunct w:val="0"/>
        <w:bidi w:val="0"/>
        <w:spacing w:before="0" w:after="0" w:line="360" w:lineRule="auto"/>
        <w:textAlignment w:val="auto"/>
        <w:rPr>
          <w:color w:val="auto"/>
          <w:highlight w:val="none"/>
        </w:rPr>
      </w:pPr>
      <w:bookmarkStart w:id="1039" w:name="_Toc373478407"/>
      <w:bookmarkStart w:id="1040" w:name="_Toc373227760"/>
      <w:bookmarkStart w:id="1041" w:name="_Toc78449849"/>
      <w:bookmarkStart w:id="1042" w:name="_Toc389065325"/>
      <w:bookmarkStart w:id="1043" w:name="_Toc13593"/>
      <w:bookmarkStart w:id="1044" w:name="_Toc407135263"/>
      <w:bookmarkStart w:id="1045" w:name="_Toc667492935"/>
      <w:r>
        <w:rPr>
          <w:color w:val="auto"/>
          <w:highlight w:val="none"/>
        </w:rPr>
        <w:t xml:space="preserve">14.2 </w:t>
      </w:r>
      <w:r>
        <w:rPr>
          <w:rFonts w:hint="eastAsia" w:hAnsi="宋体" w:cs="黑体"/>
          <w:color w:val="auto"/>
          <w:highlight w:val="none"/>
        </w:rPr>
        <w:t>竣工结算审核</w:t>
      </w:r>
      <w:bookmarkEnd w:id="1039"/>
      <w:bookmarkEnd w:id="1040"/>
      <w:bookmarkEnd w:id="1041"/>
      <w:bookmarkEnd w:id="1042"/>
      <w:bookmarkEnd w:id="1043"/>
      <w:bookmarkEnd w:id="1044"/>
      <w:bookmarkEnd w:id="1045"/>
    </w:p>
    <w:p w14:paraId="679FA910">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发包人审批竣工付款申请单的期限：</w:t>
      </w:r>
    </w:p>
    <w:tbl>
      <w:tblPr>
        <w:tblStyle w:val="40"/>
        <w:tblW w:w="9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983"/>
        <w:gridCol w:w="5835"/>
      </w:tblGrid>
      <w:tr w14:paraId="7DA4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5BF5921A">
            <w:pPr>
              <w:pageBreakBefore w:val="0"/>
              <w:widowControl w:val="0"/>
              <w:kinsoku/>
              <w:wordWrap/>
              <w:overflowPunct/>
              <w:topLinePunct w:val="0"/>
              <w:bidi w:val="0"/>
              <w:spacing w:line="360" w:lineRule="auto"/>
              <w:jc w:val="center"/>
              <w:textAlignment w:val="auto"/>
              <w:rPr>
                <w:rFonts w:hint="eastAsia" w:eastAsia="宋体"/>
                <w:color w:val="auto"/>
                <w:highlight w:val="none"/>
                <w:lang w:val="en-US" w:eastAsia="zh-CN"/>
              </w:rPr>
            </w:pPr>
            <w:r>
              <w:rPr>
                <w:rFonts w:hint="eastAsia"/>
                <w:color w:val="auto"/>
                <w:highlight w:val="none"/>
                <w:lang w:val="en-US" w:eastAsia="zh-CN"/>
              </w:rPr>
              <w:t>序号</w:t>
            </w:r>
          </w:p>
        </w:tc>
        <w:tc>
          <w:tcPr>
            <w:tcW w:w="2983" w:type="dxa"/>
            <w:noWrap w:val="0"/>
            <w:vAlign w:val="center"/>
          </w:tcPr>
          <w:p w14:paraId="1C8B7036">
            <w:pPr>
              <w:pageBreakBefore w:val="0"/>
              <w:widowControl w:val="0"/>
              <w:kinsoku/>
              <w:wordWrap/>
              <w:overflowPunct/>
              <w:topLinePunct w:val="0"/>
              <w:bidi w:val="0"/>
              <w:spacing w:line="360" w:lineRule="auto"/>
              <w:ind w:firstLine="27" w:firstLineChars="13"/>
              <w:jc w:val="center"/>
              <w:textAlignment w:val="auto"/>
              <w:rPr>
                <w:color w:val="auto"/>
                <w:highlight w:val="none"/>
              </w:rPr>
            </w:pPr>
            <w:r>
              <w:rPr>
                <w:rFonts w:hint="eastAsia" w:hAnsi="宋体" w:cs="宋体"/>
                <w:color w:val="auto"/>
                <w:highlight w:val="none"/>
              </w:rPr>
              <w:t>工程竣工结算报告金额</w:t>
            </w:r>
          </w:p>
        </w:tc>
        <w:tc>
          <w:tcPr>
            <w:tcW w:w="5835" w:type="dxa"/>
            <w:noWrap w:val="0"/>
            <w:vAlign w:val="center"/>
          </w:tcPr>
          <w:p w14:paraId="2CED1E65">
            <w:pPr>
              <w:pageBreakBefore w:val="0"/>
              <w:widowControl w:val="0"/>
              <w:kinsoku/>
              <w:wordWrap/>
              <w:overflowPunct/>
              <w:topLinePunct w:val="0"/>
              <w:bidi w:val="0"/>
              <w:spacing w:line="360" w:lineRule="auto"/>
              <w:jc w:val="center"/>
              <w:textAlignment w:val="auto"/>
              <w:rPr>
                <w:color w:val="auto"/>
                <w:highlight w:val="none"/>
              </w:rPr>
            </w:pPr>
            <w:r>
              <w:rPr>
                <w:rFonts w:hint="eastAsia" w:hAnsi="宋体" w:cs="宋体"/>
                <w:color w:val="auto"/>
                <w:highlight w:val="none"/>
              </w:rPr>
              <w:t>发包人审查时间</w:t>
            </w:r>
          </w:p>
        </w:tc>
      </w:tr>
      <w:tr w14:paraId="2A3A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69FD7D6D">
            <w:pPr>
              <w:pageBreakBefore w:val="0"/>
              <w:widowControl w:val="0"/>
              <w:kinsoku/>
              <w:wordWrap/>
              <w:overflowPunct/>
              <w:topLinePunct w:val="0"/>
              <w:bidi w:val="0"/>
              <w:spacing w:line="360" w:lineRule="auto"/>
              <w:jc w:val="center"/>
              <w:textAlignment w:val="auto"/>
              <w:rPr>
                <w:color w:val="auto"/>
                <w:highlight w:val="none"/>
              </w:rPr>
            </w:pPr>
            <w:r>
              <w:rPr>
                <w:color w:val="auto"/>
                <w:highlight w:val="none"/>
              </w:rPr>
              <w:t>1</w:t>
            </w:r>
          </w:p>
        </w:tc>
        <w:tc>
          <w:tcPr>
            <w:tcW w:w="2983" w:type="dxa"/>
            <w:noWrap w:val="0"/>
            <w:vAlign w:val="center"/>
          </w:tcPr>
          <w:p w14:paraId="1CACE166">
            <w:pPr>
              <w:pageBreakBefore w:val="0"/>
              <w:widowControl w:val="0"/>
              <w:kinsoku/>
              <w:wordWrap/>
              <w:overflowPunct/>
              <w:topLinePunct w:val="0"/>
              <w:bidi w:val="0"/>
              <w:spacing w:line="360" w:lineRule="auto"/>
              <w:ind w:firstLine="27" w:firstLineChars="13"/>
              <w:jc w:val="center"/>
              <w:textAlignment w:val="auto"/>
              <w:rPr>
                <w:color w:val="auto"/>
                <w:highlight w:val="none"/>
              </w:rPr>
            </w:pPr>
            <w:r>
              <w:rPr>
                <w:color w:val="auto"/>
                <w:highlight w:val="none"/>
              </w:rPr>
              <w:t>500</w:t>
            </w:r>
            <w:r>
              <w:rPr>
                <w:rFonts w:hint="eastAsia" w:hAnsi="宋体" w:cs="宋体"/>
                <w:color w:val="auto"/>
                <w:highlight w:val="none"/>
              </w:rPr>
              <w:t>万元以下</w:t>
            </w:r>
          </w:p>
        </w:tc>
        <w:tc>
          <w:tcPr>
            <w:tcW w:w="5835" w:type="dxa"/>
            <w:noWrap w:val="0"/>
            <w:vAlign w:val="center"/>
          </w:tcPr>
          <w:p w14:paraId="40E7C782">
            <w:pPr>
              <w:pageBreakBefore w:val="0"/>
              <w:widowControl w:val="0"/>
              <w:kinsoku/>
              <w:wordWrap/>
              <w:overflowPunct/>
              <w:topLinePunct w:val="0"/>
              <w:bidi w:val="0"/>
              <w:spacing w:line="360" w:lineRule="auto"/>
              <w:jc w:val="center"/>
              <w:textAlignment w:val="auto"/>
              <w:rPr>
                <w:color w:val="auto"/>
                <w:highlight w:val="none"/>
              </w:rPr>
            </w:pPr>
            <w:r>
              <w:rPr>
                <w:rFonts w:hint="eastAsia" w:hAnsi="宋体" w:cs="宋体"/>
                <w:color w:val="auto"/>
                <w:highlight w:val="none"/>
              </w:rPr>
              <w:t>从接到竣工结算报告和完整的竣工结算资料之日起</w:t>
            </w:r>
            <w:r>
              <w:rPr>
                <w:color w:val="auto"/>
                <w:highlight w:val="none"/>
              </w:rPr>
              <w:t>20</w:t>
            </w:r>
            <w:r>
              <w:rPr>
                <w:rFonts w:hint="eastAsia" w:hAnsi="宋体" w:cs="宋体"/>
                <w:color w:val="auto"/>
                <w:highlight w:val="none"/>
              </w:rPr>
              <w:t>天</w:t>
            </w:r>
          </w:p>
        </w:tc>
      </w:tr>
      <w:tr w14:paraId="6FE3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27A6C6AF">
            <w:pPr>
              <w:pageBreakBefore w:val="0"/>
              <w:widowControl w:val="0"/>
              <w:kinsoku/>
              <w:wordWrap/>
              <w:overflowPunct/>
              <w:topLinePunct w:val="0"/>
              <w:bidi w:val="0"/>
              <w:spacing w:line="360" w:lineRule="auto"/>
              <w:jc w:val="center"/>
              <w:textAlignment w:val="auto"/>
              <w:rPr>
                <w:color w:val="auto"/>
                <w:highlight w:val="none"/>
              </w:rPr>
            </w:pPr>
            <w:r>
              <w:rPr>
                <w:color w:val="auto"/>
                <w:highlight w:val="none"/>
              </w:rPr>
              <w:t>2</w:t>
            </w:r>
          </w:p>
        </w:tc>
        <w:tc>
          <w:tcPr>
            <w:tcW w:w="2983" w:type="dxa"/>
            <w:noWrap w:val="0"/>
            <w:vAlign w:val="center"/>
          </w:tcPr>
          <w:p w14:paraId="195DD761">
            <w:pPr>
              <w:pageBreakBefore w:val="0"/>
              <w:widowControl w:val="0"/>
              <w:kinsoku/>
              <w:wordWrap/>
              <w:overflowPunct/>
              <w:topLinePunct w:val="0"/>
              <w:bidi w:val="0"/>
              <w:spacing w:line="360" w:lineRule="auto"/>
              <w:ind w:firstLine="27" w:firstLineChars="13"/>
              <w:jc w:val="center"/>
              <w:textAlignment w:val="auto"/>
              <w:rPr>
                <w:color w:val="auto"/>
                <w:highlight w:val="none"/>
              </w:rPr>
            </w:pPr>
            <w:r>
              <w:rPr>
                <w:color w:val="auto"/>
                <w:highlight w:val="none"/>
              </w:rPr>
              <w:t>500</w:t>
            </w:r>
            <w:r>
              <w:rPr>
                <w:rFonts w:hint="eastAsia" w:hAnsi="宋体" w:cs="宋体"/>
                <w:color w:val="auto"/>
                <w:highlight w:val="none"/>
              </w:rPr>
              <w:t>万元</w:t>
            </w:r>
            <w:r>
              <w:rPr>
                <w:color w:val="auto"/>
                <w:highlight w:val="none"/>
              </w:rPr>
              <w:t>-2000</w:t>
            </w:r>
            <w:r>
              <w:rPr>
                <w:rFonts w:hint="eastAsia" w:hAnsi="宋体" w:cs="宋体"/>
                <w:color w:val="auto"/>
                <w:highlight w:val="none"/>
              </w:rPr>
              <w:t>万元</w:t>
            </w:r>
          </w:p>
        </w:tc>
        <w:tc>
          <w:tcPr>
            <w:tcW w:w="5835" w:type="dxa"/>
            <w:noWrap w:val="0"/>
            <w:vAlign w:val="center"/>
          </w:tcPr>
          <w:p w14:paraId="27507A82">
            <w:pPr>
              <w:pageBreakBefore w:val="0"/>
              <w:widowControl w:val="0"/>
              <w:kinsoku/>
              <w:wordWrap/>
              <w:overflowPunct/>
              <w:topLinePunct w:val="0"/>
              <w:bidi w:val="0"/>
              <w:spacing w:line="360" w:lineRule="auto"/>
              <w:jc w:val="center"/>
              <w:textAlignment w:val="auto"/>
              <w:rPr>
                <w:color w:val="auto"/>
                <w:highlight w:val="none"/>
              </w:rPr>
            </w:pPr>
            <w:r>
              <w:rPr>
                <w:rFonts w:hint="eastAsia" w:hAnsi="宋体" w:cs="宋体"/>
                <w:color w:val="auto"/>
                <w:highlight w:val="none"/>
              </w:rPr>
              <w:t>从接到竣工结算报告和完整的竣工结算资料之日起</w:t>
            </w:r>
            <w:r>
              <w:rPr>
                <w:color w:val="auto"/>
                <w:highlight w:val="none"/>
              </w:rPr>
              <w:t>30</w:t>
            </w:r>
            <w:r>
              <w:rPr>
                <w:rFonts w:hint="eastAsia" w:hAnsi="宋体" w:cs="宋体"/>
                <w:color w:val="auto"/>
                <w:highlight w:val="none"/>
              </w:rPr>
              <w:t>天</w:t>
            </w:r>
          </w:p>
        </w:tc>
      </w:tr>
      <w:tr w14:paraId="3692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5AD4CD0D">
            <w:pPr>
              <w:pageBreakBefore w:val="0"/>
              <w:widowControl w:val="0"/>
              <w:kinsoku/>
              <w:wordWrap/>
              <w:overflowPunct/>
              <w:topLinePunct w:val="0"/>
              <w:bidi w:val="0"/>
              <w:spacing w:line="360" w:lineRule="auto"/>
              <w:jc w:val="center"/>
              <w:textAlignment w:val="auto"/>
              <w:rPr>
                <w:color w:val="auto"/>
                <w:highlight w:val="none"/>
              </w:rPr>
            </w:pPr>
            <w:r>
              <w:rPr>
                <w:color w:val="auto"/>
                <w:highlight w:val="none"/>
              </w:rPr>
              <w:t>3</w:t>
            </w:r>
          </w:p>
        </w:tc>
        <w:tc>
          <w:tcPr>
            <w:tcW w:w="2983" w:type="dxa"/>
            <w:noWrap w:val="0"/>
            <w:vAlign w:val="center"/>
          </w:tcPr>
          <w:p w14:paraId="32AD5A3C">
            <w:pPr>
              <w:pageBreakBefore w:val="0"/>
              <w:widowControl w:val="0"/>
              <w:kinsoku/>
              <w:wordWrap/>
              <w:overflowPunct/>
              <w:topLinePunct w:val="0"/>
              <w:bidi w:val="0"/>
              <w:spacing w:line="360" w:lineRule="auto"/>
              <w:ind w:firstLine="27" w:firstLineChars="13"/>
              <w:jc w:val="center"/>
              <w:textAlignment w:val="auto"/>
              <w:rPr>
                <w:color w:val="auto"/>
                <w:highlight w:val="none"/>
              </w:rPr>
            </w:pPr>
            <w:r>
              <w:rPr>
                <w:color w:val="auto"/>
                <w:highlight w:val="none"/>
              </w:rPr>
              <w:t>2000</w:t>
            </w:r>
            <w:r>
              <w:rPr>
                <w:rFonts w:hint="eastAsia" w:hAnsi="宋体" w:cs="宋体"/>
                <w:color w:val="auto"/>
                <w:highlight w:val="none"/>
              </w:rPr>
              <w:t>万元</w:t>
            </w:r>
            <w:r>
              <w:rPr>
                <w:color w:val="auto"/>
                <w:highlight w:val="none"/>
              </w:rPr>
              <w:t>-5000</w:t>
            </w:r>
            <w:r>
              <w:rPr>
                <w:rFonts w:hint="eastAsia" w:hAnsi="宋体" w:cs="宋体"/>
                <w:color w:val="auto"/>
                <w:highlight w:val="none"/>
              </w:rPr>
              <w:t>万元</w:t>
            </w:r>
          </w:p>
        </w:tc>
        <w:tc>
          <w:tcPr>
            <w:tcW w:w="5835" w:type="dxa"/>
            <w:noWrap w:val="0"/>
            <w:vAlign w:val="center"/>
          </w:tcPr>
          <w:p w14:paraId="76B3BA9C">
            <w:pPr>
              <w:pageBreakBefore w:val="0"/>
              <w:widowControl w:val="0"/>
              <w:kinsoku/>
              <w:wordWrap/>
              <w:overflowPunct/>
              <w:topLinePunct w:val="0"/>
              <w:bidi w:val="0"/>
              <w:spacing w:line="360" w:lineRule="auto"/>
              <w:jc w:val="center"/>
              <w:textAlignment w:val="auto"/>
              <w:rPr>
                <w:color w:val="auto"/>
                <w:highlight w:val="none"/>
              </w:rPr>
            </w:pPr>
            <w:r>
              <w:rPr>
                <w:rFonts w:hint="eastAsia" w:hAnsi="宋体" w:cs="宋体"/>
                <w:color w:val="auto"/>
                <w:highlight w:val="none"/>
              </w:rPr>
              <w:t>从接到竣工结算报告和完整的竣工结算资料之日起</w:t>
            </w:r>
            <w:r>
              <w:rPr>
                <w:color w:val="auto"/>
                <w:highlight w:val="none"/>
              </w:rPr>
              <w:t>45</w:t>
            </w:r>
            <w:r>
              <w:rPr>
                <w:rFonts w:hint="eastAsia" w:hAnsi="宋体" w:cs="宋体"/>
                <w:color w:val="auto"/>
                <w:highlight w:val="none"/>
              </w:rPr>
              <w:t>天</w:t>
            </w:r>
          </w:p>
        </w:tc>
      </w:tr>
      <w:tr w14:paraId="195F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7B0B22E2">
            <w:pPr>
              <w:pageBreakBefore w:val="0"/>
              <w:widowControl w:val="0"/>
              <w:kinsoku/>
              <w:wordWrap/>
              <w:overflowPunct/>
              <w:topLinePunct w:val="0"/>
              <w:bidi w:val="0"/>
              <w:spacing w:line="360" w:lineRule="auto"/>
              <w:jc w:val="center"/>
              <w:textAlignment w:val="auto"/>
              <w:rPr>
                <w:color w:val="auto"/>
                <w:highlight w:val="none"/>
              </w:rPr>
            </w:pPr>
            <w:r>
              <w:rPr>
                <w:color w:val="auto"/>
                <w:highlight w:val="none"/>
              </w:rPr>
              <w:t>4</w:t>
            </w:r>
          </w:p>
        </w:tc>
        <w:tc>
          <w:tcPr>
            <w:tcW w:w="2983" w:type="dxa"/>
            <w:noWrap w:val="0"/>
            <w:vAlign w:val="center"/>
          </w:tcPr>
          <w:p w14:paraId="3F835630">
            <w:pPr>
              <w:pageBreakBefore w:val="0"/>
              <w:widowControl w:val="0"/>
              <w:kinsoku/>
              <w:wordWrap/>
              <w:overflowPunct/>
              <w:topLinePunct w:val="0"/>
              <w:bidi w:val="0"/>
              <w:spacing w:line="360" w:lineRule="auto"/>
              <w:ind w:firstLine="27" w:firstLineChars="13"/>
              <w:jc w:val="center"/>
              <w:textAlignment w:val="auto"/>
              <w:rPr>
                <w:color w:val="auto"/>
                <w:highlight w:val="none"/>
              </w:rPr>
            </w:pPr>
            <w:r>
              <w:rPr>
                <w:color w:val="auto"/>
                <w:highlight w:val="none"/>
              </w:rPr>
              <w:t>5000</w:t>
            </w:r>
            <w:r>
              <w:rPr>
                <w:rFonts w:hint="eastAsia" w:hAnsi="宋体" w:cs="宋体"/>
                <w:color w:val="auto"/>
                <w:highlight w:val="none"/>
              </w:rPr>
              <w:t>万元以上</w:t>
            </w:r>
          </w:p>
        </w:tc>
        <w:tc>
          <w:tcPr>
            <w:tcW w:w="5835" w:type="dxa"/>
            <w:noWrap w:val="0"/>
            <w:vAlign w:val="center"/>
          </w:tcPr>
          <w:p w14:paraId="5DC24F82">
            <w:pPr>
              <w:pageBreakBefore w:val="0"/>
              <w:widowControl w:val="0"/>
              <w:kinsoku/>
              <w:wordWrap/>
              <w:overflowPunct/>
              <w:topLinePunct w:val="0"/>
              <w:bidi w:val="0"/>
              <w:spacing w:line="360" w:lineRule="auto"/>
              <w:jc w:val="center"/>
              <w:textAlignment w:val="auto"/>
              <w:rPr>
                <w:color w:val="auto"/>
                <w:highlight w:val="none"/>
              </w:rPr>
            </w:pPr>
            <w:r>
              <w:rPr>
                <w:rFonts w:hint="eastAsia" w:hAnsi="宋体" w:cs="宋体"/>
                <w:color w:val="auto"/>
                <w:highlight w:val="none"/>
              </w:rPr>
              <w:t>从接到竣工结算报告和完整的竣工结算资料之日起</w:t>
            </w:r>
            <w:r>
              <w:rPr>
                <w:color w:val="auto"/>
                <w:highlight w:val="none"/>
              </w:rPr>
              <w:t>60</w:t>
            </w:r>
            <w:r>
              <w:rPr>
                <w:rFonts w:hint="eastAsia" w:hAnsi="宋体" w:cs="宋体"/>
                <w:color w:val="auto"/>
                <w:highlight w:val="none"/>
              </w:rPr>
              <w:t>天</w:t>
            </w:r>
          </w:p>
        </w:tc>
      </w:tr>
      <w:tr w14:paraId="0878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14:paraId="41653678">
            <w:pPr>
              <w:pageBreakBefore w:val="0"/>
              <w:widowControl w:val="0"/>
              <w:kinsoku/>
              <w:wordWrap/>
              <w:overflowPunct/>
              <w:topLinePunct w:val="0"/>
              <w:bidi w:val="0"/>
              <w:spacing w:line="360" w:lineRule="auto"/>
              <w:jc w:val="center"/>
              <w:textAlignment w:val="auto"/>
              <w:rPr>
                <w:color w:val="auto"/>
                <w:highlight w:val="none"/>
              </w:rPr>
            </w:pPr>
            <w:r>
              <w:rPr>
                <w:rFonts w:hint="eastAsia"/>
                <w:color w:val="auto"/>
                <w:highlight w:val="none"/>
              </w:rPr>
              <w:t>5</w:t>
            </w:r>
          </w:p>
        </w:tc>
        <w:tc>
          <w:tcPr>
            <w:tcW w:w="2983" w:type="dxa"/>
            <w:noWrap w:val="0"/>
            <w:vAlign w:val="center"/>
          </w:tcPr>
          <w:p w14:paraId="32537770">
            <w:pPr>
              <w:pageBreakBefore w:val="0"/>
              <w:widowControl w:val="0"/>
              <w:kinsoku/>
              <w:wordWrap/>
              <w:overflowPunct/>
              <w:topLinePunct w:val="0"/>
              <w:bidi w:val="0"/>
              <w:spacing w:line="360" w:lineRule="auto"/>
              <w:ind w:firstLine="27" w:firstLineChars="13"/>
              <w:jc w:val="center"/>
              <w:textAlignment w:val="auto"/>
              <w:rPr>
                <w:rFonts w:hint="eastAsia" w:eastAsia="宋体"/>
                <w:color w:val="auto"/>
                <w:highlight w:val="none"/>
                <w:lang w:eastAsia="zh-CN"/>
              </w:rPr>
            </w:pPr>
            <w:r>
              <w:rPr>
                <w:rFonts w:hint="eastAsia"/>
                <w:color w:val="auto"/>
                <w:highlight w:val="none"/>
              </w:rPr>
              <w:t>5000万以上每增加</w:t>
            </w:r>
            <w:r>
              <w:rPr>
                <w:color w:val="auto"/>
                <w:highlight w:val="none"/>
              </w:rPr>
              <w:t>0.5</w:t>
            </w:r>
            <w:r>
              <w:rPr>
                <w:rFonts w:hint="eastAsia"/>
                <w:color w:val="auto"/>
                <w:highlight w:val="none"/>
              </w:rPr>
              <w:t>亿</w:t>
            </w:r>
            <w:r>
              <w:rPr>
                <w:rFonts w:hint="eastAsia"/>
                <w:color w:val="auto"/>
                <w:highlight w:val="none"/>
                <w:lang w:eastAsia="zh-CN"/>
              </w:rPr>
              <w:t>（</w:t>
            </w:r>
            <w:r>
              <w:rPr>
                <w:rFonts w:hint="eastAsia"/>
                <w:color w:val="auto"/>
                <w:highlight w:val="none"/>
              </w:rPr>
              <w:t>不足0.5亿不增加</w:t>
            </w:r>
            <w:r>
              <w:rPr>
                <w:rFonts w:hint="eastAsia"/>
                <w:color w:val="auto"/>
                <w:highlight w:val="none"/>
                <w:lang w:eastAsia="zh-CN"/>
              </w:rPr>
              <w:t>）</w:t>
            </w:r>
          </w:p>
        </w:tc>
        <w:tc>
          <w:tcPr>
            <w:tcW w:w="5835" w:type="dxa"/>
            <w:noWrap w:val="0"/>
            <w:vAlign w:val="center"/>
          </w:tcPr>
          <w:p w14:paraId="6CF15D60">
            <w:pPr>
              <w:pageBreakBefore w:val="0"/>
              <w:widowControl w:val="0"/>
              <w:kinsoku/>
              <w:wordWrap/>
              <w:overflowPunct/>
              <w:topLinePunct w:val="0"/>
              <w:bidi w:val="0"/>
              <w:spacing w:line="360" w:lineRule="auto"/>
              <w:jc w:val="center"/>
              <w:textAlignment w:val="auto"/>
              <w:rPr>
                <w:rFonts w:hint="eastAsia" w:hAnsi="宋体" w:cs="宋体"/>
                <w:color w:val="auto"/>
                <w:highlight w:val="none"/>
              </w:rPr>
            </w:pPr>
            <w:r>
              <w:rPr>
                <w:rFonts w:hint="eastAsia" w:hAnsi="宋体" w:cs="宋体"/>
                <w:color w:val="auto"/>
                <w:highlight w:val="none"/>
              </w:rPr>
              <w:t>增加10天</w:t>
            </w:r>
          </w:p>
        </w:tc>
      </w:tr>
    </w:tbl>
    <w:p w14:paraId="0D91120D">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rFonts w:hint="eastAsia" w:hAnsi="宋体" w:cs="宋体"/>
          <w:color w:val="auto"/>
          <w:highlight w:val="none"/>
        </w:rPr>
        <w:t>因承包人提供的结算资料不完整而需要补充或承包人不按时对账耽误时间时，审查时间应相应顺延。</w:t>
      </w:r>
    </w:p>
    <w:p w14:paraId="530CD5D6">
      <w:pPr>
        <w:pageBreakBefore w:val="0"/>
        <w:widowControl w:val="0"/>
        <w:kinsoku/>
        <w:wordWrap/>
        <w:overflowPunct/>
        <w:topLinePunct w:val="0"/>
        <w:bidi w:val="0"/>
        <w:spacing w:line="360" w:lineRule="auto"/>
        <w:ind w:firstLine="411" w:firstLineChars="196"/>
        <w:textAlignment w:val="auto"/>
        <w:rPr>
          <w:rFonts w:hint="eastAsia" w:ascii="Times New Roman" w:hAnsi="宋体" w:eastAsia="宋体" w:cs="宋体"/>
          <w:i w:val="0"/>
          <w:caps w:val="0"/>
          <w:color w:val="auto"/>
          <w:spacing w:val="0"/>
          <w:sz w:val="21"/>
          <w:szCs w:val="21"/>
          <w:highlight w:val="none"/>
        </w:rPr>
      </w:pPr>
      <w:r>
        <w:rPr>
          <w:rFonts w:hint="eastAsia" w:hAnsi="宋体" w:cs="宋体"/>
          <w:color w:val="auto"/>
          <w:highlight w:val="none"/>
        </w:rPr>
        <w:t>竣工结算审核约定：</w:t>
      </w:r>
      <w:r>
        <w:rPr>
          <w:rFonts w:hint="eastAsia" w:ascii="Times New Roman" w:hAnsi="宋体" w:eastAsia="宋体" w:cs="宋体"/>
          <w:i w:val="0"/>
          <w:caps w:val="0"/>
          <w:color w:val="auto"/>
          <w:spacing w:val="0"/>
          <w:sz w:val="21"/>
          <w:szCs w:val="21"/>
          <w:highlight w:val="none"/>
        </w:rPr>
        <w:t>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2FD8987F">
      <w:pPr>
        <w:pageBreakBefore w:val="0"/>
        <w:widowControl w:val="0"/>
        <w:kinsoku/>
        <w:wordWrap/>
        <w:overflowPunct/>
        <w:topLinePunct w:val="0"/>
        <w:bidi w:val="0"/>
        <w:spacing w:line="360" w:lineRule="auto"/>
        <w:ind w:firstLine="431" w:firstLineChars="196"/>
        <w:textAlignment w:val="auto"/>
        <w:rPr>
          <w:rFonts w:hint="eastAsia" w:ascii="Times New Roman" w:hAnsi="宋体" w:eastAsia="宋体" w:cs="宋体"/>
          <w:color w:val="auto"/>
          <w:highlight w:val="none"/>
        </w:rPr>
      </w:pPr>
      <w:r>
        <w:rPr>
          <w:rFonts w:ascii="宋体" w:hAnsi="宋体" w:eastAsia="宋体" w:cs="宋体"/>
          <w:color w:val="auto"/>
          <w:kern w:val="0"/>
          <w:sz w:val="22"/>
          <w:szCs w:val="22"/>
          <w:highlight w:val="none"/>
          <w:lang w:val="en-US" w:eastAsia="zh-CN" w:bidi="ar"/>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2B95DBB2">
      <w:pPr>
        <w:pageBreakBefore w:val="0"/>
        <w:widowControl w:val="0"/>
        <w:kinsoku/>
        <w:wordWrap/>
        <w:overflowPunct/>
        <w:topLinePunct w:val="0"/>
        <w:bidi w:val="0"/>
        <w:spacing w:line="360" w:lineRule="auto"/>
        <w:ind w:firstLine="411" w:firstLineChars="196"/>
        <w:textAlignment w:val="auto"/>
        <w:rPr>
          <w:rFonts w:hAnsi="宋体"/>
          <w:color w:val="auto"/>
          <w:highlight w:val="none"/>
          <w:u w:val="single"/>
        </w:rPr>
      </w:pPr>
      <w:r>
        <w:rPr>
          <w:rFonts w:hAnsi="宋体"/>
          <w:color w:val="auto"/>
          <w:highlight w:val="none"/>
          <w:u w:val="single"/>
        </w:rPr>
        <w:t>1</w:t>
      </w:r>
      <w:r>
        <w:rPr>
          <w:rFonts w:hint="eastAsia" w:hAnsi="宋体" w:cs="宋体"/>
          <w:color w:val="auto"/>
          <w:highlight w:val="none"/>
          <w:u w:val="single"/>
        </w:rPr>
        <w:t>、工程竣工验收报告经发包人认可后</w:t>
      </w:r>
      <w:r>
        <w:rPr>
          <w:rFonts w:hint="eastAsia" w:hAnsi="宋体"/>
          <w:color w:val="auto"/>
          <w:highlight w:val="none"/>
          <w:u w:val="single"/>
          <w:lang w:val="en-US" w:eastAsia="zh-CN"/>
        </w:rPr>
        <w:t>30</w:t>
      </w:r>
      <w:r>
        <w:rPr>
          <w:rFonts w:hint="eastAsia" w:hAnsi="宋体" w:cs="宋体"/>
          <w:color w:val="auto"/>
          <w:highlight w:val="none"/>
          <w:u w:val="single"/>
        </w:rPr>
        <w:t>天内，承包人向发包人递交竣工验收合格资料及完整的结算资料和报告，双方按照本工程合同约定的价格形式及价款调整办法进行工程竣工结算。</w:t>
      </w:r>
      <w:r>
        <w:rPr>
          <w:rFonts w:hAnsi="宋体"/>
          <w:color w:val="auto"/>
          <w:highlight w:val="none"/>
          <w:u w:val="single"/>
        </w:rPr>
        <w:t>2</w:t>
      </w:r>
      <w:r>
        <w:rPr>
          <w:rFonts w:hint="eastAsia" w:hAnsi="宋体" w:cs="宋体"/>
          <w:color w:val="auto"/>
          <w:highlight w:val="none"/>
          <w:u w:val="single"/>
        </w:rPr>
        <w:t>、发包人收到承包人递交的竣工结算报告及结算资料之日起</w:t>
      </w:r>
      <w:r>
        <w:rPr>
          <w:rFonts w:hint="eastAsia" w:hAnsi="宋体"/>
          <w:color w:val="auto"/>
          <w:highlight w:val="none"/>
          <w:u w:val="single"/>
          <w:lang w:val="en-US" w:eastAsia="zh-CN"/>
        </w:rPr>
        <w:t>30</w:t>
      </w:r>
      <w:r>
        <w:rPr>
          <w:rFonts w:hint="eastAsia" w:hAnsi="宋体" w:cs="宋体"/>
          <w:color w:val="auto"/>
          <w:highlight w:val="none"/>
          <w:u w:val="single"/>
        </w:rPr>
        <w:t>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w:t>
      </w:r>
      <w:r>
        <w:rPr>
          <w:rFonts w:hint="eastAsia" w:hAnsi="宋体" w:cs="宋体"/>
          <w:color w:val="auto"/>
          <w:highlight w:val="none"/>
          <w:u w:val="single"/>
          <w:lang w:val="en-US" w:eastAsia="zh-CN"/>
        </w:rPr>
        <w:t>30</w:t>
      </w:r>
      <w:r>
        <w:rPr>
          <w:rFonts w:hint="eastAsia" w:hAnsi="宋体" w:cs="宋体"/>
          <w:color w:val="auto"/>
          <w:highlight w:val="none"/>
          <w:u w:val="single"/>
        </w:rPr>
        <w:t>天内提出异议，必要时合同当事人要当面核对，直至完成工程竣工结算。除非有特殊情形，否则从承包人递交竣工结算报告到完成竣工结算的时间应控制在</w:t>
      </w:r>
      <w:r>
        <w:rPr>
          <w:rFonts w:hint="eastAsia" w:hAnsi="宋体" w:cs="宋体"/>
          <w:color w:val="auto"/>
          <w:highlight w:val="none"/>
          <w:u w:val="single"/>
          <w:lang w:eastAsia="zh-CN"/>
        </w:rPr>
        <w:t>“</w:t>
      </w:r>
      <w:r>
        <w:rPr>
          <w:rFonts w:hint="eastAsia" w:hAnsi="宋体" w:cs="宋体"/>
          <w:color w:val="auto"/>
          <w:highlight w:val="none"/>
          <w:u w:val="single"/>
        </w:rPr>
        <w:t>发包人审核竣工付款申请单的期限</w:t>
      </w:r>
      <w:r>
        <w:rPr>
          <w:rFonts w:hint="eastAsia" w:hAnsi="宋体" w:cs="宋体"/>
          <w:color w:val="auto"/>
          <w:highlight w:val="none"/>
          <w:u w:val="single"/>
          <w:lang w:eastAsia="zh-CN"/>
        </w:rPr>
        <w:t>”</w:t>
      </w:r>
      <w:r>
        <w:rPr>
          <w:rFonts w:hint="eastAsia" w:hAnsi="宋体" w:cs="宋体"/>
          <w:color w:val="auto"/>
          <w:highlight w:val="none"/>
          <w:u w:val="single"/>
        </w:rPr>
        <w:t>要求的时间范围内。3.自竣工结算完毕之日起</w:t>
      </w:r>
      <w:r>
        <w:rPr>
          <w:rFonts w:hint="eastAsia" w:hAnsi="宋体"/>
          <w:color w:val="auto"/>
          <w:highlight w:val="none"/>
          <w:u w:val="single"/>
          <w:lang w:val="en-US" w:eastAsia="zh-CN"/>
        </w:rPr>
        <w:t>30</w:t>
      </w:r>
      <w:r>
        <w:rPr>
          <w:rFonts w:hint="eastAsia" w:hAnsi="宋体" w:cs="宋体"/>
          <w:color w:val="auto"/>
          <w:highlight w:val="none"/>
          <w:u w:val="single"/>
        </w:rPr>
        <w:t>天内，发包人按审定后的竣工结算价款，通知经办银行向承包人支付结算价款。</w:t>
      </w:r>
    </w:p>
    <w:p w14:paraId="1F61ACE4">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备注：对于国有投资项目结算审核约定，双方可结合各地政府或有关部门出台的管理规定进行局部调整</w:t>
      </w:r>
    </w:p>
    <w:p w14:paraId="3144A30E">
      <w:pPr>
        <w:pStyle w:val="4"/>
        <w:pageBreakBefore w:val="0"/>
        <w:widowControl w:val="0"/>
        <w:kinsoku/>
        <w:wordWrap/>
        <w:overflowPunct/>
        <w:topLinePunct w:val="0"/>
        <w:bidi w:val="0"/>
        <w:spacing w:before="0" w:after="0" w:line="360" w:lineRule="auto"/>
        <w:textAlignment w:val="auto"/>
        <w:rPr>
          <w:color w:val="auto"/>
          <w:highlight w:val="none"/>
        </w:rPr>
      </w:pPr>
      <w:bookmarkStart w:id="1046" w:name="_Toc373227761"/>
      <w:bookmarkStart w:id="1047" w:name="_Toc373478408"/>
      <w:bookmarkStart w:id="1048" w:name="_Toc27750"/>
      <w:bookmarkStart w:id="1049" w:name="_Toc540165641"/>
      <w:bookmarkStart w:id="1050" w:name="_Toc78449850"/>
      <w:bookmarkStart w:id="1051" w:name="_Toc407135264"/>
      <w:bookmarkStart w:id="1052" w:name="_Toc389065326"/>
      <w:r>
        <w:rPr>
          <w:color w:val="auto"/>
          <w:highlight w:val="none"/>
        </w:rPr>
        <w:t xml:space="preserve">14.4 </w:t>
      </w:r>
      <w:r>
        <w:rPr>
          <w:rFonts w:hint="eastAsia" w:hAnsi="宋体" w:cs="黑体"/>
          <w:color w:val="auto"/>
          <w:highlight w:val="none"/>
        </w:rPr>
        <w:t>最终结清</w:t>
      </w:r>
      <w:bookmarkEnd w:id="1046"/>
      <w:bookmarkEnd w:id="1047"/>
      <w:bookmarkEnd w:id="1048"/>
      <w:bookmarkEnd w:id="1049"/>
      <w:bookmarkEnd w:id="1050"/>
      <w:bookmarkEnd w:id="1051"/>
      <w:bookmarkEnd w:id="1052"/>
    </w:p>
    <w:p w14:paraId="0D8A55E7">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color w:val="auto"/>
          <w:kern w:val="0"/>
          <w:highlight w:val="none"/>
        </w:rPr>
        <w:t xml:space="preserve">14.4.1 </w:t>
      </w:r>
      <w:r>
        <w:rPr>
          <w:rFonts w:hint="eastAsia" w:hAnsi="宋体" w:cs="宋体"/>
          <w:color w:val="auto"/>
          <w:kern w:val="0"/>
          <w:highlight w:val="none"/>
        </w:rPr>
        <w:t>最终结清申请单</w:t>
      </w:r>
    </w:p>
    <w:p w14:paraId="4A07ABB8">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承包人提交最终结清申请单的份数：</w:t>
      </w:r>
      <w:r>
        <w:rPr>
          <w:color w:val="auto"/>
          <w:highlight w:val="none"/>
          <w:u w:val="single"/>
        </w:rPr>
        <w:t xml:space="preserve">                    </w:t>
      </w:r>
      <w:r>
        <w:rPr>
          <w:rFonts w:hint="eastAsia" w:hAnsi="宋体" w:cs="宋体"/>
          <w:color w:val="auto"/>
          <w:highlight w:val="none"/>
        </w:rPr>
        <w:t>。</w:t>
      </w:r>
    </w:p>
    <w:p w14:paraId="70A094B9">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kern w:val="0"/>
          <w:highlight w:val="none"/>
        </w:rPr>
        <w:t>承包人提交最终结算申请单的期限：</w:t>
      </w:r>
      <w:r>
        <w:rPr>
          <w:color w:val="auto"/>
          <w:highlight w:val="none"/>
          <w:u w:val="single"/>
        </w:rPr>
        <w:t xml:space="preserve">                    </w:t>
      </w:r>
      <w:r>
        <w:rPr>
          <w:rFonts w:hint="eastAsia" w:hAnsi="宋体" w:cs="宋体"/>
          <w:color w:val="auto"/>
          <w:highlight w:val="none"/>
        </w:rPr>
        <w:t>。</w:t>
      </w:r>
      <w:r>
        <w:rPr>
          <w:color w:val="auto"/>
          <w:highlight w:val="none"/>
        </w:rPr>
        <w:t xml:space="preserve"> </w:t>
      </w:r>
    </w:p>
    <w:p w14:paraId="52023068">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color w:val="auto"/>
          <w:highlight w:val="none"/>
        </w:rPr>
        <w:t>最终结算款支付申请（核准）表见合同附件13。</w:t>
      </w:r>
    </w:p>
    <w:p w14:paraId="464548A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14.4.2 </w:t>
      </w:r>
      <w:r>
        <w:rPr>
          <w:rFonts w:hint="eastAsia" w:hAnsi="宋体" w:cs="宋体"/>
          <w:color w:val="auto"/>
          <w:highlight w:val="none"/>
        </w:rPr>
        <w:t>最终结清证书和支付</w:t>
      </w:r>
    </w:p>
    <w:p w14:paraId="358DB93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）发包人完成最终结清申请单的审批并颁发最终结清证书的期限：</w:t>
      </w:r>
      <w:r>
        <w:rPr>
          <w:color w:val="auto"/>
          <w:highlight w:val="none"/>
          <w:u w:val="single"/>
        </w:rPr>
        <w:t xml:space="preserve">              </w:t>
      </w:r>
      <w:r>
        <w:rPr>
          <w:rFonts w:hint="eastAsia" w:hAnsi="宋体" w:cs="宋体"/>
          <w:color w:val="auto"/>
          <w:highlight w:val="none"/>
        </w:rPr>
        <w:t>。</w:t>
      </w:r>
    </w:p>
    <w:p w14:paraId="29BDDAD8">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）发包人完成支付的期限：</w:t>
      </w:r>
      <w:r>
        <w:rPr>
          <w:color w:val="auto"/>
          <w:highlight w:val="none"/>
          <w:u w:val="single"/>
        </w:rPr>
        <w:t xml:space="preserve">                         </w:t>
      </w:r>
      <w:r>
        <w:rPr>
          <w:rFonts w:hint="eastAsia" w:hAnsi="宋体" w:cs="宋体"/>
          <w:color w:val="auto"/>
          <w:highlight w:val="none"/>
        </w:rPr>
        <w:t>。</w:t>
      </w:r>
    </w:p>
    <w:bookmarkEnd w:id="997"/>
    <w:bookmarkEnd w:id="998"/>
    <w:bookmarkEnd w:id="999"/>
    <w:bookmarkEnd w:id="1000"/>
    <w:bookmarkEnd w:id="1001"/>
    <w:bookmarkEnd w:id="1002"/>
    <w:bookmarkEnd w:id="1003"/>
    <w:bookmarkEnd w:id="1009"/>
    <w:p w14:paraId="787D01B9">
      <w:pPr>
        <w:pStyle w:val="3"/>
        <w:pageBreakBefore w:val="0"/>
        <w:widowControl w:val="0"/>
        <w:kinsoku/>
        <w:wordWrap/>
        <w:overflowPunct/>
        <w:topLinePunct w:val="0"/>
        <w:bidi w:val="0"/>
        <w:spacing w:before="0" w:after="0" w:line="360" w:lineRule="auto"/>
        <w:textAlignment w:val="auto"/>
        <w:rPr>
          <w:color w:val="auto"/>
          <w:highlight w:val="none"/>
        </w:rPr>
      </w:pPr>
      <w:bookmarkStart w:id="1053" w:name="_Toc351203647"/>
      <w:bookmarkStart w:id="1054" w:name="_Toc373227762"/>
      <w:bookmarkStart w:id="1055" w:name="_Toc78449851"/>
      <w:bookmarkStart w:id="1056" w:name="_Toc407135265"/>
      <w:bookmarkStart w:id="1057" w:name="_Toc25623"/>
      <w:bookmarkStart w:id="1058" w:name="_Toc389065327"/>
      <w:bookmarkStart w:id="1059" w:name="_Toc1294213766"/>
      <w:bookmarkStart w:id="1060" w:name="_Toc373478409"/>
      <w:bookmarkStart w:id="1061" w:name="_Toc267251483"/>
      <w:bookmarkStart w:id="1062" w:name="_Toc267251482"/>
      <w:bookmarkStart w:id="1063" w:name="_Toc267251484"/>
      <w:bookmarkStart w:id="1064" w:name="_Toc267251485"/>
      <w:bookmarkStart w:id="1065" w:name="_Toc267251489"/>
      <w:bookmarkStart w:id="1066" w:name="_Toc267251486"/>
      <w:bookmarkStart w:id="1067" w:name="_Toc267251490"/>
      <w:bookmarkStart w:id="1068" w:name="_Toc267251488"/>
      <w:bookmarkStart w:id="1069" w:name="_Toc267251496"/>
      <w:bookmarkStart w:id="1070" w:name="_Toc267251497"/>
      <w:bookmarkStart w:id="1071" w:name="_Toc267251494"/>
      <w:bookmarkStart w:id="1072" w:name="_Toc267251492"/>
      <w:bookmarkStart w:id="1073" w:name="_Toc267251502"/>
      <w:bookmarkStart w:id="1074" w:name="_Toc267251493"/>
      <w:bookmarkStart w:id="1075" w:name="_Toc267251498"/>
      <w:bookmarkStart w:id="1076" w:name="_Toc267251491"/>
      <w:bookmarkStart w:id="1077" w:name="_Toc267251503"/>
      <w:bookmarkStart w:id="1078" w:name="_Toc267251495"/>
      <w:bookmarkStart w:id="1079" w:name="_Toc267251501"/>
      <w:bookmarkStart w:id="1080" w:name="_Toc267251499"/>
      <w:bookmarkStart w:id="1081" w:name="_Toc267251506"/>
      <w:bookmarkStart w:id="1082" w:name="_Toc267251504"/>
      <w:bookmarkStart w:id="1083" w:name="_Toc267251507"/>
      <w:bookmarkStart w:id="1084" w:name="_Toc267251508"/>
      <w:bookmarkStart w:id="1085" w:name="_Toc267251514"/>
      <w:bookmarkStart w:id="1086" w:name="_Toc267251515"/>
      <w:bookmarkStart w:id="1087" w:name="_Toc267251510"/>
      <w:bookmarkStart w:id="1088" w:name="_Toc267251511"/>
      <w:bookmarkStart w:id="1089" w:name="_Toc267251509"/>
      <w:bookmarkStart w:id="1090" w:name="_Toc267251513"/>
      <w:r>
        <w:rPr>
          <w:color w:val="auto"/>
          <w:highlight w:val="none"/>
        </w:rPr>
        <w:t xml:space="preserve">15. </w:t>
      </w:r>
      <w:r>
        <w:rPr>
          <w:rFonts w:hint="eastAsia" w:cs="黑体"/>
          <w:color w:val="auto"/>
          <w:highlight w:val="none"/>
        </w:rPr>
        <w:t>缺陷责任期与保修</w:t>
      </w:r>
      <w:bookmarkEnd w:id="1053"/>
      <w:bookmarkEnd w:id="1054"/>
      <w:bookmarkEnd w:id="1055"/>
      <w:bookmarkEnd w:id="1056"/>
      <w:bookmarkEnd w:id="1057"/>
      <w:bookmarkEnd w:id="1058"/>
      <w:bookmarkEnd w:id="1059"/>
      <w:bookmarkEnd w:id="1060"/>
    </w:p>
    <w:p w14:paraId="1A144CD8">
      <w:pPr>
        <w:pStyle w:val="4"/>
        <w:pageBreakBefore w:val="0"/>
        <w:widowControl w:val="0"/>
        <w:kinsoku/>
        <w:wordWrap/>
        <w:overflowPunct/>
        <w:topLinePunct w:val="0"/>
        <w:bidi w:val="0"/>
        <w:spacing w:before="0" w:after="0" w:line="360" w:lineRule="auto"/>
        <w:textAlignment w:val="auto"/>
        <w:rPr>
          <w:color w:val="auto"/>
          <w:highlight w:val="none"/>
        </w:rPr>
      </w:pPr>
      <w:bookmarkStart w:id="1091" w:name="_Toc389065328"/>
      <w:bookmarkStart w:id="1092" w:name="_Toc6443"/>
      <w:bookmarkStart w:id="1093" w:name="_Toc373227763"/>
      <w:bookmarkStart w:id="1094" w:name="_Toc1468458868"/>
      <w:bookmarkStart w:id="1095" w:name="_Toc78449852"/>
      <w:bookmarkStart w:id="1096" w:name="_Toc407135266"/>
      <w:bookmarkStart w:id="1097" w:name="_Toc373478410"/>
      <w:r>
        <w:rPr>
          <w:color w:val="auto"/>
          <w:highlight w:val="none"/>
        </w:rPr>
        <w:t xml:space="preserve">15.2 </w:t>
      </w:r>
      <w:r>
        <w:rPr>
          <w:rFonts w:hint="eastAsia" w:hAnsi="宋体" w:cs="黑体"/>
          <w:color w:val="auto"/>
          <w:highlight w:val="none"/>
        </w:rPr>
        <w:t>缺陷责任期</w:t>
      </w:r>
      <w:bookmarkEnd w:id="1061"/>
      <w:bookmarkEnd w:id="1091"/>
      <w:bookmarkEnd w:id="1092"/>
      <w:bookmarkEnd w:id="1093"/>
      <w:bookmarkEnd w:id="1094"/>
      <w:bookmarkEnd w:id="1095"/>
      <w:bookmarkEnd w:id="1096"/>
      <w:bookmarkEnd w:id="1097"/>
    </w:p>
    <w:p w14:paraId="631F6270">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缺陷责任期的具体期限：</w:t>
      </w:r>
      <w:r>
        <w:rPr>
          <w:color w:val="auto"/>
          <w:highlight w:val="none"/>
          <w:u w:val="single"/>
        </w:rPr>
        <w:t xml:space="preserve"> </w:t>
      </w:r>
      <w:r>
        <w:rPr>
          <w:rFonts w:hint="eastAsia"/>
          <w:color w:val="auto"/>
          <w:highlight w:val="none"/>
          <w:u w:val="single"/>
        </w:rPr>
        <w:t>缺陷责任期自工程实际竣工验收合格之日起计算</w:t>
      </w:r>
      <w:r>
        <w:rPr>
          <w:rFonts w:hint="eastAsia"/>
          <w:color w:val="auto"/>
          <w:highlight w:val="none"/>
          <w:u w:val="single"/>
          <w:lang w:val="en-US" w:eastAsia="zh-CN"/>
        </w:rPr>
        <w:t>1</w:t>
      </w:r>
      <w:r>
        <w:rPr>
          <w:rFonts w:hint="eastAsia"/>
          <w:color w:val="auto"/>
          <w:highlight w:val="none"/>
          <w:u w:val="single"/>
        </w:rPr>
        <w:t>年</w:t>
      </w:r>
      <w:r>
        <w:rPr>
          <w:color w:val="auto"/>
          <w:highlight w:val="none"/>
          <w:u w:val="single"/>
        </w:rPr>
        <w:t xml:space="preserve">  </w:t>
      </w:r>
      <w:r>
        <w:rPr>
          <w:rFonts w:hint="eastAsia" w:hAnsi="宋体" w:cs="宋体"/>
          <w:color w:val="auto"/>
          <w:highlight w:val="none"/>
        </w:rPr>
        <w:t>。</w:t>
      </w:r>
    </w:p>
    <w:p w14:paraId="3CE02CFC">
      <w:pPr>
        <w:pStyle w:val="4"/>
        <w:pageBreakBefore w:val="0"/>
        <w:widowControl w:val="0"/>
        <w:kinsoku/>
        <w:wordWrap/>
        <w:overflowPunct/>
        <w:topLinePunct w:val="0"/>
        <w:bidi w:val="0"/>
        <w:spacing w:before="0" w:after="0" w:line="360" w:lineRule="auto"/>
        <w:textAlignment w:val="auto"/>
        <w:rPr>
          <w:color w:val="auto"/>
          <w:highlight w:val="none"/>
        </w:rPr>
      </w:pPr>
      <w:bookmarkStart w:id="1098" w:name="_Toc407135267"/>
      <w:bookmarkStart w:id="1099" w:name="_Toc373478411"/>
      <w:bookmarkStart w:id="1100" w:name="_Toc389065329"/>
      <w:bookmarkStart w:id="1101" w:name="_Toc373227764"/>
      <w:bookmarkStart w:id="1102" w:name="_Toc666080472"/>
      <w:bookmarkStart w:id="1103" w:name="_Toc1707"/>
      <w:bookmarkStart w:id="1104" w:name="_Toc78449853"/>
      <w:r>
        <w:rPr>
          <w:color w:val="auto"/>
          <w:highlight w:val="none"/>
        </w:rPr>
        <w:t xml:space="preserve">15.3 </w:t>
      </w:r>
      <w:r>
        <w:rPr>
          <w:rFonts w:hint="eastAsia" w:hAnsi="宋体" w:cs="黑体"/>
          <w:color w:val="auto"/>
          <w:highlight w:val="none"/>
        </w:rPr>
        <w:t>质量保证金</w:t>
      </w:r>
      <w:bookmarkEnd w:id="1098"/>
      <w:bookmarkEnd w:id="1099"/>
      <w:bookmarkEnd w:id="1100"/>
      <w:bookmarkEnd w:id="1101"/>
      <w:bookmarkEnd w:id="1102"/>
      <w:bookmarkEnd w:id="1103"/>
      <w:bookmarkEnd w:id="1104"/>
    </w:p>
    <w:p w14:paraId="5B6412B1">
      <w:pPr>
        <w:pageBreakBefore w:val="0"/>
        <w:widowControl w:val="0"/>
        <w:kinsoku/>
        <w:wordWrap/>
        <w:overflowPunct/>
        <w:topLinePunct w:val="0"/>
        <w:bidi w:val="0"/>
        <w:spacing w:line="360" w:lineRule="auto"/>
        <w:ind w:firstLine="420" w:firstLineChars="200"/>
        <w:jc w:val="left"/>
        <w:textAlignment w:val="auto"/>
        <w:rPr>
          <w:rFonts w:hint="eastAsia" w:hAnsi="宋体" w:cs="宋体"/>
          <w:color w:val="auto"/>
          <w:highlight w:val="none"/>
        </w:rPr>
      </w:pPr>
      <w:r>
        <w:rPr>
          <w:rFonts w:hint="eastAsia" w:hAnsi="宋体" w:cs="宋体"/>
          <w:color w:val="auto"/>
          <w:highlight w:val="none"/>
        </w:rPr>
        <w:t>关于是否扣留质量保证金的约定：</w:t>
      </w:r>
      <w:r>
        <w:rPr>
          <w:color w:val="auto"/>
          <w:highlight w:val="none"/>
          <w:u w:val="single"/>
        </w:rPr>
        <w:t xml:space="preserve"> </w:t>
      </w:r>
      <w:r>
        <w:rPr>
          <w:rFonts w:hint="eastAsia"/>
          <w:color w:val="auto"/>
          <w:highlight w:val="none"/>
          <w:u w:val="single"/>
        </w:rPr>
        <w:t>结算总价的3%保留金作为工程质量保证金</w:t>
      </w:r>
      <w:r>
        <w:rPr>
          <w:color w:val="auto"/>
          <w:highlight w:val="none"/>
          <w:u w:val="single"/>
        </w:rPr>
        <w:t xml:space="preserve">  </w:t>
      </w:r>
      <w:r>
        <w:rPr>
          <w:rFonts w:hint="eastAsia" w:hAnsi="宋体" w:cs="宋体"/>
          <w:color w:val="auto"/>
          <w:highlight w:val="none"/>
        </w:rPr>
        <w:t>。</w:t>
      </w:r>
    </w:p>
    <w:p w14:paraId="4524293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在工程项目竣工前，承包人按专用合同条款第3.7条提供履约担保的，发包人不得同时预留工程质量保证金。</w:t>
      </w:r>
    </w:p>
    <w:p w14:paraId="07A588C0">
      <w:pPr>
        <w:pageBreakBefore w:val="0"/>
        <w:widowControl w:val="0"/>
        <w:kinsoku/>
        <w:wordWrap/>
        <w:overflowPunct/>
        <w:topLinePunct w:val="0"/>
        <w:bidi w:val="0"/>
        <w:spacing w:line="360" w:lineRule="auto"/>
        <w:ind w:firstLine="420" w:firstLineChars="200"/>
        <w:jc w:val="left"/>
        <w:textAlignment w:val="auto"/>
        <w:outlineLvl w:val="0"/>
        <w:rPr>
          <w:color w:val="auto"/>
          <w:highlight w:val="none"/>
        </w:rPr>
      </w:pPr>
      <w:r>
        <w:rPr>
          <w:color w:val="auto"/>
          <w:highlight w:val="none"/>
        </w:rPr>
        <w:t xml:space="preserve">15.3.1 </w:t>
      </w:r>
      <w:r>
        <w:rPr>
          <w:rFonts w:hint="eastAsia" w:hAnsi="宋体" w:cs="宋体"/>
          <w:color w:val="auto"/>
          <w:highlight w:val="none"/>
        </w:rPr>
        <w:t>承包人提供质量保证金的方式</w:t>
      </w:r>
    </w:p>
    <w:p w14:paraId="2A768B2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质量保证金采用以下第</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种方式：</w:t>
      </w:r>
    </w:p>
    <w:p w14:paraId="4C8B86C1">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）质量保证金保函</w:t>
      </w:r>
      <w:r>
        <w:rPr>
          <w:rFonts w:hint="eastAsia" w:ascii="Times New Roman" w:hAnsi="宋体" w:eastAsia="宋体" w:cs="宋体"/>
          <w:color w:val="auto"/>
          <w:highlight w:val="none"/>
        </w:rPr>
        <w:t>（银行保函、电子保函、保证保险保函、工程担保保函</w:t>
      </w:r>
      <w:r>
        <w:rPr>
          <w:rFonts w:hint="eastAsia" w:ascii="Times New Roman" w:hAnsi="宋体" w:eastAsia="宋体" w:cs="宋体"/>
          <w:color w:val="auto"/>
          <w:highlight w:val="none"/>
          <w:lang w:eastAsia="zh-CN"/>
        </w:rPr>
        <w:t>，</w:t>
      </w:r>
      <w:r>
        <w:rPr>
          <w:rFonts w:hint="eastAsia" w:hAnsi="宋体" w:cs="宋体"/>
          <w:color w:val="auto"/>
          <w:kern w:val="0"/>
          <w:highlight w:val="none"/>
        </w:rPr>
        <w:t>工程担保保证人应将出具的保函相关信息录入</w:t>
      </w:r>
      <w:r>
        <w:rPr>
          <w:rFonts w:hint="eastAsia" w:hAnsi="宋体" w:cs="宋体"/>
          <w:color w:val="auto"/>
          <w:kern w:val="0"/>
          <w:highlight w:val="none"/>
          <w:lang w:eastAsia="zh-CN"/>
        </w:rPr>
        <w:t>“</w:t>
      </w:r>
      <w:r>
        <w:rPr>
          <w:rFonts w:hint="eastAsia" w:hAnsi="宋体" w:cs="宋体"/>
          <w:color w:val="auto"/>
          <w:kern w:val="0"/>
          <w:highlight w:val="none"/>
        </w:rPr>
        <w:t>广西建筑市场监管云</w:t>
      </w:r>
      <w:r>
        <w:rPr>
          <w:rFonts w:hint="eastAsia" w:hAnsi="宋体" w:cs="宋体"/>
          <w:color w:val="auto"/>
          <w:kern w:val="0"/>
          <w:highlight w:val="none"/>
          <w:lang w:eastAsia="zh-CN"/>
        </w:rPr>
        <w:t>”</w:t>
      </w:r>
      <w:r>
        <w:rPr>
          <w:rFonts w:hint="eastAsia" w:hAnsi="宋体" w:cs="宋体"/>
          <w:color w:val="auto"/>
          <w:kern w:val="0"/>
          <w:highlight w:val="none"/>
        </w:rPr>
        <w:t>平台（http</w:t>
      </w:r>
      <w:r>
        <w:rPr>
          <w:rFonts w:hint="eastAsia" w:hAnsi="宋体" w:cs="宋体"/>
          <w:color w:val="auto"/>
          <w:kern w:val="0"/>
          <w:highlight w:val="none"/>
          <w:lang w:eastAsia="zh-CN"/>
        </w:rPr>
        <w:t>：</w:t>
      </w:r>
      <w:r>
        <w:rPr>
          <w:rFonts w:hint="eastAsia" w:hAnsi="宋体" w:cs="宋体"/>
          <w:color w:val="auto"/>
          <w:kern w:val="0"/>
          <w:highlight w:val="none"/>
        </w:rPr>
        <w:t>//gxjzsc.caihcloud.com），以实现保函查询及验真功能</w:t>
      </w:r>
      <w:r>
        <w:rPr>
          <w:rFonts w:hint="eastAsia" w:hAnsi="宋体" w:cs="宋体"/>
          <w:color w:val="auto"/>
          <w:kern w:val="0"/>
          <w:highlight w:val="none"/>
          <w:lang w:eastAsia="zh-CN"/>
        </w:rPr>
        <w:t>。</w:t>
      </w:r>
      <w:r>
        <w:rPr>
          <w:rFonts w:hint="eastAsia" w:ascii="Times New Roman" w:hAnsi="宋体" w:eastAsia="宋体" w:cs="宋体"/>
          <w:color w:val="auto"/>
          <w:highlight w:val="none"/>
        </w:rPr>
        <w:t>）</w:t>
      </w:r>
      <w:r>
        <w:rPr>
          <w:rFonts w:hint="eastAsia" w:hAnsi="宋体" w:cs="宋体"/>
          <w:color w:val="auto"/>
          <w:kern w:val="0"/>
          <w:highlight w:val="none"/>
        </w:rPr>
        <w:t>，保证金额为：</w:t>
      </w:r>
      <w:r>
        <w:rPr>
          <w:color w:val="auto"/>
          <w:kern w:val="0"/>
          <w:highlight w:val="none"/>
          <w:u w:val="single"/>
        </w:rPr>
        <w:t xml:space="preserve">                   </w:t>
      </w:r>
      <w:r>
        <w:rPr>
          <w:rFonts w:hint="eastAsia" w:hAnsi="宋体" w:cs="宋体"/>
          <w:color w:val="auto"/>
          <w:kern w:val="0"/>
          <w:highlight w:val="none"/>
        </w:rPr>
        <w:t>；</w:t>
      </w:r>
    </w:p>
    <w:p w14:paraId="7D85FFFF">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w:t>
      </w:r>
      <w:r>
        <w:rPr>
          <w:rFonts w:hint="eastAsia" w:hAnsi="宋体" w:cs="宋体"/>
          <w:color w:val="auto"/>
          <w:highlight w:val="none"/>
        </w:rPr>
        <w:t>发包人按工程价款结算总额的</w:t>
      </w:r>
      <w:r>
        <w:rPr>
          <w:rFonts w:hAnsi="宋体"/>
          <w:color w:val="auto"/>
          <w:highlight w:val="none"/>
          <w:u w:val="single"/>
        </w:rPr>
        <w:t xml:space="preserve"> </w:t>
      </w:r>
      <w:r>
        <w:rPr>
          <w:rFonts w:hint="eastAsia" w:hAnsi="宋体"/>
          <w:color w:val="auto"/>
          <w:highlight w:val="none"/>
          <w:u w:val="single"/>
          <w:lang w:val="en-US" w:eastAsia="zh-CN"/>
        </w:rPr>
        <w:t xml:space="preserve">3 </w:t>
      </w:r>
      <w:r>
        <w:rPr>
          <w:rFonts w:hAnsi="宋体"/>
          <w:color w:val="auto"/>
          <w:highlight w:val="none"/>
          <w:u w:val="single"/>
        </w:rPr>
        <w:t xml:space="preserve"> </w:t>
      </w:r>
      <w:r>
        <w:rPr>
          <w:color w:val="auto"/>
          <w:highlight w:val="none"/>
        </w:rPr>
        <w:t>%</w:t>
      </w:r>
      <w:r>
        <w:rPr>
          <w:rFonts w:hint="eastAsia" w:cs="宋体"/>
          <w:color w:val="auto"/>
          <w:highlight w:val="none"/>
        </w:rPr>
        <w:t>（不得超过</w:t>
      </w:r>
      <w:r>
        <w:rPr>
          <w:color w:val="auto"/>
          <w:highlight w:val="none"/>
        </w:rPr>
        <w:t>3%</w:t>
      </w:r>
      <w:r>
        <w:rPr>
          <w:rFonts w:hint="eastAsia" w:cs="宋体"/>
          <w:color w:val="auto"/>
          <w:highlight w:val="none"/>
        </w:rPr>
        <w:t>）</w:t>
      </w:r>
      <w:r>
        <w:rPr>
          <w:rFonts w:hint="eastAsia" w:hAnsi="宋体" w:cs="宋体"/>
          <w:color w:val="auto"/>
          <w:highlight w:val="none"/>
        </w:rPr>
        <w:t>预留工程质量保证金，待缺陷责任期满后返还，是否付息及利息计算方式为：</w:t>
      </w:r>
      <w:r>
        <w:rPr>
          <w:rFonts w:hint="eastAsia" w:hAnsi="宋体" w:cs="宋体"/>
          <w:color w:val="auto"/>
          <w:highlight w:val="none"/>
          <w:u w:val="single"/>
        </w:rPr>
        <w:t xml:space="preserve">   </w:t>
      </w:r>
      <w:r>
        <w:rPr>
          <w:rFonts w:hint="eastAsia" w:hAnsi="宋体" w:cs="宋体"/>
          <w:color w:val="auto"/>
          <w:highlight w:val="none"/>
          <w:u w:val="single"/>
          <w:lang w:val="en-US" w:eastAsia="zh-CN"/>
        </w:rPr>
        <w:t>不计息</w:t>
      </w:r>
      <w:r>
        <w:rPr>
          <w:rFonts w:hint="eastAsia" w:hAnsi="宋体" w:cs="宋体"/>
          <w:color w:val="auto"/>
          <w:highlight w:val="none"/>
          <w:u w:val="single"/>
        </w:rPr>
        <w:t xml:space="preserve">   </w:t>
      </w:r>
      <w:r>
        <w:rPr>
          <w:rFonts w:hint="eastAsia" w:hAnsi="宋体" w:cs="宋体"/>
          <w:color w:val="auto"/>
          <w:kern w:val="0"/>
          <w:highlight w:val="none"/>
        </w:rPr>
        <w:t>；</w:t>
      </w:r>
    </w:p>
    <w:p w14:paraId="65E7C655">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rFonts w:hint="eastAsia" w:eastAsia="宋体"/>
          <w:color w:val="auto"/>
          <w:kern w:val="0"/>
          <w:highlight w:val="none"/>
          <w:lang w:eastAsia="zh-CN"/>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）其他方式</w:t>
      </w:r>
      <w:r>
        <w:rPr>
          <w:rFonts w:hint="eastAsia" w:cs="宋体"/>
          <w:color w:val="auto"/>
          <w:kern w:val="0"/>
          <w:highlight w:val="none"/>
        </w:rPr>
        <w:t>：</w:t>
      </w:r>
      <w:r>
        <w:rPr>
          <w:rFonts w:hint="eastAsia" w:ascii="Times New Roman" w:hAnsi="宋体" w:eastAsia="宋体" w:cs="宋体"/>
          <w:color w:val="auto"/>
          <w:highlight w:val="none"/>
          <w:lang w:val="en-US" w:eastAsia="zh-CN"/>
        </w:rPr>
        <w:t xml:space="preserve"> </w:t>
      </w:r>
    </w:p>
    <w:p w14:paraId="5D0DE0FD">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15.3.2 </w:t>
      </w:r>
      <w:r>
        <w:rPr>
          <w:rFonts w:hint="eastAsia" w:hAnsi="宋体" w:cs="宋体"/>
          <w:color w:val="auto"/>
          <w:highlight w:val="none"/>
        </w:rPr>
        <w:t>质量保证金的扣留</w:t>
      </w:r>
    </w:p>
    <w:p w14:paraId="5C8236C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质量保证金的扣留采取以下第</w:t>
      </w:r>
      <w:r>
        <w:rPr>
          <w:color w:val="auto"/>
          <w:highlight w:val="none"/>
          <w:u w:val="single"/>
        </w:rPr>
        <w:t xml:space="preserve"> </w:t>
      </w:r>
      <w:r>
        <w:rPr>
          <w:rFonts w:hint="eastAsia"/>
          <w:color w:val="auto"/>
          <w:highlight w:val="none"/>
          <w:u w:val="single"/>
          <w:lang w:val="en-US" w:eastAsia="zh-CN"/>
        </w:rPr>
        <w:t>3</w:t>
      </w:r>
      <w:r>
        <w:rPr>
          <w:color w:val="auto"/>
          <w:highlight w:val="none"/>
          <w:u w:val="single"/>
        </w:rPr>
        <w:t xml:space="preserve"> </w:t>
      </w:r>
      <w:r>
        <w:rPr>
          <w:rFonts w:hint="eastAsia" w:hAnsi="宋体" w:cs="宋体"/>
          <w:color w:val="auto"/>
          <w:highlight w:val="none"/>
        </w:rPr>
        <w:t>种方式：</w:t>
      </w:r>
    </w:p>
    <w:p w14:paraId="67F39D38">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）在</w:t>
      </w:r>
      <w:r>
        <w:rPr>
          <w:rFonts w:hAnsi="宋体" w:cs="宋体"/>
          <w:color w:val="auto"/>
          <w:kern w:val="0"/>
          <w:highlight w:val="none"/>
        </w:rPr>
        <w:t>不缴纳履</w:t>
      </w:r>
      <w:r>
        <w:rPr>
          <w:rFonts w:hint="eastAsia" w:hAnsi="宋体" w:cs="宋体"/>
          <w:color w:val="auto"/>
          <w:kern w:val="0"/>
          <w:highlight w:val="none"/>
        </w:rPr>
        <w:t>保</w:t>
      </w:r>
      <w:r>
        <w:rPr>
          <w:rFonts w:hAnsi="宋体" w:cs="宋体"/>
          <w:color w:val="auto"/>
          <w:kern w:val="0"/>
          <w:highlight w:val="none"/>
        </w:rPr>
        <w:t>证金情况下</w:t>
      </w:r>
      <w:r>
        <w:rPr>
          <w:rFonts w:hint="eastAsia" w:hAnsi="宋体" w:cs="宋体"/>
          <w:color w:val="auto"/>
          <w:kern w:val="0"/>
          <w:highlight w:val="none"/>
        </w:rPr>
        <w:t>，按支付工程进度款时逐次扣留，质量保证金的计算基数不包括预付款的支付、扣回以及价格调整的金额；</w:t>
      </w:r>
    </w:p>
    <w:p w14:paraId="41F1C98D">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）工程竣工结算时，一次性扣留质量保证金，</w:t>
      </w:r>
      <w:r>
        <w:rPr>
          <w:rFonts w:hAnsi="宋体" w:cs="宋体"/>
          <w:color w:val="auto"/>
          <w:kern w:val="0"/>
          <w:highlight w:val="none"/>
        </w:rPr>
        <w:t>由承包人以银行保函</w:t>
      </w:r>
      <w:r>
        <w:rPr>
          <w:rFonts w:hint="eastAsia" w:hAnsi="宋体" w:cs="宋体"/>
          <w:color w:val="auto"/>
          <w:kern w:val="0"/>
          <w:highlight w:val="none"/>
        </w:rPr>
        <w:t>、保证保险</w:t>
      </w:r>
      <w:r>
        <w:rPr>
          <w:rFonts w:hAnsi="宋体" w:cs="宋体"/>
          <w:color w:val="auto"/>
          <w:kern w:val="0"/>
          <w:highlight w:val="none"/>
        </w:rPr>
        <w:t>替代预留</w:t>
      </w:r>
      <w:r>
        <w:rPr>
          <w:rFonts w:hint="eastAsia" w:hAnsi="宋体" w:cs="宋体"/>
          <w:color w:val="auto"/>
          <w:kern w:val="0"/>
          <w:highlight w:val="none"/>
        </w:rPr>
        <w:t>质量</w:t>
      </w:r>
      <w:r>
        <w:rPr>
          <w:rFonts w:hAnsi="宋体" w:cs="宋体"/>
          <w:color w:val="auto"/>
          <w:kern w:val="0"/>
          <w:highlight w:val="none"/>
        </w:rPr>
        <w:t>保证金</w:t>
      </w:r>
      <w:r>
        <w:rPr>
          <w:rFonts w:hint="eastAsia" w:hAnsi="宋体" w:cs="宋体"/>
          <w:color w:val="auto"/>
          <w:kern w:val="0"/>
          <w:highlight w:val="none"/>
        </w:rPr>
        <w:t>，</w:t>
      </w:r>
      <w:r>
        <w:rPr>
          <w:rFonts w:hAnsi="宋体" w:cs="宋体"/>
          <w:color w:val="auto"/>
          <w:kern w:val="0"/>
          <w:highlight w:val="none"/>
        </w:rPr>
        <w:t>保函金额不得高</w:t>
      </w:r>
      <w:r>
        <w:rPr>
          <w:rFonts w:hint="eastAsia" w:hAnsi="宋体" w:cs="宋体"/>
          <w:color w:val="auto"/>
          <w:kern w:val="0"/>
          <w:highlight w:val="none"/>
        </w:rPr>
        <w:t>于</w:t>
      </w:r>
      <w:r>
        <w:rPr>
          <w:rFonts w:hAnsi="宋体" w:cs="宋体"/>
          <w:color w:val="auto"/>
          <w:kern w:val="0"/>
          <w:highlight w:val="none"/>
        </w:rPr>
        <w:t>工程价款结算总额的</w:t>
      </w:r>
      <w:r>
        <w:rPr>
          <w:rFonts w:hint="eastAsia" w:hAnsi="宋体" w:cs="宋体"/>
          <w:color w:val="auto"/>
          <w:kern w:val="0"/>
          <w:highlight w:val="none"/>
        </w:rPr>
        <w:t>3</w:t>
      </w:r>
      <w:r>
        <w:rPr>
          <w:rFonts w:hAnsi="宋体" w:cs="宋体"/>
          <w:color w:val="auto"/>
          <w:kern w:val="0"/>
          <w:highlight w:val="none"/>
        </w:rPr>
        <w:t>%</w:t>
      </w:r>
      <w:r>
        <w:rPr>
          <w:rFonts w:hint="eastAsia" w:hAnsi="宋体" w:cs="宋体"/>
          <w:color w:val="auto"/>
          <w:kern w:val="0"/>
          <w:highlight w:val="none"/>
        </w:rPr>
        <w:t>；</w:t>
      </w:r>
    </w:p>
    <w:p w14:paraId="10E8D67F">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）其他扣留方式</w:t>
      </w:r>
      <w:r>
        <w:rPr>
          <w:rFonts w:hint="eastAsia"/>
          <w:color w:val="auto"/>
          <w:kern w:val="0"/>
          <w:highlight w:val="none"/>
          <w:lang w:eastAsia="zh-CN"/>
        </w:rPr>
        <w:t>：</w:t>
      </w:r>
      <w:r>
        <w:rPr>
          <w:rFonts w:hint="eastAsia"/>
          <w:color w:val="auto"/>
          <w:kern w:val="0"/>
          <w:highlight w:val="none"/>
          <w:u w:val="single"/>
        </w:rPr>
        <w:t>工程竣工结算时一次性扣留质量保证金</w:t>
      </w:r>
      <w:r>
        <w:rPr>
          <w:rFonts w:hint="eastAsia" w:hAnsi="宋体" w:cs="宋体"/>
          <w:color w:val="auto"/>
          <w:kern w:val="0"/>
          <w:highlight w:val="none"/>
        </w:rPr>
        <w:t>。</w:t>
      </w:r>
    </w:p>
    <w:p w14:paraId="3BE3A5FD">
      <w:pPr>
        <w:pageBreakBefore w:val="0"/>
        <w:widowControl w:val="0"/>
        <w:kinsoku/>
        <w:wordWrap/>
        <w:overflowPunct/>
        <w:topLinePunct w:val="0"/>
        <w:bidi w:val="0"/>
        <w:spacing w:line="360" w:lineRule="auto"/>
        <w:ind w:firstLine="420" w:firstLineChars="200"/>
        <w:jc w:val="left"/>
        <w:textAlignment w:val="auto"/>
        <w:rPr>
          <w:color w:val="auto"/>
          <w:kern w:val="0"/>
          <w:highlight w:val="none"/>
          <w:u w:val="single"/>
        </w:rPr>
      </w:pPr>
      <w:r>
        <w:rPr>
          <w:rFonts w:hint="eastAsia" w:hAnsi="宋体" w:cs="宋体"/>
          <w:color w:val="auto"/>
          <w:highlight w:val="none"/>
        </w:rPr>
        <w:t>关于质量保证金的补充约定：</w:t>
      </w:r>
      <w:r>
        <w:rPr>
          <w:rFonts w:hint="eastAsia"/>
          <w:color w:val="auto"/>
          <w:kern w:val="0"/>
          <w:highlight w:val="none"/>
          <w:u w:val="single"/>
          <w:lang w:val="en-US" w:eastAsia="zh-CN"/>
        </w:rPr>
        <w:t xml:space="preserve">                           </w:t>
      </w:r>
      <w:r>
        <w:rPr>
          <w:rFonts w:hint="eastAsia" w:hAnsi="宋体" w:cs="宋体"/>
          <w:color w:val="auto"/>
          <w:kern w:val="0"/>
          <w:highlight w:val="none"/>
        </w:rPr>
        <w:t>。</w:t>
      </w:r>
    </w:p>
    <w:bookmarkEnd w:id="1062"/>
    <w:bookmarkEnd w:id="1063"/>
    <w:p w14:paraId="0482EF37">
      <w:pPr>
        <w:pStyle w:val="4"/>
        <w:pageBreakBefore w:val="0"/>
        <w:widowControl w:val="0"/>
        <w:kinsoku/>
        <w:wordWrap/>
        <w:overflowPunct/>
        <w:topLinePunct w:val="0"/>
        <w:bidi w:val="0"/>
        <w:spacing w:before="0" w:after="0" w:line="360" w:lineRule="auto"/>
        <w:textAlignment w:val="auto"/>
        <w:rPr>
          <w:color w:val="auto"/>
          <w:highlight w:val="none"/>
        </w:rPr>
      </w:pPr>
      <w:bookmarkStart w:id="1105" w:name="_Toc78449854"/>
      <w:bookmarkStart w:id="1106" w:name="_Toc13412"/>
      <w:bookmarkStart w:id="1107" w:name="_Toc389065330"/>
      <w:bookmarkStart w:id="1108" w:name="_Toc373227765"/>
      <w:bookmarkStart w:id="1109" w:name="_Toc373478412"/>
      <w:bookmarkStart w:id="1110" w:name="_Toc196306762"/>
      <w:bookmarkStart w:id="1111" w:name="_Toc407135268"/>
      <w:r>
        <w:rPr>
          <w:color w:val="auto"/>
          <w:highlight w:val="none"/>
        </w:rPr>
        <w:t xml:space="preserve">15.4 </w:t>
      </w:r>
      <w:r>
        <w:rPr>
          <w:rFonts w:hint="eastAsia" w:hAnsi="宋体" w:cs="黑体"/>
          <w:color w:val="auto"/>
          <w:highlight w:val="none"/>
        </w:rPr>
        <w:t>保修</w:t>
      </w:r>
      <w:bookmarkEnd w:id="1105"/>
      <w:bookmarkEnd w:id="1106"/>
      <w:bookmarkEnd w:id="1107"/>
      <w:bookmarkEnd w:id="1108"/>
      <w:bookmarkEnd w:id="1109"/>
      <w:bookmarkEnd w:id="1110"/>
      <w:bookmarkEnd w:id="1111"/>
    </w:p>
    <w:bookmarkEnd w:id="1064"/>
    <w:p w14:paraId="049167AD">
      <w:pPr>
        <w:pageBreakBefore w:val="0"/>
        <w:widowControl w:val="0"/>
        <w:kinsoku/>
        <w:wordWrap/>
        <w:overflowPunct/>
        <w:topLinePunct w:val="0"/>
        <w:bidi w:val="0"/>
        <w:spacing w:line="360" w:lineRule="auto"/>
        <w:ind w:firstLine="409" w:firstLineChars="195"/>
        <w:jc w:val="left"/>
        <w:textAlignment w:val="auto"/>
        <w:outlineLvl w:val="0"/>
        <w:rPr>
          <w:color w:val="auto"/>
          <w:highlight w:val="none"/>
        </w:rPr>
      </w:pPr>
      <w:r>
        <w:rPr>
          <w:color w:val="auto"/>
          <w:highlight w:val="none"/>
        </w:rPr>
        <w:t xml:space="preserve">15.4.1 </w:t>
      </w:r>
      <w:r>
        <w:rPr>
          <w:rFonts w:hint="eastAsia" w:hAnsi="宋体" w:cs="宋体"/>
          <w:color w:val="auto"/>
          <w:highlight w:val="none"/>
        </w:rPr>
        <w:t>保修责任</w:t>
      </w:r>
    </w:p>
    <w:p w14:paraId="48E6FC8A">
      <w:pPr>
        <w:pageBreakBefore w:val="0"/>
        <w:widowControl w:val="0"/>
        <w:kinsoku/>
        <w:wordWrap/>
        <w:overflowPunct/>
        <w:topLinePunct w:val="0"/>
        <w:bidi w:val="0"/>
        <w:spacing w:line="360" w:lineRule="auto"/>
        <w:ind w:firstLine="409" w:firstLineChars="195"/>
        <w:jc w:val="left"/>
        <w:textAlignment w:val="auto"/>
        <w:rPr>
          <w:rFonts w:hint="eastAsia" w:eastAsia="宋体"/>
          <w:color w:val="auto"/>
          <w:kern w:val="0"/>
          <w:highlight w:val="none"/>
          <w:u w:val="single"/>
          <w:lang w:val="en-US" w:eastAsia="zh-CN"/>
        </w:rPr>
      </w:pPr>
      <w:r>
        <w:rPr>
          <w:rFonts w:hint="eastAsia" w:hAnsi="宋体" w:cs="宋体"/>
          <w:color w:val="auto"/>
          <w:highlight w:val="none"/>
        </w:rPr>
        <w:t>工程保修期为：</w:t>
      </w:r>
      <w:r>
        <w:rPr>
          <w:color w:val="auto"/>
          <w:kern w:val="0"/>
          <w:highlight w:val="none"/>
          <w:u w:val="single"/>
        </w:rPr>
        <w:t xml:space="preserve"> </w:t>
      </w:r>
      <w:r>
        <w:rPr>
          <w:rFonts w:hint="eastAsia"/>
          <w:color w:val="auto"/>
          <w:kern w:val="0"/>
          <w:highlight w:val="none"/>
          <w:u w:val="single"/>
          <w:lang w:val="en-US" w:eastAsia="zh-CN"/>
        </w:rPr>
        <w:t>按附件2</w:t>
      </w:r>
      <w:r>
        <w:rPr>
          <w:rFonts w:hint="eastAsia"/>
          <w:color w:val="auto"/>
          <w:kern w:val="0"/>
          <w:highlight w:val="none"/>
          <w:u w:val="single"/>
        </w:rPr>
        <w:t>工程质量保修书（市政公用工程）</w:t>
      </w:r>
      <w:r>
        <w:rPr>
          <w:rFonts w:hint="eastAsia"/>
          <w:color w:val="auto"/>
          <w:kern w:val="0"/>
          <w:highlight w:val="none"/>
          <w:u w:val="single"/>
          <w:lang w:val="en-US" w:eastAsia="zh-CN"/>
        </w:rPr>
        <w:t>执行</w:t>
      </w:r>
    </w:p>
    <w:p w14:paraId="09C0A03A">
      <w:pPr>
        <w:pageBreakBefore w:val="0"/>
        <w:widowControl w:val="0"/>
        <w:kinsoku/>
        <w:wordWrap/>
        <w:overflowPunct/>
        <w:topLinePunct w:val="0"/>
        <w:bidi w:val="0"/>
        <w:spacing w:line="360" w:lineRule="auto"/>
        <w:ind w:firstLine="409" w:firstLineChars="195"/>
        <w:jc w:val="left"/>
        <w:textAlignment w:val="auto"/>
        <w:rPr>
          <w:rFonts w:hAnsi="宋体"/>
          <w:color w:val="auto"/>
          <w:kern w:val="0"/>
          <w:highlight w:val="none"/>
        </w:rPr>
      </w:pPr>
      <w:r>
        <w:rPr>
          <w:rFonts w:hint="eastAsia"/>
          <w:color w:val="auto"/>
          <w:kern w:val="0"/>
          <w:highlight w:val="none"/>
          <w:u w:val="single"/>
        </w:rPr>
        <w:t>其他按工程保修书约定</w:t>
      </w:r>
      <w:r>
        <w:rPr>
          <w:color w:val="auto"/>
          <w:kern w:val="0"/>
          <w:highlight w:val="none"/>
          <w:u w:val="single"/>
        </w:rPr>
        <w:t xml:space="preserve"> </w:t>
      </w:r>
      <w:r>
        <w:rPr>
          <w:rFonts w:hint="eastAsia" w:hAnsi="宋体" w:cs="宋体"/>
          <w:color w:val="auto"/>
          <w:kern w:val="0"/>
          <w:highlight w:val="none"/>
        </w:rPr>
        <w:t>。</w:t>
      </w:r>
    </w:p>
    <w:p w14:paraId="7F741445">
      <w:pPr>
        <w:pageBreakBefore w:val="0"/>
        <w:widowControl w:val="0"/>
        <w:kinsoku/>
        <w:wordWrap/>
        <w:overflowPunct/>
        <w:topLinePunct w:val="0"/>
        <w:bidi w:val="0"/>
        <w:spacing w:line="360" w:lineRule="auto"/>
        <w:ind w:firstLine="409" w:firstLineChars="195"/>
        <w:jc w:val="left"/>
        <w:textAlignment w:val="auto"/>
        <w:rPr>
          <w:color w:val="auto"/>
          <w:kern w:val="0"/>
          <w:highlight w:val="none"/>
          <w:u w:val="single"/>
        </w:rPr>
      </w:pPr>
      <w:r>
        <w:rPr>
          <w:rFonts w:hint="eastAsia" w:ascii="宋体" w:hAnsi="宋体" w:cs="宋体"/>
          <w:color w:val="auto"/>
          <w:highlight w:val="none"/>
        </w:rPr>
        <w:t>工程保修书具体内容见合同附件2。</w:t>
      </w:r>
    </w:p>
    <w:p w14:paraId="360E7984">
      <w:pPr>
        <w:pageBreakBefore w:val="0"/>
        <w:widowControl w:val="0"/>
        <w:kinsoku/>
        <w:wordWrap/>
        <w:overflowPunct/>
        <w:topLinePunct w:val="0"/>
        <w:bidi w:val="0"/>
        <w:spacing w:line="360" w:lineRule="auto"/>
        <w:ind w:firstLine="409" w:firstLineChars="195"/>
        <w:jc w:val="left"/>
        <w:textAlignment w:val="auto"/>
        <w:rPr>
          <w:color w:val="auto"/>
          <w:highlight w:val="none"/>
        </w:rPr>
      </w:pPr>
      <w:r>
        <w:rPr>
          <w:color w:val="auto"/>
          <w:highlight w:val="none"/>
        </w:rPr>
        <w:t xml:space="preserve">15.4.3 </w:t>
      </w:r>
      <w:r>
        <w:rPr>
          <w:rFonts w:hint="eastAsia" w:hAnsi="宋体" w:cs="宋体"/>
          <w:color w:val="auto"/>
          <w:highlight w:val="none"/>
        </w:rPr>
        <w:t>修复通知</w:t>
      </w:r>
    </w:p>
    <w:p w14:paraId="7CBF4D10">
      <w:pPr>
        <w:pageBreakBefore w:val="0"/>
        <w:widowControl w:val="0"/>
        <w:kinsoku/>
        <w:wordWrap/>
        <w:overflowPunct/>
        <w:topLinePunct w:val="0"/>
        <w:bidi w:val="0"/>
        <w:spacing w:line="360" w:lineRule="auto"/>
        <w:ind w:firstLine="409" w:firstLineChars="195"/>
        <w:jc w:val="left"/>
        <w:textAlignment w:val="auto"/>
        <w:rPr>
          <w:color w:val="auto"/>
          <w:kern w:val="0"/>
          <w:highlight w:val="none"/>
          <w:u w:val="single"/>
        </w:rPr>
      </w:pPr>
      <w:r>
        <w:rPr>
          <w:rFonts w:hint="eastAsia" w:hAnsi="宋体" w:cs="宋体"/>
          <w:color w:val="auto"/>
          <w:kern w:val="0"/>
          <w:highlight w:val="none"/>
        </w:rPr>
        <w:t>承包人收到保修通知并到达工程现场的合理时间：</w:t>
      </w:r>
      <w:r>
        <w:rPr>
          <w:color w:val="auto"/>
          <w:kern w:val="0"/>
          <w:highlight w:val="none"/>
          <w:u w:val="single"/>
        </w:rPr>
        <w:t xml:space="preserve"> </w:t>
      </w:r>
      <w:r>
        <w:rPr>
          <w:rFonts w:hint="eastAsia"/>
          <w:color w:val="auto"/>
          <w:kern w:val="0"/>
          <w:highlight w:val="none"/>
          <w:u w:val="single"/>
        </w:rPr>
        <w:t>在</w:t>
      </w:r>
      <w:r>
        <w:rPr>
          <w:rFonts w:hint="eastAsia"/>
          <w:color w:val="auto"/>
          <w:kern w:val="0"/>
          <w:highlight w:val="none"/>
          <w:u w:val="single"/>
          <w:lang w:val="en-US" w:eastAsia="zh-CN"/>
        </w:rPr>
        <w:t>发包人</w:t>
      </w:r>
      <w:r>
        <w:rPr>
          <w:rFonts w:hint="eastAsia"/>
          <w:color w:val="auto"/>
          <w:kern w:val="0"/>
          <w:highlight w:val="none"/>
          <w:u w:val="single"/>
        </w:rPr>
        <w:t>通知24小时内赶到现场进行维修，履行保修义务，保证维修的质量及效果</w:t>
      </w:r>
      <w:r>
        <w:rPr>
          <w:color w:val="auto"/>
          <w:kern w:val="0"/>
          <w:highlight w:val="none"/>
          <w:u w:val="single"/>
        </w:rPr>
        <w:t xml:space="preserve"> </w:t>
      </w:r>
      <w:r>
        <w:rPr>
          <w:rFonts w:hint="eastAsia" w:hAnsi="宋体" w:cs="宋体"/>
          <w:color w:val="auto"/>
          <w:kern w:val="0"/>
          <w:highlight w:val="none"/>
        </w:rPr>
        <w:t>。</w:t>
      </w:r>
    </w:p>
    <w:bookmarkEnd w:id="1065"/>
    <w:bookmarkEnd w:id="1066"/>
    <w:bookmarkEnd w:id="1067"/>
    <w:bookmarkEnd w:id="1068"/>
    <w:p w14:paraId="7BE6BB9D">
      <w:pPr>
        <w:pStyle w:val="3"/>
        <w:pageBreakBefore w:val="0"/>
        <w:widowControl w:val="0"/>
        <w:kinsoku/>
        <w:wordWrap/>
        <w:overflowPunct/>
        <w:topLinePunct w:val="0"/>
        <w:bidi w:val="0"/>
        <w:spacing w:before="0" w:after="0" w:line="360" w:lineRule="auto"/>
        <w:textAlignment w:val="auto"/>
        <w:rPr>
          <w:color w:val="auto"/>
          <w:highlight w:val="none"/>
        </w:rPr>
      </w:pPr>
      <w:bookmarkStart w:id="1112" w:name="_Toc1360137061"/>
      <w:bookmarkStart w:id="1113" w:name="_Toc373227766"/>
      <w:bookmarkStart w:id="1114" w:name="_Toc407135269"/>
      <w:bookmarkStart w:id="1115" w:name="_Toc373478413"/>
      <w:bookmarkStart w:id="1116" w:name="_Toc13112"/>
      <w:bookmarkStart w:id="1117" w:name="_Toc389065331"/>
      <w:bookmarkStart w:id="1118" w:name="_Toc78449855"/>
      <w:bookmarkStart w:id="1119" w:name="_Toc351203648"/>
      <w:bookmarkStart w:id="1120" w:name="_Toc280868717"/>
      <w:bookmarkStart w:id="1121" w:name="_Toc280868718"/>
      <w:r>
        <w:rPr>
          <w:color w:val="auto"/>
          <w:highlight w:val="none"/>
        </w:rPr>
        <w:t xml:space="preserve">16. </w:t>
      </w:r>
      <w:r>
        <w:rPr>
          <w:rFonts w:hint="eastAsia" w:hAnsi="宋体" w:cs="黑体"/>
          <w:color w:val="auto"/>
          <w:highlight w:val="none"/>
        </w:rPr>
        <w:t>违约</w:t>
      </w:r>
      <w:bookmarkEnd w:id="1112"/>
      <w:bookmarkEnd w:id="1113"/>
      <w:bookmarkEnd w:id="1114"/>
      <w:bookmarkEnd w:id="1115"/>
      <w:bookmarkEnd w:id="1116"/>
      <w:bookmarkEnd w:id="1117"/>
      <w:bookmarkEnd w:id="1118"/>
      <w:bookmarkEnd w:id="1119"/>
    </w:p>
    <w:p w14:paraId="03BEC3C7">
      <w:pPr>
        <w:pStyle w:val="4"/>
        <w:pageBreakBefore w:val="0"/>
        <w:widowControl w:val="0"/>
        <w:kinsoku/>
        <w:wordWrap/>
        <w:overflowPunct/>
        <w:topLinePunct w:val="0"/>
        <w:bidi w:val="0"/>
        <w:spacing w:before="0" w:after="0" w:line="360" w:lineRule="auto"/>
        <w:textAlignment w:val="auto"/>
        <w:rPr>
          <w:color w:val="auto"/>
          <w:highlight w:val="none"/>
        </w:rPr>
      </w:pPr>
      <w:bookmarkStart w:id="1122" w:name="_Toc389065332"/>
      <w:bookmarkStart w:id="1123" w:name="_Toc373478414"/>
      <w:bookmarkStart w:id="1124" w:name="_Toc407135270"/>
      <w:bookmarkStart w:id="1125" w:name="_Toc78449856"/>
      <w:bookmarkStart w:id="1126" w:name="_Toc7855"/>
      <w:bookmarkStart w:id="1127" w:name="_Toc1973395665"/>
      <w:bookmarkStart w:id="1128" w:name="_Toc373227767"/>
      <w:r>
        <w:rPr>
          <w:color w:val="auto"/>
          <w:highlight w:val="none"/>
        </w:rPr>
        <w:t xml:space="preserve">16.1 </w:t>
      </w:r>
      <w:r>
        <w:rPr>
          <w:rFonts w:hint="eastAsia" w:hAnsi="宋体" w:cs="黑体"/>
          <w:color w:val="auto"/>
          <w:highlight w:val="none"/>
        </w:rPr>
        <w:t>发包人违约</w:t>
      </w:r>
      <w:bookmarkEnd w:id="1122"/>
      <w:bookmarkEnd w:id="1123"/>
      <w:bookmarkEnd w:id="1124"/>
      <w:bookmarkEnd w:id="1125"/>
      <w:bookmarkEnd w:id="1126"/>
      <w:bookmarkEnd w:id="1127"/>
      <w:bookmarkEnd w:id="1128"/>
    </w:p>
    <w:p w14:paraId="314CE83E">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16.1.1</w:t>
      </w:r>
      <w:r>
        <w:rPr>
          <w:rFonts w:hint="eastAsia" w:hAnsi="宋体" w:cs="宋体"/>
          <w:color w:val="auto"/>
          <w:highlight w:val="none"/>
        </w:rPr>
        <w:t>发包人违约的情形</w:t>
      </w:r>
    </w:p>
    <w:p w14:paraId="77BDF5BB">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发包人违约的其他情形：</w:t>
      </w:r>
      <w:r>
        <w:rPr>
          <w:color w:val="auto"/>
          <w:kern w:val="0"/>
          <w:highlight w:val="none"/>
          <w:u w:val="single"/>
        </w:rPr>
        <w:t xml:space="preserve">                                </w:t>
      </w:r>
      <w:r>
        <w:rPr>
          <w:rFonts w:hint="eastAsia" w:hAnsi="宋体" w:cs="宋体"/>
          <w:color w:val="auto"/>
          <w:kern w:val="0"/>
          <w:highlight w:val="none"/>
        </w:rPr>
        <w:t>。</w:t>
      </w:r>
    </w:p>
    <w:p w14:paraId="5A5C930B">
      <w:pPr>
        <w:pageBreakBefore w:val="0"/>
        <w:widowControl w:val="0"/>
        <w:kinsoku/>
        <w:wordWrap/>
        <w:overflowPunct/>
        <w:topLinePunct w:val="0"/>
        <w:bidi w:val="0"/>
        <w:spacing w:line="360" w:lineRule="auto"/>
        <w:ind w:firstLine="420" w:firstLineChars="200"/>
        <w:jc w:val="left"/>
        <w:textAlignment w:val="auto"/>
        <w:outlineLvl w:val="0"/>
        <w:rPr>
          <w:color w:val="auto"/>
          <w:kern w:val="0"/>
          <w:highlight w:val="none"/>
        </w:rPr>
      </w:pPr>
      <w:r>
        <w:rPr>
          <w:color w:val="auto"/>
          <w:kern w:val="0"/>
          <w:highlight w:val="none"/>
        </w:rPr>
        <w:t xml:space="preserve">16.1.2 </w:t>
      </w:r>
      <w:r>
        <w:rPr>
          <w:rFonts w:hint="eastAsia" w:hAnsi="宋体" w:cs="宋体"/>
          <w:color w:val="auto"/>
          <w:kern w:val="0"/>
          <w:highlight w:val="none"/>
        </w:rPr>
        <w:t>发包人违约的责任</w:t>
      </w:r>
    </w:p>
    <w:p w14:paraId="11E26C11">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发包人违约责任的承担方式和计算方法：</w:t>
      </w:r>
    </w:p>
    <w:p w14:paraId="21415107">
      <w:pPr>
        <w:pageBreakBefore w:val="0"/>
        <w:widowControl w:val="0"/>
        <w:kinsoku/>
        <w:wordWrap/>
        <w:overflowPunct/>
        <w:topLinePunct w:val="0"/>
        <w:bidi w:val="0"/>
        <w:spacing w:line="360" w:lineRule="auto"/>
        <w:ind w:firstLine="420" w:firstLineChars="200"/>
        <w:jc w:val="left"/>
        <w:textAlignment w:val="auto"/>
        <w:rPr>
          <w:color w:val="auto"/>
          <w:kern w:val="0"/>
          <w:highlight w:val="none"/>
          <w:u w:val="singl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）因发包人原因未能在计划开工日期前</w:t>
      </w:r>
      <w:r>
        <w:rPr>
          <w:color w:val="auto"/>
          <w:kern w:val="0"/>
          <w:highlight w:val="none"/>
        </w:rPr>
        <w:t>7</w:t>
      </w:r>
      <w:r>
        <w:rPr>
          <w:rFonts w:hint="eastAsia" w:hAnsi="宋体" w:cs="宋体"/>
          <w:color w:val="auto"/>
          <w:kern w:val="0"/>
          <w:highlight w:val="none"/>
        </w:rPr>
        <w:t>天内下达开工通知的违约责任：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2E5BE5E8">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）因发包人原因未能按合同约定支付合同价款的违约责任：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060DA1AC">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）发包人违反第</w:t>
      </w:r>
      <w:r>
        <w:rPr>
          <w:color w:val="auto"/>
          <w:kern w:val="0"/>
          <w:highlight w:val="none"/>
        </w:rPr>
        <w:t>10.1</w:t>
      </w:r>
      <w:r>
        <w:rPr>
          <w:rFonts w:hint="eastAsia" w:hAnsi="宋体" w:cs="宋体"/>
          <w:color w:val="auto"/>
          <w:kern w:val="0"/>
          <w:highlight w:val="none"/>
        </w:rPr>
        <w:t>款〔变更的范围〕第（</w:t>
      </w:r>
      <w:r>
        <w:rPr>
          <w:color w:val="auto"/>
          <w:kern w:val="0"/>
          <w:highlight w:val="none"/>
        </w:rPr>
        <w:t>2</w:t>
      </w:r>
      <w:r>
        <w:rPr>
          <w:rFonts w:hint="eastAsia" w:hAnsi="宋体" w:cs="宋体"/>
          <w:color w:val="auto"/>
          <w:kern w:val="0"/>
          <w:highlight w:val="none"/>
        </w:rPr>
        <w:t>）项约定，自行实施被取消的工作或转由他人实施的违约责任：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5299B987">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4</w:t>
      </w:r>
      <w:r>
        <w:rPr>
          <w:rFonts w:hint="eastAsia" w:hAnsi="宋体" w:cs="宋体"/>
          <w:color w:val="auto"/>
          <w:kern w:val="0"/>
          <w:highlight w:val="none"/>
        </w:rPr>
        <w:t>）发包人提供的材料、工程设备的规格、数量或质量不符合合同约定，或因发包人原因导致交货日期延误或交货地点变更等情况的违约责任：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5301A416">
      <w:pPr>
        <w:pageBreakBefore w:val="0"/>
        <w:widowControl w:val="0"/>
        <w:kinsoku/>
        <w:wordWrap/>
        <w:overflowPunct/>
        <w:topLinePunct w:val="0"/>
        <w:bidi w:val="0"/>
        <w:spacing w:line="360" w:lineRule="auto"/>
        <w:ind w:firstLine="420" w:firstLineChars="200"/>
        <w:jc w:val="left"/>
        <w:textAlignment w:val="auto"/>
        <w:rPr>
          <w:color w:val="auto"/>
          <w:kern w:val="0"/>
          <w:highlight w:val="none"/>
          <w:u w:val="single"/>
        </w:rPr>
      </w:pPr>
      <w:r>
        <w:rPr>
          <w:rFonts w:hint="eastAsia" w:hAnsi="宋体" w:cs="宋体"/>
          <w:color w:val="auto"/>
          <w:kern w:val="0"/>
          <w:highlight w:val="none"/>
        </w:rPr>
        <w:t>（</w:t>
      </w:r>
      <w:r>
        <w:rPr>
          <w:color w:val="auto"/>
          <w:kern w:val="0"/>
          <w:highlight w:val="none"/>
        </w:rPr>
        <w:t>5</w:t>
      </w:r>
      <w:r>
        <w:rPr>
          <w:rFonts w:hint="eastAsia" w:hAnsi="宋体" w:cs="宋体"/>
          <w:color w:val="auto"/>
          <w:kern w:val="0"/>
          <w:highlight w:val="none"/>
        </w:rPr>
        <w:t>）因发包人违反合同约定造成暂停施工的违约责任：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783721C1">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6</w:t>
      </w:r>
      <w:r>
        <w:rPr>
          <w:rFonts w:hint="eastAsia" w:hAnsi="宋体" w:cs="宋体"/>
          <w:color w:val="auto"/>
          <w:kern w:val="0"/>
          <w:highlight w:val="none"/>
        </w:rPr>
        <w:t>）发包人无正当理由没有在约定期限内发出复工指示，导致承包人无法复工的违约责任：</w:t>
      </w:r>
      <w:r>
        <w:rPr>
          <w:color w:val="auto"/>
          <w:kern w:val="0"/>
          <w:highlight w:val="none"/>
          <w:u w:val="single"/>
        </w:rPr>
        <w:t xml:space="preserve">  </w:t>
      </w:r>
      <w:r>
        <w:rPr>
          <w:rFonts w:hint="eastAsia"/>
          <w:color w:val="auto"/>
          <w:kern w:val="0"/>
          <w:highlight w:val="none"/>
          <w:u w:val="single"/>
        </w:rPr>
        <w:t>按通用条款及相关规定执行</w:t>
      </w:r>
      <w:r>
        <w:rPr>
          <w:color w:val="auto"/>
          <w:kern w:val="0"/>
          <w:highlight w:val="none"/>
          <w:u w:val="single"/>
        </w:rPr>
        <w:t xml:space="preserve">  </w:t>
      </w:r>
      <w:r>
        <w:rPr>
          <w:rFonts w:hint="eastAsia" w:hAnsi="宋体" w:cs="宋体"/>
          <w:color w:val="auto"/>
          <w:kern w:val="0"/>
          <w:highlight w:val="none"/>
        </w:rPr>
        <w:t>。</w:t>
      </w:r>
    </w:p>
    <w:p w14:paraId="0E6A4382">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w:t>
      </w:r>
      <w:r>
        <w:rPr>
          <w:color w:val="auto"/>
          <w:kern w:val="0"/>
          <w:highlight w:val="none"/>
        </w:rPr>
        <w:t>7</w:t>
      </w:r>
      <w:r>
        <w:rPr>
          <w:rFonts w:hint="eastAsia" w:hAnsi="宋体" w:cs="宋体"/>
          <w:color w:val="auto"/>
          <w:kern w:val="0"/>
          <w:highlight w:val="none"/>
        </w:rPr>
        <w:t>）其他：</w:t>
      </w:r>
      <w:r>
        <w:rPr>
          <w:color w:val="auto"/>
          <w:kern w:val="0"/>
          <w:highlight w:val="none"/>
          <w:u w:val="single"/>
        </w:rPr>
        <w:t xml:space="preserve">                                                               </w:t>
      </w:r>
      <w:r>
        <w:rPr>
          <w:rFonts w:hint="eastAsia" w:hAnsi="宋体" w:cs="宋体"/>
          <w:color w:val="auto"/>
          <w:kern w:val="0"/>
          <w:highlight w:val="none"/>
        </w:rPr>
        <w:t>。</w:t>
      </w:r>
    </w:p>
    <w:p w14:paraId="58957C1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color w:val="auto"/>
          <w:highlight w:val="none"/>
        </w:rPr>
        <w:t xml:space="preserve">16.1.3 </w:t>
      </w:r>
      <w:r>
        <w:rPr>
          <w:rFonts w:hint="eastAsia" w:hAnsi="宋体" w:cs="宋体"/>
          <w:color w:val="auto"/>
          <w:highlight w:val="none"/>
        </w:rPr>
        <w:t>因发包人违约解除合同</w:t>
      </w:r>
    </w:p>
    <w:p w14:paraId="1E68F134">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承包人按</w:t>
      </w:r>
      <w:r>
        <w:rPr>
          <w:color w:val="auto"/>
          <w:kern w:val="0"/>
          <w:highlight w:val="none"/>
        </w:rPr>
        <w:t>16.1.1</w:t>
      </w:r>
      <w:r>
        <w:rPr>
          <w:rFonts w:hint="eastAsia" w:hAnsi="宋体" w:cs="宋体"/>
          <w:color w:val="auto"/>
          <w:kern w:val="0"/>
          <w:highlight w:val="none"/>
        </w:rPr>
        <w:t>项〔发包人违约的情形〕约定暂停施工满</w:t>
      </w:r>
      <w:r>
        <w:rPr>
          <w:color w:val="auto"/>
          <w:kern w:val="0"/>
          <w:highlight w:val="none"/>
          <w:u w:val="single"/>
        </w:rPr>
        <w:t xml:space="preserve"> </w:t>
      </w:r>
      <w:r>
        <w:rPr>
          <w:rFonts w:hint="eastAsia"/>
          <w:color w:val="auto"/>
          <w:kern w:val="0"/>
          <w:highlight w:val="none"/>
          <w:u w:val="single"/>
          <w:lang w:val="en-US" w:eastAsia="zh-CN"/>
        </w:rPr>
        <w:t>30</w:t>
      </w:r>
      <w:r>
        <w:rPr>
          <w:color w:val="auto"/>
          <w:kern w:val="0"/>
          <w:highlight w:val="none"/>
          <w:u w:val="single"/>
        </w:rPr>
        <w:t xml:space="preserve"> </w:t>
      </w:r>
      <w:r>
        <w:rPr>
          <w:rFonts w:hint="eastAsia" w:hAnsi="宋体" w:cs="宋体"/>
          <w:color w:val="auto"/>
          <w:kern w:val="0"/>
          <w:highlight w:val="none"/>
        </w:rPr>
        <w:t>天后发包人仍不纠正其违约行为并致使合同目的不能实现的，承包人有权解除合同。</w:t>
      </w:r>
    </w:p>
    <w:p w14:paraId="47B923A3">
      <w:pPr>
        <w:pStyle w:val="4"/>
        <w:pageBreakBefore w:val="0"/>
        <w:widowControl w:val="0"/>
        <w:kinsoku/>
        <w:wordWrap/>
        <w:overflowPunct/>
        <w:topLinePunct w:val="0"/>
        <w:bidi w:val="0"/>
        <w:spacing w:before="0" w:after="0" w:line="360" w:lineRule="auto"/>
        <w:textAlignment w:val="auto"/>
        <w:rPr>
          <w:color w:val="auto"/>
          <w:highlight w:val="none"/>
        </w:rPr>
      </w:pPr>
      <w:bookmarkStart w:id="1129" w:name="_Toc373478415"/>
      <w:bookmarkStart w:id="1130" w:name="_Toc373227768"/>
      <w:bookmarkStart w:id="1131" w:name="_Toc389065333"/>
      <w:bookmarkStart w:id="1132" w:name="_Toc407135271"/>
      <w:bookmarkStart w:id="1133" w:name="_Toc61078193"/>
      <w:bookmarkStart w:id="1134" w:name="_Toc78449857"/>
      <w:bookmarkStart w:id="1135" w:name="_Toc25764"/>
      <w:r>
        <w:rPr>
          <w:color w:val="auto"/>
          <w:highlight w:val="none"/>
        </w:rPr>
        <w:t xml:space="preserve">16.2 </w:t>
      </w:r>
      <w:r>
        <w:rPr>
          <w:rFonts w:hint="eastAsia" w:hAnsi="宋体" w:cs="黑体"/>
          <w:color w:val="auto"/>
          <w:highlight w:val="none"/>
        </w:rPr>
        <w:t>承包人违约</w:t>
      </w:r>
      <w:bookmarkEnd w:id="1129"/>
      <w:bookmarkEnd w:id="1130"/>
      <w:bookmarkEnd w:id="1131"/>
      <w:bookmarkEnd w:id="1132"/>
      <w:bookmarkEnd w:id="1133"/>
      <w:bookmarkEnd w:id="1134"/>
      <w:bookmarkEnd w:id="1135"/>
    </w:p>
    <w:p w14:paraId="6CDAF2AE">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color w:val="auto"/>
          <w:kern w:val="0"/>
          <w:highlight w:val="none"/>
        </w:rPr>
        <w:t xml:space="preserve">16.2.1 </w:t>
      </w:r>
      <w:r>
        <w:rPr>
          <w:rFonts w:hint="eastAsia" w:hAnsi="宋体" w:cs="宋体"/>
          <w:color w:val="auto"/>
          <w:kern w:val="0"/>
          <w:highlight w:val="none"/>
        </w:rPr>
        <w:t>承包人违约的情形</w:t>
      </w:r>
    </w:p>
    <w:p w14:paraId="5BD3EB87">
      <w:pPr>
        <w:pageBreakBefore w:val="0"/>
        <w:widowControl w:val="0"/>
        <w:kinsoku/>
        <w:wordWrap/>
        <w:overflowPunct/>
        <w:topLinePunct w:val="0"/>
        <w:bidi w:val="0"/>
        <w:spacing w:line="360" w:lineRule="auto"/>
        <w:ind w:firstLine="420" w:firstLineChars="200"/>
        <w:jc w:val="left"/>
        <w:textAlignment w:val="auto"/>
        <w:rPr>
          <w:color w:val="auto"/>
          <w:kern w:val="0"/>
          <w:highlight w:val="none"/>
          <w:u w:val="single"/>
        </w:rPr>
      </w:pPr>
      <w:r>
        <w:rPr>
          <w:rFonts w:hint="eastAsia" w:hAnsi="宋体" w:cs="宋体"/>
          <w:color w:val="auto"/>
          <w:kern w:val="0"/>
          <w:highlight w:val="none"/>
        </w:rPr>
        <w:t>承包人违约的其他情形：</w:t>
      </w:r>
      <w:r>
        <w:rPr>
          <w:color w:val="auto"/>
          <w:kern w:val="0"/>
          <w:highlight w:val="none"/>
          <w:u w:val="single"/>
        </w:rPr>
        <w:t xml:space="preserve">                                                     </w:t>
      </w:r>
      <w:r>
        <w:rPr>
          <w:rFonts w:hint="eastAsia" w:hAnsi="宋体" w:cs="宋体"/>
          <w:color w:val="auto"/>
          <w:kern w:val="0"/>
          <w:highlight w:val="none"/>
        </w:rPr>
        <w:t>。</w:t>
      </w:r>
    </w:p>
    <w:p w14:paraId="12425028">
      <w:pPr>
        <w:pageBreakBefore w:val="0"/>
        <w:widowControl w:val="0"/>
        <w:kinsoku/>
        <w:wordWrap/>
        <w:overflowPunct/>
        <w:topLinePunct w:val="0"/>
        <w:bidi w:val="0"/>
        <w:spacing w:line="360" w:lineRule="auto"/>
        <w:ind w:firstLine="420" w:firstLineChars="200"/>
        <w:jc w:val="left"/>
        <w:textAlignment w:val="auto"/>
        <w:outlineLvl w:val="0"/>
        <w:rPr>
          <w:color w:val="auto"/>
          <w:kern w:val="0"/>
          <w:highlight w:val="none"/>
        </w:rPr>
      </w:pPr>
      <w:r>
        <w:rPr>
          <w:color w:val="auto"/>
          <w:kern w:val="0"/>
          <w:highlight w:val="none"/>
        </w:rPr>
        <w:t>16.2.2</w:t>
      </w:r>
      <w:r>
        <w:rPr>
          <w:rFonts w:hint="eastAsia" w:hAnsi="宋体" w:cs="宋体"/>
          <w:color w:val="auto"/>
          <w:kern w:val="0"/>
          <w:highlight w:val="none"/>
        </w:rPr>
        <w:t>承包人违约的责任</w:t>
      </w:r>
    </w:p>
    <w:p w14:paraId="76056F0C">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kern w:val="0"/>
          <w:highlight w:val="none"/>
        </w:rPr>
        <w:t>承包人违约责任的承担方式和计算方法：</w:t>
      </w:r>
    </w:p>
    <w:p w14:paraId="24D925DE">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）承包人有本合同通用条款第</w:t>
      </w:r>
      <w:r>
        <w:rPr>
          <w:color w:val="auto"/>
          <w:kern w:val="0"/>
          <w:highlight w:val="none"/>
        </w:rPr>
        <w:t>16.2.1</w:t>
      </w: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）条内容情形的，承包人无条件返工处理，修复至工程质量要求并承担相关费用，并在发包人规定的时间内完成返工，否则发包人有权扣罚该分项工程</w:t>
      </w:r>
      <w:r>
        <w:rPr>
          <w:color w:val="auto"/>
          <w:kern w:val="0"/>
          <w:highlight w:val="none"/>
        </w:rPr>
        <w:t>10%</w:t>
      </w:r>
      <w:r>
        <w:rPr>
          <w:rFonts w:hint="eastAsia" w:hAnsi="宋体" w:cs="宋体"/>
          <w:color w:val="auto"/>
          <w:kern w:val="0"/>
          <w:highlight w:val="none"/>
        </w:rPr>
        <w:t>的工程款作为处罚。</w:t>
      </w:r>
    </w:p>
    <w:p w14:paraId="16CBEA80">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）承包人有本合同通用条款第</w:t>
      </w:r>
      <w:r>
        <w:rPr>
          <w:color w:val="auto"/>
          <w:kern w:val="0"/>
          <w:highlight w:val="none"/>
        </w:rPr>
        <w:t>16.2.1</w:t>
      </w:r>
      <w:r>
        <w:rPr>
          <w:rFonts w:hint="eastAsia" w:hAnsi="宋体" w:cs="宋体"/>
          <w:color w:val="auto"/>
          <w:kern w:val="0"/>
          <w:highlight w:val="none"/>
        </w:rPr>
        <w:t>（</w:t>
      </w:r>
      <w:r>
        <w:rPr>
          <w:color w:val="auto"/>
          <w:kern w:val="0"/>
          <w:highlight w:val="none"/>
        </w:rPr>
        <w:t>6</w:t>
      </w:r>
      <w:r>
        <w:rPr>
          <w:rFonts w:hint="eastAsia" w:hAnsi="宋体" w:cs="宋体"/>
          <w:color w:val="auto"/>
          <w:kern w:val="0"/>
          <w:highlight w:val="none"/>
        </w:rPr>
        <w:t>）条情形的，或经监理人检验认为修复质量不合格而承包人拒绝再进行修补的，发包人将扣除承包人全部质量保证金。</w:t>
      </w:r>
    </w:p>
    <w:p w14:paraId="32B56903">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）承包人有本专用合同条款</w:t>
      </w:r>
      <w:r>
        <w:rPr>
          <w:color w:val="auto"/>
          <w:kern w:val="0"/>
          <w:highlight w:val="none"/>
        </w:rPr>
        <w:t>3.2</w:t>
      </w:r>
      <w:r>
        <w:rPr>
          <w:rFonts w:hint="eastAsia" w:hAnsi="宋体" w:cs="宋体"/>
          <w:color w:val="auto"/>
          <w:kern w:val="0"/>
          <w:highlight w:val="none"/>
        </w:rPr>
        <w:t>、</w:t>
      </w:r>
      <w:r>
        <w:rPr>
          <w:color w:val="auto"/>
          <w:kern w:val="0"/>
          <w:highlight w:val="none"/>
        </w:rPr>
        <w:t>3.3</w:t>
      </w:r>
      <w:r>
        <w:rPr>
          <w:rFonts w:hint="eastAsia" w:hAnsi="宋体" w:cs="宋体"/>
          <w:color w:val="auto"/>
          <w:kern w:val="0"/>
          <w:highlight w:val="none"/>
        </w:rPr>
        <w:t>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38D84BA">
      <w:pPr>
        <w:pageBreakBefore w:val="0"/>
        <w:widowControl w:val="0"/>
        <w:kinsoku/>
        <w:wordWrap/>
        <w:overflowPunct/>
        <w:topLinePunct w:val="0"/>
        <w:bidi w:val="0"/>
        <w:spacing w:line="360" w:lineRule="auto"/>
        <w:ind w:firstLine="420" w:firstLineChars="200"/>
        <w:jc w:val="left"/>
        <w:textAlignment w:val="auto"/>
        <w:rPr>
          <w:rFonts w:hAnsi="宋体"/>
          <w:color w:val="auto"/>
          <w:highlight w:val="none"/>
        </w:rPr>
      </w:pPr>
      <w:r>
        <w:rPr>
          <w:color w:val="auto"/>
          <w:highlight w:val="none"/>
        </w:rPr>
        <w:t xml:space="preserve">16.2.3 </w:t>
      </w:r>
      <w:r>
        <w:rPr>
          <w:rFonts w:hint="eastAsia" w:hAnsi="宋体" w:cs="宋体"/>
          <w:color w:val="auto"/>
          <w:highlight w:val="none"/>
        </w:rPr>
        <w:t>因承包人违约解除合同</w:t>
      </w:r>
    </w:p>
    <w:p w14:paraId="0C4FB73C">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hAnsi="宋体" w:cs="宋体"/>
          <w:color w:val="auto"/>
          <w:kern w:val="0"/>
          <w:highlight w:val="none"/>
        </w:rPr>
        <w:t>关于承包人违约解除合同的特别约定：</w:t>
      </w:r>
      <w:r>
        <w:rPr>
          <w:rFonts w:hint="eastAsia" w:hAnsi="宋体" w:cs="宋体"/>
          <w:color w:val="auto"/>
          <w:kern w:val="0"/>
          <w:highlight w:val="none"/>
          <w:u w:val="single"/>
        </w:rPr>
        <w:t>承包人有违反以下情况之一的，发包人有权解除合同，并没收其全部履约保证金</w:t>
      </w:r>
      <w:r>
        <w:rPr>
          <w:rFonts w:hint="eastAsia" w:hAnsi="宋体" w:cs="宋体"/>
          <w:color w:val="auto"/>
          <w:kern w:val="0"/>
          <w:highlight w:val="none"/>
        </w:rPr>
        <w:t>。</w:t>
      </w:r>
    </w:p>
    <w:p w14:paraId="0CEF6C4C">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color w:val="auto"/>
          <w:kern w:val="0"/>
          <w:highlight w:val="none"/>
          <w:lang w:eastAsia="zh-CN"/>
        </w:rPr>
        <w:t>（</w:t>
      </w:r>
      <w:r>
        <w:rPr>
          <w:color w:val="auto"/>
          <w:kern w:val="0"/>
          <w:highlight w:val="none"/>
        </w:rPr>
        <w:t>1</w:t>
      </w:r>
      <w:r>
        <w:rPr>
          <w:rFonts w:hint="eastAsia"/>
          <w:color w:val="auto"/>
          <w:kern w:val="0"/>
          <w:highlight w:val="none"/>
          <w:lang w:eastAsia="zh-CN"/>
        </w:rPr>
        <w:t>）</w:t>
      </w:r>
      <w:r>
        <w:rPr>
          <w:rFonts w:hint="eastAsia" w:hAnsi="宋体" w:cs="宋体"/>
          <w:color w:val="auto"/>
          <w:kern w:val="0"/>
          <w:highlight w:val="none"/>
        </w:rPr>
        <w:t>承包人无正当理由不按开工通知的要求及时进场组织施工和不按签订协议书时商定的进度计划有效地开展施工准备，造成工期延误的；</w:t>
      </w:r>
    </w:p>
    <w:p w14:paraId="12E9EA2B">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color w:val="auto"/>
          <w:kern w:val="0"/>
          <w:highlight w:val="none"/>
          <w:lang w:eastAsia="zh-CN"/>
        </w:rPr>
        <w:t>（</w:t>
      </w:r>
      <w:r>
        <w:rPr>
          <w:color w:val="auto"/>
          <w:kern w:val="0"/>
          <w:highlight w:val="none"/>
        </w:rPr>
        <w:t>2</w:t>
      </w:r>
      <w:r>
        <w:rPr>
          <w:rFonts w:hint="eastAsia"/>
          <w:color w:val="auto"/>
          <w:kern w:val="0"/>
          <w:highlight w:val="none"/>
          <w:lang w:eastAsia="zh-CN"/>
        </w:rPr>
        <w:t>）</w:t>
      </w:r>
      <w:r>
        <w:rPr>
          <w:rFonts w:hint="eastAsia" w:hAnsi="宋体" w:cs="宋体"/>
          <w:color w:val="auto"/>
          <w:kern w:val="0"/>
          <w:highlight w:val="none"/>
        </w:rPr>
        <w:t>承包人违反本合同通用条款第</w:t>
      </w:r>
      <w:r>
        <w:rPr>
          <w:color w:val="auto"/>
          <w:kern w:val="0"/>
          <w:highlight w:val="none"/>
        </w:rPr>
        <w:t>3.5</w:t>
      </w:r>
      <w:r>
        <w:rPr>
          <w:rFonts w:hint="eastAsia" w:hAnsi="宋体" w:cs="宋体"/>
          <w:color w:val="auto"/>
          <w:kern w:val="0"/>
          <w:highlight w:val="none"/>
        </w:rPr>
        <w:t>条规定私自将合同或合同的任何部分或任何权利转让给其他人，或私自将工程或工程的一部分分包出去的；</w:t>
      </w:r>
    </w:p>
    <w:p w14:paraId="5CD4DCC6">
      <w:pPr>
        <w:pageBreakBefore w:val="0"/>
        <w:widowControl w:val="0"/>
        <w:kinsoku/>
        <w:wordWrap/>
        <w:overflowPunct/>
        <w:topLinePunct w:val="0"/>
        <w:bidi w:val="0"/>
        <w:spacing w:line="360" w:lineRule="auto"/>
        <w:ind w:firstLine="420" w:firstLineChars="200"/>
        <w:jc w:val="left"/>
        <w:textAlignment w:val="auto"/>
        <w:rPr>
          <w:rFonts w:hAnsi="宋体"/>
          <w:color w:val="auto"/>
          <w:kern w:val="0"/>
          <w:highlight w:val="none"/>
        </w:rPr>
      </w:pPr>
      <w:r>
        <w:rPr>
          <w:rFonts w:hint="eastAsia"/>
          <w:color w:val="auto"/>
          <w:kern w:val="0"/>
          <w:highlight w:val="none"/>
          <w:lang w:eastAsia="zh-CN"/>
        </w:rPr>
        <w:t>（</w:t>
      </w:r>
      <w:r>
        <w:rPr>
          <w:color w:val="auto"/>
          <w:kern w:val="0"/>
          <w:highlight w:val="none"/>
        </w:rPr>
        <w:t>3</w:t>
      </w:r>
      <w:r>
        <w:rPr>
          <w:rFonts w:hint="eastAsia"/>
          <w:color w:val="auto"/>
          <w:kern w:val="0"/>
          <w:highlight w:val="none"/>
          <w:lang w:eastAsia="zh-CN"/>
        </w:rPr>
        <w:t>）</w:t>
      </w:r>
      <w:r>
        <w:rPr>
          <w:rFonts w:hint="eastAsia" w:hAnsi="宋体" w:cs="宋体"/>
          <w:color w:val="auto"/>
          <w:kern w:val="0"/>
          <w:highlight w:val="none"/>
        </w:rPr>
        <w:t>未经监理人批准，承包人私自将已按投标文件承诺进入工地的工程设备、施工设备、临时工程或材料撤离工地的；</w:t>
      </w:r>
    </w:p>
    <w:p w14:paraId="62DA05FE">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color w:val="auto"/>
          <w:kern w:val="0"/>
          <w:highlight w:val="none"/>
          <w:lang w:eastAsia="zh-CN"/>
        </w:rPr>
        <w:t>（</w:t>
      </w:r>
      <w:r>
        <w:rPr>
          <w:color w:val="auto"/>
          <w:kern w:val="0"/>
          <w:highlight w:val="none"/>
        </w:rPr>
        <w:t>4</w:t>
      </w:r>
      <w:r>
        <w:rPr>
          <w:rFonts w:hint="eastAsia"/>
          <w:color w:val="auto"/>
          <w:kern w:val="0"/>
          <w:highlight w:val="none"/>
          <w:lang w:eastAsia="zh-CN"/>
        </w:rPr>
        <w:t>）</w:t>
      </w:r>
      <w:r>
        <w:rPr>
          <w:rFonts w:hint="eastAsia" w:hAnsi="宋体" w:cs="宋体"/>
          <w:color w:val="auto"/>
          <w:kern w:val="0"/>
          <w:highlight w:val="none"/>
        </w:rPr>
        <w:t>由于承包人原因拒绝按合同进度计划及时完成合同规定的工程，而又未采取有效措施赶上进度，造成工期严重延误的；</w:t>
      </w:r>
    </w:p>
    <w:p w14:paraId="4CFFD3B7">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color w:val="auto"/>
          <w:kern w:val="0"/>
          <w:highlight w:val="none"/>
          <w:lang w:eastAsia="zh-CN"/>
        </w:rPr>
        <w:t>（</w:t>
      </w:r>
      <w:r>
        <w:rPr>
          <w:color w:val="auto"/>
          <w:kern w:val="0"/>
          <w:highlight w:val="none"/>
        </w:rPr>
        <w:t>5</w:t>
      </w:r>
      <w:r>
        <w:rPr>
          <w:rFonts w:hint="eastAsia"/>
          <w:color w:val="auto"/>
          <w:kern w:val="0"/>
          <w:highlight w:val="none"/>
          <w:lang w:eastAsia="zh-CN"/>
        </w:rPr>
        <w:t>）</w:t>
      </w:r>
      <w:r>
        <w:rPr>
          <w:rFonts w:hint="eastAsia" w:hAnsi="宋体" w:cs="宋体"/>
          <w:color w:val="auto"/>
          <w:kern w:val="0"/>
          <w:highlight w:val="none"/>
        </w:rPr>
        <w:t>承包人否认合同有效或拒绝履行合同规定的承包人义务，或由于法律、财务等原因导致承包人无法继续履行或实质上已停止履行合同的义务的；</w:t>
      </w:r>
    </w:p>
    <w:p w14:paraId="6E2BFCE4">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color w:val="auto"/>
          <w:kern w:val="0"/>
          <w:highlight w:val="none"/>
          <w:lang w:eastAsia="zh-CN"/>
        </w:rPr>
        <w:t>（</w:t>
      </w:r>
      <w:r>
        <w:rPr>
          <w:color w:val="auto"/>
          <w:kern w:val="0"/>
          <w:highlight w:val="none"/>
        </w:rPr>
        <w:t>6</w:t>
      </w:r>
      <w:r>
        <w:rPr>
          <w:rFonts w:hint="eastAsia"/>
          <w:color w:val="auto"/>
          <w:kern w:val="0"/>
          <w:highlight w:val="none"/>
          <w:lang w:eastAsia="zh-CN"/>
        </w:rPr>
        <w:t>）</w:t>
      </w:r>
      <w:r>
        <w:rPr>
          <w:rFonts w:hint="eastAsia" w:hAnsi="宋体" w:cs="宋体"/>
          <w:color w:val="auto"/>
          <w:kern w:val="0"/>
          <w:highlight w:val="none"/>
        </w:rPr>
        <w:t>合同签订</w:t>
      </w:r>
      <w:r>
        <w:rPr>
          <w:rFonts w:hint="eastAsia" w:ascii="仿宋_GB2312" w:hAnsi="宋体" w:cs="宋体"/>
          <w:color w:val="auto"/>
          <w:highlight w:val="none"/>
        </w:rPr>
        <w:t>且具备法定开工条件后</w:t>
      </w:r>
      <w:r>
        <w:rPr>
          <w:rFonts w:hint="eastAsia" w:hAnsi="宋体" w:cs="宋体"/>
          <w:color w:val="auto"/>
          <w:kern w:val="0"/>
          <w:highlight w:val="none"/>
        </w:rPr>
        <w:t>之日起十五日内，承包人无法按合同规定及投标文件的承诺进场经监理工程师认可的该</w:t>
      </w:r>
      <w:r>
        <w:rPr>
          <w:rFonts w:hAnsi="宋体" w:cs="宋体"/>
          <w:color w:val="auto"/>
          <w:kern w:val="0"/>
          <w:highlight w:val="none"/>
        </w:rPr>
        <w:t>施工</w:t>
      </w:r>
      <w:r>
        <w:rPr>
          <w:rFonts w:hint="eastAsia" w:hAnsi="宋体" w:cs="宋体"/>
          <w:color w:val="auto"/>
          <w:kern w:val="0"/>
          <w:highlight w:val="none"/>
        </w:rPr>
        <w:t>阶段</w:t>
      </w:r>
      <w:r>
        <w:rPr>
          <w:rFonts w:hAnsi="宋体" w:cs="宋体"/>
          <w:color w:val="auto"/>
          <w:kern w:val="0"/>
          <w:highlight w:val="none"/>
        </w:rPr>
        <w:t>应有的</w:t>
      </w:r>
      <w:r>
        <w:rPr>
          <w:rFonts w:hint="eastAsia" w:hAnsi="宋体" w:cs="宋体"/>
          <w:color w:val="auto"/>
          <w:kern w:val="0"/>
          <w:highlight w:val="none"/>
        </w:rPr>
        <w:t>全部人员和机械的。</w:t>
      </w:r>
    </w:p>
    <w:p w14:paraId="0FFE517A">
      <w:pPr>
        <w:pageBreakBefore w:val="0"/>
        <w:widowControl w:val="0"/>
        <w:kinsoku/>
        <w:wordWrap/>
        <w:overflowPunct/>
        <w:topLinePunct w:val="0"/>
        <w:bidi w:val="0"/>
        <w:spacing w:line="360" w:lineRule="auto"/>
        <w:ind w:firstLine="420" w:firstLineChars="200"/>
        <w:textAlignment w:val="auto"/>
        <w:rPr>
          <w:color w:val="auto"/>
          <w:kern w:val="0"/>
          <w:highlight w:val="none"/>
        </w:rPr>
      </w:pPr>
      <w:r>
        <w:rPr>
          <w:rFonts w:hint="eastAsia" w:hAnsi="宋体" w:cs="宋体"/>
          <w:color w:val="auto"/>
          <w:kern w:val="0"/>
          <w:highlight w:val="none"/>
        </w:rPr>
        <w:t>发包人继续使用承包人在施工现场的材料、设备、临时工程、承包人文件和由承包人或以其名义编制的其他文件的费用承担方式：</w:t>
      </w:r>
      <w:r>
        <w:rPr>
          <w:color w:val="auto"/>
          <w:kern w:val="0"/>
          <w:highlight w:val="none"/>
          <w:u w:val="single"/>
        </w:rPr>
        <w:t xml:space="preserve">  </w:t>
      </w:r>
      <w:r>
        <w:rPr>
          <w:rFonts w:hint="eastAsia"/>
          <w:color w:val="auto"/>
          <w:kern w:val="0"/>
          <w:highlight w:val="none"/>
          <w:u w:val="single"/>
        </w:rPr>
        <w:t>另行协商</w:t>
      </w:r>
      <w:r>
        <w:rPr>
          <w:color w:val="auto"/>
          <w:kern w:val="0"/>
          <w:highlight w:val="none"/>
          <w:u w:val="single"/>
        </w:rPr>
        <w:t xml:space="preserve">  </w:t>
      </w:r>
      <w:r>
        <w:rPr>
          <w:rFonts w:hint="eastAsia" w:hAnsi="宋体" w:cs="宋体"/>
          <w:color w:val="auto"/>
          <w:kern w:val="0"/>
          <w:highlight w:val="none"/>
        </w:rPr>
        <w:t>。</w:t>
      </w:r>
    </w:p>
    <w:p w14:paraId="50802ADE">
      <w:pPr>
        <w:pStyle w:val="3"/>
        <w:pageBreakBefore w:val="0"/>
        <w:widowControl w:val="0"/>
        <w:kinsoku/>
        <w:wordWrap/>
        <w:overflowPunct/>
        <w:topLinePunct w:val="0"/>
        <w:bidi w:val="0"/>
        <w:spacing w:before="0" w:after="0" w:line="360" w:lineRule="auto"/>
        <w:textAlignment w:val="auto"/>
        <w:rPr>
          <w:color w:val="auto"/>
          <w:highlight w:val="none"/>
        </w:rPr>
      </w:pPr>
      <w:bookmarkStart w:id="1136" w:name="_Toc373478416"/>
      <w:bookmarkStart w:id="1137" w:name="_Toc407135272"/>
      <w:bookmarkStart w:id="1138" w:name="_Toc351203649"/>
      <w:bookmarkStart w:id="1139" w:name="_Toc1753556740"/>
      <w:bookmarkStart w:id="1140" w:name="_Toc373227769"/>
      <w:bookmarkStart w:id="1141" w:name="_Toc389065334"/>
      <w:bookmarkStart w:id="1142" w:name="_Toc31017"/>
      <w:bookmarkStart w:id="1143" w:name="_Toc78449858"/>
      <w:r>
        <w:rPr>
          <w:color w:val="auto"/>
          <w:highlight w:val="none"/>
        </w:rPr>
        <w:t xml:space="preserve">17. </w:t>
      </w:r>
      <w:r>
        <w:rPr>
          <w:rFonts w:hint="eastAsia" w:hAnsi="宋体" w:cs="黑体"/>
          <w:color w:val="auto"/>
          <w:highlight w:val="none"/>
        </w:rPr>
        <w:t>不可抗力</w:t>
      </w:r>
      <w:bookmarkEnd w:id="1136"/>
      <w:bookmarkEnd w:id="1137"/>
      <w:bookmarkEnd w:id="1138"/>
      <w:bookmarkEnd w:id="1139"/>
      <w:bookmarkEnd w:id="1140"/>
      <w:bookmarkEnd w:id="1141"/>
      <w:bookmarkEnd w:id="1142"/>
      <w:bookmarkEnd w:id="1143"/>
      <w:r>
        <w:rPr>
          <w:color w:val="auto"/>
          <w:highlight w:val="none"/>
        </w:rPr>
        <w:t xml:space="preserve"> </w:t>
      </w:r>
      <w:bookmarkEnd w:id="1120"/>
    </w:p>
    <w:p w14:paraId="451D7D9E">
      <w:pPr>
        <w:pStyle w:val="4"/>
        <w:pageBreakBefore w:val="0"/>
        <w:widowControl w:val="0"/>
        <w:kinsoku/>
        <w:wordWrap/>
        <w:overflowPunct/>
        <w:topLinePunct w:val="0"/>
        <w:bidi w:val="0"/>
        <w:spacing w:before="0" w:after="0" w:line="360" w:lineRule="auto"/>
        <w:textAlignment w:val="auto"/>
        <w:rPr>
          <w:color w:val="auto"/>
          <w:highlight w:val="none"/>
        </w:rPr>
      </w:pPr>
      <w:bookmarkStart w:id="1144" w:name="_Toc373478417"/>
      <w:bookmarkStart w:id="1145" w:name="_Toc18971"/>
      <w:bookmarkStart w:id="1146" w:name="_Toc389065335"/>
      <w:bookmarkStart w:id="1147" w:name="_Toc407135273"/>
      <w:bookmarkStart w:id="1148" w:name="_Toc78449859"/>
      <w:bookmarkStart w:id="1149" w:name="_Toc373227770"/>
      <w:bookmarkStart w:id="1150" w:name="_Toc429574049"/>
      <w:r>
        <w:rPr>
          <w:color w:val="auto"/>
          <w:highlight w:val="none"/>
        </w:rPr>
        <w:t xml:space="preserve">17.1 </w:t>
      </w:r>
      <w:r>
        <w:rPr>
          <w:rFonts w:hint="eastAsia" w:cs="黑体"/>
          <w:color w:val="auto"/>
          <w:highlight w:val="none"/>
        </w:rPr>
        <w:t>不可抗力的确认</w:t>
      </w:r>
      <w:bookmarkEnd w:id="1144"/>
      <w:bookmarkEnd w:id="1145"/>
      <w:bookmarkEnd w:id="1146"/>
      <w:bookmarkEnd w:id="1147"/>
      <w:bookmarkEnd w:id="1148"/>
      <w:bookmarkEnd w:id="1149"/>
      <w:bookmarkEnd w:id="1150"/>
    </w:p>
    <w:p w14:paraId="3CBD2BD3">
      <w:pPr>
        <w:pageBreakBefore w:val="0"/>
        <w:widowControl w:val="0"/>
        <w:kinsoku/>
        <w:wordWrap/>
        <w:overflowPunct/>
        <w:topLinePunct w:val="0"/>
        <w:bidi w:val="0"/>
        <w:spacing w:line="360" w:lineRule="auto"/>
        <w:ind w:firstLine="420" w:firstLineChars="200"/>
        <w:jc w:val="left"/>
        <w:textAlignment w:val="auto"/>
        <w:rPr>
          <w:color w:val="auto"/>
          <w:kern w:val="0"/>
          <w:highlight w:val="none"/>
          <w:u w:val="single"/>
        </w:rPr>
      </w:pPr>
      <w:r>
        <w:rPr>
          <w:rFonts w:hint="eastAsia" w:hAnsi="宋体" w:cs="宋体"/>
          <w:color w:val="auto"/>
          <w:highlight w:val="none"/>
        </w:rPr>
        <w:t>除通用合同条款约定的不可抗力事件之外，视为不可抗力的其他情形：</w:t>
      </w:r>
      <w:r>
        <w:rPr>
          <w:color w:val="auto"/>
          <w:kern w:val="0"/>
          <w:highlight w:val="none"/>
          <w:u w:val="single"/>
        </w:rPr>
        <w:t xml:space="preserve"> </w:t>
      </w:r>
      <w:r>
        <w:rPr>
          <w:rFonts w:hint="eastAsia"/>
          <w:color w:val="auto"/>
          <w:kern w:val="0"/>
          <w:highlight w:val="none"/>
          <w:u w:val="single"/>
        </w:rPr>
        <w:t>（1）当地8级以上的破坏性地震；（2）暴雨级以上的持续3天的大雨；（3）5年以上未发生过的、持续5天的高温天气；（4）百年一遇的洪水；（5）12 级以上持大风 ；（6）山洪及泥石流；（7）新冠疫情防控需要</w:t>
      </w:r>
      <w:r>
        <w:rPr>
          <w:color w:val="auto"/>
          <w:kern w:val="0"/>
          <w:highlight w:val="none"/>
          <w:u w:val="single"/>
        </w:rPr>
        <w:t xml:space="preserve"> </w:t>
      </w:r>
      <w:r>
        <w:rPr>
          <w:rFonts w:hint="eastAsia" w:hAnsi="宋体" w:cs="宋体"/>
          <w:color w:val="auto"/>
          <w:kern w:val="0"/>
          <w:highlight w:val="none"/>
        </w:rPr>
        <w:t>。</w:t>
      </w:r>
    </w:p>
    <w:p w14:paraId="7FF2AA0B">
      <w:pPr>
        <w:pStyle w:val="4"/>
        <w:pageBreakBefore w:val="0"/>
        <w:widowControl w:val="0"/>
        <w:kinsoku/>
        <w:wordWrap/>
        <w:overflowPunct/>
        <w:topLinePunct w:val="0"/>
        <w:bidi w:val="0"/>
        <w:spacing w:before="0" w:after="0" w:line="360" w:lineRule="auto"/>
        <w:textAlignment w:val="auto"/>
        <w:rPr>
          <w:color w:val="auto"/>
          <w:highlight w:val="none"/>
        </w:rPr>
      </w:pPr>
      <w:bookmarkStart w:id="1151" w:name="_Toc1951449751"/>
      <w:bookmarkStart w:id="1152" w:name="_Toc373478418"/>
      <w:bookmarkStart w:id="1153" w:name="_Toc78449860"/>
      <w:bookmarkStart w:id="1154" w:name="_Toc373227771"/>
      <w:bookmarkStart w:id="1155" w:name="_Toc9904"/>
      <w:bookmarkStart w:id="1156" w:name="_Toc389065336"/>
      <w:bookmarkStart w:id="1157" w:name="_Toc407135274"/>
      <w:r>
        <w:rPr>
          <w:color w:val="auto"/>
          <w:highlight w:val="none"/>
        </w:rPr>
        <w:t xml:space="preserve">17.4 </w:t>
      </w:r>
      <w:r>
        <w:rPr>
          <w:rFonts w:hint="eastAsia" w:cs="黑体"/>
          <w:color w:val="auto"/>
          <w:highlight w:val="none"/>
        </w:rPr>
        <w:t>因不可抗力解除合同</w:t>
      </w:r>
      <w:bookmarkEnd w:id="1151"/>
      <w:bookmarkEnd w:id="1152"/>
      <w:bookmarkEnd w:id="1153"/>
      <w:bookmarkEnd w:id="1154"/>
      <w:bookmarkEnd w:id="1155"/>
      <w:bookmarkEnd w:id="1156"/>
      <w:bookmarkEnd w:id="1157"/>
    </w:p>
    <w:p w14:paraId="0FA8363A">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合同解除后，发包人应在商定或确定发包人应支付款项后</w:t>
      </w:r>
      <w:r>
        <w:rPr>
          <w:color w:val="auto"/>
          <w:highlight w:val="none"/>
          <w:u w:val="single"/>
        </w:rPr>
        <w:t xml:space="preserve"> </w:t>
      </w:r>
      <w:r>
        <w:rPr>
          <w:rFonts w:hint="eastAsia"/>
          <w:color w:val="auto"/>
          <w:highlight w:val="none"/>
          <w:u w:val="single"/>
          <w:lang w:val="en-US" w:eastAsia="zh-CN"/>
        </w:rPr>
        <w:t>30</w:t>
      </w:r>
      <w:r>
        <w:rPr>
          <w:color w:val="auto"/>
          <w:highlight w:val="none"/>
          <w:u w:val="single"/>
        </w:rPr>
        <w:t xml:space="preserve"> </w:t>
      </w:r>
      <w:r>
        <w:rPr>
          <w:rFonts w:hint="eastAsia" w:hAnsi="宋体" w:cs="宋体"/>
          <w:color w:val="auto"/>
          <w:highlight w:val="none"/>
        </w:rPr>
        <w:t>天内完成款项的支付。</w:t>
      </w:r>
    </w:p>
    <w:p w14:paraId="7CC8B3E0">
      <w:pPr>
        <w:pStyle w:val="3"/>
        <w:pageBreakBefore w:val="0"/>
        <w:widowControl w:val="0"/>
        <w:kinsoku/>
        <w:wordWrap/>
        <w:overflowPunct/>
        <w:topLinePunct w:val="0"/>
        <w:bidi w:val="0"/>
        <w:spacing w:before="0" w:after="0" w:line="360" w:lineRule="auto"/>
        <w:textAlignment w:val="auto"/>
        <w:rPr>
          <w:color w:val="auto"/>
          <w:highlight w:val="none"/>
        </w:rPr>
      </w:pPr>
      <w:bookmarkStart w:id="1158" w:name="_Toc351203650"/>
      <w:bookmarkStart w:id="1159" w:name="_Toc407135275"/>
      <w:bookmarkStart w:id="1160" w:name="_Toc29156"/>
      <w:bookmarkStart w:id="1161" w:name="_Toc373227772"/>
      <w:bookmarkStart w:id="1162" w:name="_Toc389065337"/>
      <w:bookmarkStart w:id="1163" w:name="_Toc373478419"/>
      <w:bookmarkStart w:id="1164" w:name="_Toc78449861"/>
      <w:bookmarkStart w:id="1165" w:name="_Toc56822299"/>
      <w:r>
        <w:rPr>
          <w:color w:val="auto"/>
          <w:highlight w:val="none"/>
        </w:rPr>
        <w:t xml:space="preserve">18. </w:t>
      </w:r>
      <w:r>
        <w:rPr>
          <w:rFonts w:hint="eastAsia" w:hAnsi="宋体" w:cs="黑体"/>
          <w:color w:val="auto"/>
          <w:highlight w:val="none"/>
        </w:rPr>
        <w:t>保险</w:t>
      </w:r>
      <w:bookmarkEnd w:id="1158"/>
      <w:bookmarkEnd w:id="1159"/>
      <w:bookmarkEnd w:id="1160"/>
      <w:bookmarkEnd w:id="1161"/>
      <w:bookmarkEnd w:id="1162"/>
      <w:bookmarkEnd w:id="1163"/>
      <w:bookmarkEnd w:id="1164"/>
      <w:bookmarkEnd w:id="1165"/>
    </w:p>
    <w:bookmarkEnd w:id="1121"/>
    <w:p w14:paraId="21781C0E">
      <w:pPr>
        <w:pStyle w:val="4"/>
        <w:pageBreakBefore w:val="0"/>
        <w:widowControl w:val="0"/>
        <w:kinsoku/>
        <w:wordWrap/>
        <w:overflowPunct/>
        <w:topLinePunct w:val="0"/>
        <w:bidi w:val="0"/>
        <w:spacing w:before="0" w:after="0" w:line="360" w:lineRule="auto"/>
        <w:textAlignment w:val="auto"/>
        <w:rPr>
          <w:color w:val="auto"/>
          <w:highlight w:val="none"/>
        </w:rPr>
      </w:pPr>
      <w:bookmarkStart w:id="1166" w:name="_Toc16353"/>
      <w:bookmarkStart w:id="1167" w:name="_Toc373227773"/>
      <w:bookmarkStart w:id="1168" w:name="_Toc407135276"/>
      <w:bookmarkStart w:id="1169" w:name="_Toc78449862"/>
      <w:bookmarkStart w:id="1170" w:name="_Toc373478420"/>
      <w:bookmarkStart w:id="1171" w:name="_Toc389065338"/>
      <w:bookmarkStart w:id="1172" w:name="_Toc2075285517"/>
      <w:r>
        <w:rPr>
          <w:color w:val="auto"/>
          <w:highlight w:val="none"/>
        </w:rPr>
        <w:t xml:space="preserve">18.1 </w:t>
      </w:r>
      <w:r>
        <w:rPr>
          <w:rFonts w:hint="eastAsia" w:hAnsi="宋体" w:cs="黑体"/>
          <w:color w:val="auto"/>
          <w:highlight w:val="none"/>
        </w:rPr>
        <w:t>工程保险</w:t>
      </w:r>
      <w:bookmarkEnd w:id="1166"/>
      <w:bookmarkEnd w:id="1167"/>
      <w:bookmarkEnd w:id="1168"/>
      <w:bookmarkEnd w:id="1169"/>
      <w:bookmarkEnd w:id="1170"/>
      <w:bookmarkEnd w:id="1171"/>
      <w:bookmarkEnd w:id="1172"/>
    </w:p>
    <w:p w14:paraId="7ECDAC4D">
      <w:pPr>
        <w:pageBreakBefore w:val="0"/>
        <w:widowControl w:val="0"/>
        <w:kinsoku/>
        <w:wordWrap/>
        <w:overflowPunct/>
        <w:topLinePunct w:val="0"/>
        <w:bidi w:val="0"/>
        <w:spacing w:line="360" w:lineRule="auto"/>
        <w:ind w:firstLine="420" w:firstLineChars="200"/>
        <w:jc w:val="left"/>
        <w:textAlignment w:val="auto"/>
        <w:rPr>
          <w:rFonts w:hint="eastAsia"/>
          <w:color w:val="auto"/>
          <w:kern w:val="0"/>
          <w:highlight w:val="none"/>
          <w:u w:val="single"/>
        </w:rPr>
      </w:pPr>
      <w:r>
        <w:rPr>
          <w:rFonts w:hint="eastAsia" w:hAnsi="宋体" w:cs="宋体"/>
          <w:color w:val="auto"/>
          <w:highlight w:val="none"/>
        </w:rPr>
        <w:t>关于工程保险的特别约定：</w:t>
      </w:r>
      <w:r>
        <w:rPr>
          <w:color w:val="auto"/>
          <w:kern w:val="0"/>
          <w:highlight w:val="none"/>
          <w:u w:val="single"/>
        </w:rPr>
        <w:t xml:space="preserve">  </w:t>
      </w:r>
      <w:r>
        <w:rPr>
          <w:rFonts w:hint="eastAsia"/>
          <w:color w:val="auto"/>
          <w:kern w:val="0"/>
          <w:highlight w:val="none"/>
          <w:u w:val="single"/>
        </w:rPr>
        <w:t>本工程投保工程保险。投保工程保险时，险种为：工伤保险、意外伤害保险和第三者责任险，并符合以下约定：</w:t>
      </w:r>
    </w:p>
    <w:p w14:paraId="381258F5">
      <w:pPr>
        <w:pageBreakBefore w:val="0"/>
        <w:widowControl w:val="0"/>
        <w:kinsoku/>
        <w:wordWrap/>
        <w:overflowPunct/>
        <w:topLinePunct w:val="0"/>
        <w:bidi w:val="0"/>
        <w:spacing w:line="360" w:lineRule="auto"/>
        <w:ind w:firstLine="420" w:firstLineChars="200"/>
        <w:jc w:val="left"/>
        <w:textAlignment w:val="auto"/>
        <w:rPr>
          <w:rFonts w:hint="eastAsia"/>
          <w:color w:val="auto"/>
          <w:kern w:val="0"/>
          <w:highlight w:val="none"/>
          <w:u w:val="single"/>
        </w:rPr>
      </w:pPr>
      <w:r>
        <w:rPr>
          <w:rFonts w:hint="eastAsia"/>
          <w:color w:val="auto"/>
          <w:kern w:val="0"/>
          <w:highlight w:val="none"/>
          <w:u w:val="single"/>
        </w:rPr>
        <w:t>（1）投保人：承包人。</w:t>
      </w:r>
    </w:p>
    <w:p w14:paraId="15E0FCD3">
      <w:pPr>
        <w:pageBreakBefore w:val="0"/>
        <w:widowControl w:val="0"/>
        <w:kinsoku/>
        <w:wordWrap/>
        <w:overflowPunct/>
        <w:topLinePunct w:val="0"/>
        <w:bidi w:val="0"/>
        <w:spacing w:line="360" w:lineRule="auto"/>
        <w:ind w:firstLine="420" w:firstLineChars="200"/>
        <w:jc w:val="left"/>
        <w:textAlignment w:val="auto"/>
        <w:rPr>
          <w:rFonts w:hint="eastAsia"/>
          <w:color w:val="auto"/>
          <w:kern w:val="0"/>
          <w:highlight w:val="none"/>
          <w:u w:val="single"/>
        </w:rPr>
      </w:pPr>
      <w:r>
        <w:rPr>
          <w:rFonts w:hint="eastAsia"/>
          <w:color w:val="auto"/>
          <w:kern w:val="0"/>
          <w:highlight w:val="none"/>
          <w:u w:val="single"/>
        </w:rPr>
        <w:t>（2）投保内容：本工程的建设工程一切险和第三者责任险，由承包人负责具体投保及理赔事宜并经得发包人事先同意，投保费用由发包人负责；承包人还必须为施工现场从事施工的自所有作业人员和管理人员（包括负责本工程的发包人和监理单位的管理人员）办理意外伤害保险，费用由承包人负责。</w:t>
      </w:r>
    </w:p>
    <w:p w14:paraId="70C0F3B5">
      <w:pPr>
        <w:pageBreakBefore w:val="0"/>
        <w:widowControl w:val="0"/>
        <w:kinsoku/>
        <w:wordWrap/>
        <w:overflowPunct/>
        <w:topLinePunct w:val="0"/>
        <w:bidi w:val="0"/>
        <w:spacing w:line="360" w:lineRule="auto"/>
        <w:ind w:firstLine="420" w:firstLineChars="200"/>
        <w:jc w:val="left"/>
        <w:textAlignment w:val="auto"/>
        <w:rPr>
          <w:rFonts w:hint="eastAsia"/>
          <w:color w:val="auto"/>
          <w:kern w:val="0"/>
          <w:highlight w:val="none"/>
          <w:u w:val="single"/>
        </w:rPr>
      </w:pPr>
      <w:r>
        <w:rPr>
          <w:rFonts w:hint="eastAsia"/>
          <w:color w:val="auto"/>
          <w:kern w:val="0"/>
          <w:highlight w:val="none"/>
          <w:u w:val="single"/>
        </w:rPr>
        <w:t>（3）保险费率：由投保人与合同双方同意的保险人商定。</w:t>
      </w:r>
    </w:p>
    <w:p w14:paraId="725AEFF7">
      <w:pPr>
        <w:pageBreakBefore w:val="0"/>
        <w:widowControl w:val="0"/>
        <w:kinsoku/>
        <w:wordWrap/>
        <w:overflowPunct/>
        <w:topLinePunct w:val="0"/>
        <w:bidi w:val="0"/>
        <w:spacing w:line="360" w:lineRule="auto"/>
        <w:ind w:firstLine="420" w:firstLineChars="200"/>
        <w:jc w:val="left"/>
        <w:textAlignment w:val="auto"/>
        <w:rPr>
          <w:rFonts w:hint="eastAsia"/>
          <w:color w:val="auto"/>
          <w:kern w:val="0"/>
          <w:highlight w:val="none"/>
          <w:u w:val="single"/>
        </w:rPr>
      </w:pPr>
      <w:r>
        <w:rPr>
          <w:rFonts w:hint="eastAsia"/>
          <w:color w:val="auto"/>
          <w:kern w:val="0"/>
          <w:highlight w:val="none"/>
          <w:u w:val="single"/>
        </w:rPr>
        <w:t>（4）保险金额：根据有关规定确定。</w:t>
      </w:r>
    </w:p>
    <w:p w14:paraId="617CD3C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color w:val="auto"/>
          <w:kern w:val="0"/>
          <w:highlight w:val="none"/>
          <w:u w:val="single"/>
        </w:rPr>
        <w:t>（5）保险期限：工程实施期间</w:t>
      </w:r>
      <w:r>
        <w:rPr>
          <w:color w:val="auto"/>
          <w:kern w:val="0"/>
          <w:highlight w:val="none"/>
          <w:u w:val="single"/>
        </w:rPr>
        <w:t xml:space="preserve">  </w:t>
      </w:r>
      <w:r>
        <w:rPr>
          <w:rFonts w:hint="eastAsia" w:hAnsi="宋体" w:cs="宋体"/>
          <w:color w:val="auto"/>
          <w:kern w:val="0"/>
          <w:highlight w:val="none"/>
        </w:rPr>
        <w:t>。</w:t>
      </w:r>
    </w:p>
    <w:p w14:paraId="394924A0">
      <w:pPr>
        <w:pStyle w:val="4"/>
        <w:pageBreakBefore w:val="0"/>
        <w:widowControl w:val="0"/>
        <w:kinsoku/>
        <w:wordWrap/>
        <w:overflowPunct/>
        <w:topLinePunct w:val="0"/>
        <w:bidi w:val="0"/>
        <w:spacing w:before="0" w:after="0" w:line="360" w:lineRule="auto"/>
        <w:textAlignment w:val="auto"/>
        <w:rPr>
          <w:color w:val="auto"/>
          <w:highlight w:val="none"/>
        </w:rPr>
      </w:pPr>
      <w:bookmarkStart w:id="1173" w:name="_Toc4043"/>
      <w:bookmarkStart w:id="1174" w:name="_Toc454766369"/>
      <w:bookmarkStart w:id="1175" w:name="_Toc373227774"/>
      <w:bookmarkStart w:id="1176" w:name="_Toc78449863"/>
      <w:bookmarkStart w:id="1177" w:name="_Toc389065339"/>
      <w:bookmarkStart w:id="1178" w:name="_Toc407135277"/>
      <w:bookmarkStart w:id="1179" w:name="_Toc373478421"/>
      <w:r>
        <w:rPr>
          <w:color w:val="auto"/>
          <w:highlight w:val="none"/>
        </w:rPr>
        <w:t xml:space="preserve">18.3 </w:t>
      </w:r>
      <w:r>
        <w:rPr>
          <w:rFonts w:hint="eastAsia" w:hAnsi="宋体" w:cs="黑体"/>
          <w:color w:val="auto"/>
          <w:highlight w:val="none"/>
        </w:rPr>
        <w:t>其他保险</w:t>
      </w:r>
      <w:bookmarkEnd w:id="1173"/>
      <w:bookmarkEnd w:id="1174"/>
      <w:bookmarkEnd w:id="1175"/>
      <w:bookmarkEnd w:id="1176"/>
      <w:bookmarkEnd w:id="1177"/>
      <w:bookmarkEnd w:id="1178"/>
      <w:bookmarkEnd w:id="1179"/>
    </w:p>
    <w:p w14:paraId="1492B49D">
      <w:pPr>
        <w:pageBreakBefore w:val="0"/>
        <w:widowControl w:val="0"/>
        <w:kinsoku/>
        <w:wordWrap/>
        <w:overflowPunct/>
        <w:topLinePunct w:val="0"/>
        <w:bidi w:val="0"/>
        <w:spacing w:line="360" w:lineRule="auto"/>
        <w:ind w:firstLine="420" w:firstLineChars="200"/>
        <w:jc w:val="left"/>
        <w:textAlignment w:val="auto"/>
        <w:rPr>
          <w:color w:val="auto"/>
          <w:kern w:val="0"/>
          <w:highlight w:val="none"/>
        </w:rPr>
      </w:pPr>
      <w:r>
        <w:rPr>
          <w:rFonts w:hint="eastAsia" w:hAnsi="宋体" w:cs="宋体"/>
          <w:color w:val="auto"/>
          <w:highlight w:val="none"/>
        </w:rPr>
        <w:t>关于其他保险的约定：</w:t>
      </w:r>
      <w:r>
        <w:rPr>
          <w:rFonts w:hAnsi="宋体"/>
          <w:color w:val="auto"/>
          <w:highlight w:val="none"/>
          <w:u w:val="single"/>
        </w:rPr>
        <w:t xml:space="preserve"> </w:t>
      </w:r>
      <w:r>
        <w:rPr>
          <w:rFonts w:hint="eastAsia" w:hAnsi="宋体"/>
          <w:color w:val="auto"/>
          <w:highlight w:val="none"/>
          <w:u w:val="single"/>
        </w:rPr>
        <w:t>关于安全生产责任险计列和结算方式：安全生产责任保险费按分部分项工程费及措施项目费（含单价及总价措施项目费）为计算基数乘以 0.2%计入暂估价，工程结算时，由发承包双方根据工程实际情况确认的安全生产责任保险费计入工程造价</w:t>
      </w:r>
      <w:r>
        <w:rPr>
          <w:rFonts w:hAnsi="宋体"/>
          <w:color w:val="auto"/>
          <w:highlight w:val="none"/>
          <w:u w:val="single"/>
        </w:rPr>
        <w:t xml:space="preserve"> </w:t>
      </w:r>
      <w:r>
        <w:rPr>
          <w:rFonts w:hint="eastAsia" w:hAnsi="宋体" w:cs="宋体"/>
          <w:color w:val="auto"/>
          <w:highlight w:val="none"/>
        </w:rPr>
        <w:t>。</w:t>
      </w:r>
    </w:p>
    <w:p w14:paraId="06BFB84B">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承包人是否应为其施工设备等办理财产保险：</w:t>
      </w:r>
      <w:r>
        <w:rPr>
          <w:color w:val="auto"/>
          <w:highlight w:val="none"/>
          <w:u w:val="single"/>
        </w:rPr>
        <w:t xml:space="preserve">  </w:t>
      </w:r>
      <w:r>
        <w:rPr>
          <w:rFonts w:hint="eastAsia"/>
          <w:color w:val="auto"/>
          <w:highlight w:val="none"/>
          <w:u w:val="single"/>
          <w:lang w:val="en-US" w:eastAsia="zh-CN"/>
        </w:rPr>
        <w:t xml:space="preserve">  </w:t>
      </w:r>
      <w:r>
        <w:rPr>
          <w:color w:val="auto"/>
          <w:highlight w:val="none"/>
          <w:u w:val="single"/>
        </w:rPr>
        <w:t xml:space="preserve">  </w:t>
      </w:r>
      <w:r>
        <w:rPr>
          <w:rFonts w:hint="eastAsia" w:hAnsi="宋体" w:cs="宋体"/>
          <w:color w:val="auto"/>
          <w:highlight w:val="none"/>
        </w:rPr>
        <w:t>。</w:t>
      </w:r>
    </w:p>
    <w:p w14:paraId="1C3B7856">
      <w:pPr>
        <w:pStyle w:val="4"/>
        <w:pageBreakBefore w:val="0"/>
        <w:widowControl w:val="0"/>
        <w:kinsoku/>
        <w:wordWrap/>
        <w:overflowPunct/>
        <w:topLinePunct w:val="0"/>
        <w:bidi w:val="0"/>
        <w:spacing w:before="0" w:after="0" w:line="360" w:lineRule="auto"/>
        <w:textAlignment w:val="auto"/>
        <w:rPr>
          <w:color w:val="auto"/>
          <w:highlight w:val="none"/>
        </w:rPr>
      </w:pPr>
      <w:bookmarkStart w:id="1180" w:name="_Toc389065340"/>
      <w:bookmarkStart w:id="1181" w:name="_Toc373227775"/>
      <w:bookmarkStart w:id="1182" w:name="_Toc407135278"/>
      <w:bookmarkStart w:id="1183" w:name="_Toc78449864"/>
      <w:bookmarkStart w:id="1184" w:name="_Toc2102614655"/>
      <w:bookmarkStart w:id="1185" w:name="_Toc22621"/>
      <w:bookmarkStart w:id="1186" w:name="_Toc373478422"/>
      <w:r>
        <w:rPr>
          <w:color w:val="auto"/>
          <w:highlight w:val="none"/>
        </w:rPr>
        <w:t xml:space="preserve">18.7 </w:t>
      </w:r>
      <w:r>
        <w:rPr>
          <w:rFonts w:hint="eastAsia" w:hAnsi="宋体" w:cs="黑体"/>
          <w:color w:val="auto"/>
          <w:highlight w:val="none"/>
        </w:rPr>
        <w:t>通知义务</w:t>
      </w:r>
      <w:bookmarkEnd w:id="1180"/>
      <w:bookmarkEnd w:id="1181"/>
      <w:bookmarkEnd w:id="1182"/>
      <w:bookmarkEnd w:id="1183"/>
      <w:bookmarkEnd w:id="1184"/>
      <w:bookmarkEnd w:id="1185"/>
      <w:bookmarkEnd w:id="1186"/>
    </w:p>
    <w:p w14:paraId="670F43E8">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kern w:val="0"/>
          <w:highlight w:val="none"/>
        </w:rPr>
        <w:t>关于变更保险合同时的通知义务的约定：</w:t>
      </w:r>
      <w:r>
        <w:rPr>
          <w:color w:val="auto"/>
          <w:highlight w:val="none"/>
          <w:u w:val="single"/>
        </w:rPr>
        <w:t xml:space="preserve"> </w:t>
      </w:r>
      <w:r>
        <w:rPr>
          <w:rFonts w:hint="eastAsia"/>
          <w:color w:val="auto"/>
          <w:highlight w:val="none"/>
          <w:u w:val="single"/>
          <w:lang w:val="en-US" w:eastAsia="zh-CN"/>
        </w:rPr>
        <w:t>无</w:t>
      </w:r>
      <w:r>
        <w:rPr>
          <w:color w:val="auto"/>
          <w:highlight w:val="none"/>
          <w:u w:val="single"/>
        </w:rPr>
        <w:t xml:space="preserve">  </w:t>
      </w:r>
      <w:r>
        <w:rPr>
          <w:rFonts w:hint="eastAsia" w:hAnsi="宋体" w:cs="宋体"/>
          <w:color w:val="auto"/>
          <w:highlight w:val="none"/>
        </w:rPr>
        <w:t>。</w:t>
      </w:r>
    </w:p>
    <w:bookmarkEnd w:id="1069"/>
    <w:bookmarkEnd w:id="1070"/>
    <w:bookmarkEnd w:id="1071"/>
    <w:bookmarkEnd w:id="1072"/>
    <w:bookmarkEnd w:id="1073"/>
    <w:bookmarkEnd w:id="1074"/>
    <w:bookmarkEnd w:id="1075"/>
    <w:bookmarkEnd w:id="1076"/>
    <w:bookmarkEnd w:id="1077"/>
    <w:bookmarkEnd w:id="1078"/>
    <w:bookmarkEnd w:id="1079"/>
    <w:bookmarkEnd w:id="1080"/>
    <w:p w14:paraId="01586DA8">
      <w:pPr>
        <w:pStyle w:val="3"/>
        <w:pageBreakBefore w:val="0"/>
        <w:widowControl w:val="0"/>
        <w:kinsoku/>
        <w:wordWrap/>
        <w:overflowPunct/>
        <w:topLinePunct w:val="0"/>
        <w:bidi w:val="0"/>
        <w:spacing w:before="0" w:after="0" w:line="360" w:lineRule="auto"/>
        <w:textAlignment w:val="auto"/>
        <w:rPr>
          <w:color w:val="auto"/>
          <w:highlight w:val="none"/>
        </w:rPr>
      </w:pPr>
      <w:bookmarkStart w:id="1187" w:name="_Toc373227776"/>
      <w:bookmarkStart w:id="1188" w:name="_Toc373478423"/>
      <w:bookmarkStart w:id="1189" w:name="_Toc389065341"/>
      <w:bookmarkStart w:id="1190" w:name="_Toc25581"/>
      <w:bookmarkStart w:id="1191" w:name="_Toc78449865"/>
      <w:bookmarkStart w:id="1192" w:name="_Toc1959910599"/>
      <w:bookmarkStart w:id="1193" w:name="_Toc351203651"/>
      <w:bookmarkStart w:id="1194" w:name="_Toc407135279"/>
      <w:r>
        <w:rPr>
          <w:color w:val="auto"/>
          <w:highlight w:val="none"/>
        </w:rPr>
        <w:t xml:space="preserve">20. </w:t>
      </w:r>
      <w:r>
        <w:rPr>
          <w:rFonts w:hint="eastAsia" w:hAnsi="宋体" w:cs="黑体"/>
          <w:color w:val="auto"/>
          <w:highlight w:val="none"/>
        </w:rPr>
        <w:t>争议解决</w:t>
      </w:r>
      <w:bookmarkEnd w:id="1187"/>
      <w:bookmarkEnd w:id="1188"/>
      <w:bookmarkEnd w:id="1189"/>
      <w:bookmarkEnd w:id="1190"/>
      <w:bookmarkEnd w:id="1191"/>
      <w:bookmarkEnd w:id="1192"/>
      <w:bookmarkEnd w:id="1193"/>
      <w:bookmarkEnd w:id="1194"/>
    </w:p>
    <w:bookmarkEnd w:id="1081"/>
    <w:bookmarkEnd w:id="1082"/>
    <w:p w14:paraId="774AC4E9">
      <w:pPr>
        <w:pStyle w:val="4"/>
        <w:pageBreakBefore w:val="0"/>
        <w:widowControl w:val="0"/>
        <w:kinsoku/>
        <w:wordWrap/>
        <w:overflowPunct/>
        <w:topLinePunct w:val="0"/>
        <w:bidi w:val="0"/>
        <w:spacing w:before="0" w:after="0" w:line="360" w:lineRule="auto"/>
        <w:textAlignment w:val="auto"/>
        <w:rPr>
          <w:color w:val="auto"/>
          <w:highlight w:val="none"/>
        </w:rPr>
      </w:pPr>
      <w:bookmarkStart w:id="1195" w:name="_Toc373227777"/>
      <w:bookmarkStart w:id="1196" w:name="_Toc373478424"/>
      <w:bookmarkStart w:id="1197" w:name="_Toc407135280"/>
      <w:bookmarkStart w:id="1198" w:name="_Toc1645489822"/>
      <w:bookmarkStart w:id="1199" w:name="_Toc389065342"/>
      <w:bookmarkStart w:id="1200" w:name="_Toc78449866"/>
      <w:bookmarkStart w:id="1201" w:name="_Toc9944"/>
      <w:r>
        <w:rPr>
          <w:color w:val="auto"/>
          <w:highlight w:val="none"/>
        </w:rPr>
        <w:t xml:space="preserve">20.3 </w:t>
      </w:r>
      <w:r>
        <w:rPr>
          <w:rFonts w:hint="eastAsia" w:hAnsi="宋体" w:cs="黑体"/>
          <w:color w:val="auto"/>
          <w:highlight w:val="none"/>
        </w:rPr>
        <w:t>争</w:t>
      </w:r>
      <w:bookmarkEnd w:id="1083"/>
      <w:r>
        <w:rPr>
          <w:rFonts w:hint="eastAsia" w:hAnsi="宋体" w:cs="黑体"/>
          <w:color w:val="auto"/>
          <w:highlight w:val="none"/>
        </w:rPr>
        <w:t>议评审</w:t>
      </w:r>
      <w:bookmarkEnd w:id="1195"/>
      <w:bookmarkEnd w:id="1196"/>
      <w:bookmarkEnd w:id="1197"/>
      <w:bookmarkEnd w:id="1198"/>
      <w:bookmarkEnd w:id="1199"/>
      <w:bookmarkEnd w:id="1200"/>
      <w:bookmarkEnd w:id="1201"/>
    </w:p>
    <w:p w14:paraId="142CF4E3">
      <w:pPr>
        <w:pageBreakBefore w:val="0"/>
        <w:widowControl w:val="0"/>
        <w:kinsoku/>
        <w:wordWrap/>
        <w:overflowPunct/>
        <w:topLinePunct w:val="0"/>
        <w:bidi w:val="0"/>
        <w:spacing w:line="360" w:lineRule="auto"/>
        <w:ind w:left="149" w:leftChars="71" w:firstLine="315" w:firstLineChars="150"/>
        <w:jc w:val="left"/>
        <w:textAlignment w:val="auto"/>
        <w:rPr>
          <w:color w:val="auto"/>
          <w:highlight w:val="none"/>
          <w:u w:val="single"/>
        </w:rPr>
      </w:pPr>
      <w:r>
        <w:rPr>
          <w:rFonts w:hint="eastAsia" w:hAnsi="宋体" w:cs="宋体"/>
          <w:color w:val="auto"/>
          <w:highlight w:val="none"/>
        </w:rPr>
        <w:t>合同当事人是否同意将工程争议提交争议评审小组决定：</w:t>
      </w:r>
      <w:r>
        <w:rPr>
          <w:color w:val="auto"/>
          <w:highlight w:val="none"/>
          <w:u w:val="single"/>
        </w:rPr>
        <w:t xml:space="preserve"> </w:t>
      </w:r>
      <w:r>
        <w:rPr>
          <w:rFonts w:hint="eastAsia"/>
          <w:color w:val="auto"/>
          <w:highlight w:val="none"/>
          <w:u w:val="single"/>
        </w:rPr>
        <w:t>不同意</w:t>
      </w:r>
      <w:r>
        <w:rPr>
          <w:color w:val="auto"/>
          <w:highlight w:val="none"/>
          <w:u w:val="single"/>
        </w:rPr>
        <w:t xml:space="preserve"> </w:t>
      </w:r>
      <w:r>
        <w:rPr>
          <w:rFonts w:hint="eastAsia" w:hAnsi="宋体" w:cs="宋体"/>
          <w:color w:val="auto"/>
          <w:highlight w:val="none"/>
        </w:rPr>
        <w:t>。</w:t>
      </w:r>
    </w:p>
    <w:p w14:paraId="51083DBD">
      <w:pPr>
        <w:pageBreakBefore w:val="0"/>
        <w:widowControl w:val="0"/>
        <w:kinsoku/>
        <w:wordWrap/>
        <w:overflowPunct/>
        <w:topLinePunct w:val="0"/>
        <w:bidi w:val="0"/>
        <w:spacing w:line="360" w:lineRule="auto"/>
        <w:ind w:firstLine="420" w:firstLineChars="200"/>
        <w:jc w:val="left"/>
        <w:textAlignment w:val="auto"/>
        <w:outlineLvl w:val="0"/>
        <w:rPr>
          <w:color w:val="auto"/>
          <w:highlight w:val="none"/>
        </w:rPr>
      </w:pPr>
      <w:r>
        <w:rPr>
          <w:color w:val="auto"/>
          <w:highlight w:val="none"/>
        </w:rPr>
        <w:t xml:space="preserve">20.3.1 </w:t>
      </w:r>
      <w:r>
        <w:rPr>
          <w:rFonts w:hint="eastAsia" w:hAnsi="宋体" w:cs="宋体"/>
          <w:color w:val="auto"/>
          <w:highlight w:val="none"/>
        </w:rPr>
        <w:t>争议评审小组的确定</w:t>
      </w:r>
    </w:p>
    <w:p w14:paraId="2238C32D">
      <w:pPr>
        <w:pageBreakBefore w:val="0"/>
        <w:widowControl w:val="0"/>
        <w:kinsoku/>
        <w:wordWrap/>
        <w:overflowPunct/>
        <w:topLinePunct w:val="0"/>
        <w:bidi w:val="0"/>
        <w:spacing w:line="360" w:lineRule="auto"/>
        <w:ind w:firstLine="420" w:firstLineChars="200"/>
        <w:jc w:val="left"/>
        <w:textAlignment w:val="auto"/>
        <w:rPr>
          <w:color w:val="auto"/>
          <w:highlight w:val="none"/>
          <w:u w:val="single"/>
        </w:rPr>
      </w:pPr>
      <w:r>
        <w:rPr>
          <w:rFonts w:hint="eastAsia" w:hAnsi="宋体" w:cs="宋体"/>
          <w:color w:val="auto"/>
          <w:highlight w:val="none"/>
        </w:rPr>
        <w:t>争议评审小组成员的确定：</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0BE45D0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选定争议评审员的期限：</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5E44AD57">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争议评审小组成员的报酬承担方式：</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51CAD691">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其他事项的约定：</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77A8572D">
      <w:pPr>
        <w:pageBreakBefore w:val="0"/>
        <w:widowControl w:val="0"/>
        <w:kinsoku/>
        <w:wordWrap/>
        <w:overflowPunct/>
        <w:topLinePunct w:val="0"/>
        <w:autoSpaceDE w:val="0"/>
        <w:autoSpaceDN w:val="0"/>
        <w:bidi w:val="0"/>
        <w:adjustRightInd w:val="0"/>
        <w:spacing w:line="360" w:lineRule="auto"/>
        <w:ind w:firstLine="420" w:firstLineChars="200"/>
        <w:jc w:val="left"/>
        <w:textAlignment w:val="auto"/>
        <w:rPr>
          <w:color w:val="auto"/>
          <w:kern w:val="0"/>
          <w:highlight w:val="none"/>
        </w:rPr>
      </w:pPr>
      <w:r>
        <w:rPr>
          <w:color w:val="auto"/>
          <w:kern w:val="0"/>
          <w:highlight w:val="none"/>
        </w:rPr>
        <w:t xml:space="preserve">20.3.2 </w:t>
      </w:r>
      <w:r>
        <w:rPr>
          <w:rFonts w:hint="eastAsia" w:hAnsi="宋体" w:cs="宋体"/>
          <w:color w:val="auto"/>
          <w:kern w:val="0"/>
          <w:highlight w:val="none"/>
        </w:rPr>
        <w:t>争议评审小组的决定</w:t>
      </w:r>
    </w:p>
    <w:p w14:paraId="6465D445">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合同当事人关于本项的约定：</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1F42C0C4">
      <w:pPr>
        <w:pStyle w:val="4"/>
        <w:pageBreakBefore w:val="0"/>
        <w:widowControl w:val="0"/>
        <w:kinsoku/>
        <w:wordWrap/>
        <w:overflowPunct/>
        <w:topLinePunct w:val="0"/>
        <w:bidi w:val="0"/>
        <w:spacing w:before="0" w:after="0" w:line="360" w:lineRule="auto"/>
        <w:textAlignment w:val="auto"/>
        <w:rPr>
          <w:color w:val="auto"/>
          <w:highlight w:val="none"/>
        </w:rPr>
      </w:pPr>
      <w:bookmarkStart w:id="1202" w:name="_Toc1456517022"/>
      <w:bookmarkStart w:id="1203" w:name="_Toc373478425"/>
      <w:bookmarkStart w:id="1204" w:name="_Toc78449867"/>
      <w:bookmarkStart w:id="1205" w:name="_Toc11507"/>
      <w:bookmarkStart w:id="1206" w:name="_Toc407135281"/>
      <w:bookmarkStart w:id="1207" w:name="_Toc389065343"/>
      <w:bookmarkStart w:id="1208" w:name="_Toc373227778"/>
      <w:r>
        <w:rPr>
          <w:color w:val="auto"/>
          <w:highlight w:val="none"/>
        </w:rPr>
        <w:t xml:space="preserve">20.4 </w:t>
      </w:r>
      <w:r>
        <w:rPr>
          <w:rFonts w:hint="eastAsia" w:hAnsi="宋体" w:cs="黑体"/>
          <w:color w:val="auto"/>
          <w:highlight w:val="none"/>
        </w:rPr>
        <w:t>仲裁或诉讼</w:t>
      </w:r>
      <w:bookmarkEnd w:id="1084"/>
      <w:bookmarkEnd w:id="1202"/>
      <w:bookmarkEnd w:id="1203"/>
      <w:bookmarkEnd w:id="1204"/>
      <w:bookmarkEnd w:id="1205"/>
      <w:bookmarkEnd w:id="1206"/>
      <w:bookmarkEnd w:id="1207"/>
      <w:bookmarkEnd w:id="1208"/>
    </w:p>
    <w:p w14:paraId="0CEFFD7A">
      <w:pPr>
        <w:pageBreakBefore w:val="0"/>
        <w:widowControl w:val="0"/>
        <w:kinsoku/>
        <w:wordWrap/>
        <w:overflowPunct/>
        <w:topLinePunct w:val="0"/>
        <w:bidi w:val="0"/>
        <w:spacing w:line="360" w:lineRule="auto"/>
        <w:ind w:firstLine="420" w:firstLineChars="200"/>
        <w:textAlignment w:val="auto"/>
        <w:rPr>
          <w:color w:val="auto"/>
          <w:highlight w:val="none"/>
        </w:rPr>
      </w:pPr>
      <w:r>
        <w:rPr>
          <w:rFonts w:hint="eastAsia" w:hAnsi="宋体" w:cs="宋体"/>
          <w:color w:val="auto"/>
          <w:highlight w:val="none"/>
        </w:rPr>
        <w:t>因合同及合同有关事项发生的争议，按下列第</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种方式解决：</w:t>
      </w:r>
    </w:p>
    <w:p w14:paraId="75BFD0BF">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）提请</w:t>
      </w:r>
      <w:r>
        <w:rPr>
          <w:color w:val="auto"/>
          <w:highlight w:val="none"/>
          <w:u w:val="single"/>
        </w:rPr>
        <w:t xml:space="preserve">     </w:t>
      </w:r>
      <w:r>
        <w:rPr>
          <w:rFonts w:hint="eastAsia" w:hAnsi="宋体" w:cs="宋体"/>
          <w:color w:val="auto"/>
          <w:highlight w:val="none"/>
        </w:rPr>
        <w:t>仲裁委员会按照该会仲裁规则进行仲裁，仲裁裁决是终局的，对合同双方均有约束力。</w:t>
      </w:r>
    </w:p>
    <w:p w14:paraId="24D9B83B">
      <w:pPr>
        <w:pageBreakBefore w:val="0"/>
        <w:widowControl w:val="0"/>
        <w:kinsoku/>
        <w:wordWrap/>
        <w:overflowPunct/>
        <w:topLinePunct w:val="0"/>
        <w:bidi w:val="0"/>
        <w:spacing w:line="360" w:lineRule="auto"/>
        <w:ind w:firstLine="420" w:firstLineChars="200"/>
        <w:jc w:val="left"/>
        <w:textAlignment w:val="auto"/>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）向</w:t>
      </w:r>
      <w:r>
        <w:rPr>
          <w:color w:val="auto"/>
          <w:highlight w:val="none"/>
          <w:u w:val="single"/>
        </w:rPr>
        <w:t xml:space="preserve">  </w:t>
      </w:r>
      <w:r>
        <w:rPr>
          <w:rFonts w:hint="eastAsia"/>
          <w:color w:val="auto"/>
          <w:highlight w:val="none"/>
          <w:u w:val="single"/>
        </w:rPr>
        <w:t>项目所在地有管辖</w:t>
      </w:r>
      <w:r>
        <w:rPr>
          <w:color w:val="auto"/>
          <w:highlight w:val="none"/>
          <w:u w:val="single"/>
        </w:rPr>
        <w:t xml:space="preserve"> </w:t>
      </w:r>
      <w:r>
        <w:rPr>
          <w:rFonts w:hint="eastAsia" w:hAnsi="宋体" w:cs="宋体"/>
          <w:color w:val="auto"/>
          <w:highlight w:val="none"/>
        </w:rPr>
        <w:t>人民法院起诉。</w:t>
      </w:r>
      <w:bookmarkEnd w:id="1085"/>
      <w:bookmarkEnd w:id="1086"/>
      <w:bookmarkEnd w:id="1087"/>
      <w:bookmarkEnd w:id="1088"/>
      <w:bookmarkEnd w:id="1089"/>
      <w:bookmarkEnd w:id="1090"/>
    </w:p>
    <w:p w14:paraId="016E7F4F">
      <w:pPr>
        <w:pageBreakBefore w:val="0"/>
        <w:widowControl w:val="0"/>
        <w:kinsoku/>
        <w:wordWrap/>
        <w:overflowPunct/>
        <w:topLinePunct w:val="0"/>
        <w:bidi w:val="0"/>
        <w:spacing w:line="360" w:lineRule="auto"/>
        <w:ind w:firstLine="420" w:firstLineChars="200"/>
        <w:jc w:val="left"/>
        <w:textAlignment w:val="auto"/>
        <w:rPr>
          <w:color w:val="auto"/>
          <w:highlight w:val="none"/>
        </w:rPr>
      </w:pPr>
    </w:p>
    <w:p w14:paraId="40BA8CAF">
      <w:pPr>
        <w:pageBreakBefore w:val="0"/>
        <w:widowControl w:val="0"/>
        <w:kinsoku/>
        <w:wordWrap/>
        <w:overflowPunct/>
        <w:topLinePunct w:val="0"/>
        <w:bidi w:val="0"/>
        <w:spacing w:line="360" w:lineRule="auto"/>
        <w:jc w:val="left"/>
        <w:textAlignment w:val="auto"/>
        <w:rPr>
          <w:rFonts w:eastAsia="黑体"/>
          <w:b/>
          <w:bCs/>
          <w:color w:val="auto"/>
          <w:sz w:val="28"/>
          <w:szCs w:val="28"/>
          <w:highlight w:val="none"/>
        </w:rPr>
      </w:pPr>
      <w:bookmarkStart w:id="1209" w:name="_Toc351203652"/>
      <w:r>
        <w:rPr>
          <w:rFonts w:hint="eastAsia" w:eastAsia="黑体" w:cs="黑体"/>
          <w:b/>
          <w:bCs/>
          <w:color w:val="auto"/>
          <w:sz w:val="28"/>
          <w:szCs w:val="28"/>
          <w:highlight w:val="none"/>
        </w:rPr>
        <w:t>附件</w:t>
      </w:r>
      <w:bookmarkEnd w:id="1209"/>
    </w:p>
    <w:p w14:paraId="10D6480E">
      <w:pPr>
        <w:pageBreakBefore w:val="0"/>
        <w:widowControl w:val="0"/>
        <w:kinsoku/>
        <w:wordWrap/>
        <w:overflowPunct/>
        <w:topLinePunct w:val="0"/>
        <w:bidi w:val="0"/>
        <w:spacing w:line="360" w:lineRule="auto"/>
        <w:jc w:val="left"/>
        <w:textAlignment w:val="auto"/>
        <w:rPr>
          <w:rFonts w:hint="eastAsia" w:ascii="宋体" w:hAnsi="宋体" w:cs="宋体"/>
          <w:color w:val="auto"/>
          <w:highlight w:val="none"/>
        </w:rPr>
      </w:pP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：承包人承揽工程项目一览表</w:t>
      </w:r>
    </w:p>
    <w:p w14:paraId="35B3EEF1">
      <w:pPr>
        <w:pageBreakBefore w:val="0"/>
        <w:widowControl w:val="0"/>
        <w:kinsoku/>
        <w:wordWrap/>
        <w:overflowPunct/>
        <w:topLinePunct w:val="0"/>
        <w:bidi w:val="0"/>
        <w:spacing w:line="360" w:lineRule="auto"/>
        <w:jc w:val="left"/>
        <w:textAlignment w:val="auto"/>
        <w:rPr>
          <w:rFonts w:ascii="宋体" w:hAnsi="宋体" w:cs="宋体"/>
          <w:color w:val="auto"/>
          <w:highlight w:val="none"/>
        </w:rPr>
      </w:pPr>
      <w:r>
        <w:rPr>
          <w:rFonts w:hint="eastAsia" w:ascii="宋体" w:hAnsi="宋体" w:cs="宋体"/>
          <w:color w:val="auto"/>
          <w:highlight w:val="none"/>
        </w:rPr>
        <w:t>附件2：工程质量保修书</w:t>
      </w:r>
    </w:p>
    <w:p w14:paraId="5A6DCCD9">
      <w:pPr>
        <w:pageBreakBefore w:val="0"/>
        <w:widowControl w:val="0"/>
        <w:kinsoku/>
        <w:wordWrap/>
        <w:overflowPunct/>
        <w:topLinePunct w:val="0"/>
        <w:bidi w:val="0"/>
        <w:spacing w:line="360" w:lineRule="auto"/>
        <w:jc w:val="left"/>
        <w:textAlignment w:val="auto"/>
        <w:rPr>
          <w:rFonts w:hint="eastAsia"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rPr>
        <w:t>3</w:t>
      </w:r>
      <w:r>
        <w:rPr>
          <w:rFonts w:ascii="宋体" w:hAnsi="宋体" w:cs="宋体"/>
          <w:color w:val="auto"/>
          <w:highlight w:val="none"/>
        </w:rPr>
        <w:t>：主要建设工程文件目录</w:t>
      </w:r>
    </w:p>
    <w:p w14:paraId="6F981625">
      <w:pPr>
        <w:pageBreakBefore w:val="0"/>
        <w:widowControl w:val="0"/>
        <w:kinsoku/>
        <w:wordWrap/>
        <w:overflowPunct/>
        <w:topLinePunct w:val="0"/>
        <w:bidi w:val="0"/>
        <w:spacing w:line="360" w:lineRule="auto"/>
        <w:jc w:val="left"/>
        <w:textAlignment w:val="auto"/>
        <w:rPr>
          <w:rFonts w:ascii="宋体" w:hAnsi="宋体" w:cs="宋体"/>
          <w:color w:val="auto"/>
          <w:highlight w:val="none"/>
        </w:rPr>
      </w:pPr>
      <w:r>
        <w:rPr>
          <w:rFonts w:hint="eastAsia" w:ascii="宋体" w:hAnsi="宋体" w:cs="宋体"/>
          <w:color w:val="auto"/>
          <w:highlight w:val="none"/>
        </w:rPr>
        <w:t>附件4：承包人用于本工程施工的机械设备表</w:t>
      </w:r>
    </w:p>
    <w:p w14:paraId="5376D0E2">
      <w:pPr>
        <w:pageBreakBefore w:val="0"/>
        <w:widowControl w:val="0"/>
        <w:kinsoku/>
        <w:wordWrap/>
        <w:overflowPunct/>
        <w:topLinePunct w:val="0"/>
        <w:bidi w:val="0"/>
        <w:spacing w:line="360" w:lineRule="auto"/>
        <w:jc w:val="left"/>
        <w:textAlignment w:val="auto"/>
        <w:rPr>
          <w:rFonts w:ascii="宋体"/>
          <w:color w:val="auto"/>
          <w:highlight w:val="none"/>
        </w:rPr>
      </w:pPr>
      <w:r>
        <w:rPr>
          <w:rFonts w:hint="eastAsia" w:ascii="宋体" w:hAnsi="宋体" w:cs="宋体"/>
          <w:color w:val="auto"/>
          <w:highlight w:val="none"/>
        </w:rPr>
        <w:t>附件5：承包人主要施工管理人员表</w:t>
      </w:r>
    </w:p>
    <w:p w14:paraId="525239E2">
      <w:pPr>
        <w:pageBreakBefore w:val="0"/>
        <w:widowControl w:val="0"/>
        <w:kinsoku/>
        <w:wordWrap/>
        <w:overflowPunct/>
        <w:topLinePunct w:val="0"/>
        <w:bidi w:val="0"/>
        <w:spacing w:line="360" w:lineRule="auto"/>
        <w:jc w:val="left"/>
        <w:textAlignment w:val="auto"/>
        <w:rPr>
          <w:rFonts w:ascii="宋体"/>
          <w:color w:val="auto"/>
          <w:highlight w:val="none"/>
        </w:rPr>
      </w:pPr>
      <w:r>
        <w:rPr>
          <w:rFonts w:hint="eastAsia" w:ascii="宋体" w:hAnsi="宋体" w:cs="宋体"/>
          <w:color w:val="auto"/>
          <w:highlight w:val="none"/>
        </w:rPr>
        <w:t>附件6：分包人主要施工管理人员表</w:t>
      </w:r>
    </w:p>
    <w:p w14:paraId="67C13ADE">
      <w:pPr>
        <w:pageBreakBefore w:val="0"/>
        <w:widowControl w:val="0"/>
        <w:kinsoku/>
        <w:wordWrap/>
        <w:overflowPunct/>
        <w:topLinePunct w:val="0"/>
        <w:bidi w:val="0"/>
        <w:spacing w:line="360" w:lineRule="auto"/>
        <w:jc w:val="left"/>
        <w:textAlignment w:val="auto"/>
        <w:rPr>
          <w:rFonts w:ascii="宋体"/>
          <w:color w:val="auto"/>
          <w:highlight w:val="none"/>
        </w:rPr>
      </w:pPr>
      <w:r>
        <w:rPr>
          <w:rFonts w:hint="eastAsia" w:ascii="宋体" w:hAnsi="宋体" w:cs="宋体"/>
          <w:color w:val="auto"/>
          <w:highlight w:val="none"/>
        </w:rPr>
        <w:t>附件7：履约担保格式（独立保函、非独立保函）</w:t>
      </w:r>
    </w:p>
    <w:p w14:paraId="7A4DF341">
      <w:pPr>
        <w:pageBreakBefore w:val="0"/>
        <w:widowControl w:val="0"/>
        <w:kinsoku/>
        <w:wordWrap/>
        <w:overflowPunct/>
        <w:topLinePunct w:val="0"/>
        <w:bidi w:val="0"/>
        <w:spacing w:line="360" w:lineRule="auto"/>
        <w:jc w:val="left"/>
        <w:textAlignment w:val="auto"/>
        <w:rPr>
          <w:rFonts w:hint="eastAsia" w:ascii="宋体" w:hAnsi="宋体" w:cs="宋体"/>
          <w:color w:val="auto"/>
          <w:highlight w:val="none"/>
        </w:rPr>
      </w:pPr>
      <w:r>
        <w:rPr>
          <w:rFonts w:hint="eastAsia" w:ascii="宋体" w:hAnsi="宋体" w:cs="宋体"/>
          <w:color w:val="auto"/>
          <w:highlight w:val="none"/>
        </w:rPr>
        <w:t>附件8：预付款担保格式（独立保函、非独立保函）</w:t>
      </w:r>
    </w:p>
    <w:p w14:paraId="7EDACE93">
      <w:pPr>
        <w:pageBreakBefore w:val="0"/>
        <w:widowControl w:val="0"/>
        <w:kinsoku/>
        <w:wordWrap/>
        <w:overflowPunct/>
        <w:topLinePunct w:val="0"/>
        <w:bidi w:val="0"/>
        <w:spacing w:line="360" w:lineRule="auto"/>
        <w:jc w:val="left"/>
        <w:textAlignment w:val="auto"/>
        <w:rPr>
          <w:rFonts w:ascii="宋体" w:hAnsi="宋体" w:cs="宋体"/>
          <w:color w:val="auto"/>
          <w:highlight w:val="none"/>
        </w:rPr>
      </w:pPr>
      <w:r>
        <w:rPr>
          <w:rFonts w:hint="eastAsia" w:ascii="宋体" w:hAnsi="宋体" w:cs="宋体"/>
          <w:color w:val="auto"/>
          <w:highlight w:val="none"/>
        </w:rPr>
        <w:t>附件9：支付担保格式（独立保函、非独立保函）</w:t>
      </w:r>
    </w:p>
    <w:p w14:paraId="41120888">
      <w:pPr>
        <w:pageBreakBefore w:val="0"/>
        <w:widowControl w:val="0"/>
        <w:kinsoku/>
        <w:wordWrap/>
        <w:overflowPunct/>
        <w:topLinePunct w:val="0"/>
        <w:bidi w:val="0"/>
        <w:spacing w:line="360" w:lineRule="auto"/>
        <w:jc w:val="left"/>
        <w:textAlignment w:val="auto"/>
        <w:rPr>
          <w:rFonts w:hint="eastAsia"/>
          <w:color w:val="auto"/>
          <w:highlight w:val="none"/>
        </w:rPr>
      </w:pPr>
      <w:r>
        <w:rPr>
          <w:rFonts w:hint="eastAsia" w:ascii="宋体" w:hAnsi="宋体" w:cs="宋体"/>
          <w:color w:val="auto"/>
          <w:highlight w:val="none"/>
        </w:rPr>
        <w:t>附件10：预付款</w:t>
      </w:r>
      <w:r>
        <w:rPr>
          <w:rFonts w:hint="eastAsia"/>
          <w:color w:val="auto"/>
          <w:highlight w:val="none"/>
        </w:rPr>
        <w:t>支付申请（核准）表</w:t>
      </w:r>
    </w:p>
    <w:p w14:paraId="3141F20F">
      <w:pPr>
        <w:pageBreakBefore w:val="0"/>
        <w:widowControl w:val="0"/>
        <w:kinsoku/>
        <w:wordWrap/>
        <w:overflowPunct/>
        <w:topLinePunct w:val="0"/>
        <w:bidi w:val="0"/>
        <w:spacing w:line="360" w:lineRule="auto"/>
        <w:jc w:val="left"/>
        <w:textAlignment w:val="auto"/>
        <w:rPr>
          <w:rFonts w:hint="eastAsia"/>
          <w:color w:val="auto"/>
          <w:highlight w:val="none"/>
        </w:rPr>
      </w:pPr>
      <w:r>
        <w:rPr>
          <w:rFonts w:hint="eastAsia" w:ascii="宋体" w:hAnsi="宋体" w:cs="宋体"/>
          <w:color w:val="auto"/>
          <w:highlight w:val="none"/>
        </w:rPr>
        <w:t>附件11：</w:t>
      </w:r>
      <w:r>
        <w:rPr>
          <w:rFonts w:hint="eastAsia"/>
          <w:color w:val="auto"/>
          <w:highlight w:val="none"/>
        </w:rPr>
        <w:t>进度款支付申请（核准）表</w:t>
      </w:r>
    </w:p>
    <w:p w14:paraId="31C64D90">
      <w:pPr>
        <w:pageBreakBefore w:val="0"/>
        <w:widowControl w:val="0"/>
        <w:kinsoku/>
        <w:wordWrap/>
        <w:overflowPunct/>
        <w:topLinePunct w:val="0"/>
        <w:bidi w:val="0"/>
        <w:spacing w:line="360" w:lineRule="auto"/>
        <w:jc w:val="left"/>
        <w:textAlignment w:val="auto"/>
        <w:rPr>
          <w:rFonts w:hint="eastAsia"/>
          <w:color w:val="auto"/>
          <w:highlight w:val="none"/>
        </w:rPr>
      </w:pPr>
      <w:r>
        <w:rPr>
          <w:rFonts w:hint="eastAsia" w:ascii="宋体" w:hAnsi="宋体" w:cs="宋体"/>
          <w:color w:val="auto"/>
          <w:highlight w:val="none"/>
        </w:rPr>
        <w:t>附件12：竣工结算</w:t>
      </w:r>
      <w:r>
        <w:rPr>
          <w:rFonts w:hint="eastAsia"/>
          <w:color w:val="auto"/>
          <w:highlight w:val="none"/>
        </w:rPr>
        <w:t>款支付申请（核准）表</w:t>
      </w:r>
    </w:p>
    <w:p w14:paraId="21706A9C">
      <w:pPr>
        <w:pageBreakBefore w:val="0"/>
        <w:widowControl w:val="0"/>
        <w:kinsoku/>
        <w:wordWrap/>
        <w:overflowPunct/>
        <w:topLinePunct w:val="0"/>
        <w:bidi w:val="0"/>
        <w:spacing w:line="360" w:lineRule="auto"/>
        <w:jc w:val="left"/>
        <w:textAlignment w:val="auto"/>
        <w:rPr>
          <w:rFonts w:hint="eastAsia"/>
          <w:color w:val="auto"/>
          <w:highlight w:val="none"/>
        </w:rPr>
      </w:pPr>
      <w:r>
        <w:rPr>
          <w:rFonts w:hint="eastAsia" w:ascii="宋体" w:hAnsi="宋体" w:cs="宋体"/>
          <w:color w:val="auto"/>
          <w:highlight w:val="none"/>
        </w:rPr>
        <w:t>附件13：最终结算</w:t>
      </w:r>
      <w:r>
        <w:rPr>
          <w:rFonts w:hint="eastAsia"/>
          <w:color w:val="auto"/>
          <w:highlight w:val="none"/>
        </w:rPr>
        <w:t>款支付申请（核准）表</w:t>
      </w:r>
    </w:p>
    <w:p w14:paraId="33407DFA">
      <w:pPr>
        <w:pageBreakBefore w:val="0"/>
        <w:widowControl w:val="0"/>
        <w:kinsoku/>
        <w:wordWrap/>
        <w:overflowPunct/>
        <w:topLinePunct w:val="0"/>
        <w:bidi w:val="0"/>
        <w:spacing w:line="360" w:lineRule="auto"/>
        <w:jc w:val="left"/>
        <w:textAlignment w:val="auto"/>
        <w:rPr>
          <w:rFonts w:hint="eastAsia"/>
          <w:color w:val="auto"/>
          <w:highlight w:val="none"/>
        </w:rPr>
      </w:pPr>
      <w:r>
        <w:rPr>
          <w:rFonts w:hint="eastAsia"/>
          <w:color w:val="auto"/>
          <w:highlight w:val="none"/>
        </w:rPr>
        <w:t>附件14：总价合同进度款支付分解表</w:t>
      </w:r>
    </w:p>
    <w:p w14:paraId="39FED677">
      <w:pPr>
        <w:spacing w:line="460" w:lineRule="exact"/>
        <w:ind w:firstLine="420" w:firstLineChars="200"/>
        <w:rPr>
          <w:color w:val="auto"/>
          <w:highlight w:val="none"/>
        </w:rPr>
      </w:pPr>
    </w:p>
    <w:p w14:paraId="56E287E5">
      <w:pPr>
        <w:spacing w:line="460" w:lineRule="exact"/>
        <w:ind w:firstLine="420" w:firstLineChars="200"/>
        <w:rPr>
          <w:color w:val="auto"/>
          <w:highlight w:val="none"/>
        </w:rPr>
      </w:pPr>
    </w:p>
    <w:p w14:paraId="30019A03">
      <w:pPr>
        <w:spacing w:line="460" w:lineRule="exact"/>
        <w:ind w:firstLine="420" w:firstLineChars="200"/>
        <w:rPr>
          <w:color w:val="auto"/>
          <w:highlight w:val="none"/>
        </w:rPr>
        <w:sectPr>
          <w:pgSz w:w="11907" w:h="16840"/>
          <w:pgMar w:top="1440" w:right="1440"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p w14:paraId="23EDC803">
      <w:pPr>
        <w:spacing w:before="120" w:beforeLines="50" w:after="120" w:afterLines="50" w:line="440" w:lineRule="exact"/>
        <w:jc w:val="left"/>
        <w:rPr>
          <w:rFonts w:ascii="仿宋_GB2312" w:eastAsia="仿宋_GB2312"/>
          <w:color w:val="auto"/>
          <w:sz w:val="30"/>
          <w:szCs w:val="30"/>
          <w:highlight w:val="none"/>
        </w:rPr>
      </w:pPr>
      <w:r>
        <w:rPr>
          <w:rFonts w:hint="eastAsia" w:ascii="仿宋_GB2312" w:eastAsia="仿宋_GB2312" w:cs="仿宋_GB2312"/>
          <w:color w:val="auto"/>
          <w:sz w:val="30"/>
          <w:szCs w:val="30"/>
          <w:highlight w:val="none"/>
        </w:rPr>
        <w:t>附件</w:t>
      </w:r>
      <w:r>
        <w:rPr>
          <w:rFonts w:ascii="仿宋_GB2312" w:eastAsia="仿宋_GB2312" w:cs="仿宋_GB2312"/>
          <w:color w:val="auto"/>
          <w:sz w:val="30"/>
          <w:szCs w:val="30"/>
          <w:highlight w:val="none"/>
        </w:rPr>
        <w:t>1</w:t>
      </w:r>
      <w:r>
        <w:rPr>
          <w:rFonts w:hint="eastAsia" w:ascii="仿宋_GB2312" w:eastAsia="仿宋_GB2312" w:cs="仿宋_GB2312"/>
          <w:color w:val="auto"/>
          <w:sz w:val="30"/>
          <w:szCs w:val="30"/>
          <w:highlight w:val="none"/>
        </w:rPr>
        <w:t>：</w:t>
      </w:r>
    </w:p>
    <w:p w14:paraId="7DCC74EB">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承包人承揽工程项目一览表</w:t>
      </w:r>
    </w:p>
    <w:tbl>
      <w:tblPr>
        <w:tblStyle w:val="40"/>
        <w:tblW w:w="13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28EC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085352AE">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单位工程名称</w:t>
            </w:r>
          </w:p>
        </w:tc>
        <w:tc>
          <w:tcPr>
            <w:tcW w:w="1440" w:type="dxa"/>
            <w:noWrap w:val="0"/>
            <w:vAlign w:val="center"/>
          </w:tcPr>
          <w:p w14:paraId="7CF212A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建设规模</w:t>
            </w:r>
          </w:p>
        </w:tc>
        <w:tc>
          <w:tcPr>
            <w:tcW w:w="1620" w:type="dxa"/>
            <w:noWrap w:val="0"/>
            <w:vAlign w:val="center"/>
          </w:tcPr>
          <w:p w14:paraId="053C6DB4">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建筑面积</w:t>
            </w:r>
            <w:r>
              <w:rPr>
                <w:rFonts w:eastAsia="仿宋_GB2312"/>
                <w:color w:val="auto"/>
                <w:sz w:val="28"/>
                <w:szCs w:val="28"/>
                <w:highlight w:val="none"/>
              </w:rPr>
              <w:t>(</w:t>
            </w:r>
            <w:r>
              <w:rPr>
                <w:rFonts w:hint="eastAsia" w:eastAsia="仿宋_GB2312" w:cs="仿宋_GB2312"/>
                <w:color w:val="auto"/>
                <w:sz w:val="28"/>
                <w:szCs w:val="28"/>
                <w:highlight w:val="none"/>
              </w:rPr>
              <w:t>平方米</w:t>
            </w:r>
            <w:r>
              <w:rPr>
                <w:rFonts w:eastAsia="仿宋_GB2312"/>
                <w:color w:val="auto"/>
                <w:sz w:val="28"/>
                <w:szCs w:val="28"/>
                <w:highlight w:val="none"/>
              </w:rPr>
              <w:t>)</w:t>
            </w:r>
          </w:p>
        </w:tc>
        <w:tc>
          <w:tcPr>
            <w:tcW w:w="1661" w:type="dxa"/>
            <w:noWrap w:val="0"/>
            <w:vAlign w:val="center"/>
          </w:tcPr>
          <w:p w14:paraId="767273B1">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结构形式</w:t>
            </w:r>
          </w:p>
        </w:tc>
        <w:tc>
          <w:tcPr>
            <w:tcW w:w="850" w:type="dxa"/>
            <w:noWrap w:val="0"/>
            <w:vAlign w:val="center"/>
          </w:tcPr>
          <w:p w14:paraId="261EA7FF">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层数</w:t>
            </w:r>
          </w:p>
        </w:tc>
        <w:tc>
          <w:tcPr>
            <w:tcW w:w="1560" w:type="dxa"/>
            <w:noWrap w:val="0"/>
            <w:vAlign w:val="center"/>
          </w:tcPr>
          <w:p w14:paraId="4851C2DE">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生产能力</w:t>
            </w:r>
          </w:p>
        </w:tc>
        <w:tc>
          <w:tcPr>
            <w:tcW w:w="2126" w:type="dxa"/>
            <w:noWrap w:val="0"/>
            <w:vAlign w:val="center"/>
          </w:tcPr>
          <w:p w14:paraId="4BF53FA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设备安装内容</w:t>
            </w:r>
          </w:p>
        </w:tc>
        <w:tc>
          <w:tcPr>
            <w:tcW w:w="1417" w:type="dxa"/>
            <w:noWrap w:val="0"/>
            <w:vAlign w:val="center"/>
          </w:tcPr>
          <w:p w14:paraId="0D2237ED">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合同价格（元）</w:t>
            </w:r>
          </w:p>
        </w:tc>
        <w:tc>
          <w:tcPr>
            <w:tcW w:w="851" w:type="dxa"/>
            <w:noWrap w:val="0"/>
            <w:vAlign w:val="center"/>
          </w:tcPr>
          <w:p w14:paraId="0DEB02AB">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开工日期</w:t>
            </w:r>
          </w:p>
        </w:tc>
        <w:tc>
          <w:tcPr>
            <w:tcW w:w="850" w:type="dxa"/>
            <w:noWrap w:val="0"/>
            <w:vAlign w:val="center"/>
          </w:tcPr>
          <w:p w14:paraId="49C4F35A">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竣工日期</w:t>
            </w:r>
          </w:p>
        </w:tc>
      </w:tr>
      <w:tr w14:paraId="7122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1204FE89">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15B65E48">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5E47D756">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697A784E">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30CBFCAF">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327FC37B">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1487DC0A">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67E145DA">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4834BDE5">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75EA79B7">
            <w:pPr>
              <w:pStyle w:val="18"/>
              <w:keepNext/>
              <w:spacing w:after="0" w:line="440" w:lineRule="exact"/>
              <w:ind w:left="63" w:right="63"/>
              <w:rPr>
                <w:rFonts w:eastAsia="仿宋_GB2312"/>
                <w:color w:val="auto"/>
                <w:sz w:val="30"/>
                <w:szCs w:val="30"/>
                <w:highlight w:val="none"/>
              </w:rPr>
            </w:pPr>
          </w:p>
        </w:tc>
      </w:tr>
      <w:tr w14:paraId="64EB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8C51A51">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7A3A6E3D">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36463E8D">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48750546">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75136BC6">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7BCF7367">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2FFF19E6">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6A4BAD39">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60FB00C5">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69D7474A">
            <w:pPr>
              <w:pStyle w:val="18"/>
              <w:keepNext/>
              <w:spacing w:after="0" w:line="440" w:lineRule="exact"/>
              <w:ind w:left="63" w:right="63"/>
              <w:rPr>
                <w:rFonts w:eastAsia="仿宋_GB2312"/>
                <w:color w:val="auto"/>
                <w:sz w:val="30"/>
                <w:szCs w:val="30"/>
                <w:highlight w:val="none"/>
              </w:rPr>
            </w:pPr>
          </w:p>
        </w:tc>
      </w:tr>
      <w:tr w14:paraId="2F75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037B22B">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32B54BC1">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2EEBF041">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37DF5FE1">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2C8B2FCF">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29A15176">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609C0AE4">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3D25AC26">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164D9D01">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1F348524">
            <w:pPr>
              <w:pStyle w:val="18"/>
              <w:keepNext/>
              <w:spacing w:after="0" w:line="440" w:lineRule="exact"/>
              <w:ind w:left="63" w:right="63"/>
              <w:rPr>
                <w:rFonts w:eastAsia="仿宋_GB2312"/>
                <w:color w:val="auto"/>
                <w:sz w:val="30"/>
                <w:szCs w:val="30"/>
                <w:highlight w:val="none"/>
              </w:rPr>
            </w:pPr>
          </w:p>
        </w:tc>
      </w:tr>
      <w:tr w14:paraId="04C9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EAA2ADF">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4E8C558F">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7DACE9E8">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06B5F28A">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046838B">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03003D81">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3EBF63D5">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79ADD1DF">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01D80386">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2548B723">
            <w:pPr>
              <w:pStyle w:val="18"/>
              <w:keepNext/>
              <w:spacing w:after="0" w:line="440" w:lineRule="exact"/>
              <w:ind w:left="63" w:right="63"/>
              <w:rPr>
                <w:rFonts w:eastAsia="仿宋_GB2312"/>
                <w:color w:val="auto"/>
                <w:sz w:val="30"/>
                <w:szCs w:val="30"/>
                <w:highlight w:val="none"/>
              </w:rPr>
            </w:pPr>
          </w:p>
        </w:tc>
      </w:tr>
      <w:tr w14:paraId="1424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1970525E">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34566B89">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16B79147">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78DE001D">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63EC31AD">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65B36CA3">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2B40D79D">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1309CF59">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3D250C9D">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7E9E16B7">
            <w:pPr>
              <w:pStyle w:val="18"/>
              <w:keepNext/>
              <w:spacing w:after="0" w:line="440" w:lineRule="exact"/>
              <w:ind w:left="63" w:right="63"/>
              <w:rPr>
                <w:rFonts w:eastAsia="仿宋_GB2312"/>
                <w:color w:val="auto"/>
                <w:sz w:val="30"/>
                <w:szCs w:val="30"/>
                <w:highlight w:val="none"/>
              </w:rPr>
            </w:pPr>
          </w:p>
        </w:tc>
      </w:tr>
      <w:tr w14:paraId="601D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6DE18EA">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3BA6244A">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007468E6">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650F77A1">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1D89E6A">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707A86AD">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1C7E37C6">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4257C865">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683B2E47">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26E0A65A">
            <w:pPr>
              <w:pStyle w:val="18"/>
              <w:keepNext/>
              <w:spacing w:after="0" w:line="440" w:lineRule="exact"/>
              <w:ind w:left="63" w:right="63"/>
              <w:rPr>
                <w:rFonts w:eastAsia="仿宋_GB2312"/>
                <w:color w:val="auto"/>
                <w:sz w:val="30"/>
                <w:szCs w:val="30"/>
                <w:highlight w:val="none"/>
              </w:rPr>
            </w:pPr>
          </w:p>
        </w:tc>
      </w:tr>
      <w:tr w14:paraId="57B1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6B29A0F5">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5C6FDD94">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12C8C9BD">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615642D4">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64BD3AA">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3C698A0F">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0BFE7519">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549E6D04">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67D552B9">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103DB292">
            <w:pPr>
              <w:pStyle w:val="18"/>
              <w:keepNext/>
              <w:spacing w:after="0" w:line="440" w:lineRule="exact"/>
              <w:ind w:left="63" w:right="63"/>
              <w:rPr>
                <w:rFonts w:eastAsia="仿宋_GB2312"/>
                <w:color w:val="auto"/>
                <w:sz w:val="30"/>
                <w:szCs w:val="30"/>
                <w:highlight w:val="none"/>
              </w:rPr>
            </w:pPr>
          </w:p>
        </w:tc>
      </w:tr>
      <w:tr w14:paraId="1A39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34950FF">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18D328A1">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6133B6BF">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246CC999">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6DEF0348">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6FB2DA14">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682D69AB">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4938AFF3">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558B0D92">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518D9738">
            <w:pPr>
              <w:pStyle w:val="18"/>
              <w:keepNext/>
              <w:spacing w:after="0" w:line="440" w:lineRule="exact"/>
              <w:ind w:left="63" w:right="63"/>
              <w:rPr>
                <w:rFonts w:eastAsia="仿宋_GB2312"/>
                <w:color w:val="auto"/>
                <w:sz w:val="30"/>
                <w:szCs w:val="30"/>
                <w:highlight w:val="none"/>
              </w:rPr>
            </w:pPr>
          </w:p>
        </w:tc>
      </w:tr>
      <w:tr w14:paraId="7A2E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12CA3DD">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51E67F05">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50173A15">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348F64C9">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1464216D">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459AA596">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3C862475">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02350F5A">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2D449835">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46224000">
            <w:pPr>
              <w:pStyle w:val="18"/>
              <w:keepNext/>
              <w:spacing w:after="0" w:line="440" w:lineRule="exact"/>
              <w:ind w:left="63" w:right="63"/>
              <w:rPr>
                <w:rFonts w:eastAsia="仿宋_GB2312"/>
                <w:color w:val="auto"/>
                <w:sz w:val="30"/>
                <w:szCs w:val="30"/>
                <w:highlight w:val="none"/>
              </w:rPr>
            </w:pPr>
          </w:p>
        </w:tc>
      </w:tr>
      <w:tr w14:paraId="3F33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C72FF05">
            <w:pPr>
              <w:pStyle w:val="18"/>
              <w:keepNext/>
              <w:spacing w:after="0" w:line="440" w:lineRule="exact"/>
              <w:ind w:left="63" w:right="63"/>
              <w:rPr>
                <w:rFonts w:eastAsia="仿宋_GB2312"/>
                <w:color w:val="auto"/>
                <w:sz w:val="30"/>
                <w:szCs w:val="30"/>
                <w:highlight w:val="none"/>
              </w:rPr>
            </w:pPr>
          </w:p>
        </w:tc>
        <w:tc>
          <w:tcPr>
            <w:tcW w:w="1440" w:type="dxa"/>
            <w:noWrap w:val="0"/>
            <w:vAlign w:val="center"/>
          </w:tcPr>
          <w:p w14:paraId="104B0811">
            <w:pPr>
              <w:pStyle w:val="18"/>
              <w:keepNext/>
              <w:spacing w:after="0" w:line="440" w:lineRule="exact"/>
              <w:ind w:left="63" w:right="63"/>
              <w:rPr>
                <w:rFonts w:eastAsia="仿宋_GB2312"/>
                <w:color w:val="auto"/>
                <w:sz w:val="30"/>
                <w:szCs w:val="30"/>
                <w:highlight w:val="none"/>
              </w:rPr>
            </w:pPr>
          </w:p>
        </w:tc>
        <w:tc>
          <w:tcPr>
            <w:tcW w:w="1620" w:type="dxa"/>
            <w:noWrap w:val="0"/>
            <w:vAlign w:val="center"/>
          </w:tcPr>
          <w:p w14:paraId="7FFAB901">
            <w:pPr>
              <w:pStyle w:val="18"/>
              <w:keepNext/>
              <w:spacing w:after="0" w:line="440" w:lineRule="exact"/>
              <w:ind w:left="63" w:right="63"/>
              <w:rPr>
                <w:rFonts w:eastAsia="仿宋_GB2312"/>
                <w:color w:val="auto"/>
                <w:sz w:val="30"/>
                <w:szCs w:val="30"/>
                <w:highlight w:val="none"/>
              </w:rPr>
            </w:pPr>
          </w:p>
        </w:tc>
        <w:tc>
          <w:tcPr>
            <w:tcW w:w="1661" w:type="dxa"/>
            <w:noWrap w:val="0"/>
            <w:vAlign w:val="center"/>
          </w:tcPr>
          <w:p w14:paraId="1C1BE4F6">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1D6E313B">
            <w:pPr>
              <w:pStyle w:val="18"/>
              <w:keepNext/>
              <w:spacing w:after="0" w:line="440" w:lineRule="exact"/>
              <w:ind w:left="63" w:right="63"/>
              <w:rPr>
                <w:rFonts w:eastAsia="仿宋_GB2312"/>
                <w:color w:val="auto"/>
                <w:sz w:val="30"/>
                <w:szCs w:val="30"/>
                <w:highlight w:val="none"/>
              </w:rPr>
            </w:pPr>
          </w:p>
        </w:tc>
        <w:tc>
          <w:tcPr>
            <w:tcW w:w="1560" w:type="dxa"/>
            <w:noWrap w:val="0"/>
            <w:vAlign w:val="center"/>
          </w:tcPr>
          <w:p w14:paraId="5BE2180C">
            <w:pPr>
              <w:pStyle w:val="18"/>
              <w:keepNext/>
              <w:spacing w:after="0" w:line="440" w:lineRule="exact"/>
              <w:ind w:left="63" w:right="63"/>
              <w:rPr>
                <w:rFonts w:eastAsia="仿宋_GB2312"/>
                <w:color w:val="auto"/>
                <w:sz w:val="30"/>
                <w:szCs w:val="30"/>
                <w:highlight w:val="none"/>
              </w:rPr>
            </w:pPr>
          </w:p>
        </w:tc>
        <w:tc>
          <w:tcPr>
            <w:tcW w:w="2126" w:type="dxa"/>
            <w:noWrap w:val="0"/>
            <w:vAlign w:val="center"/>
          </w:tcPr>
          <w:p w14:paraId="273DA010">
            <w:pPr>
              <w:pStyle w:val="18"/>
              <w:keepNext/>
              <w:spacing w:after="0" w:line="440" w:lineRule="exact"/>
              <w:ind w:left="63" w:right="63"/>
              <w:rPr>
                <w:rFonts w:eastAsia="仿宋_GB2312"/>
                <w:color w:val="auto"/>
                <w:sz w:val="30"/>
                <w:szCs w:val="30"/>
                <w:highlight w:val="none"/>
              </w:rPr>
            </w:pPr>
          </w:p>
        </w:tc>
        <w:tc>
          <w:tcPr>
            <w:tcW w:w="1417" w:type="dxa"/>
            <w:noWrap w:val="0"/>
            <w:vAlign w:val="center"/>
          </w:tcPr>
          <w:p w14:paraId="5637F374">
            <w:pPr>
              <w:pStyle w:val="18"/>
              <w:keepNext/>
              <w:spacing w:after="0" w:line="440" w:lineRule="exact"/>
              <w:ind w:left="63" w:right="63"/>
              <w:rPr>
                <w:rFonts w:eastAsia="仿宋_GB2312"/>
                <w:color w:val="auto"/>
                <w:sz w:val="30"/>
                <w:szCs w:val="30"/>
                <w:highlight w:val="none"/>
              </w:rPr>
            </w:pPr>
          </w:p>
        </w:tc>
        <w:tc>
          <w:tcPr>
            <w:tcW w:w="851" w:type="dxa"/>
            <w:noWrap w:val="0"/>
            <w:vAlign w:val="center"/>
          </w:tcPr>
          <w:p w14:paraId="094BEDEF">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48AC985D">
            <w:pPr>
              <w:pStyle w:val="18"/>
              <w:keepNext/>
              <w:spacing w:after="0" w:line="440" w:lineRule="exact"/>
              <w:ind w:left="63" w:right="63"/>
              <w:rPr>
                <w:rFonts w:eastAsia="仿宋_GB2312"/>
                <w:color w:val="auto"/>
                <w:sz w:val="30"/>
                <w:szCs w:val="30"/>
                <w:highlight w:val="none"/>
              </w:rPr>
            </w:pPr>
          </w:p>
        </w:tc>
      </w:tr>
    </w:tbl>
    <w:p w14:paraId="4F49533B">
      <w:pPr>
        <w:spacing w:line="460" w:lineRule="exact"/>
        <w:ind w:firstLine="420" w:firstLineChars="200"/>
        <w:rPr>
          <w:color w:val="auto"/>
          <w:highlight w:val="none"/>
        </w:rPr>
      </w:pPr>
    </w:p>
    <w:p w14:paraId="2F8EB44B">
      <w:pPr>
        <w:spacing w:line="460" w:lineRule="exact"/>
        <w:ind w:firstLine="420" w:firstLineChars="200"/>
        <w:rPr>
          <w:color w:val="auto"/>
          <w:highlight w:val="none"/>
        </w:rPr>
      </w:pPr>
    </w:p>
    <w:p w14:paraId="4639FCB7">
      <w:pPr>
        <w:spacing w:line="460" w:lineRule="exact"/>
        <w:ind w:firstLine="420" w:firstLineChars="200"/>
        <w:rPr>
          <w:color w:val="auto"/>
          <w:highlight w:val="none"/>
        </w:rPr>
        <w:sectPr>
          <w:pgSz w:w="16840" w:h="11907" w:orient="landscape"/>
          <w:pgMar w:top="1440" w:right="1440"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p w14:paraId="503C2007">
      <w:pPr>
        <w:spacing w:line="440" w:lineRule="exact"/>
        <w:rPr>
          <w:color w:val="auto"/>
          <w:sz w:val="30"/>
          <w:szCs w:val="30"/>
          <w:highlight w:val="none"/>
        </w:rPr>
      </w:pPr>
      <w:r>
        <w:rPr>
          <w:rFonts w:hint="eastAsia" w:hAnsi="宋体" w:cs="宋体"/>
          <w:color w:val="auto"/>
          <w:sz w:val="30"/>
          <w:szCs w:val="30"/>
          <w:highlight w:val="none"/>
        </w:rPr>
        <w:t>附件</w:t>
      </w:r>
      <w:r>
        <w:rPr>
          <w:rFonts w:hint="eastAsia"/>
          <w:color w:val="auto"/>
          <w:sz w:val="30"/>
          <w:szCs w:val="30"/>
          <w:highlight w:val="none"/>
        </w:rPr>
        <w:t>2</w:t>
      </w:r>
      <w:r>
        <w:rPr>
          <w:rFonts w:hint="eastAsia" w:hAnsi="宋体" w:cs="宋体"/>
          <w:color w:val="auto"/>
          <w:sz w:val="30"/>
          <w:szCs w:val="30"/>
          <w:highlight w:val="none"/>
        </w:rPr>
        <w:t>：</w:t>
      </w:r>
    </w:p>
    <w:p w14:paraId="266CAE0F">
      <w:pPr>
        <w:spacing w:before="120" w:beforeLines="50" w:after="120" w:afterLines="50" w:line="440" w:lineRule="exact"/>
        <w:jc w:val="center"/>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w:t>
      </w:r>
    </w:p>
    <w:p w14:paraId="428ADC8C">
      <w:pPr>
        <w:spacing w:line="360" w:lineRule="auto"/>
        <w:ind w:firstLine="420" w:firstLineChars="200"/>
        <w:rPr>
          <w:rFonts w:ascii="宋体"/>
          <w:color w:val="auto"/>
          <w:highlight w:val="none"/>
        </w:rPr>
      </w:pPr>
      <w:r>
        <w:rPr>
          <w:rFonts w:hint="eastAsia" w:ascii="宋体" w:hAnsi="宋体" w:cs="宋体"/>
          <w:color w:val="auto"/>
          <w:highlight w:val="none"/>
        </w:rPr>
        <w:t>发包人（全称）：</w:t>
      </w:r>
      <w:r>
        <w:rPr>
          <w:rFonts w:ascii="宋体" w:hAnsi="宋体" w:cs="宋体"/>
          <w:color w:val="auto"/>
          <w:highlight w:val="none"/>
          <w:u w:val="single"/>
        </w:rPr>
        <w:t xml:space="preserve">                                </w:t>
      </w:r>
      <w:r>
        <w:rPr>
          <w:rFonts w:ascii="宋体" w:hAnsi="宋体" w:cs="宋体"/>
          <w:color w:val="auto"/>
          <w:highlight w:val="none"/>
        </w:rPr>
        <w:t xml:space="preserve"> </w:t>
      </w:r>
    </w:p>
    <w:p w14:paraId="49D8F90C">
      <w:pPr>
        <w:spacing w:line="360" w:lineRule="auto"/>
        <w:ind w:firstLine="420" w:firstLineChars="200"/>
        <w:rPr>
          <w:rFonts w:ascii="宋体"/>
          <w:color w:val="auto"/>
          <w:highlight w:val="none"/>
        </w:rPr>
      </w:pPr>
      <w:r>
        <w:rPr>
          <w:rFonts w:hint="eastAsia" w:ascii="宋体" w:hAnsi="宋体" w:cs="宋体"/>
          <w:color w:val="auto"/>
          <w:highlight w:val="none"/>
        </w:rPr>
        <w:t>承包人（全称）：</w:t>
      </w:r>
      <w:r>
        <w:rPr>
          <w:rFonts w:ascii="宋体" w:hAnsi="宋体" w:cs="宋体"/>
          <w:color w:val="auto"/>
          <w:highlight w:val="none"/>
          <w:u w:val="single"/>
        </w:rPr>
        <w:t xml:space="preserve">                                </w:t>
      </w:r>
      <w:r>
        <w:rPr>
          <w:rFonts w:ascii="宋体" w:hAnsi="宋体" w:cs="宋体"/>
          <w:color w:val="auto"/>
          <w:highlight w:val="none"/>
        </w:rPr>
        <w:t xml:space="preserve"> </w:t>
      </w:r>
    </w:p>
    <w:p w14:paraId="2E575BA5">
      <w:pPr>
        <w:spacing w:line="360" w:lineRule="auto"/>
        <w:rPr>
          <w:rFonts w:ascii="宋体"/>
          <w:color w:val="auto"/>
          <w:highlight w:val="none"/>
        </w:rPr>
      </w:pPr>
    </w:p>
    <w:p w14:paraId="454E86FC">
      <w:pPr>
        <w:spacing w:line="360" w:lineRule="auto"/>
        <w:ind w:firstLine="420"/>
        <w:rPr>
          <w:rFonts w:ascii="宋体"/>
          <w:color w:val="auto"/>
          <w:highlight w:val="none"/>
        </w:rPr>
      </w:pPr>
      <w:r>
        <w:rPr>
          <w:rFonts w:hint="eastAsia" w:ascii="宋体" w:hAnsi="宋体" w:cs="宋体"/>
          <w:color w:val="auto"/>
          <w:highlight w:val="none"/>
        </w:rPr>
        <w:t>发包人和承包人根据《中华人民共和国建筑法》和《建设工程质量管理条例》，经协商一致就</w:t>
      </w:r>
      <w:r>
        <w:rPr>
          <w:rFonts w:ascii="宋体" w:hAnsi="宋体" w:cs="宋体"/>
          <w:color w:val="auto"/>
          <w:highlight w:val="none"/>
          <w:u w:val="single"/>
        </w:rPr>
        <w:t xml:space="preserve">                                     </w:t>
      </w:r>
      <w:r>
        <w:rPr>
          <w:rFonts w:hint="eastAsia" w:ascii="宋体" w:hAnsi="宋体" w:cs="宋体"/>
          <w:color w:val="auto"/>
          <w:highlight w:val="none"/>
        </w:rPr>
        <w:t>（工程全称）签订工程质量保修书。</w:t>
      </w:r>
    </w:p>
    <w:p w14:paraId="1CFF6991">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24A47EB2">
      <w:pPr>
        <w:spacing w:line="360" w:lineRule="auto"/>
        <w:ind w:firstLine="420" w:firstLineChars="200"/>
        <w:rPr>
          <w:rFonts w:ascii="宋体"/>
          <w:color w:val="auto"/>
          <w:highlight w:val="none"/>
        </w:rPr>
      </w:pPr>
      <w:r>
        <w:rPr>
          <w:rFonts w:hint="eastAsia" w:ascii="宋体" w:hAnsi="宋体" w:cs="宋体"/>
          <w:color w:val="auto"/>
          <w:highlight w:val="none"/>
        </w:rPr>
        <w:t>承包人在质量保修期内，按照有关法律规定和合同约定，承担工程质量保修责任。</w:t>
      </w:r>
    </w:p>
    <w:p w14:paraId="5D6CCF05">
      <w:pPr>
        <w:spacing w:line="360" w:lineRule="auto"/>
        <w:ind w:firstLine="420" w:firstLineChars="200"/>
        <w:rPr>
          <w:rFonts w:ascii="宋体"/>
          <w:color w:val="auto"/>
          <w:highlight w:val="none"/>
        </w:rPr>
      </w:pPr>
      <w:r>
        <w:rPr>
          <w:rFonts w:hint="eastAsia" w:ascii="宋体" w:hAnsi="宋体" w:cs="宋体"/>
          <w:color w:val="auto"/>
          <w:highlight w:val="none"/>
        </w:rPr>
        <w:t>质量保修范围包括</w:t>
      </w:r>
      <w:r>
        <w:rPr>
          <w:rFonts w:ascii="宋体" w:hAnsi="宋体" w:cs="宋体"/>
          <w:color w:val="auto"/>
          <w:highlight w:val="none"/>
          <w:u w:val="single"/>
        </w:rPr>
        <w:t xml:space="preserve">                                </w:t>
      </w:r>
      <w:r>
        <w:rPr>
          <w:rFonts w:hint="eastAsia" w:ascii="宋体" w:hAnsi="宋体" w:cs="宋体"/>
          <w:color w:val="auto"/>
          <w:highlight w:val="none"/>
        </w:rPr>
        <w:t>，以及双方约定的其他项目。具体保修的内容，双方约定如下：</w:t>
      </w:r>
    </w:p>
    <w:p w14:paraId="13A4D399">
      <w:pPr>
        <w:spacing w:line="360" w:lineRule="auto"/>
        <w:ind w:firstLine="420" w:firstLineChars="200"/>
        <w:rPr>
          <w:rFonts w:ascii="宋体"/>
          <w:color w:val="auto"/>
          <w:highlight w:val="none"/>
        </w:rPr>
      </w:pPr>
      <w:r>
        <w:rPr>
          <w:rFonts w:ascii="宋体" w:hAnsi="宋体" w:cs="宋体"/>
          <w:color w:val="auto"/>
          <w:highlight w:val="none"/>
          <w:u w:val="single"/>
        </w:rPr>
        <w:t xml:space="preserve">                                                                                                                                                              </w:t>
      </w:r>
      <w:r>
        <w:rPr>
          <w:rFonts w:hint="eastAsia" w:ascii="宋体" w:hAnsi="宋体" w:cs="宋体"/>
          <w:color w:val="auto"/>
          <w:highlight w:val="none"/>
        </w:rPr>
        <w:t>。</w:t>
      </w:r>
    </w:p>
    <w:p w14:paraId="03F11C77">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二、质量保修期</w:t>
      </w:r>
    </w:p>
    <w:p w14:paraId="56A02DBC">
      <w:pPr>
        <w:spacing w:line="360" w:lineRule="auto"/>
        <w:ind w:firstLine="420" w:firstLineChars="200"/>
        <w:rPr>
          <w:rFonts w:ascii="宋体"/>
          <w:color w:val="auto"/>
          <w:highlight w:val="none"/>
        </w:rPr>
      </w:pPr>
      <w:r>
        <w:rPr>
          <w:rFonts w:hint="eastAsia" w:ascii="宋体" w:hAnsi="宋体" w:cs="宋体"/>
          <w:color w:val="auto"/>
          <w:highlight w:val="none"/>
        </w:rPr>
        <w:t>根据《建设工程质量管理条例》及有关规定，工程的质量保修期如下：</w:t>
      </w:r>
    </w:p>
    <w:p w14:paraId="5F67E579">
      <w:pPr>
        <w:spacing w:line="360" w:lineRule="auto"/>
        <w:ind w:firstLine="426"/>
        <w:rPr>
          <w:color w:val="auto"/>
          <w:highlight w:val="none"/>
        </w:rPr>
      </w:pPr>
      <w:r>
        <w:rPr>
          <w:rFonts w:ascii="宋体" w:hAnsi="宋体" w:cs="宋体"/>
          <w:color w:val="auto"/>
          <w:highlight w:val="none"/>
        </w:rPr>
        <w:t>1</w:t>
      </w:r>
      <w:r>
        <w:rPr>
          <w:rFonts w:hint="eastAsia" w:ascii="宋体" w:hAnsi="宋体" w:cs="宋体"/>
          <w:color w:val="auto"/>
          <w:highlight w:val="none"/>
        </w:rPr>
        <w:t>．</w:t>
      </w:r>
      <w:r>
        <w:rPr>
          <w:rFonts w:hint="eastAsia" w:cs="宋体"/>
          <w:color w:val="auto"/>
          <w:highlight w:val="none"/>
        </w:rPr>
        <w:t>桥梁工程为</w:t>
      </w:r>
      <w:r>
        <w:rPr>
          <w:color w:val="auto"/>
          <w:highlight w:val="none"/>
          <w:u w:val="single"/>
        </w:rPr>
        <w:t xml:space="preserve">     </w:t>
      </w:r>
      <w:r>
        <w:rPr>
          <w:rFonts w:hint="eastAsia" w:cs="宋体"/>
          <w:color w:val="auto"/>
          <w:highlight w:val="none"/>
        </w:rPr>
        <w:t>年（建议桥梁隧道主体结构工程为设计文件规定的合理使用年限）；</w:t>
      </w:r>
    </w:p>
    <w:p w14:paraId="1223A121">
      <w:pPr>
        <w:spacing w:line="360" w:lineRule="auto"/>
        <w:ind w:firstLine="426"/>
        <w:rPr>
          <w:color w:val="auto"/>
          <w:highlight w:val="none"/>
        </w:rPr>
      </w:pPr>
      <w:r>
        <w:rPr>
          <w:color w:val="auto"/>
          <w:highlight w:val="none"/>
        </w:rPr>
        <w:t>2</w:t>
      </w:r>
      <w:r>
        <w:rPr>
          <w:rFonts w:hint="eastAsia" w:ascii="宋体" w:hAnsi="宋体" w:cs="宋体"/>
          <w:color w:val="auto"/>
          <w:highlight w:val="none"/>
        </w:rPr>
        <w:t>．</w:t>
      </w:r>
      <w:r>
        <w:rPr>
          <w:rFonts w:hint="eastAsia" w:cs="宋体"/>
          <w:color w:val="auto"/>
          <w:highlight w:val="none"/>
        </w:rPr>
        <w:t>道路工程为</w:t>
      </w:r>
      <w:r>
        <w:rPr>
          <w:color w:val="auto"/>
          <w:highlight w:val="none"/>
          <w:u w:val="single"/>
        </w:rPr>
        <w:t xml:space="preserve">     </w:t>
      </w:r>
      <w:r>
        <w:rPr>
          <w:rFonts w:hint="eastAsia" w:cs="宋体"/>
          <w:color w:val="auto"/>
          <w:highlight w:val="none"/>
        </w:rPr>
        <w:t>年（建议路基、路面、桥面为</w:t>
      </w:r>
      <w:r>
        <w:rPr>
          <w:color w:val="auto"/>
          <w:highlight w:val="none"/>
        </w:rPr>
        <w:t>2</w:t>
      </w:r>
      <w:r>
        <w:rPr>
          <w:rFonts w:hint="eastAsia" w:cs="宋体"/>
          <w:color w:val="auto"/>
          <w:highlight w:val="none"/>
        </w:rPr>
        <w:t>年）；</w:t>
      </w:r>
    </w:p>
    <w:p w14:paraId="62F0C1DC">
      <w:pPr>
        <w:spacing w:line="360" w:lineRule="auto"/>
        <w:ind w:firstLine="426"/>
        <w:rPr>
          <w:color w:val="auto"/>
          <w:highlight w:val="none"/>
        </w:rPr>
      </w:pPr>
      <w:r>
        <w:rPr>
          <w:color w:val="auto"/>
          <w:highlight w:val="none"/>
        </w:rPr>
        <w:t>3</w:t>
      </w:r>
      <w:r>
        <w:rPr>
          <w:rFonts w:hint="eastAsia" w:ascii="宋体" w:hAnsi="宋体" w:cs="宋体"/>
          <w:color w:val="auto"/>
          <w:highlight w:val="none"/>
        </w:rPr>
        <w:t>．</w:t>
      </w:r>
      <w:r>
        <w:rPr>
          <w:rFonts w:hint="eastAsia" w:cs="宋体"/>
          <w:color w:val="auto"/>
          <w:highlight w:val="none"/>
        </w:rPr>
        <w:t>排水（雨水）工程为</w:t>
      </w:r>
      <w:r>
        <w:rPr>
          <w:color w:val="auto"/>
          <w:highlight w:val="none"/>
          <w:u w:val="single"/>
        </w:rPr>
        <w:t xml:space="preserve">     </w:t>
      </w:r>
      <w:r>
        <w:rPr>
          <w:rFonts w:hint="eastAsia" w:cs="宋体"/>
          <w:color w:val="auto"/>
          <w:highlight w:val="none"/>
        </w:rPr>
        <w:t>年（建议道路工程中的排水工程为</w:t>
      </w:r>
      <w:r>
        <w:rPr>
          <w:color w:val="auto"/>
          <w:highlight w:val="none"/>
        </w:rPr>
        <w:t>3</w:t>
      </w:r>
      <w:r>
        <w:rPr>
          <w:rFonts w:hint="eastAsia" w:cs="宋体"/>
          <w:color w:val="auto"/>
          <w:highlight w:val="none"/>
        </w:rPr>
        <w:t>年）；</w:t>
      </w:r>
    </w:p>
    <w:p w14:paraId="12B8E486">
      <w:pPr>
        <w:spacing w:line="360" w:lineRule="auto"/>
        <w:ind w:firstLine="426"/>
        <w:rPr>
          <w:color w:val="auto"/>
          <w:highlight w:val="none"/>
        </w:rPr>
      </w:pPr>
      <w:r>
        <w:rPr>
          <w:color w:val="auto"/>
          <w:highlight w:val="none"/>
        </w:rPr>
        <w:t>4</w:t>
      </w:r>
      <w:r>
        <w:rPr>
          <w:rFonts w:hint="eastAsia" w:ascii="宋体" w:hAnsi="宋体" w:cs="宋体"/>
          <w:color w:val="auto"/>
          <w:highlight w:val="none"/>
        </w:rPr>
        <w:t>．</w:t>
      </w:r>
      <w:r>
        <w:rPr>
          <w:rFonts w:hint="eastAsia" w:cs="宋体"/>
          <w:color w:val="auto"/>
          <w:highlight w:val="none"/>
        </w:rPr>
        <w:t>绿化工程为</w:t>
      </w:r>
      <w:r>
        <w:rPr>
          <w:color w:val="auto"/>
          <w:highlight w:val="none"/>
        </w:rPr>
        <w:t xml:space="preserve"> </w:t>
      </w:r>
      <w:r>
        <w:rPr>
          <w:rFonts w:hint="eastAsia" w:cs="宋体"/>
          <w:color w:val="auto"/>
          <w:highlight w:val="none"/>
          <w:u w:val="single"/>
        </w:rPr>
        <w:t>单位工程竣工验收合格后</w:t>
      </w:r>
      <w:r>
        <w:rPr>
          <w:color w:val="auto"/>
          <w:highlight w:val="none"/>
          <w:u w:val="single"/>
        </w:rPr>
        <w:t xml:space="preserve">    </w:t>
      </w:r>
      <w:r>
        <w:rPr>
          <w:rFonts w:hint="eastAsia" w:cs="宋体"/>
          <w:color w:val="auto"/>
          <w:highlight w:val="none"/>
          <w:u w:val="single"/>
        </w:rPr>
        <w:t>年</w:t>
      </w:r>
      <w:r>
        <w:rPr>
          <w:rFonts w:hint="eastAsia" w:cs="宋体"/>
          <w:color w:val="auto"/>
          <w:highlight w:val="none"/>
        </w:rPr>
        <w:t>；</w:t>
      </w:r>
    </w:p>
    <w:p w14:paraId="34A9E3B4">
      <w:pPr>
        <w:spacing w:line="360" w:lineRule="auto"/>
        <w:ind w:firstLine="426"/>
        <w:rPr>
          <w:color w:val="auto"/>
          <w:highlight w:val="none"/>
        </w:rPr>
      </w:pPr>
      <w:r>
        <w:rPr>
          <w:color w:val="auto"/>
          <w:highlight w:val="none"/>
        </w:rPr>
        <w:t xml:space="preserve">5.  </w:t>
      </w:r>
      <w:r>
        <w:rPr>
          <w:rFonts w:hint="eastAsia" w:cs="宋体"/>
          <w:color w:val="auto"/>
          <w:highlight w:val="none"/>
        </w:rPr>
        <w:t>地下防水工程为</w:t>
      </w:r>
      <w:r>
        <w:rPr>
          <w:color w:val="auto"/>
          <w:highlight w:val="none"/>
          <w:u w:val="single"/>
        </w:rPr>
        <w:t xml:space="preserve">     </w:t>
      </w:r>
      <w:r>
        <w:rPr>
          <w:rFonts w:hint="eastAsia" w:cs="宋体"/>
          <w:color w:val="auto"/>
          <w:highlight w:val="none"/>
        </w:rPr>
        <w:t>年（建议为</w:t>
      </w:r>
      <w:r>
        <w:rPr>
          <w:color w:val="auto"/>
          <w:highlight w:val="none"/>
        </w:rPr>
        <w:t>5</w:t>
      </w:r>
      <w:r>
        <w:rPr>
          <w:rFonts w:hint="eastAsia" w:cs="宋体"/>
          <w:color w:val="auto"/>
          <w:highlight w:val="none"/>
        </w:rPr>
        <w:t>年）；</w:t>
      </w:r>
    </w:p>
    <w:p w14:paraId="0AD8ACD2">
      <w:pPr>
        <w:spacing w:line="360" w:lineRule="auto"/>
        <w:ind w:firstLine="426"/>
        <w:rPr>
          <w:color w:val="auto"/>
          <w:highlight w:val="none"/>
        </w:rPr>
      </w:pPr>
      <w:r>
        <w:rPr>
          <w:color w:val="auto"/>
          <w:highlight w:val="none"/>
        </w:rPr>
        <w:t>6</w:t>
      </w:r>
      <w:r>
        <w:rPr>
          <w:rFonts w:hint="eastAsia" w:ascii="宋体" w:hAnsi="宋体" w:cs="宋体"/>
          <w:color w:val="auto"/>
          <w:highlight w:val="none"/>
        </w:rPr>
        <w:t>．</w:t>
      </w:r>
      <w:r>
        <w:rPr>
          <w:rFonts w:hint="eastAsia" w:cs="宋体"/>
          <w:color w:val="auto"/>
          <w:highlight w:val="none"/>
        </w:rPr>
        <w:t>其他附属工程为</w:t>
      </w:r>
      <w:r>
        <w:rPr>
          <w:color w:val="auto"/>
          <w:highlight w:val="none"/>
          <w:u w:val="single"/>
        </w:rPr>
        <w:t xml:space="preserve">      </w:t>
      </w:r>
      <w:r>
        <w:rPr>
          <w:rFonts w:hint="eastAsia" w:cs="宋体"/>
          <w:color w:val="auto"/>
          <w:highlight w:val="none"/>
        </w:rPr>
        <w:t>年；</w:t>
      </w:r>
    </w:p>
    <w:p w14:paraId="65BFD482">
      <w:pPr>
        <w:spacing w:line="360" w:lineRule="auto"/>
        <w:ind w:firstLine="420" w:firstLineChars="200"/>
        <w:rPr>
          <w:rFonts w:ascii="宋体"/>
          <w:color w:val="auto"/>
          <w:highlight w:val="none"/>
        </w:rPr>
      </w:pPr>
      <w:r>
        <w:rPr>
          <w:rFonts w:ascii="宋体" w:hAnsi="宋体" w:cs="宋体"/>
          <w:color w:val="auto"/>
          <w:highlight w:val="none"/>
        </w:rPr>
        <w:t>7</w:t>
      </w:r>
      <w:r>
        <w:rPr>
          <w:rFonts w:hint="eastAsia" w:ascii="宋体" w:hAnsi="宋体" w:cs="宋体"/>
          <w:color w:val="auto"/>
          <w:highlight w:val="none"/>
        </w:rPr>
        <w:t>．其他项目保修期限约定如下：</w:t>
      </w:r>
    </w:p>
    <w:p w14:paraId="50467479">
      <w:pPr>
        <w:spacing w:line="360" w:lineRule="auto"/>
        <w:ind w:firstLine="420" w:firstLineChars="200"/>
        <w:rPr>
          <w:rFonts w:ascii="宋体"/>
          <w:color w:val="auto"/>
          <w:highlight w:val="none"/>
        </w:rPr>
      </w:pPr>
      <w:r>
        <w:rPr>
          <w:rFonts w:ascii="宋体" w:hAnsi="宋体" w:cs="宋体"/>
          <w:color w:val="auto"/>
          <w:highlight w:val="none"/>
          <w:u w:val="single"/>
        </w:rPr>
        <w:t xml:space="preserve">                                                                                                                                                              </w:t>
      </w:r>
      <w:r>
        <w:rPr>
          <w:rFonts w:hint="eastAsia" w:ascii="宋体" w:hAnsi="宋体" w:cs="宋体"/>
          <w:color w:val="auto"/>
          <w:highlight w:val="none"/>
        </w:rPr>
        <w:t>。</w:t>
      </w:r>
    </w:p>
    <w:p w14:paraId="0EE663EC">
      <w:pPr>
        <w:spacing w:line="360" w:lineRule="auto"/>
        <w:ind w:firstLine="420" w:firstLineChars="200"/>
        <w:rPr>
          <w:rFonts w:ascii="宋体"/>
          <w:color w:val="auto"/>
          <w:highlight w:val="none"/>
        </w:rPr>
      </w:pPr>
      <w:r>
        <w:rPr>
          <w:rFonts w:hint="eastAsia" w:ascii="宋体" w:hAnsi="宋体" w:cs="宋体"/>
          <w:color w:val="auto"/>
          <w:highlight w:val="none"/>
        </w:rPr>
        <w:t>质量保修期自工程竣工验收合格之日起计算。</w:t>
      </w:r>
    </w:p>
    <w:p w14:paraId="31635609">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三、缺陷责任期</w:t>
      </w:r>
    </w:p>
    <w:p w14:paraId="08C27ACF">
      <w:pPr>
        <w:spacing w:line="360" w:lineRule="auto"/>
        <w:ind w:firstLine="420" w:firstLineChars="200"/>
        <w:rPr>
          <w:rFonts w:ascii="宋体"/>
          <w:color w:val="auto"/>
          <w:highlight w:val="none"/>
        </w:rPr>
      </w:pPr>
      <w:r>
        <w:rPr>
          <w:rFonts w:hint="eastAsia" w:ascii="宋体" w:hAnsi="宋体" w:cs="宋体"/>
          <w:color w:val="auto"/>
          <w:highlight w:val="none"/>
        </w:rPr>
        <w:t>工程缺陷责任期为</w:t>
      </w:r>
      <w:r>
        <w:rPr>
          <w:rFonts w:ascii="宋体" w:hAnsi="宋体" w:cs="宋体"/>
          <w:color w:val="auto"/>
          <w:highlight w:val="none"/>
          <w:u w:val="single"/>
        </w:rPr>
        <w:t xml:space="preserve">         </w:t>
      </w:r>
      <w:r>
        <w:rPr>
          <w:rFonts w:hint="eastAsia" w:ascii="宋体" w:hAnsi="宋体" w:cs="宋体"/>
          <w:color w:val="auto"/>
          <w:highlight w:val="none"/>
        </w:rPr>
        <w:t>个月</w:t>
      </w:r>
      <w:r>
        <w:rPr>
          <w:rFonts w:hint="eastAsia" w:hAnsi="宋体" w:cs="宋体"/>
          <w:color w:val="auto"/>
          <w:highlight w:val="none"/>
        </w:rPr>
        <w:t>（最长不超过</w:t>
      </w:r>
      <w:r>
        <w:rPr>
          <w:rFonts w:hAnsi="宋体"/>
          <w:color w:val="auto"/>
          <w:highlight w:val="none"/>
        </w:rPr>
        <w:t>24</w:t>
      </w:r>
      <w:r>
        <w:rPr>
          <w:rFonts w:hint="eastAsia" w:hAnsi="宋体" w:cs="宋体"/>
          <w:color w:val="auto"/>
          <w:highlight w:val="none"/>
        </w:rPr>
        <w:t>个月）</w:t>
      </w:r>
      <w:r>
        <w:rPr>
          <w:rFonts w:hint="eastAsia" w:ascii="宋体" w:hAnsi="宋体" w:cs="宋体"/>
          <w:color w:val="auto"/>
          <w:highlight w:val="none"/>
        </w:rPr>
        <w:t>，缺陷责任期自工程竣工验收合格之日起计算。单位工程先于全部工程进行验收，单位工程缺陷责任期自单位工程验收合格之日起算。</w:t>
      </w:r>
    </w:p>
    <w:p w14:paraId="31F77848">
      <w:pPr>
        <w:spacing w:line="360" w:lineRule="auto"/>
        <w:ind w:firstLine="420" w:firstLineChars="200"/>
        <w:rPr>
          <w:rFonts w:ascii="宋体"/>
          <w:color w:val="auto"/>
          <w:highlight w:val="none"/>
        </w:rPr>
      </w:pPr>
      <w:r>
        <w:rPr>
          <w:rFonts w:hint="eastAsia" w:ascii="宋体"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ascii="宋体" w:hAnsi="宋体" w:cs="宋体"/>
          <w:color w:val="auto"/>
          <w:highlight w:val="none"/>
        </w:rPr>
        <w:t>发包人应退还剩余的质量保证金。</w:t>
      </w:r>
    </w:p>
    <w:p w14:paraId="67438F49">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四、质量保修责任</w:t>
      </w:r>
    </w:p>
    <w:p w14:paraId="3CC79038">
      <w:pPr>
        <w:spacing w:line="360" w:lineRule="auto"/>
        <w:ind w:firstLine="420" w:firstLineChars="200"/>
        <w:rPr>
          <w:rFonts w:ascii="宋体"/>
          <w:color w:val="auto"/>
          <w:highlight w:val="none"/>
        </w:rPr>
      </w:pPr>
      <w:r>
        <w:rPr>
          <w:rFonts w:ascii="宋体" w:hAnsi="宋体" w:cs="宋体"/>
          <w:color w:val="auto"/>
          <w:highlight w:val="none"/>
        </w:rPr>
        <w:t>1</w:t>
      </w:r>
      <w:r>
        <w:rPr>
          <w:rFonts w:hint="eastAsia" w:ascii="宋体" w:hAnsi="宋体" w:cs="宋体"/>
          <w:color w:val="auto"/>
          <w:highlight w:val="none"/>
        </w:rPr>
        <w:t>．属于保修范围、内容的项目，承包人应当在接到保修通知之日起</w:t>
      </w:r>
      <w:r>
        <w:rPr>
          <w:rFonts w:ascii="宋体" w:hAnsi="宋体" w:cs="宋体"/>
          <w:color w:val="auto"/>
          <w:highlight w:val="none"/>
          <w:u w:val="single"/>
        </w:rPr>
        <w:t xml:space="preserve">      </w:t>
      </w:r>
      <w:r>
        <w:rPr>
          <w:rFonts w:hint="eastAsia" w:ascii="宋体" w:hAnsi="宋体" w:cs="宋体"/>
          <w:color w:val="auto"/>
          <w:highlight w:val="none"/>
        </w:rPr>
        <w:t>天内派人保修。承包人不在约定期限内派人保修的，发包人可以委托他人修理</w:t>
      </w:r>
      <w:r>
        <w:rPr>
          <w:rFonts w:hint="eastAsia" w:hAnsi="宋体" w:cs="宋体"/>
          <w:color w:val="auto"/>
          <w:highlight w:val="none"/>
        </w:rPr>
        <w:t>，修理费用从质量保证金内扣除。</w:t>
      </w:r>
    </w:p>
    <w:p w14:paraId="749C0399">
      <w:pPr>
        <w:spacing w:line="360" w:lineRule="auto"/>
        <w:ind w:firstLine="420" w:firstLineChars="200"/>
        <w:rPr>
          <w:rFonts w:ascii="宋体"/>
          <w:color w:val="auto"/>
          <w:highlight w:val="none"/>
        </w:rPr>
      </w:pPr>
      <w:r>
        <w:rPr>
          <w:rFonts w:ascii="宋体" w:hAnsi="宋体" w:cs="宋体"/>
          <w:color w:val="auto"/>
          <w:highlight w:val="none"/>
        </w:rPr>
        <w:t>2</w:t>
      </w:r>
      <w:r>
        <w:rPr>
          <w:rFonts w:hint="eastAsia" w:ascii="宋体" w:hAnsi="宋体" w:cs="宋体"/>
          <w:color w:val="auto"/>
          <w:highlight w:val="none"/>
        </w:rPr>
        <w:t>．发生紧急事故需抢修的，承包人在接到事故通知后，应当立即到达事故现场抢修。</w:t>
      </w:r>
    </w:p>
    <w:p w14:paraId="3DEC0108">
      <w:pPr>
        <w:spacing w:line="360" w:lineRule="auto"/>
        <w:ind w:firstLine="420" w:firstLineChars="200"/>
        <w:rPr>
          <w:rFonts w:ascii="宋体"/>
          <w:color w:val="auto"/>
          <w:highlight w:val="none"/>
        </w:rPr>
      </w:pPr>
      <w:r>
        <w:rPr>
          <w:rFonts w:ascii="宋体" w:hAnsi="宋体" w:cs="宋体"/>
          <w:color w:val="auto"/>
          <w:highlight w:val="none"/>
        </w:rPr>
        <w:t>3</w:t>
      </w:r>
      <w:r>
        <w:rPr>
          <w:rFonts w:hint="eastAsia" w:ascii="宋体"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D84B744">
      <w:pPr>
        <w:spacing w:line="360" w:lineRule="auto"/>
        <w:ind w:firstLine="420" w:firstLineChars="200"/>
        <w:rPr>
          <w:rFonts w:ascii="宋体"/>
          <w:color w:val="auto"/>
          <w:highlight w:val="none"/>
        </w:rPr>
      </w:pPr>
      <w:r>
        <w:rPr>
          <w:rFonts w:ascii="宋体" w:hAnsi="宋体" w:cs="宋体"/>
          <w:color w:val="auto"/>
          <w:highlight w:val="none"/>
        </w:rPr>
        <w:t>4</w:t>
      </w:r>
      <w:r>
        <w:rPr>
          <w:rFonts w:hint="eastAsia" w:ascii="宋体" w:hAnsi="宋体" w:cs="宋体"/>
          <w:color w:val="auto"/>
          <w:highlight w:val="none"/>
        </w:rPr>
        <w:t>．质量保修完成后，由发包人组织验收。</w:t>
      </w:r>
    </w:p>
    <w:p w14:paraId="335DB716">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五、保修费用</w:t>
      </w:r>
    </w:p>
    <w:p w14:paraId="583CCAF0">
      <w:pPr>
        <w:spacing w:line="360" w:lineRule="auto"/>
        <w:ind w:firstLine="420" w:firstLineChars="200"/>
        <w:rPr>
          <w:rFonts w:ascii="宋体"/>
          <w:color w:val="auto"/>
          <w:highlight w:val="none"/>
        </w:rPr>
      </w:pPr>
      <w:r>
        <w:rPr>
          <w:rFonts w:hint="eastAsia" w:ascii="宋体" w:hAnsi="宋体" w:cs="宋体"/>
          <w:color w:val="auto"/>
          <w:highlight w:val="none"/>
        </w:rPr>
        <w:t>保修费用由造成质量缺陷的责任方承担。</w:t>
      </w:r>
    </w:p>
    <w:p w14:paraId="109F2D18">
      <w:pPr>
        <w:spacing w:line="360" w:lineRule="auto"/>
        <w:ind w:firstLine="420" w:firstLineChars="200"/>
        <w:rPr>
          <w:rFonts w:ascii="黑体" w:hAnsi="宋体" w:eastAsia="黑体" w:cs="黑体"/>
          <w:color w:val="auto"/>
          <w:highlight w:val="none"/>
          <w:u w:val="singl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u w:val="single"/>
        </w:rPr>
        <w:t xml:space="preserve">                                          </w:t>
      </w:r>
    </w:p>
    <w:p w14:paraId="0D9DC8C8">
      <w:pPr>
        <w:spacing w:line="360" w:lineRule="auto"/>
        <w:jc w:val="left"/>
        <w:rPr>
          <w:rFonts w:ascii="宋体"/>
          <w:color w:val="auto"/>
          <w:highlight w:val="none"/>
        </w:rPr>
      </w:pPr>
      <w:r>
        <w:rPr>
          <w:rFonts w:ascii="宋体" w:hAnsi="宋体" w:cs="宋体"/>
          <w:color w:val="auto"/>
          <w:highlight w:val="none"/>
          <w:u w:val="single"/>
        </w:rPr>
        <w:t xml:space="preserve">                                                                               </w:t>
      </w:r>
      <w:r>
        <w:rPr>
          <w:rFonts w:hint="eastAsia" w:ascii="宋体" w:hAnsi="宋体" w:cs="宋体"/>
          <w:color w:val="auto"/>
          <w:highlight w:val="none"/>
        </w:rPr>
        <w:t>。</w:t>
      </w:r>
    </w:p>
    <w:p w14:paraId="5AC74924">
      <w:pPr>
        <w:spacing w:line="360" w:lineRule="auto"/>
        <w:ind w:firstLine="399" w:firstLineChars="190"/>
        <w:rPr>
          <w:rFonts w:ascii="宋体"/>
          <w:color w:val="auto"/>
          <w:highlight w:val="none"/>
        </w:rPr>
      </w:pPr>
      <w:r>
        <w:rPr>
          <w:rFonts w:hint="eastAsia" w:ascii="宋体" w:hAnsi="宋体" w:cs="宋体"/>
          <w:color w:val="auto"/>
          <w:highlight w:val="none"/>
        </w:rPr>
        <w:t>工程质量保修书由发包人、承包人在工程竣工验收前共同签署，作为施工合同附件，其有效期限至保修期满。</w:t>
      </w:r>
    </w:p>
    <w:p w14:paraId="5877A26C">
      <w:pPr>
        <w:spacing w:line="360" w:lineRule="auto"/>
        <w:ind w:firstLine="420"/>
        <w:rPr>
          <w:rFonts w:ascii="宋体"/>
          <w:color w:val="auto"/>
          <w:highlight w:val="none"/>
        </w:rPr>
      </w:pPr>
    </w:p>
    <w:p w14:paraId="192E7AFA">
      <w:pPr>
        <w:spacing w:line="360" w:lineRule="auto"/>
        <w:ind w:firstLine="420"/>
        <w:rPr>
          <w:rFonts w:ascii="宋体"/>
          <w:color w:val="auto"/>
          <w:highlight w:val="none"/>
        </w:rPr>
      </w:pPr>
    </w:p>
    <w:p w14:paraId="2460DFE3">
      <w:pPr>
        <w:spacing w:line="360" w:lineRule="auto"/>
        <w:rPr>
          <w:color w:val="auto"/>
          <w:highlight w:val="none"/>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p>
    <w:p w14:paraId="60C04015">
      <w:pPr>
        <w:spacing w:line="360" w:lineRule="auto"/>
        <w:rPr>
          <w:color w:val="auto"/>
          <w:highlight w:val="none"/>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rFonts w:ascii="宋体" w:hAnsi="宋体"/>
          <w:color w:val="auto"/>
          <w:highlight w:val="none"/>
          <w:u w:val="single"/>
        </w:rPr>
        <w:t></w:t>
      </w:r>
    </w:p>
    <w:p w14:paraId="565A3ECF">
      <w:pPr>
        <w:spacing w:line="360" w:lineRule="auto"/>
        <w:rPr>
          <w:color w:val="auto"/>
          <w:highlight w:val="none"/>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43FF03B9">
      <w:pPr>
        <w:spacing w:line="360" w:lineRule="auto"/>
        <w:rPr>
          <w:color w:val="auto"/>
          <w:highlight w:val="none"/>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00627BF3">
      <w:pPr>
        <w:spacing w:line="360" w:lineRule="auto"/>
        <w:rPr>
          <w:color w:val="auto"/>
          <w:highlight w:val="none"/>
        </w:rPr>
      </w:pP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1C5D9DB7">
      <w:pPr>
        <w:spacing w:line="360" w:lineRule="auto"/>
        <w:rPr>
          <w:color w:val="auto"/>
          <w:highlight w:val="none"/>
        </w:rPr>
      </w:pP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rFonts w:ascii="宋体" w:hAnsi="宋体"/>
          <w:color w:val="auto"/>
          <w:highlight w:val="none"/>
          <w:u w:val="single"/>
        </w:rPr>
        <w:t></w:t>
      </w:r>
    </w:p>
    <w:p w14:paraId="062CB48B">
      <w:pPr>
        <w:spacing w:line="360" w:lineRule="auto"/>
        <w:rPr>
          <w:color w:val="auto"/>
          <w:highlight w:val="none"/>
        </w:rPr>
      </w:pP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02A36A0F">
      <w:pPr>
        <w:tabs>
          <w:tab w:val="left" w:pos="2880"/>
          <w:tab w:val="left" w:pos="3060"/>
          <w:tab w:val="left" w:pos="4500"/>
        </w:tabs>
        <w:spacing w:line="360" w:lineRule="auto"/>
        <w:rPr>
          <w:color w:val="auto"/>
          <w:highlight w:val="none"/>
        </w:rPr>
      </w:pP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29F65052">
      <w:pPr>
        <w:rPr>
          <w:rFonts w:ascii="宋体" w:hAnsi="宋体"/>
          <w:color w:val="auto"/>
          <w:highlight w:val="none"/>
          <w:u w:val="single"/>
        </w:rPr>
      </w:pPr>
      <w:r>
        <w:rPr>
          <w:rFonts w:hAnsi="宋体"/>
          <w:color w:val="auto"/>
          <w:highlight w:val="none"/>
        </w:rPr>
        <w:t>邮政编码：</w:t>
      </w:r>
      <w:r>
        <w:rPr>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p>
    <w:p w14:paraId="00E26418">
      <w:pPr>
        <w:spacing w:line="440" w:lineRule="exact"/>
        <w:rPr>
          <w:rFonts w:eastAsia="黑体"/>
          <w:color w:val="auto"/>
          <w:sz w:val="30"/>
          <w:szCs w:val="30"/>
          <w:highlight w:val="none"/>
        </w:rPr>
      </w:pPr>
      <w:r>
        <w:rPr>
          <w:rFonts w:ascii="宋体" w:hAnsi="宋体"/>
          <w:color w:val="auto"/>
          <w:highlight w:val="none"/>
          <w:u w:val="single"/>
        </w:rPr>
        <w:br w:type="page"/>
      </w:r>
      <w:r>
        <w:rPr>
          <w:rFonts w:eastAsia="仿宋_GB2312"/>
          <w:color w:val="auto"/>
          <w:sz w:val="30"/>
          <w:szCs w:val="30"/>
          <w:highlight w:val="none"/>
        </w:rPr>
        <w:t>附件</w:t>
      </w:r>
      <w:r>
        <w:rPr>
          <w:rFonts w:hint="eastAsia" w:eastAsia="仿宋_GB2312"/>
          <w:color w:val="auto"/>
          <w:sz w:val="30"/>
          <w:szCs w:val="30"/>
          <w:highlight w:val="none"/>
        </w:rPr>
        <w:t>3</w:t>
      </w:r>
      <w:r>
        <w:rPr>
          <w:rFonts w:eastAsia="仿宋_GB2312"/>
          <w:color w:val="auto"/>
          <w:sz w:val="30"/>
          <w:szCs w:val="30"/>
          <w:highlight w:val="none"/>
        </w:rPr>
        <w:t>：</w:t>
      </w:r>
    </w:p>
    <w:p w14:paraId="58D4F743">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主要建设工程文件目录</w:t>
      </w:r>
    </w:p>
    <w:tbl>
      <w:tblPr>
        <w:tblStyle w:val="4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6BCC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A10993D">
            <w:pPr>
              <w:pStyle w:val="18"/>
              <w:keepNext/>
              <w:spacing w:after="0" w:line="440" w:lineRule="exact"/>
              <w:ind w:left="63" w:right="63"/>
              <w:rPr>
                <w:rFonts w:eastAsia="仿宋_GB2312"/>
                <w:color w:val="auto"/>
                <w:sz w:val="28"/>
                <w:szCs w:val="30"/>
                <w:highlight w:val="none"/>
              </w:rPr>
            </w:pPr>
            <w:r>
              <w:rPr>
                <w:rFonts w:eastAsia="仿宋_GB2312"/>
                <w:color w:val="auto"/>
                <w:sz w:val="28"/>
                <w:szCs w:val="30"/>
                <w:highlight w:val="none"/>
              </w:rPr>
              <w:t>文件名称</w:t>
            </w:r>
          </w:p>
        </w:tc>
        <w:tc>
          <w:tcPr>
            <w:tcW w:w="1276" w:type="dxa"/>
            <w:tcBorders>
              <w:top w:val="single" w:color="auto" w:sz="12" w:space="0"/>
              <w:bottom w:val="double" w:color="auto" w:sz="6" w:space="0"/>
            </w:tcBorders>
            <w:noWrap w:val="0"/>
            <w:vAlign w:val="center"/>
          </w:tcPr>
          <w:p w14:paraId="797A3A3B">
            <w:pPr>
              <w:pStyle w:val="18"/>
              <w:keepNext/>
              <w:spacing w:after="0" w:line="440" w:lineRule="exact"/>
              <w:ind w:left="63" w:right="63"/>
              <w:rPr>
                <w:rFonts w:eastAsia="仿宋_GB2312"/>
                <w:color w:val="auto"/>
                <w:sz w:val="28"/>
                <w:szCs w:val="30"/>
                <w:highlight w:val="none"/>
              </w:rPr>
            </w:pPr>
            <w:r>
              <w:rPr>
                <w:rFonts w:eastAsia="仿宋_GB2312"/>
                <w:color w:val="auto"/>
                <w:sz w:val="28"/>
                <w:szCs w:val="30"/>
                <w:highlight w:val="none"/>
              </w:rPr>
              <w:t>套数</w:t>
            </w:r>
          </w:p>
        </w:tc>
        <w:tc>
          <w:tcPr>
            <w:tcW w:w="1450" w:type="dxa"/>
            <w:tcBorders>
              <w:top w:val="single" w:color="auto" w:sz="12" w:space="0"/>
              <w:bottom w:val="double" w:color="auto" w:sz="6" w:space="0"/>
            </w:tcBorders>
            <w:noWrap w:val="0"/>
            <w:vAlign w:val="center"/>
          </w:tcPr>
          <w:p w14:paraId="2298D360">
            <w:pPr>
              <w:pStyle w:val="18"/>
              <w:keepNext/>
              <w:spacing w:after="0" w:line="440" w:lineRule="exact"/>
              <w:ind w:left="63" w:right="63"/>
              <w:rPr>
                <w:rFonts w:eastAsia="仿宋_GB2312"/>
                <w:color w:val="auto"/>
                <w:sz w:val="28"/>
                <w:szCs w:val="30"/>
                <w:highlight w:val="none"/>
              </w:rPr>
            </w:pPr>
            <w:r>
              <w:rPr>
                <w:rFonts w:eastAsia="仿宋_GB2312"/>
                <w:color w:val="auto"/>
                <w:sz w:val="28"/>
                <w:szCs w:val="30"/>
                <w:highlight w:val="none"/>
              </w:rPr>
              <w:t>费用</w:t>
            </w:r>
            <w:r>
              <w:rPr>
                <w:rFonts w:hint="eastAsia" w:eastAsia="仿宋_GB2312"/>
                <w:color w:val="auto"/>
                <w:sz w:val="28"/>
                <w:szCs w:val="30"/>
                <w:highlight w:val="none"/>
              </w:rPr>
              <w:t>（元）</w:t>
            </w:r>
          </w:p>
        </w:tc>
        <w:tc>
          <w:tcPr>
            <w:tcW w:w="1243" w:type="dxa"/>
            <w:tcBorders>
              <w:top w:val="single" w:color="auto" w:sz="12" w:space="0"/>
              <w:bottom w:val="double" w:color="auto" w:sz="6" w:space="0"/>
            </w:tcBorders>
            <w:noWrap w:val="0"/>
            <w:vAlign w:val="center"/>
          </w:tcPr>
          <w:p w14:paraId="71A99CF8">
            <w:pPr>
              <w:pStyle w:val="18"/>
              <w:keepNext/>
              <w:spacing w:after="0" w:line="440" w:lineRule="exact"/>
              <w:ind w:left="63" w:right="63"/>
              <w:rPr>
                <w:rFonts w:eastAsia="仿宋_GB2312"/>
                <w:color w:val="auto"/>
                <w:sz w:val="28"/>
                <w:szCs w:val="30"/>
                <w:highlight w:val="none"/>
              </w:rPr>
            </w:pPr>
            <w:r>
              <w:rPr>
                <w:rFonts w:eastAsia="仿宋_GB2312"/>
                <w:color w:val="auto"/>
                <w:sz w:val="28"/>
                <w:szCs w:val="30"/>
                <w:highlight w:val="none"/>
              </w:rPr>
              <w:t>质量</w:t>
            </w:r>
          </w:p>
        </w:tc>
        <w:tc>
          <w:tcPr>
            <w:tcW w:w="1450" w:type="dxa"/>
            <w:tcBorders>
              <w:top w:val="single" w:color="auto" w:sz="12" w:space="0"/>
              <w:bottom w:val="double" w:color="auto" w:sz="6" w:space="0"/>
            </w:tcBorders>
            <w:noWrap w:val="0"/>
            <w:vAlign w:val="top"/>
          </w:tcPr>
          <w:p w14:paraId="7D0F543A">
            <w:pPr>
              <w:spacing w:line="440" w:lineRule="exact"/>
              <w:jc w:val="center"/>
              <w:rPr>
                <w:rFonts w:eastAsia="仿宋_GB2312"/>
                <w:color w:val="auto"/>
                <w:sz w:val="28"/>
                <w:szCs w:val="30"/>
                <w:highlight w:val="none"/>
              </w:rPr>
            </w:pPr>
            <w:r>
              <w:rPr>
                <w:rFonts w:eastAsia="仿宋_GB2312"/>
                <w:color w:val="auto"/>
                <w:sz w:val="28"/>
                <w:szCs w:val="30"/>
                <w:highlight w:val="none"/>
              </w:rPr>
              <w:t>移交时间</w:t>
            </w:r>
          </w:p>
        </w:tc>
        <w:tc>
          <w:tcPr>
            <w:tcW w:w="1667" w:type="dxa"/>
            <w:tcBorders>
              <w:top w:val="single" w:color="auto" w:sz="12" w:space="0"/>
              <w:bottom w:val="double" w:color="auto" w:sz="6" w:space="0"/>
            </w:tcBorders>
            <w:noWrap w:val="0"/>
            <w:vAlign w:val="top"/>
          </w:tcPr>
          <w:p w14:paraId="4996D1B6">
            <w:pPr>
              <w:spacing w:line="440" w:lineRule="exact"/>
              <w:jc w:val="center"/>
              <w:rPr>
                <w:rFonts w:eastAsia="仿宋_GB2312"/>
                <w:color w:val="auto"/>
                <w:sz w:val="28"/>
                <w:szCs w:val="30"/>
                <w:highlight w:val="none"/>
              </w:rPr>
            </w:pPr>
            <w:r>
              <w:rPr>
                <w:rFonts w:eastAsia="仿宋_GB2312"/>
                <w:color w:val="auto"/>
                <w:sz w:val="28"/>
                <w:szCs w:val="30"/>
                <w:highlight w:val="none"/>
              </w:rPr>
              <w:t>责任人</w:t>
            </w:r>
          </w:p>
        </w:tc>
      </w:tr>
      <w:tr w14:paraId="32451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0ADB7F6A">
            <w:pPr>
              <w:pStyle w:val="18"/>
              <w:keepNext/>
              <w:spacing w:after="0" w:line="440" w:lineRule="exact"/>
              <w:ind w:left="63" w:right="63"/>
              <w:rPr>
                <w:rFonts w:eastAsia="仿宋_GB2312"/>
                <w:color w:val="auto"/>
                <w:sz w:val="30"/>
                <w:szCs w:val="30"/>
                <w:highlight w:val="none"/>
              </w:rPr>
            </w:pPr>
          </w:p>
        </w:tc>
        <w:tc>
          <w:tcPr>
            <w:tcW w:w="1276" w:type="dxa"/>
            <w:tcBorders>
              <w:top w:val="double" w:color="auto" w:sz="6" w:space="0"/>
              <w:bottom w:val="single" w:color="auto" w:sz="6" w:space="0"/>
            </w:tcBorders>
            <w:noWrap w:val="0"/>
            <w:vAlign w:val="center"/>
          </w:tcPr>
          <w:p w14:paraId="40A1AD2F">
            <w:pPr>
              <w:pStyle w:val="18"/>
              <w:keepNext/>
              <w:spacing w:after="0" w:line="440" w:lineRule="exact"/>
              <w:ind w:left="63" w:right="63"/>
              <w:rPr>
                <w:rFonts w:eastAsia="仿宋_GB2312"/>
                <w:color w:val="auto"/>
                <w:sz w:val="30"/>
                <w:szCs w:val="30"/>
                <w:highlight w:val="none"/>
              </w:rPr>
            </w:pPr>
          </w:p>
        </w:tc>
        <w:tc>
          <w:tcPr>
            <w:tcW w:w="1450" w:type="dxa"/>
            <w:tcBorders>
              <w:top w:val="double" w:color="auto" w:sz="6" w:space="0"/>
              <w:bottom w:val="single" w:color="auto" w:sz="6" w:space="0"/>
            </w:tcBorders>
            <w:noWrap w:val="0"/>
            <w:vAlign w:val="center"/>
          </w:tcPr>
          <w:p w14:paraId="3CBB1732">
            <w:pPr>
              <w:pStyle w:val="18"/>
              <w:keepNext/>
              <w:spacing w:after="0" w:line="440" w:lineRule="exact"/>
              <w:ind w:left="63" w:right="63"/>
              <w:rPr>
                <w:rFonts w:eastAsia="仿宋_GB2312"/>
                <w:color w:val="auto"/>
                <w:sz w:val="30"/>
                <w:szCs w:val="30"/>
                <w:highlight w:val="none"/>
              </w:rPr>
            </w:pPr>
          </w:p>
        </w:tc>
        <w:tc>
          <w:tcPr>
            <w:tcW w:w="1243" w:type="dxa"/>
            <w:tcBorders>
              <w:top w:val="double" w:color="auto" w:sz="6" w:space="0"/>
              <w:bottom w:val="single" w:color="auto" w:sz="6" w:space="0"/>
            </w:tcBorders>
            <w:noWrap w:val="0"/>
            <w:vAlign w:val="center"/>
          </w:tcPr>
          <w:p w14:paraId="2B070B06">
            <w:pPr>
              <w:pStyle w:val="18"/>
              <w:keepNext/>
              <w:spacing w:after="0" w:line="440" w:lineRule="exact"/>
              <w:ind w:left="63" w:right="63"/>
              <w:rPr>
                <w:rFonts w:eastAsia="仿宋_GB2312"/>
                <w:color w:val="auto"/>
                <w:sz w:val="30"/>
                <w:szCs w:val="30"/>
                <w:highlight w:val="none"/>
              </w:rPr>
            </w:pPr>
          </w:p>
        </w:tc>
        <w:tc>
          <w:tcPr>
            <w:tcW w:w="1450" w:type="dxa"/>
            <w:tcBorders>
              <w:top w:val="double" w:color="auto" w:sz="6" w:space="0"/>
              <w:bottom w:val="single" w:color="auto" w:sz="6" w:space="0"/>
            </w:tcBorders>
            <w:noWrap w:val="0"/>
            <w:vAlign w:val="center"/>
          </w:tcPr>
          <w:p w14:paraId="6D8E8972">
            <w:pPr>
              <w:pStyle w:val="18"/>
              <w:keepNext/>
              <w:spacing w:after="0" w:line="440" w:lineRule="exact"/>
              <w:ind w:left="63" w:right="63"/>
              <w:rPr>
                <w:rFonts w:eastAsia="仿宋_GB2312"/>
                <w:color w:val="auto"/>
                <w:sz w:val="30"/>
                <w:szCs w:val="30"/>
                <w:highlight w:val="none"/>
              </w:rPr>
            </w:pPr>
          </w:p>
        </w:tc>
        <w:tc>
          <w:tcPr>
            <w:tcW w:w="1667" w:type="dxa"/>
            <w:tcBorders>
              <w:top w:val="double" w:color="auto" w:sz="6" w:space="0"/>
              <w:bottom w:val="single" w:color="auto" w:sz="6" w:space="0"/>
            </w:tcBorders>
            <w:noWrap w:val="0"/>
            <w:vAlign w:val="center"/>
          </w:tcPr>
          <w:p w14:paraId="31DC723C">
            <w:pPr>
              <w:pStyle w:val="18"/>
              <w:keepNext/>
              <w:spacing w:after="0" w:line="440" w:lineRule="exact"/>
              <w:ind w:left="63" w:right="63"/>
              <w:rPr>
                <w:rFonts w:eastAsia="仿宋_GB2312"/>
                <w:color w:val="auto"/>
                <w:sz w:val="30"/>
                <w:szCs w:val="30"/>
                <w:highlight w:val="none"/>
              </w:rPr>
            </w:pPr>
          </w:p>
        </w:tc>
      </w:tr>
      <w:tr w14:paraId="5136F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0519BC51">
            <w:pPr>
              <w:pStyle w:val="18"/>
              <w:keepNext/>
              <w:spacing w:after="0" w:line="440" w:lineRule="exact"/>
              <w:ind w:left="63" w:right="63"/>
              <w:rPr>
                <w:rFonts w:eastAsia="仿宋_GB2312"/>
                <w:color w:val="auto"/>
                <w:sz w:val="30"/>
                <w:szCs w:val="30"/>
                <w:highlight w:val="none"/>
              </w:rPr>
            </w:pPr>
          </w:p>
        </w:tc>
        <w:tc>
          <w:tcPr>
            <w:tcW w:w="1276" w:type="dxa"/>
            <w:tcBorders>
              <w:top w:val="nil"/>
            </w:tcBorders>
            <w:noWrap w:val="0"/>
            <w:vAlign w:val="center"/>
          </w:tcPr>
          <w:p w14:paraId="200DA52D">
            <w:pPr>
              <w:pStyle w:val="18"/>
              <w:keepNext/>
              <w:spacing w:after="0" w:line="440" w:lineRule="exact"/>
              <w:ind w:left="63" w:right="63"/>
              <w:rPr>
                <w:rFonts w:eastAsia="仿宋_GB2312"/>
                <w:color w:val="auto"/>
                <w:sz w:val="30"/>
                <w:szCs w:val="30"/>
                <w:highlight w:val="none"/>
              </w:rPr>
            </w:pPr>
          </w:p>
        </w:tc>
        <w:tc>
          <w:tcPr>
            <w:tcW w:w="1450" w:type="dxa"/>
            <w:tcBorders>
              <w:top w:val="nil"/>
            </w:tcBorders>
            <w:noWrap w:val="0"/>
            <w:vAlign w:val="center"/>
          </w:tcPr>
          <w:p w14:paraId="46F7AAB8">
            <w:pPr>
              <w:pStyle w:val="18"/>
              <w:keepNext/>
              <w:spacing w:after="0" w:line="440" w:lineRule="exact"/>
              <w:ind w:left="63" w:right="63"/>
              <w:rPr>
                <w:rFonts w:eastAsia="仿宋_GB2312"/>
                <w:color w:val="auto"/>
                <w:sz w:val="30"/>
                <w:szCs w:val="30"/>
                <w:highlight w:val="none"/>
              </w:rPr>
            </w:pPr>
          </w:p>
        </w:tc>
        <w:tc>
          <w:tcPr>
            <w:tcW w:w="1243" w:type="dxa"/>
            <w:tcBorders>
              <w:top w:val="nil"/>
            </w:tcBorders>
            <w:noWrap w:val="0"/>
            <w:vAlign w:val="center"/>
          </w:tcPr>
          <w:p w14:paraId="61E079E9">
            <w:pPr>
              <w:pStyle w:val="18"/>
              <w:keepNext/>
              <w:spacing w:after="0" w:line="440" w:lineRule="exact"/>
              <w:ind w:left="63" w:right="63"/>
              <w:rPr>
                <w:rFonts w:eastAsia="仿宋_GB2312"/>
                <w:color w:val="auto"/>
                <w:sz w:val="30"/>
                <w:szCs w:val="30"/>
                <w:highlight w:val="none"/>
              </w:rPr>
            </w:pPr>
          </w:p>
        </w:tc>
        <w:tc>
          <w:tcPr>
            <w:tcW w:w="1450" w:type="dxa"/>
            <w:tcBorders>
              <w:top w:val="nil"/>
            </w:tcBorders>
            <w:noWrap w:val="0"/>
            <w:vAlign w:val="center"/>
          </w:tcPr>
          <w:p w14:paraId="5B954E2B">
            <w:pPr>
              <w:pStyle w:val="18"/>
              <w:keepNext/>
              <w:spacing w:after="0" w:line="440" w:lineRule="exact"/>
              <w:ind w:left="63" w:right="63"/>
              <w:rPr>
                <w:rFonts w:eastAsia="仿宋_GB2312"/>
                <w:color w:val="auto"/>
                <w:sz w:val="30"/>
                <w:szCs w:val="30"/>
                <w:highlight w:val="none"/>
              </w:rPr>
            </w:pPr>
          </w:p>
        </w:tc>
        <w:tc>
          <w:tcPr>
            <w:tcW w:w="1667" w:type="dxa"/>
            <w:tcBorders>
              <w:top w:val="nil"/>
            </w:tcBorders>
            <w:noWrap w:val="0"/>
            <w:vAlign w:val="center"/>
          </w:tcPr>
          <w:p w14:paraId="218B6066">
            <w:pPr>
              <w:pStyle w:val="18"/>
              <w:keepNext/>
              <w:spacing w:after="0" w:line="440" w:lineRule="exact"/>
              <w:ind w:left="63" w:right="63"/>
              <w:rPr>
                <w:rFonts w:eastAsia="仿宋_GB2312"/>
                <w:color w:val="auto"/>
                <w:sz w:val="30"/>
                <w:szCs w:val="30"/>
                <w:highlight w:val="none"/>
              </w:rPr>
            </w:pPr>
          </w:p>
        </w:tc>
      </w:tr>
      <w:tr w14:paraId="75A33A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D38377F">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5A027FE7">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329E388D">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672A8581">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52FE1275">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68777328">
            <w:pPr>
              <w:pStyle w:val="18"/>
              <w:keepNext/>
              <w:spacing w:after="0" w:line="440" w:lineRule="exact"/>
              <w:ind w:left="63" w:right="63"/>
              <w:rPr>
                <w:rFonts w:eastAsia="仿宋_GB2312"/>
                <w:color w:val="auto"/>
                <w:sz w:val="30"/>
                <w:szCs w:val="30"/>
                <w:highlight w:val="none"/>
              </w:rPr>
            </w:pPr>
          </w:p>
        </w:tc>
      </w:tr>
      <w:tr w14:paraId="5B1E4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E4F2136">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54CBD162">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3B5A0975">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549FD742">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5F1C431D">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346D5CED">
            <w:pPr>
              <w:pStyle w:val="18"/>
              <w:keepNext/>
              <w:spacing w:after="0" w:line="440" w:lineRule="exact"/>
              <w:ind w:left="63" w:right="63"/>
              <w:rPr>
                <w:rFonts w:eastAsia="仿宋_GB2312"/>
                <w:color w:val="auto"/>
                <w:sz w:val="30"/>
                <w:szCs w:val="30"/>
                <w:highlight w:val="none"/>
              </w:rPr>
            </w:pPr>
          </w:p>
        </w:tc>
      </w:tr>
      <w:tr w14:paraId="0353D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035BD31">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4ECCC780">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102EB64F">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48DDC036">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55D330AB">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6397F261">
            <w:pPr>
              <w:pStyle w:val="18"/>
              <w:keepNext/>
              <w:spacing w:after="0" w:line="440" w:lineRule="exact"/>
              <w:ind w:left="63" w:right="63"/>
              <w:rPr>
                <w:rFonts w:eastAsia="仿宋_GB2312"/>
                <w:color w:val="auto"/>
                <w:sz w:val="30"/>
                <w:szCs w:val="30"/>
                <w:highlight w:val="none"/>
              </w:rPr>
            </w:pPr>
          </w:p>
        </w:tc>
      </w:tr>
      <w:tr w14:paraId="4EE23A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FC309B3">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4F1B6BB2">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73FE507F">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5B8A94FA">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6E2D1D0F">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0D668377">
            <w:pPr>
              <w:pStyle w:val="18"/>
              <w:keepNext/>
              <w:spacing w:after="0" w:line="440" w:lineRule="exact"/>
              <w:ind w:left="63" w:right="63"/>
              <w:rPr>
                <w:rFonts w:eastAsia="仿宋_GB2312"/>
                <w:color w:val="auto"/>
                <w:sz w:val="30"/>
                <w:szCs w:val="30"/>
                <w:highlight w:val="none"/>
              </w:rPr>
            </w:pPr>
          </w:p>
        </w:tc>
      </w:tr>
      <w:tr w14:paraId="7EC76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FA9ADF2">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7D240C72">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5E26A4B0">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645E2B88">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37E99010">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2ADF041A">
            <w:pPr>
              <w:pStyle w:val="18"/>
              <w:keepNext/>
              <w:spacing w:after="0" w:line="440" w:lineRule="exact"/>
              <w:ind w:left="63" w:right="63"/>
              <w:rPr>
                <w:rFonts w:eastAsia="仿宋_GB2312"/>
                <w:color w:val="auto"/>
                <w:sz w:val="30"/>
                <w:szCs w:val="30"/>
                <w:highlight w:val="none"/>
              </w:rPr>
            </w:pPr>
          </w:p>
        </w:tc>
      </w:tr>
      <w:tr w14:paraId="59468D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D1037A3">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44AF3435">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2E817712">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09587E70">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1E6BE6E8">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3CBA0407">
            <w:pPr>
              <w:pStyle w:val="18"/>
              <w:keepNext/>
              <w:spacing w:after="0" w:line="440" w:lineRule="exact"/>
              <w:ind w:left="63" w:right="63"/>
              <w:rPr>
                <w:rFonts w:eastAsia="仿宋_GB2312"/>
                <w:color w:val="auto"/>
                <w:sz w:val="30"/>
                <w:szCs w:val="30"/>
                <w:highlight w:val="none"/>
              </w:rPr>
            </w:pPr>
          </w:p>
        </w:tc>
      </w:tr>
      <w:tr w14:paraId="33E97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970D98E">
            <w:pPr>
              <w:rPr>
                <w:rFonts w:eastAsia="仿宋_GB2312"/>
                <w:color w:val="auto"/>
                <w:sz w:val="30"/>
                <w:szCs w:val="30"/>
                <w:highlight w:val="none"/>
              </w:rPr>
            </w:pPr>
          </w:p>
        </w:tc>
        <w:tc>
          <w:tcPr>
            <w:tcW w:w="1276" w:type="dxa"/>
            <w:noWrap w:val="0"/>
            <w:vAlign w:val="top"/>
          </w:tcPr>
          <w:p w14:paraId="6783E623">
            <w:pPr>
              <w:rPr>
                <w:rFonts w:eastAsia="仿宋_GB2312"/>
                <w:color w:val="auto"/>
                <w:sz w:val="30"/>
                <w:szCs w:val="30"/>
                <w:highlight w:val="none"/>
              </w:rPr>
            </w:pPr>
          </w:p>
        </w:tc>
        <w:tc>
          <w:tcPr>
            <w:tcW w:w="1450" w:type="dxa"/>
            <w:noWrap w:val="0"/>
            <w:vAlign w:val="top"/>
          </w:tcPr>
          <w:p w14:paraId="1AD08ADB">
            <w:pPr>
              <w:rPr>
                <w:rFonts w:eastAsia="仿宋_GB2312"/>
                <w:color w:val="auto"/>
                <w:sz w:val="30"/>
                <w:szCs w:val="30"/>
                <w:highlight w:val="none"/>
              </w:rPr>
            </w:pPr>
          </w:p>
        </w:tc>
        <w:tc>
          <w:tcPr>
            <w:tcW w:w="1243" w:type="dxa"/>
            <w:noWrap w:val="0"/>
            <w:vAlign w:val="top"/>
          </w:tcPr>
          <w:p w14:paraId="0D0B98D0">
            <w:pPr>
              <w:rPr>
                <w:rFonts w:eastAsia="仿宋_GB2312"/>
                <w:color w:val="auto"/>
                <w:sz w:val="30"/>
                <w:szCs w:val="30"/>
                <w:highlight w:val="none"/>
              </w:rPr>
            </w:pPr>
          </w:p>
        </w:tc>
        <w:tc>
          <w:tcPr>
            <w:tcW w:w="1450" w:type="dxa"/>
            <w:noWrap w:val="0"/>
            <w:vAlign w:val="top"/>
          </w:tcPr>
          <w:p w14:paraId="7AF8FDD6">
            <w:pPr>
              <w:rPr>
                <w:rFonts w:eastAsia="仿宋_GB2312"/>
                <w:color w:val="auto"/>
                <w:sz w:val="30"/>
                <w:szCs w:val="30"/>
                <w:highlight w:val="none"/>
              </w:rPr>
            </w:pPr>
          </w:p>
        </w:tc>
        <w:tc>
          <w:tcPr>
            <w:tcW w:w="1667" w:type="dxa"/>
            <w:noWrap w:val="0"/>
            <w:vAlign w:val="top"/>
          </w:tcPr>
          <w:p w14:paraId="1585A9BF">
            <w:pPr>
              <w:rPr>
                <w:rFonts w:eastAsia="仿宋_GB2312"/>
                <w:color w:val="auto"/>
                <w:sz w:val="30"/>
                <w:szCs w:val="30"/>
                <w:highlight w:val="none"/>
              </w:rPr>
            </w:pPr>
          </w:p>
        </w:tc>
      </w:tr>
      <w:tr w14:paraId="27E5E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A82620D">
            <w:pPr>
              <w:pStyle w:val="18"/>
              <w:keepNext/>
              <w:spacing w:after="0" w:line="440" w:lineRule="exact"/>
              <w:ind w:left="63" w:right="63"/>
              <w:rPr>
                <w:rFonts w:eastAsia="仿宋_GB2312"/>
                <w:color w:val="auto"/>
                <w:sz w:val="30"/>
                <w:szCs w:val="30"/>
                <w:highlight w:val="none"/>
              </w:rPr>
            </w:pPr>
          </w:p>
        </w:tc>
        <w:tc>
          <w:tcPr>
            <w:tcW w:w="1276" w:type="dxa"/>
            <w:noWrap w:val="0"/>
            <w:vAlign w:val="center"/>
          </w:tcPr>
          <w:p w14:paraId="63185FBD">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27FBCC7F">
            <w:pPr>
              <w:pStyle w:val="18"/>
              <w:keepNext/>
              <w:spacing w:after="0" w:line="440" w:lineRule="exact"/>
              <w:ind w:left="63" w:right="63"/>
              <w:rPr>
                <w:rFonts w:eastAsia="仿宋_GB2312"/>
                <w:color w:val="auto"/>
                <w:sz w:val="30"/>
                <w:szCs w:val="30"/>
                <w:highlight w:val="none"/>
              </w:rPr>
            </w:pPr>
          </w:p>
        </w:tc>
        <w:tc>
          <w:tcPr>
            <w:tcW w:w="1243" w:type="dxa"/>
            <w:noWrap w:val="0"/>
            <w:vAlign w:val="center"/>
          </w:tcPr>
          <w:p w14:paraId="69FCEAB9">
            <w:pPr>
              <w:pStyle w:val="18"/>
              <w:keepNext/>
              <w:spacing w:after="0" w:line="440" w:lineRule="exact"/>
              <w:ind w:left="63" w:right="63"/>
              <w:rPr>
                <w:rFonts w:eastAsia="仿宋_GB2312"/>
                <w:color w:val="auto"/>
                <w:sz w:val="30"/>
                <w:szCs w:val="30"/>
                <w:highlight w:val="none"/>
              </w:rPr>
            </w:pPr>
          </w:p>
        </w:tc>
        <w:tc>
          <w:tcPr>
            <w:tcW w:w="1450" w:type="dxa"/>
            <w:noWrap w:val="0"/>
            <w:vAlign w:val="center"/>
          </w:tcPr>
          <w:p w14:paraId="6CE842B1">
            <w:pPr>
              <w:pStyle w:val="18"/>
              <w:keepNext/>
              <w:spacing w:after="0" w:line="440" w:lineRule="exact"/>
              <w:ind w:left="63" w:right="63"/>
              <w:rPr>
                <w:rFonts w:eastAsia="仿宋_GB2312"/>
                <w:color w:val="auto"/>
                <w:sz w:val="30"/>
                <w:szCs w:val="30"/>
                <w:highlight w:val="none"/>
              </w:rPr>
            </w:pPr>
          </w:p>
        </w:tc>
        <w:tc>
          <w:tcPr>
            <w:tcW w:w="1667" w:type="dxa"/>
            <w:noWrap w:val="0"/>
            <w:vAlign w:val="center"/>
          </w:tcPr>
          <w:p w14:paraId="39A79BF6">
            <w:pPr>
              <w:pStyle w:val="18"/>
              <w:keepNext/>
              <w:spacing w:after="0" w:line="440" w:lineRule="exact"/>
              <w:ind w:left="63" w:right="63"/>
              <w:rPr>
                <w:rFonts w:eastAsia="仿宋_GB2312"/>
                <w:color w:val="auto"/>
                <w:sz w:val="30"/>
                <w:szCs w:val="30"/>
                <w:highlight w:val="none"/>
              </w:rPr>
            </w:pPr>
          </w:p>
        </w:tc>
      </w:tr>
      <w:tr w14:paraId="3E31A4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D233492">
            <w:pPr>
              <w:rPr>
                <w:rFonts w:eastAsia="仿宋_GB2312"/>
                <w:color w:val="auto"/>
                <w:sz w:val="30"/>
                <w:szCs w:val="30"/>
                <w:highlight w:val="none"/>
              </w:rPr>
            </w:pPr>
          </w:p>
        </w:tc>
        <w:tc>
          <w:tcPr>
            <w:tcW w:w="1276" w:type="dxa"/>
            <w:noWrap w:val="0"/>
            <w:vAlign w:val="top"/>
          </w:tcPr>
          <w:p w14:paraId="72635C7F">
            <w:pPr>
              <w:rPr>
                <w:rFonts w:eastAsia="仿宋_GB2312"/>
                <w:color w:val="auto"/>
                <w:sz w:val="30"/>
                <w:szCs w:val="30"/>
                <w:highlight w:val="none"/>
              </w:rPr>
            </w:pPr>
          </w:p>
        </w:tc>
        <w:tc>
          <w:tcPr>
            <w:tcW w:w="1450" w:type="dxa"/>
            <w:noWrap w:val="0"/>
            <w:vAlign w:val="top"/>
          </w:tcPr>
          <w:p w14:paraId="47AD6626">
            <w:pPr>
              <w:rPr>
                <w:rFonts w:eastAsia="仿宋_GB2312"/>
                <w:color w:val="auto"/>
                <w:sz w:val="30"/>
                <w:szCs w:val="30"/>
                <w:highlight w:val="none"/>
              </w:rPr>
            </w:pPr>
          </w:p>
        </w:tc>
        <w:tc>
          <w:tcPr>
            <w:tcW w:w="1243" w:type="dxa"/>
            <w:noWrap w:val="0"/>
            <w:vAlign w:val="top"/>
          </w:tcPr>
          <w:p w14:paraId="20EE71A9">
            <w:pPr>
              <w:rPr>
                <w:rFonts w:eastAsia="仿宋_GB2312"/>
                <w:color w:val="auto"/>
                <w:sz w:val="30"/>
                <w:szCs w:val="30"/>
                <w:highlight w:val="none"/>
              </w:rPr>
            </w:pPr>
          </w:p>
        </w:tc>
        <w:tc>
          <w:tcPr>
            <w:tcW w:w="1450" w:type="dxa"/>
            <w:noWrap w:val="0"/>
            <w:vAlign w:val="top"/>
          </w:tcPr>
          <w:p w14:paraId="01BC0B03">
            <w:pPr>
              <w:rPr>
                <w:rFonts w:eastAsia="仿宋_GB2312"/>
                <w:color w:val="auto"/>
                <w:sz w:val="30"/>
                <w:szCs w:val="30"/>
                <w:highlight w:val="none"/>
              </w:rPr>
            </w:pPr>
          </w:p>
        </w:tc>
        <w:tc>
          <w:tcPr>
            <w:tcW w:w="1667" w:type="dxa"/>
            <w:noWrap w:val="0"/>
            <w:vAlign w:val="top"/>
          </w:tcPr>
          <w:p w14:paraId="012255D6">
            <w:pPr>
              <w:rPr>
                <w:rFonts w:eastAsia="仿宋_GB2312"/>
                <w:color w:val="auto"/>
                <w:sz w:val="30"/>
                <w:szCs w:val="30"/>
                <w:highlight w:val="none"/>
              </w:rPr>
            </w:pPr>
          </w:p>
        </w:tc>
      </w:tr>
      <w:tr w14:paraId="789CF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A0C4EF6">
            <w:pPr>
              <w:rPr>
                <w:rFonts w:eastAsia="仿宋_GB2312"/>
                <w:color w:val="auto"/>
                <w:sz w:val="30"/>
                <w:szCs w:val="30"/>
                <w:highlight w:val="none"/>
              </w:rPr>
            </w:pPr>
          </w:p>
        </w:tc>
        <w:tc>
          <w:tcPr>
            <w:tcW w:w="1276" w:type="dxa"/>
            <w:noWrap w:val="0"/>
            <w:vAlign w:val="top"/>
          </w:tcPr>
          <w:p w14:paraId="7AF1F00F">
            <w:pPr>
              <w:rPr>
                <w:rFonts w:eastAsia="仿宋_GB2312"/>
                <w:color w:val="auto"/>
                <w:sz w:val="30"/>
                <w:szCs w:val="30"/>
                <w:highlight w:val="none"/>
              </w:rPr>
            </w:pPr>
          </w:p>
        </w:tc>
        <w:tc>
          <w:tcPr>
            <w:tcW w:w="1450" w:type="dxa"/>
            <w:noWrap w:val="0"/>
            <w:vAlign w:val="top"/>
          </w:tcPr>
          <w:p w14:paraId="09CAEA4A">
            <w:pPr>
              <w:rPr>
                <w:rFonts w:eastAsia="仿宋_GB2312"/>
                <w:color w:val="auto"/>
                <w:sz w:val="30"/>
                <w:szCs w:val="30"/>
                <w:highlight w:val="none"/>
              </w:rPr>
            </w:pPr>
          </w:p>
        </w:tc>
        <w:tc>
          <w:tcPr>
            <w:tcW w:w="1243" w:type="dxa"/>
            <w:noWrap w:val="0"/>
            <w:vAlign w:val="top"/>
          </w:tcPr>
          <w:p w14:paraId="40BC7A15">
            <w:pPr>
              <w:rPr>
                <w:rFonts w:eastAsia="仿宋_GB2312"/>
                <w:color w:val="auto"/>
                <w:sz w:val="30"/>
                <w:szCs w:val="30"/>
                <w:highlight w:val="none"/>
              </w:rPr>
            </w:pPr>
          </w:p>
        </w:tc>
        <w:tc>
          <w:tcPr>
            <w:tcW w:w="1450" w:type="dxa"/>
            <w:noWrap w:val="0"/>
            <w:vAlign w:val="top"/>
          </w:tcPr>
          <w:p w14:paraId="5B5CAA7B">
            <w:pPr>
              <w:rPr>
                <w:rFonts w:eastAsia="仿宋_GB2312"/>
                <w:color w:val="auto"/>
                <w:sz w:val="30"/>
                <w:szCs w:val="30"/>
                <w:highlight w:val="none"/>
              </w:rPr>
            </w:pPr>
          </w:p>
        </w:tc>
        <w:tc>
          <w:tcPr>
            <w:tcW w:w="1667" w:type="dxa"/>
            <w:noWrap w:val="0"/>
            <w:vAlign w:val="top"/>
          </w:tcPr>
          <w:p w14:paraId="6BED3291">
            <w:pPr>
              <w:rPr>
                <w:rFonts w:eastAsia="仿宋_GB2312"/>
                <w:color w:val="auto"/>
                <w:sz w:val="30"/>
                <w:szCs w:val="30"/>
                <w:highlight w:val="none"/>
              </w:rPr>
            </w:pPr>
          </w:p>
        </w:tc>
      </w:tr>
      <w:tr w14:paraId="17CDF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21AC0FE5">
            <w:pPr>
              <w:rPr>
                <w:rFonts w:eastAsia="仿宋_GB2312"/>
                <w:color w:val="auto"/>
                <w:sz w:val="30"/>
                <w:szCs w:val="30"/>
                <w:highlight w:val="none"/>
              </w:rPr>
            </w:pPr>
          </w:p>
        </w:tc>
        <w:tc>
          <w:tcPr>
            <w:tcW w:w="1276" w:type="dxa"/>
            <w:noWrap w:val="0"/>
            <w:vAlign w:val="top"/>
          </w:tcPr>
          <w:p w14:paraId="21203367">
            <w:pPr>
              <w:rPr>
                <w:rFonts w:eastAsia="仿宋_GB2312"/>
                <w:color w:val="auto"/>
                <w:sz w:val="30"/>
                <w:szCs w:val="30"/>
                <w:highlight w:val="none"/>
              </w:rPr>
            </w:pPr>
          </w:p>
        </w:tc>
        <w:tc>
          <w:tcPr>
            <w:tcW w:w="1450" w:type="dxa"/>
            <w:noWrap w:val="0"/>
            <w:vAlign w:val="top"/>
          </w:tcPr>
          <w:p w14:paraId="1096AF5E">
            <w:pPr>
              <w:rPr>
                <w:rFonts w:eastAsia="仿宋_GB2312"/>
                <w:color w:val="auto"/>
                <w:sz w:val="30"/>
                <w:szCs w:val="30"/>
                <w:highlight w:val="none"/>
              </w:rPr>
            </w:pPr>
          </w:p>
        </w:tc>
        <w:tc>
          <w:tcPr>
            <w:tcW w:w="1243" w:type="dxa"/>
            <w:noWrap w:val="0"/>
            <w:vAlign w:val="top"/>
          </w:tcPr>
          <w:p w14:paraId="0B053F67">
            <w:pPr>
              <w:rPr>
                <w:rFonts w:eastAsia="仿宋_GB2312"/>
                <w:color w:val="auto"/>
                <w:sz w:val="30"/>
                <w:szCs w:val="30"/>
                <w:highlight w:val="none"/>
              </w:rPr>
            </w:pPr>
          </w:p>
        </w:tc>
        <w:tc>
          <w:tcPr>
            <w:tcW w:w="1450" w:type="dxa"/>
            <w:noWrap w:val="0"/>
            <w:vAlign w:val="top"/>
          </w:tcPr>
          <w:p w14:paraId="5DE4BA60">
            <w:pPr>
              <w:rPr>
                <w:rFonts w:eastAsia="仿宋_GB2312"/>
                <w:color w:val="auto"/>
                <w:sz w:val="30"/>
                <w:szCs w:val="30"/>
                <w:highlight w:val="none"/>
              </w:rPr>
            </w:pPr>
          </w:p>
        </w:tc>
        <w:tc>
          <w:tcPr>
            <w:tcW w:w="1667" w:type="dxa"/>
            <w:noWrap w:val="0"/>
            <w:vAlign w:val="top"/>
          </w:tcPr>
          <w:p w14:paraId="24CBBEEA">
            <w:pPr>
              <w:rPr>
                <w:rFonts w:eastAsia="仿宋_GB2312"/>
                <w:color w:val="auto"/>
                <w:sz w:val="30"/>
                <w:szCs w:val="30"/>
                <w:highlight w:val="none"/>
              </w:rPr>
            </w:pPr>
          </w:p>
        </w:tc>
      </w:tr>
      <w:tr w14:paraId="78D3E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62EEF48">
            <w:pPr>
              <w:rPr>
                <w:rFonts w:eastAsia="仿宋_GB2312"/>
                <w:color w:val="auto"/>
                <w:sz w:val="30"/>
                <w:szCs w:val="30"/>
                <w:highlight w:val="none"/>
              </w:rPr>
            </w:pPr>
          </w:p>
        </w:tc>
        <w:tc>
          <w:tcPr>
            <w:tcW w:w="1276" w:type="dxa"/>
            <w:noWrap w:val="0"/>
            <w:vAlign w:val="top"/>
          </w:tcPr>
          <w:p w14:paraId="0C0B7F43">
            <w:pPr>
              <w:rPr>
                <w:rFonts w:eastAsia="仿宋_GB2312"/>
                <w:color w:val="auto"/>
                <w:sz w:val="30"/>
                <w:szCs w:val="30"/>
                <w:highlight w:val="none"/>
              </w:rPr>
            </w:pPr>
          </w:p>
        </w:tc>
        <w:tc>
          <w:tcPr>
            <w:tcW w:w="1450" w:type="dxa"/>
            <w:noWrap w:val="0"/>
            <w:vAlign w:val="top"/>
          </w:tcPr>
          <w:p w14:paraId="468BDF61">
            <w:pPr>
              <w:rPr>
                <w:rFonts w:eastAsia="仿宋_GB2312"/>
                <w:color w:val="auto"/>
                <w:sz w:val="30"/>
                <w:szCs w:val="30"/>
                <w:highlight w:val="none"/>
              </w:rPr>
            </w:pPr>
          </w:p>
        </w:tc>
        <w:tc>
          <w:tcPr>
            <w:tcW w:w="1243" w:type="dxa"/>
            <w:noWrap w:val="0"/>
            <w:vAlign w:val="top"/>
          </w:tcPr>
          <w:p w14:paraId="0E257C37">
            <w:pPr>
              <w:rPr>
                <w:rFonts w:eastAsia="仿宋_GB2312"/>
                <w:color w:val="auto"/>
                <w:sz w:val="30"/>
                <w:szCs w:val="30"/>
                <w:highlight w:val="none"/>
              </w:rPr>
            </w:pPr>
          </w:p>
        </w:tc>
        <w:tc>
          <w:tcPr>
            <w:tcW w:w="1450" w:type="dxa"/>
            <w:noWrap w:val="0"/>
            <w:vAlign w:val="top"/>
          </w:tcPr>
          <w:p w14:paraId="1E6FA7A9">
            <w:pPr>
              <w:rPr>
                <w:rFonts w:eastAsia="仿宋_GB2312"/>
                <w:color w:val="auto"/>
                <w:sz w:val="30"/>
                <w:szCs w:val="30"/>
                <w:highlight w:val="none"/>
              </w:rPr>
            </w:pPr>
          </w:p>
        </w:tc>
        <w:tc>
          <w:tcPr>
            <w:tcW w:w="1667" w:type="dxa"/>
            <w:noWrap w:val="0"/>
            <w:vAlign w:val="top"/>
          </w:tcPr>
          <w:p w14:paraId="38609FB8">
            <w:pPr>
              <w:rPr>
                <w:rFonts w:eastAsia="仿宋_GB2312"/>
                <w:color w:val="auto"/>
                <w:sz w:val="30"/>
                <w:szCs w:val="30"/>
                <w:highlight w:val="none"/>
              </w:rPr>
            </w:pPr>
          </w:p>
        </w:tc>
      </w:tr>
      <w:tr w14:paraId="6C307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1C81D5B">
            <w:pPr>
              <w:rPr>
                <w:rFonts w:eastAsia="仿宋_GB2312"/>
                <w:color w:val="auto"/>
                <w:sz w:val="30"/>
                <w:szCs w:val="30"/>
                <w:highlight w:val="none"/>
              </w:rPr>
            </w:pPr>
          </w:p>
        </w:tc>
        <w:tc>
          <w:tcPr>
            <w:tcW w:w="1276" w:type="dxa"/>
            <w:noWrap w:val="0"/>
            <w:vAlign w:val="top"/>
          </w:tcPr>
          <w:p w14:paraId="1738F9B6">
            <w:pPr>
              <w:rPr>
                <w:rFonts w:eastAsia="仿宋_GB2312"/>
                <w:color w:val="auto"/>
                <w:sz w:val="30"/>
                <w:szCs w:val="30"/>
                <w:highlight w:val="none"/>
              </w:rPr>
            </w:pPr>
          </w:p>
        </w:tc>
        <w:tc>
          <w:tcPr>
            <w:tcW w:w="1450" w:type="dxa"/>
            <w:noWrap w:val="0"/>
            <w:vAlign w:val="top"/>
          </w:tcPr>
          <w:p w14:paraId="0CD30B07">
            <w:pPr>
              <w:rPr>
                <w:rFonts w:eastAsia="仿宋_GB2312"/>
                <w:color w:val="auto"/>
                <w:sz w:val="30"/>
                <w:szCs w:val="30"/>
                <w:highlight w:val="none"/>
              </w:rPr>
            </w:pPr>
          </w:p>
        </w:tc>
        <w:tc>
          <w:tcPr>
            <w:tcW w:w="1243" w:type="dxa"/>
            <w:noWrap w:val="0"/>
            <w:vAlign w:val="top"/>
          </w:tcPr>
          <w:p w14:paraId="558A8B70">
            <w:pPr>
              <w:rPr>
                <w:rFonts w:eastAsia="仿宋_GB2312"/>
                <w:color w:val="auto"/>
                <w:sz w:val="30"/>
                <w:szCs w:val="30"/>
                <w:highlight w:val="none"/>
              </w:rPr>
            </w:pPr>
          </w:p>
        </w:tc>
        <w:tc>
          <w:tcPr>
            <w:tcW w:w="1450" w:type="dxa"/>
            <w:noWrap w:val="0"/>
            <w:vAlign w:val="top"/>
          </w:tcPr>
          <w:p w14:paraId="1E8B9A30">
            <w:pPr>
              <w:rPr>
                <w:rFonts w:eastAsia="仿宋_GB2312"/>
                <w:color w:val="auto"/>
                <w:sz w:val="30"/>
                <w:szCs w:val="30"/>
                <w:highlight w:val="none"/>
              </w:rPr>
            </w:pPr>
          </w:p>
        </w:tc>
        <w:tc>
          <w:tcPr>
            <w:tcW w:w="1667" w:type="dxa"/>
            <w:noWrap w:val="0"/>
            <w:vAlign w:val="top"/>
          </w:tcPr>
          <w:p w14:paraId="756F9100">
            <w:pPr>
              <w:rPr>
                <w:rFonts w:eastAsia="仿宋_GB2312"/>
                <w:color w:val="auto"/>
                <w:sz w:val="30"/>
                <w:szCs w:val="30"/>
                <w:highlight w:val="none"/>
              </w:rPr>
            </w:pPr>
          </w:p>
        </w:tc>
      </w:tr>
      <w:tr w14:paraId="7972E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F3CC06B">
            <w:pPr>
              <w:rPr>
                <w:rFonts w:eastAsia="仿宋_GB2312"/>
                <w:color w:val="auto"/>
                <w:sz w:val="30"/>
                <w:szCs w:val="30"/>
                <w:highlight w:val="none"/>
              </w:rPr>
            </w:pPr>
          </w:p>
        </w:tc>
        <w:tc>
          <w:tcPr>
            <w:tcW w:w="1276" w:type="dxa"/>
            <w:noWrap w:val="0"/>
            <w:vAlign w:val="top"/>
          </w:tcPr>
          <w:p w14:paraId="3E0B119C">
            <w:pPr>
              <w:rPr>
                <w:rFonts w:eastAsia="仿宋_GB2312"/>
                <w:color w:val="auto"/>
                <w:sz w:val="30"/>
                <w:szCs w:val="30"/>
                <w:highlight w:val="none"/>
              </w:rPr>
            </w:pPr>
          </w:p>
        </w:tc>
        <w:tc>
          <w:tcPr>
            <w:tcW w:w="1450" w:type="dxa"/>
            <w:noWrap w:val="0"/>
            <w:vAlign w:val="top"/>
          </w:tcPr>
          <w:p w14:paraId="162ED64E">
            <w:pPr>
              <w:rPr>
                <w:rFonts w:eastAsia="仿宋_GB2312"/>
                <w:color w:val="auto"/>
                <w:sz w:val="30"/>
                <w:szCs w:val="30"/>
                <w:highlight w:val="none"/>
              </w:rPr>
            </w:pPr>
          </w:p>
        </w:tc>
        <w:tc>
          <w:tcPr>
            <w:tcW w:w="1243" w:type="dxa"/>
            <w:noWrap w:val="0"/>
            <w:vAlign w:val="top"/>
          </w:tcPr>
          <w:p w14:paraId="6373DAAC">
            <w:pPr>
              <w:rPr>
                <w:rFonts w:eastAsia="仿宋_GB2312"/>
                <w:color w:val="auto"/>
                <w:sz w:val="30"/>
                <w:szCs w:val="30"/>
                <w:highlight w:val="none"/>
              </w:rPr>
            </w:pPr>
          </w:p>
        </w:tc>
        <w:tc>
          <w:tcPr>
            <w:tcW w:w="1450" w:type="dxa"/>
            <w:noWrap w:val="0"/>
            <w:vAlign w:val="top"/>
          </w:tcPr>
          <w:p w14:paraId="13DECB90">
            <w:pPr>
              <w:rPr>
                <w:rFonts w:eastAsia="仿宋_GB2312"/>
                <w:color w:val="auto"/>
                <w:sz w:val="30"/>
                <w:szCs w:val="30"/>
                <w:highlight w:val="none"/>
              </w:rPr>
            </w:pPr>
          </w:p>
        </w:tc>
        <w:tc>
          <w:tcPr>
            <w:tcW w:w="1667" w:type="dxa"/>
            <w:noWrap w:val="0"/>
            <w:vAlign w:val="top"/>
          </w:tcPr>
          <w:p w14:paraId="67A24E6C">
            <w:pPr>
              <w:rPr>
                <w:rFonts w:eastAsia="仿宋_GB2312"/>
                <w:color w:val="auto"/>
                <w:sz w:val="30"/>
                <w:szCs w:val="30"/>
                <w:highlight w:val="none"/>
              </w:rPr>
            </w:pPr>
          </w:p>
        </w:tc>
      </w:tr>
      <w:tr w14:paraId="3D715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BF216A6">
            <w:pPr>
              <w:rPr>
                <w:rFonts w:eastAsia="仿宋_GB2312"/>
                <w:color w:val="auto"/>
                <w:sz w:val="30"/>
                <w:szCs w:val="30"/>
                <w:highlight w:val="none"/>
              </w:rPr>
            </w:pPr>
          </w:p>
        </w:tc>
        <w:tc>
          <w:tcPr>
            <w:tcW w:w="1276" w:type="dxa"/>
            <w:noWrap w:val="0"/>
            <w:vAlign w:val="top"/>
          </w:tcPr>
          <w:p w14:paraId="52BDE988">
            <w:pPr>
              <w:rPr>
                <w:rFonts w:eastAsia="仿宋_GB2312"/>
                <w:color w:val="auto"/>
                <w:sz w:val="30"/>
                <w:szCs w:val="30"/>
                <w:highlight w:val="none"/>
              </w:rPr>
            </w:pPr>
          </w:p>
        </w:tc>
        <w:tc>
          <w:tcPr>
            <w:tcW w:w="1450" w:type="dxa"/>
            <w:noWrap w:val="0"/>
            <w:vAlign w:val="top"/>
          </w:tcPr>
          <w:p w14:paraId="6EB0792F">
            <w:pPr>
              <w:rPr>
                <w:rFonts w:eastAsia="仿宋_GB2312"/>
                <w:color w:val="auto"/>
                <w:sz w:val="30"/>
                <w:szCs w:val="30"/>
                <w:highlight w:val="none"/>
              </w:rPr>
            </w:pPr>
          </w:p>
        </w:tc>
        <w:tc>
          <w:tcPr>
            <w:tcW w:w="1243" w:type="dxa"/>
            <w:noWrap w:val="0"/>
            <w:vAlign w:val="top"/>
          </w:tcPr>
          <w:p w14:paraId="52C41439">
            <w:pPr>
              <w:rPr>
                <w:rFonts w:eastAsia="仿宋_GB2312"/>
                <w:color w:val="auto"/>
                <w:sz w:val="30"/>
                <w:szCs w:val="30"/>
                <w:highlight w:val="none"/>
              </w:rPr>
            </w:pPr>
          </w:p>
        </w:tc>
        <w:tc>
          <w:tcPr>
            <w:tcW w:w="1450" w:type="dxa"/>
            <w:noWrap w:val="0"/>
            <w:vAlign w:val="top"/>
          </w:tcPr>
          <w:p w14:paraId="0C418823">
            <w:pPr>
              <w:rPr>
                <w:rFonts w:eastAsia="仿宋_GB2312"/>
                <w:color w:val="auto"/>
                <w:sz w:val="30"/>
                <w:szCs w:val="30"/>
                <w:highlight w:val="none"/>
              </w:rPr>
            </w:pPr>
          </w:p>
        </w:tc>
        <w:tc>
          <w:tcPr>
            <w:tcW w:w="1667" w:type="dxa"/>
            <w:noWrap w:val="0"/>
            <w:vAlign w:val="top"/>
          </w:tcPr>
          <w:p w14:paraId="55088788">
            <w:pPr>
              <w:rPr>
                <w:rFonts w:eastAsia="仿宋_GB2312"/>
                <w:color w:val="auto"/>
                <w:sz w:val="30"/>
                <w:szCs w:val="30"/>
                <w:highlight w:val="none"/>
              </w:rPr>
            </w:pPr>
          </w:p>
        </w:tc>
      </w:tr>
      <w:tr w14:paraId="69519A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80A4EA4">
            <w:pPr>
              <w:rPr>
                <w:rFonts w:eastAsia="仿宋_GB2312"/>
                <w:color w:val="auto"/>
                <w:sz w:val="30"/>
                <w:szCs w:val="30"/>
                <w:highlight w:val="none"/>
              </w:rPr>
            </w:pPr>
          </w:p>
        </w:tc>
        <w:tc>
          <w:tcPr>
            <w:tcW w:w="1276" w:type="dxa"/>
            <w:noWrap w:val="0"/>
            <w:vAlign w:val="top"/>
          </w:tcPr>
          <w:p w14:paraId="38324278">
            <w:pPr>
              <w:rPr>
                <w:rFonts w:eastAsia="仿宋_GB2312"/>
                <w:color w:val="auto"/>
                <w:sz w:val="30"/>
                <w:szCs w:val="30"/>
                <w:highlight w:val="none"/>
              </w:rPr>
            </w:pPr>
          </w:p>
        </w:tc>
        <w:tc>
          <w:tcPr>
            <w:tcW w:w="1450" w:type="dxa"/>
            <w:noWrap w:val="0"/>
            <w:vAlign w:val="top"/>
          </w:tcPr>
          <w:p w14:paraId="1D357051">
            <w:pPr>
              <w:rPr>
                <w:rFonts w:eastAsia="仿宋_GB2312"/>
                <w:color w:val="auto"/>
                <w:sz w:val="30"/>
                <w:szCs w:val="30"/>
                <w:highlight w:val="none"/>
              </w:rPr>
            </w:pPr>
          </w:p>
        </w:tc>
        <w:tc>
          <w:tcPr>
            <w:tcW w:w="1243" w:type="dxa"/>
            <w:noWrap w:val="0"/>
            <w:vAlign w:val="top"/>
          </w:tcPr>
          <w:p w14:paraId="43794627">
            <w:pPr>
              <w:rPr>
                <w:rFonts w:eastAsia="仿宋_GB2312"/>
                <w:color w:val="auto"/>
                <w:sz w:val="30"/>
                <w:szCs w:val="30"/>
                <w:highlight w:val="none"/>
              </w:rPr>
            </w:pPr>
          </w:p>
        </w:tc>
        <w:tc>
          <w:tcPr>
            <w:tcW w:w="1450" w:type="dxa"/>
            <w:noWrap w:val="0"/>
            <w:vAlign w:val="top"/>
          </w:tcPr>
          <w:p w14:paraId="6AFE9E63">
            <w:pPr>
              <w:rPr>
                <w:rFonts w:eastAsia="仿宋_GB2312"/>
                <w:color w:val="auto"/>
                <w:sz w:val="30"/>
                <w:szCs w:val="30"/>
                <w:highlight w:val="none"/>
              </w:rPr>
            </w:pPr>
          </w:p>
        </w:tc>
        <w:tc>
          <w:tcPr>
            <w:tcW w:w="1667" w:type="dxa"/>
            <w:noWrap w:val="0"/>
            <w:vAlign w:val="top"/>
          </w:tcPr>
          <w:p w14:paraId="5726496E">
            <w:pPr>
              <w:rPr>
                <w:rFonts w:eastAsia="仿宋_GB2312"/>
                <w:color w:val="auto"/>
                <w:sz w:val="30"/>
                <w:szCs w:val="30"/>
                <w:highlight w:val="none"/>
              </w:rPr>
            </w:pPr>
          </w:p>
        </w:tc>
      </w:tr>
      <w:tr w14:paraId="5854C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6EB5D7C">
            <w:pPr>
              <w:rPr>
                <w:rFonts w:eastAsia="仿宋_GB2312"/>
                <w:color w:val="auto"/>
                <w:sz w:val="30"/>
                <w:szCs w:val="30"/>
                <w:highlight w:val="none"/>
              </w:rPr>
            </w:pPr>
          </w:p>
        </w:tc>
        <w:tc>
          <w:tcPr>
            <w:tcW w:w="1276" w:type="dxa"/>
            <w:noWrap w:val="0"/>
            <w:vAlign w:val="top"/>
          </w:tcPr>
          <w:p w14:paraId="0D1D7D7C">
            <w:pPr>
              <w:rPr>
                <w:rFonts w:eastAsia="仿宋_GB2312"/>
                <w:color w:val="auto"/>
                <w:sz w:val="30"/>
                <w:szCs w:val="30"/>
                <w:highlight w:val="none"/>
              </w:rPr>
            </w:pPr>
          </w:p>
        </w:tc>
        <w:tc>
          <w:tcPr>
            <w:tcW w:w="1450" w:type="dxa"/>
            <w:noWrap w:val="0"/>
            <w:vAlign w:val="top"/>
          </w:tcPr>
          <w:p w14:paraId="79D92246">
            <w:pPr>
              <w:rPr>
                <w:rFonts w:eastAsia="仿宋_GB2312"/>
                <w:color w:val="auto"/>
                <w:sz w:val="30"/>
                <w:szCs w:val="30"/>
                <w:highlight w:val="none"/>
              </w:rPr>
            </w:pPr>
          </w:p>
        </w:tc>
        <w:tc>
          <w:tcPr>
            <w:tcW w:w="1243" w:type="dxa"/>
            <w:noWrap w:val="0"/>
            <w:vAlign w:val="top"/>
          </w:tcPr>
          <w:p w14:paraId="46765263">
            <w:pPr>
              <w:rPr>
                <w:rFonts w:eastAsia="仿宋_GB2312"/>
                <w:color w:val="auto"/>
                <w:sz w:val="30"/>
                <w:szCs w:val="30"/>
                <w:highlight w:val="none"/>
              </w:rPr>
            </w:pPr>
          </w:p>
        </w:tc>
        <w:tc>
          <w:tcPr>
            <w:tcW w:w="1450" w:type="dxa"/>
            <w:noWrap w:val="0"/>
            <w:vAlign w:val="top"/>
          </w:tcPr>
          <w:p w14:paraId="38F8B55D">
            <w:pPr>
              <w:rPr>
                <w:rFonts w:eastAsia="仿宋_GB2312"/>
                <w:color w:val="auto"/>
                <w:sz w:val="30"/>
                <w:szCs w:val="30"/>
                <w:highlight w:val="none"/>
              </w:rPr>
            </w:pPr>
          </w:p>
        </w:tc>
        <w:tc>
          <w:tcPr>
            <w:tcW w:w="1667" w:type="dxa"/>
            <w:noWrap w:val="0"/>
            <w:vAlign w:val="top"/>
          </w:tcPr>
          <w:p w14:paraId="3585CBEA">
            <w:pPr>
              <w:rPr>
                <w:rFonts w:eastAsia="仿宋_GB2312"/>
                <w:color w:val="auto"/>
                <w:sz w:val="30"/>
                <w:szCs w:val="30"/>
                <w:highlight w:val="none"/>
              </w:rPr>
            </w:pPr>
          </w:p>
        </w:tc>
      </w:tr>
    </w:tbl>
    <w:p w14:paraId="4881B7E9">
      <w:pPr>
        <w:spacing w:line="440" w:lineRule="exact"/>
        <w:rPr>
          <w:rFonts w:hint="eastAsia" w:eastAsia="仿宋_GB2312"/>
          <w:color w:val="auto"/>
          <w:sz w:val="30"/>
          <w:szCs w:val="30"/>
          <w:highlight w:val="none"/>
        </w:rPr>
      </w:pPr>
    </w:p>
    <w:p w14:paraId="6AF0C9B2">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eastAsia="仿宋_GB2312" w:cs="仿宋_GB2312"/>
          <w:color w:val="auto"/>
          <w:sz w:val="30"/>
          <w:szCs w:val="30"/>
          <w:highlight w:val="none"/>
        </w:rPr>
        <w:t>附件</w:t>
      </w:r>
      <w:r>
        <w:rPr>
          <w:rFonts w:hint="eastAsia" w:eastAsia="仿宋_GB2312"/>
          <w:color w:val="auto"/>
          <w:sz w:val="30"/>
          <w:szCs w:val="30"/>
          <w:highlight w:val="none"/>
        </w:rPr>
        <w:t>4</w:t>
      </w:r>
      <w:r>
        <w:rPr>
          <w:rFonts w:hint="eastAsia" w:eastAsia="仿宋_GB2312" w:cs="仿宋_GB2312"/>
          <w:color w:val="auto"/>
          <w:sz w:val="30"/>
          <w:szCs w:val="30"/>
          <w:highlight w:val="none"/>
        </w:rPr>
        <w:t>：</w:t>
      </w:r>
    </w:p>
    <w:p w14:paraId="11421C2F">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承包人用于本工程施工的机械设备表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6922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2" w:type="dxa"/>
            <w:noWrap w:val="0"/>
            <w:vAlign w:val="center"/>
          </w:tcPr>
          <w:p w14:paraId="3743520E">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序号</w:t>
            </w:r>
          </w:p>
        </w:tc>
        <w:tc>
          <w:tcPr>
            <w:tcW w:w="1418" w:type="dxa"/>
            <w:noWrap w:val="0"/>
            <w:vAlign w:val="center"/>
          </w:tcPr>
          <w:p w14:paraId="6C3F9B9F">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机械或设备名称</w:t>
            </w:r>
          </w:p>
        </w:tc>
        <w:tc>
          <w:tcPr>
            <w:tcW w:w="850" w:type="dxa"/>
            <w:noWrap w:val="0"/>
            <w:vAlign w:val="center"/>
          </w:tcPr>
          <w:p w14:paraId="0FCD2F23">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规格型号</w:t>
            </w:r>
          </w:p>
        </w:tc>
        <w:tc>
          <w:tcPr>
            <w:tcW w:w="1058" w:type="dxa"/>
            <w:noWrap w:val="0"/>
            <w:vAlign w:val="center"/>
          </w:tcPr>
          <w:p w14:paraId="306DD710">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数量</w:t>
            </w:r>
          </w:p>
        </w:tc>
        <w:tc>
          <w:tcPr>
            <w:tcW w:w="880" w:type="dxa"/>
            <w:noWrap w:val="0"/>
            <w:vAlign w:val="center"/>
          </w:tcPr>
          <w:p w14:paraId="13DC20A6">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产地</w:t>
            </w:r>
          </w:p>
        </w:tc>
        <w:tc>
          <w:tcPr>
            <w:tcW w:w="1020" w:type="dxa"/>
            <w:noWrap w:val="0"/>
            <w:vAlign w:val="center"/>
          </w:tcPr>
          <w:p w14:paraId="13790BB2">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制造年份</w:t>
            </w:r>
          </w:p>
        </w:tc>
        <w:tc>
          <w:tcPr>
            <w:tcW w:w="1480" w:type="dxa"/>
            <w:noWrap w:val="0"/>
            <w:vAlign w:val="center"/>
          </w:tcPr>
          <w:p w14:paraId="12653C8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额定功率（</w:t>
            </w:r>
            <w:r>
              <w:rPr>
                <w:rFonts w:eastAsia="仿宋_GB2312"/>
                <w:color w:val="auto"/>
                <w:sz w:val="28"/>
                <w:szCs w:val="28"/>
                <w:highlight w:val="none"/>
              </w:rPr>
              <w:t>kW</w:t>
            </w:r>
            <w:r>
              <w:rPr>
                <w:rFonts w:hint="eastAsia" w:eastAsia="仿宋_GB2312" w:cs="仿宋_GB2312"/>
                <w:color w:val="auto"/>
                <w:sz w:val="28"/>
                <w:szCs w:val="28"/>
                <w:highlight w:val="none"/>
              </w:rPr>
              <w:t>）</w:t>
            </w:r>
          </w:p>
        </w:tc>
        <w:tc>
          <w:tcPr>
            <w:tcW w:w="1020" w:type="dxa"/>
            <w:noWrap w:val="0"/>
            <w:vAlign w:val="center"/>
          </w:tcPr>
          <w:p w14:paraId="6BEB9512">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生产能力</w:t>
            </w:r>
          </w:p>
        </w:tc>
        <w:tc>
          <w:tcPr>
            <w:tcW w:w="921" w:type="dxa"/>
            <w:noWrap w:val="0"/>
            <w:vAlign w:val="center"/>
          </w:tcPr>
          <w:p w14:paraId="2CEABE5B">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备注</w:t>
            </w:r>
          </w:p>
        </w:tc>
      </w:tr>
      <w:tr w14:paraId="26F9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466B598">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30F004FF">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6F1C0EC">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4C9E3542">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25A98E34">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79ACCB84">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1FE00312">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35B31B41">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4AFDFF92">
            <w:pPr>
              <w:pStyle w:val="18"/>
              <w:keepNext/>
              <w:spacing w:after="0" w:line="440" w:lineRule="exact"/>
              <w:ind w:left="63" w:right="63"/>
              <w:rPr>
                <w:rFonts w:eastAsia="仿宋_GB2312"/>
                <w:color w:val="auto"/>
                <w:sz w:val="30"/>
                <w:szCs w:val="30"/>
                <w:highlight w:val="none"/>
              </w:rPr>
            </w:pPr>
          </w:p>
        </w:tc>
      </w:tr>
      <w:tr w14:paraId="055C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59B139D5">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0E7F5DE7">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17A4A5D1">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48DB96D5">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4F688200">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1228D464">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66236E5D">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7B4E49EB">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3DE7EA06">
            <w:pPr>
              <w:pStyle w:val="18"/>
              <w:keepNext/>
              <w:spacing w:after="0" w:line="440" w:lineRule="exact"/>
              <w:ind w:left="63" w:right="63"/>
              <w:rPr>
                <w:rFonts w:eastAsia="仿宋_GB2312"/>
                <w:color w:val="auto"/>
                <w:sz w:val="30"/>
                <w:szCs w:val="30"/>
                <w:highlight w:val="none"/>
              </w:rPr>
            </w:pPr>
          </w:p>
        </w:tc>
      </w:tr>
      <w:tr w14:paraId="24F1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4FCEABC">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46C0A05A">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F77AD68">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683CC545">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4B6E785B">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350F2731">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6E45E283">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40327003">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6AA4290A">
            <w:pPr>
              <w:pStyle w:val="18"/>
              <w:keepNext/>
              <w:spacing w:after="0" w:line="440" w:lineRule="exact"/>
              <w:ind w:left="63" w:right="63"/>
              <w:rPr>
                <w:rFonts w:eastAsia="仿宋_GB2312"/>
                <w:color w:val="auto"/>
                <w:sz w:val="30"/>
                <w:szCs w:val="30"/>
                <w:highlight w:val="none"/>
              </w:rPr>
            </w:pPr>
          </w:p>
        </w:tc>
      </w:tr>
      <w:tr w14:paraId="7683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DB59F74">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01EBE69D">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2AB15AD7">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7DB6F515">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4519F347">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6127A93F">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357FE73D">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0FDED11C">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3D3986A2">
            <w:pPr>
              <w:pStyle w:val="18"/>
              <w:keepNext/>
              <w:spacing w:after="0" w:line="440" w:lineRule="exact"/>
              <w:ind w:left="63" w:right="63"/>
              <w:rPr>
                <w:rFonts w:eastAsia="仿宋_GB2312"/>
                <w:color w:val="auto"/>
                <w:sz w:val="30"/>
                <w:szCs w:val="30"/>
                <w:highlight w:val="none"/>
              </w:rPr>
            </w:pPr>
          </w:p>
        </w:tc>
      </w:tr>
      <w:tr w14:paraId="621E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AA802EE">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737C1F39">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5692BCBE">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3DCFBA73">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76FBA057">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0731A329">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3C30FF4E">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767D227D">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46411C81">
            <w:pPr>
              <w:pStyle w:val="18"/>
              <w:keepNext/>
              <w:spacing w:after="0" w:line="440" w:lineRule="exact"/>
              <w:ind w:left="63" w:right="63"/>
              <w:rPr>
                <w:rFonts w:eastAsia="仿宋_GB2312"/>
                <w:color w:val="auto"/>
                <w:sz w:val="30"/>
                <w:szCs w:val="30"/>
                <w:highlight w:val="none"/>
              </w:rPr>
            </w:pPr>
          </w:p>
        </w:tc>
      </w:tr>
      <w:tr w14:paraId="131C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E6FCEBB">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4FA98D6E">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4448D63E">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63345661">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2AA63149">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42CE2866">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1376A61B">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56EE1E22">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281158A0">
            <w:pPr>
              <w:pStyle w:val="18"/>
              <w:keepNext/>
              <w:spacing w:after="0" w:line="440" w:lineRule="exact"/>
              <w:ind w:left="63" w:right="63"/>
              <w:rPr>
                <w:rFonts w:eastAsia="仿宋_GB2312"/>
                <w:color w:val="auto"/>
                <w:sz w:val="30"/>
                <w:szCs w:val="30"/>
                <w:highlight w:val="none"/>
              </w:rPr>
            </w:pPr>
          </w:p>
        </w:tc>
      </w:tr>
      <w:tr w14:paraId="5248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7E295151">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2F468B50">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634A734F">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1F302426">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13025899">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607A15EA">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040502FD">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215FD7C3">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5B161D58">
            <w:pPr>
              <w:pStyle w:val="18"/>
              <w:keepNext/>
              <w:spacing w:after="0" w:line="440" w:lineRule="exact"/>
              <w:ind w:left="63" w:right="63"/>
              <w:rPr>
                <w:rFonts w:eastAsia="仿宋_GB2312"/>
                <w:color w:val="auto"/>
                <w:sz w:val="30"/>
                <w:szCs w:val="30"/>
                <w:highlight w:val="none"/>
              </w:rPr>
            </w:pPr>
          </w:p>
        </w:tc>
      </w:tr>
      <w:tr w14:paraId="3E28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B13F492">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54BADD43">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23198E5A">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76DAC693">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164E432A">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057069F1">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67B044CE">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6DD977B6">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018E1123">
            <w:pPr>
              <w:pStyle w:val="18"/>
              <w:keepNext/>
              <w:spacing w:after="0" w:line="440" w:lineRule="exact"/>
              <w:ind w:left="63" w:right="63"/>
              <w:rPr>
                <w:rFonts w:eastAsia="仿宋_GB2312"/>
                <w:color w:val="auto"/>
                <w:sz w:val="30"/>
                <w:szCs w:val="30"/>
                <w:highlight w:val="none"/>
              </w:rPr>
            </w:pPr>
          </w:p>
        </w:tc>
      </w:tr>
      <w:tr w14:paraId="2E02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FCA2D88">
            <w:pPr>
              <w:rPr>
                <w:rFonts w:eastAsia="仿宋_GB2312"/>
                <w:color w:val="auto"/>
                <w:sz w:val="30"/>
                <w:szCs w:val="30"/>
                <w:highlight w:val="none"/>
              </w:rPr>
            </w:pPr>
          </w:p>
        </w:tc>
        <w:tc>
          <w:tcPr>
            <w:tcW w:w="1418" w:type="dxa"/>
            <w:noWrap w:val="0"/>
            <w:vAlign w:val="top"/>
          </w:tcPr>
          <w:p w14:paraId="70F3BC7C">
            <w:pPr>
              <w:rPr>
                <w:rFonts w:eastAsia="仿宋_GB2312"/>
                <w:color w:val="auto"/>
                <w:sz w:val="30"/>
                <w:szCs w:val="30"/>
                <w:highlight w:val="none"/>
              </w:rPr>
            </w:pPr>
          </w:p>
        </w:tc>
        <w:tc>
          <w:tcPr>
            <w:tcW w:w="850" w:type="dxa"/>
            <w:noWrap w:val="0"/>
            <w:vAlign w:val="top"/>
          </w:tcPr>
          <w:p w14:paraId="0EB69338">
            <w:pPr>
              <w:rPr>
                <w:rFonts w:eastAsia="仿宋_GB2312"/>
                <w:color w:val="auto"/>
                <w:sz w:val="30"/>
                <w:szCs w:val="30"/>
                <w:highlight w:val="none"/>
              </w:rPr>
            </w:pPr>
          </w:p>
        </w:tc>
        <w:tc>
          <w:tcPr>
            <w:tcW w:w="1058" w:type="dxa"/>
            <w:noWrap w:val="0"/>
            <w:vAlign w:val="top"/>
          </w:tcPr>
          <w:p w14:paraId="621EDF03">
            <w:pPr>
              <w:rPr>
                <w:rFonts w:eastAsia="仿宋_GB2312"/>
                <w:color w:val="auto"/>
                <w:sz w:val="30"/>
                <w:szCs w:val="30"/>
                <w:highlight w:val="none"/>
              </w:rPr>
            </w:pPr>
          </w:p>
        </w:tc>
        <w:tc>
          <w:tcPr>
            <w:tcW w:w="880" w:type="dxa"/>
            <w:noWrap w:val="0"/>
            <w:vAlign w:val="top"/>
          </w:tcPr>
          <w:p w14:paraId="1AEAD8C5">
            <w:pPr>
              <w:rPr>
                <w:rFonts w:eastAsia="仿宋_GB2312"/>
                <w:color w:val="auto"/>
                <w:sz w:val="30"/>
                <w:szCs w:val="30"/>
                <w:highlight w:val="none"/>
              </w:rPr>
            </w:pPr>
          </w:p>
        </w:tc>
        <w:tc>
          <w:tcPr>
            <w:tcW w:w="1020" w:type="dxa"/>
            <w:noWrap w:val="0"/>
            <w:vAlign w:val="top"/>
          </w:tcPr>
          <w:p w14:paraId="425BF245">
            <w:pPr>
              <w:rPr>
                <w:rFonts w:eastAsia="仿宋_GB2312"/>
                <w:color w:val="auto"/>
                <w:sz w:val="30"/>
                <w:szCs w:val="30"/>
                <w:highlight w:val="none"/>
              </w:rPr>
            </w:pPr>
          </w:p>
        </w:tc>
        <w:tc>
          <w:tcPr>
            <w:tcW w:w="1480" w:type="dxa"/>
            <w:noWrap w:val="0"/>
            <w:vAlign w:val="top"/>
          </w:tcPr>
          <w:p w14:paraId="6D1A6265">
            <w:pPr>
              <w:rPr>
                <w:rFonts w:eastAsia="仿宋_GB2312"/>
                <w:color w:val="auto"/>
                <w:sz w:val="30"/>
                <w:szCs w:val="30"/>
                <w:highlight w:val="none"/>
              </w:rPr>
            </w:pPr>
          </w:p>
        </w:tc>
        <w:tc>
          <w:tcPr>
            <w:tcW w:w="1020" w:type="dxa"/>
            <w:noWrap w:val="0"/>
            <w:vAlign w:val="top"/>
          </w:tcPr>
          <w:p w14:paraId="64818392">
            <w:pPr>
              <w:rPr>
                <w:rFonts w:eastAsia="仿宋_GB2312"/>
                <w:color w:val="auto"/>
                <w:sz w:val="30"/>
                <w:szCs w:val="30"/>
                <w:highlight w:val="none"/>
              </w:rPr>
            </w:pPr>
          </w:p>
        </w:tc>
        <w:tc>
          <w:tcPr>
            <w:tcW w:w="921" w:type="dxa"/>
            <w:noWrap w:val="0"/>
            <w:vAlign w:val="top"/>
          </w:tcPr>
          <w:p w14:paraId="78819DB7">
            <w:pPr>
              <w:rPr>
                <w:rFonts w:eastAsia="仿宋_GB2312"/>
                <w:color w:val="auto"/>
                <w:sz w:val="30"/>
                <w:szCs w:val="30"/>
                <w:highlight w:val="none"/>
              </w:rPr>
            </w:pPr>
          </w:p>
        </w:tc>
      </w:tr>
      <w:tr w14:paraId="4C00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E673726">
            <w:pPr>
              <w:pStyle w:val="18"/>
              <w:keepNext/>
              <w:spacing w:after="0" w:line="440" w:lineRule="exact"/>
              <w:ind w:left="63" w:right="63"/>
              <w:rPr>
                <w:rFonts w:eastAsia="仿宋_GB2312"/>
                <w:color w:val="auto"/>
                <w:sz w:val="30"/>
                <w:szCs w:val="30"/>
                <w:highlight w:val="none"/>
              </w:rPr>
            </w:pPr>
          </w:p>
        </w:tc>
        <w:tc>
          <w:tcPr>
            <w:tcW w:w="1418" w:type="dxa"/>
            <w:noWrap w:val="0"/>
            <w:vAlign w:val="center"/>
          </w:tcPr>
          <w:p w14:paraId="4D078DCE">
            <w:pPr>
              <w:pStyle w:val="18"/>
              <w:keepNext/>
              <w:spacing w:after="0" w:line="440" w:lineRule="exact"/>
              <w:ind w:left="63" w:right="63"/>
              <w:rPr>
                <w:rFonts w:eastAsia="仿宋_GB2312"/>
                <w:color w:val="auto"/>
                <w:sz w:val="30"/>
                <w:szCs w:val="30"/>
                <w:highlight w:val="none"/>
              </w:rPr>
            </w:pPr>
          </w:p>
        </w:tc>
        <w:tc>
          <w:tcPr>
            <w:tcW w:w="850" w:type="dxa"/>
            <w:noWrap w:val="0"/>
            <w:vAlign w:val="center"/>
          </w:tcPr>
          <w:p w14:paraId="0E660F64">
            <w:pPr>
              <w:pStyle w:val="18"/>
              <w:keepNext/>
              <w:spacing w:after="0" w:line="440" w:lineRule="exact"/>
              <w:ind w:left="63" w:right="63"/>
              <w:rPr>
                <w:rFonts w:eastAsia="仿宋_GB2312"/>
                <w:color w:val="auto"/>
                <w:sz w:val="30"/>
                <w:szCs w:val="30"/>
                <w:highlight w:val="none"/>
              </w:rPr>
            </w:pPr>
          </w:p>
        </w:tc>
        <w:tc>
          <w:tcPr>
            <w:tcW w:w="1058" w:type="dxa"/>
            <w:noWrap w:val="0"/>
            <w:vAlign w:val="center"/>
          </w:tcPr>
          <w:p w14:paraId="0480F5A0">
            <w:pPr>
              <w:pStyle w:val="18"/>
              <w:keepNext/>
              <w:spacing w:after="0" w:line="440" w:lineRule="exact"/>
              <w:ind w:left="63" w:right="63"/>
              <w:rPr>
                <w:rFonts w:eastAsia="仿宋_GB2312"/>
                <w:color w:val="auto"/>
                <w:sz w:val="30"/>
                <w:szCs w:val="30"/>
                <w:highlight w:val="none"/>
              </w:rPr>
            </w:pPr>
          </w:p>
        </w:tc>
        <w:tc>
          <w:tcPr>
            <w:tcW w:w="880" w:type="dxa"/>
            <w:noWrap w:val="0"/>
            <w:vAlign w:val="center"/>
          </w:tcPr>
          <w:p w14:paraId="121C4EDF">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4C6C90B9">
            <w:pPr>
              <w:pStyle w:val="18"/>
              <w:keepNext/>
              <w:spacing w:after="0" w:line="440" w:lineRule="exact"/>
              <w:ind w:left="63" w:right="63"/>
              <w:rPr>
                <w:rFonts w:eastAsia="仿宋_GB2312"/>
                <w:color w:val="auto"/>
                <w:sz w:val="30"/>
                <w:szCs w:val="30"/>
                <w:highlight w:val="none"/>
              </w:rPr>
            </w:pPr>
          </w:p>
        </w:tc>
        <w:tc>
          <w:tcPr>
            <w:tcW w:w="1480" w:type="dxa"/>
            <w:noWrap w:val="0"/>
            <w:vAlign w:val="center"/>
          </w:tcPr>
          <w:p w14:paraId="0E14159E">
            <w:pPr>
              <w:pStyle w:val="18"/>
              <w:keepNext/>
              <w:spacing w:after="0" w:line="440" w:lineRule="exact"/>
              <w:ind w:left="63" w:right="63"/>
              <w:rPr>
                <w:rFonts w:eastAsia="仿宋_GB2312"/>
                <w:color w:val="auto"/>
                <w:sz w:val="30"/>
                <w:szCs w:val="30"/>
                <w:highlight w:val="none"/>
              </w:rPr>
            </w:pPr>
          </w:p>
        </w:tc>
        <w:tc>
          <w:tcPr>
            <w:tcW w:w="1020" w:type="dxa"/>
            <w:noWrap w:val="0"/>
            <w:vAlign w:val="center"/>
          </w:tcPr>
          <w:p w14:paraId="43D001D5">
            <w:pPr>
              <w:pStyle w:val="18"/>
              <w:keepNext/>
              <w:spacing w:after="0" w:line="440" w:lineRule="exact"/>
              <w:ind w:left="63" w:right="63"/>
              <w:rPr>
                <w:rFonts w:eastAsia="仿宋_GB2312"/>
                <w:color w:val="auto"/>
                <w:sz w:val="30"/>
                <w:szCs w:val="30"/>
                <w:highlight w:val="none"/>
              </w:rPr>
            </w:pPr>
          </w:p>
        </w:tc>
        <w:tc>
          <w:tcPr>
            <w:tcW w:w="921" w:type="dxa"/>
            <w:noWrap w:val="0"/>
            <w:vAlign w:val="center"/>
          </w:tcPr>
          <w:p w14:paraId="4A0C6A33">
            <w:pPr>
              <w:pStyle w:val="18"/>
              <w:keepNext/>
              <w:spacing w:after="0" w:line="440" w:lineRule="exact"/>
              <w:ind w:left="63" w:right="63"/>
              <w:rPr>
                <w:rFonts w:eastAsia="仿宋_GB2312"/>
                <w:color w:val="auto"/>
                <w:sz w:val="30"/>
                <w:szCs w:val="30"/>
                <w:highlight w:val="none"/>
              </w:rPr>
            </w:pPr>
          </w:p>
        </w:tc>
      </w:tr>
      <w:tr w14:paraId="16D8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3986023">
            <w:pPr>
              <w:rPr>
                <w:rFonts w:eastAsia="仿宋_GB2312"/>
                <w:color w:val="auto"/>
                <w:sz w:val="30"/>
                <w:szCs w:val="30"/>
                <w:highlight w:val="none"/>
              </w:rPr>
            </w:pPr>
          </w:p>
        </w:tc>
        <w:tc>
          <w:tcPr>
            <w:tcW w:w="1418" w:type="dxa"/>
            <w:noWrap w:val="0"/>
            <w:vAlign w:val="top"/>
          </w:tcPr>
          <w:p w14:paraId="6ED4EB99">
            <w:pPr>
              <w:rPr>
                <w:rFonts w:eastAsia="仿宋_GB2312"/>
                <w:color w:val="auto"/>
                <w:sz w:val="30"/>
                <w:szCs w:val="30"/>
                <w:highlight w:val="none"/>
              </w:rPr>
            </w:pPr>
          </w:p>
        </w:tc>
        <w:tc>
          <w:tcPr>
            <w:tcW w:w="850" w:type="dxa"/>
            <w:noWrap w:val="0"/>
            <w:vAlign w:val="top"/>
          </w:tcPr>
          <w:p w14:paraId="0CC3FABA">
            <w:pPr>
              <w:rPr>
                <w:rFonts w:eastAsia="仿宋_GB2312"/>
                <w:color w:val="auto"/>
                <w:sz w:val="30"/>
                <w:szCs w:val="30"/>
                <w:highlight w:val="none"/>
              </w:rPr>
            </w:pPr>
          </w:p>
        </w:tc>
        <w:tc>
          <w:tcPr>
            <w:tcW w:w="1058" w:type="dxa"/>
            <w:noWrap w:val="0"/>
            <w:vAlign w:val="top"/>
          </w:tcPr>
          <w:p w14:paraId="163A8289">
            <w:pPr>
              <w:rPr>
                <w:rFonts w:eastAsia="仿宋_GB2312"/>
                <w:color w:val="auto"/>
                <w:sz w:val="30"/>
                <w:szCs w:val="30"/>
                <w:highlight w:val="none"/>
              </w:rPr>
            </w:pPr>
          </w:p>
        </w:tc>
        <w:tc>
          <w:tcPr>
            <w:tcW w:w="880" w:type="dxa"/>
            <w:noWrap w:val="0"/>
            <w:vAlign w:val="top"/>
          </w:tcPr>
          <w:p w14:paraId="559D7300">
            <w:pPr>
              <w:rPr>
                <w:rFonts w:eastAsia="仿宋_GB2312"/>
                <w:color w:val="auto"/>
                <w:sz w:val="30"/>
                <w:szCs w:val="30"/>
                <w:highlight w:val="none"/>
              </w:rPr>
            </w:pPr>
          </w:p>
        </w:tc>
        <w:tc>
          <w:tcPr>
            <w:tcW w:w="1020" w:type="dxa"/>
            <w:noWrap w:val="0"/>
            <w:vAlign w:val="top"/>
          </w:tcPr>
          <w:p w14:paraId="23964062">
            <w:pPr>
              <w:rPr>
                <w:rFonts w:eastAsia="仿宋_GB2312"/>
                <w:color w:val="auto"/>
                <w:sz w:val="30"/>
                <w:szCs w:val="30"/>
                <w:highlight w:val="none"/>
              </w:rPr>
            </w:pPr>
          </w:p>
        </w:tc>
        <w:tc>
          <w:tcPr>
            <w:tcW w:w="1480" w:type="dxa"/>
            <w:noWrap w:val="0"/>
            <w:vAlign w:val="top"/>
          </w:tcPr>
          <w:p w14:paraId="0F0C160F">
            <w:pPr>
              <w:rPr>
                <w:rFonts w:eastAsia="仿宋_GB2312"/>
                <w:color w:val="auto"/>
                <w:sz w:val="30"/>
                <w:szCs w:val="30"/>
                <w:highlight w:val="none"/>
              </w:rPr>
            </w:pPr>
          </w:p>
        </w:tc>
        <w:tc>
          <w:tcPr>
            <w:tcW w:w="1020" w:type="dxa"/>
            <w:noWrap w:val="0"/>
            <w:vAlign w:val="top"/>
          </w:tcPr>
          <w:p w14:paraId="150BF47E">
            <w:pPr>
              <w:rPr>
                <w:rFonts w:eastAsia="仿宋_GB2312"/>
                <w:color w:val="auto"/>
                <w:sz w:val="30"/>
                <w:szCs w:val="30"/>
                <w:highlight w:val="none"/>
              </w:rPr>
            </w:pPr>
          </w:p>
        </w:tc>
        <w:tc>
          <w:tcPr>
            <w:tcW w:w="921" w:type="dxa"/>
            <w:noWrap w:val="0"/>
            <w:vAlign w:val="top"/>
          </w:tcPr>
          <w:p w14:paraId="2AE9F2C9">
            <w:pPr>
              <w:rPr>
                <w:rFonts w:eastAsia="仿宋_GB2312"/>
                <w:color w:val="auto"/>
                <w:sz w:val="30"/>
                <w:szCs w:val="30"/>
                <w:highlight w:val="none"/>
              </w:rPr>
            </w:pPr>
          </w:p>
        </w:tc>
      </w:tr>
      <w:tr w14:paraId="5E21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92B6A74">
            <w:pPr>
              <w:rPr>
                <w:rFonts w:eastAsia="仿宋_GB2312"/>
                <w:color w:val="auto"/>
                <w:sz w:val="30"/>
                <w:szCs w:val="30"/>
                <w:highlight w:val="none"/>
              </w:rPr>
            </w:pPr>
          </w:p>
        </w:tc>
        <w:tc>
          <w:tcPr>
            <w:tcW w:w="1418" w:type="dxa"/>
            <w:noWrap w:val="0"/>
            <w:vAlign w:val="top"/>
          </w:tcPr>
          <w:p w14:paraId="70857405">
            <w:pPr>
              <w:rPr>
                <w:rFonts w:eastAsia="仿宋_GB2312"/>
                <w:color w:val="auto"/>
                <w:sz w:val="30"/>
                <w:szCs w:val="30"/>
                <w:highlight w:val="none"/>
              </w:rPr>
            </w:pPr>
          </w:p>
        </w:tc>
        <w:tc>
          <w:tcPr>
            <w:tcW w:w="850" w:type="dxa"/>
            <w:noWrap w:val="0"/>
            <w:vAlign w:val="top"/>
          </w:tcPr>
          <w:p w14:paraId="157C57F4">
            <w:pPr>
              <w:rPr>
                <w:rFonts w:eastAsia="仿宋_GB2312"/>
                <w:color w:val="auto"/>
                <w:sz w:val="30"/>
                <w:szCs w:val="30"/>
                <w:highlight w:val="none"/>
              </w:rPr>
            </w:pPr>
          </w:p>
        </w:tc>
        <w:tc>
          <w:tcPr>
            <w:tcW w:w="1058" w:type="dxa"/>
            <w:noWrap w:val="0"/>
            <w:vAlign w:val="top"/>
          </w:tcPr>
          <w:p w14:paraId="27E4D279">
            <w:pPr>
              <w:rPr>
                <w:rFonts w:eastAsia="仿宋_GB2312"/>
                <w:color w:val="auto"/>
                <w:sz w:val="30"/>
                <w:szCs w:val="30"/>
                <w:highlight w:val="none"/>
              </w:rPr>
            </w:pPr>
          </w:p>
        </w:tc>
        <w:tc>
          <w:tcPr>
            <w:tcW w:w="880" w:type="dxa"/>
            <w:noWrap w:val="0"/>
            <w:vAlign w:val="top"/>
          </w:tcPr>
          <w:p w14:paraId="5077DD8E">
            <w:pPr>
              <w:rPr>
                <w:rFonts w:eastAsia="仿宋_GB2312"/>
                <w:color w:val="auto"/>
                <w:sz w:val="30"/>
                <w:szCs w:val="30"/>
                <w:highlight w:val="none"/>
              </w:rPr>
            </w:pPr>
          </w:p>
        </w:tc>
        <w:tc>
          <w:tcPr>
            <w:tcW w:w="1020" w:type="dxa"/>
            <w:noWrap w:val="0"/>
            <w:vAlign w:val="top"/>
          </w:tcPr>
          <w:p w14:paraId="65429D39">
            <w:pPr>
              <w:rPr>
                <w:rFonts w:eastAsia="仿宋_GB2312"/>
                <w:color w:val="auto"/>
                <w:sz w:val="30"/>
                <w:szCs w:val="30"/>
                <w:highlight w:val="none"/>
              </w:rPr>
            </w:pPr>
          </w:p>
        </w:tc>
        <w:tc>
          <w:tcPr>
            <w:tcW w:w="1480" w:type="dxa"/>
            <w:noWrap w:val="0"/>
            <w:vAlign w:val="top"/>
          </w:tcPr>
          <w:p w14:paraId="70AE9692">
            <w:pPr>
              <w:rPr>
                <w:rFonts w:eastAsia="仿宋_GB2312"/>
                <w:color w:val="auto"/>
                <w:sz w:val="30"/>
                <w:szCs w:val="30"/>
                <w:highlight w:val="none"/>
              </w:rPr>
            </w:pPr>
          </w:p>
        </w:tc>
        <w:tc>
          <w:tcPr>
            <w:tcW w:w="1020" w:type="dxa"/>
            <w:noWrap w:val="0"/>
            <w:vAlign w:val="top"/>
          </w:tcPr>
          <w:p w14:paraId="40F0E7A3">
            <w:pPr>
              <w:rPr>
                <w:rFonts w:eastAsia="仿宋_GB2312"/>
                <w:color w:val="auto"/>
                <w:sz w:val="30"/>
                <w:szCs w:val="30"/>
                <w:highlight w:val="none"/>
              </w:rPr>
            </w:pPr>
          </w:p>
        </w:tc>
        <w:tc>
          <w:tcPr>
            <w:tcW w:w="921" w:type="dxa"/>
            <w:noWrap w:val="0"/>
            <w:vAlign w:val="top"/>
          </w:tcPr>
          <w:p w14:paraId="13BC3980">
            <w:pPr>
              <w:rPr>
                <w:rFonts w:eastAsia="仿宋_GB2312"/>
                <w:color w:val="auto"/>
                <w:sz w:val="30"/>
                <w:szCs w:val="30"/>
                <w:highlight w:val="none"/>
              </w:rPr>
            </w:pPr>
          </w:p>
        </w:tc>
      </w:tr>
      <w:tr w14:paraId="60C4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8BB9EE3">
            <w:pPr>
              <w:rPr>
                <w:rFonts w:eastAsia="仿宋_GB2312"/>
                <w:color w:val="auto"/>
                <w:sz w:val="30"/>
                <w:szCs w:val="30"/>
                <w:highlight w:val="none"/>
              </w:rPr>
            </w:pPr>
          </w:p>
        </w:tc>
        <w:tc>
          <w:tcPr>
            <w:tcW w:w="1418" w:type="dxa"/>
            <w:noWrap w:val="0"/>
            <w:vAlign w:val="top"/>
          </w:tcPr>
          <w:p w14:paraId="01B8C533">
            <w:pPr>
              <w:rPr>
                <w:rFonts w:eastAsia="仿宋_GB2312"/>
                <w:color w:val="auto"/>
                <w:sz w:val="30"/>
                <w:szCs w:val="30"/>
                <w:highlight w:val="none"/>
              </w:rPr>
            </w:pPr>
          </w:p>
        </w:tc>
        <w:tc>
          <w:tcPr>
            <w:tcW w:w="850" w:type="dxa"/>
            <w:noWrap w:val="0"/>
            <w:vAlign w:val="top"/>
          </w:tcPr>
          <w:p w14:paraId="4267050A">
            <w:pPr>
              <w:rPr>
                <w:rFonts w:eastAsia="仿宋_GB2312"/>
                <w:color w:val="auto"/>
                <w:sz w:val="30"/>
                <w:szCs w:val="30"/>
                <w:highlight w:val="none"/>
              </w:rPr>
            </w:pPr>
          </w:p>
        </w:tc>
        <w:tc>
          <w:tcPr>
            <w:tcW w:w="1058" w:type="dxa"/>
            <w:noWrap w:val="0"/>
            <w:vAlign w:val="top"/>
          </w:tcPr>
          <w:p w14:paraId="5E80AF21">
            <w:pPr>
              <w:rPr>
                <w:rFonts w:eastAsia="仿宋_GB2312"/>
                <w:color w:val="auto"/>
                <w:sz w:val="30"/>
                <w:szCs w:val="30"/>
                <w:highlight w:val="none"/>
              </w:rPr>
            </w:pPr>
          </w:p>
        </w:tc>
        <w:tc>
          <w:tcPr>
            <w:tcW w:w="880" w:type="dxa"/>
            <w:noWrap w:val="0"/>
            <w:vAlign w:val="top"/>
          </w:tcPr>
          <w:p w14:paraId="117F58E1">
            <w:pPr>
              <w:rPr>
                <w:rFonts w:eastAsia="仿宋_GB2312"/>
                <w:color w:val="auto"/>
                <w:sz w:val="30"/>
                <w:szCs w:val="30"/>
                <w:highlight w:val="none"/>
              </w:rPr>
            </w:pPr>
          </w:p>
        </w:tc>
        <w:tc>
          <w:tcPr>
            <w:tcW w:w="1020" w:type="dxa"/>
            <w:noWrap w:val="0"/>
            <w:vAlign w:val="top"/>
          </w:tcPr>
          <w:p w14:paraId="1D60A792">
            <w:pPr>
              <w:rPr>
                <w:rFonts w:eastAsia="仿宋_GB2312"/>
                <w:color w:val="auto"/>
                <w:sz w:val="30"/>
                <w:szCs w:val="30"/>
                <w:highlight w:val="none"/>
              </w:rPr>
            </w:pPr>
          </w:p>
        </w:tc>
        <w:tc>
          <w:tcPr>
            <w:tcW w:w="1480" w:type="dxa"/>
            <w:noWrap w:val="0"/>
            <w:vAlign w:val="top"/>
          </w:tcPr>
          <w:p w14:paraId="5114FB08">
            <w:pPr>
              <w:rPr>
                <w:rFonts w:eastAsia="仿宋_GB2312"/>
                <w:color w:val="auto"/>
                <w:sz w:val="30"/>
                <w:szCs w:val="30"/>
                <w:highlight w:val="none"/>
              </w:rPr>
            </w:pPr>
          </w:p>
        </w:tc>
        <w:tc>
          <w:tcPr>
            <w:tcW w:w="1020" w:type="dxa"/>
            <w:noWrap w:val="0"/>
            <w:vAlign w:val="top"/>
          </w:tcPr>
          <w:p w14:paraId="44F7416B">
            <w:pPr>
              <w:rPr>
                <w:rFonts w:eastAsia="仿宋_GB2312"/>
                <w:color w:val="auto"/>
                <w:sz w:val="30"/>
                <w:szCs w:val="30"/>
                <w:highlight w:val="none"/>
              </w:rPr>
            </w:pPr>
          </w:p>
        </w:tc>
        <w:tc>
          <w:tcPr>
            <w:tcW w:w="921" w:type="dxa"/>
            <w:noWrap w:val="0"/>
            <w:vAlign w:val="top"/>
          </w:tcPr>
          <w:p w14:paraId="31201B52">
            <w:pPr>
              <w:rPr>
                <w:rFonts w:eastAsia="仿宋_GB2312"/>
                <w:color w:val="auto"/>
                <w:sz w:val="30"/>
                <w:szCs w:val="30"/>
                <w:highlight w:val="none"/>
              </w:rPr>
            </w:pPr>
          </w:p>
        </w:tc>
      </w:tr>
      <w:tr w14:paraId="0D9A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11AEDE4">
            <w:pPr>
              <w:rPr>
                <w:rFonts w:eastAsia="仿宋_GB2312"/>
                <w:color w:val="auto"/>
                <w:sz w:val="30"/>
                <w:szCs w:val="30"/>
                <w:highlight w:val="none"/>
              </w:rPr>
            </w:pPr>
          </w:p>
        </w:tc>
        <w:tc>
          <w:tcPr>
            <w:tcW w:w="1418" w:type="dxa"/>
            <w:noWrap w:val="0"/>
            <w:vAlign w:val="top"/>
          </w:tcPr>
          <w:p w14:paraId="38AB1092">
            <w:pPr>
              <w:rPr>
                <w:rFonts w:eastAsia="仿宋_GB2312"/>
                <w:color w:val="auto"/>
                <w:sz w:val="30"/>
                <w:szCs w:val="30"/>
                <w:highlight w:val="none"/>
              </w:rPr>
            </w:pPr>
          </w:p>
        </w:tc>
        <w:tc>
          <w:tcPr>
            <w:tcW w:w="850" w:type="dxa"/>
            <w:noWrap w:val="0"/>
            <w:vAlign w:val="top"/>
          </w:tcPr>
          <w:p w14:paraId="4CCD1BD3">
            <w:pPr>
              <w:rPr>
                <w:rFonts w:eastAsia="仿宋_GB2312"/>
                <w:color w:val="auto"/>
                <w:sz w:val="30"/>
                <w:szCs w:val="30"/>
                <w:highlight w:val="none"/>
              </w:rPr>
            </w:pPr>
          </w:p>
        </w:tc>
        <w:tc>
          <w:tcPr>
            <w:tcW w:w="1058" w:type="dxa"/>
            <w:noWrap w:val="0"/>
            <w:vAlign w:val="top"/>
          </w:tcPr>
          <w:p w14:paraId="1B92BD7D">
            <w:pPr>
              <w:rPr>
                <w:rFonts w:eastAsia="仿宋_GB2312"/>
                <w:color w:val="auto"/>
                <w:sz w:val="30"/>
                <w:szCs w:val="30"/>
                <w:highlight w:val="none"/>
              </w:rPr>
            </w:pPr>
          </w:p>
        </w:tc>
        <w:tc>
          <w:tcPr>
            <w:tcW w:w="880" w:type="dxa"/>
            <w:noWrap w:val="0"/>
            <w:vAlign w:val="top"/>
          </w:tcPr>
          <w:p w14:paraId="61249944">
            <w:pPr>
              <w:rPr>
                <w:rFonts w:eastAsia="仿宋_GB2312"/>
                <w:color w:val="auto"/>
                <w:sz w:val="30"/>
                <w:szCs w:val="30"/>
                <w:highlight w:val="none"/>
              </w:rPr>
            </w:pPr>
          </w:p>
        </w:tc>
        <w:tc>
          <w:tcPr>
            <w:tcW w:w="1020" w:type="dxa"/>
            <w:noWrap w:val="0"/>
            <w:vAlign w:val="top"/>
          </w:tcPr>
          <w:p w14:paraId="41294380">
            <w:pPr>
              <w:rPr>
                <w:rFonts w:eastAsia="仿宋_GB2312"/>
                <w:color w:val="auto"/>
                <w:sz w:val="30"/>
                <w:szCs w:val="30"/>
                <w:highlight w:val="none"/>
              </w:rPr>
            </w:pPr>
          </w:p>
        </w:tc>
        <w:tc>
          <w:tcPr>
            <w:tcW w:w="1480" w:type="dxa"/>
            <w:noWrap w:val="0"/>
            <w:vAlign w:val="top"/>
          </w:tcPr>
          <w:p w14:paraId="619D16ED">
            <w:pPr>
              <w:rPr>
                <w:rFonts w:eastAsia="仿宋_GB2312"/>
                <w:color w:val="auto"/>
                <w:sz w:val="30"/>
                <w:szCs w:val="30"/>
                <w:highlight w:val="none"/>
              </w:rPr>
            </w:pPr>
          </w:p>
        </w:tc>
        <w:tc>
          <w:tcPr>
            <w:tcW w:w="1020" w:type="dxa"/>
            <w:noWrap w:val="0"/>
            <w:vAlign w:val="top"/>
          </w:tcPr>
          <w:p w14:paraId="60DE1B8F">
            <w:pPr>
              <w:rPr>
                <w:rFonts w:eastAsia="仿宋_GB2312"/>
                <w:color w:val="auto"/>
                <w:sz w:val="30"/>
                <w:szCs w:val="30"/>
                <w:highlight w:val="none"/>
              </w:rPr>
            </w:pPr>
          </w:p>
        </w:tc>
        <w:tc>
          <w:tcPr>
            <w:tcW w:w="921" w:type="dxa"/>
            <w:noWrap w:val="0"/>
            <w:vAlign w:val="top"/>
          </w:tcPr>
          <w:p w14:paraId="46DFCC15">
            <w:pPr>
              <w:rPr>
                <w:rFonts w:eastAsia="仿宋_GB2312"/>
                <w:color w:val="auto"/>
                <w:sz w:val="30"/>
                <w:szCs w:val="30"/>
                <w:highlight w:val="none"/>
              </w:rPr>
            </w:pPr>
          </w:p>
        </w:tc>
      </w:tr>
      <w:tr w14:paraId="13FC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B2A5EC9">
            <w:pPr>
              <w:rPr>
                <w:rFonts w:eastAsia="仿宋_GB2312"/>
                <w:color w:val="auto"/>
                <w:sz w:val="30"/>
                <w:szCs w:val="30"/>
                <w:highlight w:val="none"/>
              </w:rPr>
            </w:pPr>
          </w:p>
        </w:tc>
        <w:tc>
          <w:tcPr>
            <w:tcW w:w="1418" w:type="dxa"/>
            <w:noWrap w:val="0"/>
            <w:vAlign w:val="top"/>
          </w:tcPr>
          <w:p w14:paraId="022FA2E4">
            <w:pPr>
              <w:rPr>
                <w:rFonts w:eastAsia="仿宋_GB2312"/>
                <w:color w:val="auto"/>
                <w:sz w:val="30"/>
                <w:szCs w:val="30"/>
                <w:highlight w:val="none"/>
              </w:rPr>
            </w:pPr>
          </w:p>
        </w:tc>
        <w:tc>
          <w:tcPr>
            <w:tcW w:w="850" w:type="dxa"/>
            <w:noWrap w:val="0"/>
            <w:vAlign w:val="top"/>
          </w:tcPr>
          <w:p w14:paraId="6BAF904C">
            <w:pPr>
              <w:rPr>
                <w:rFonts w:eastAsia="仿宋_GB2312"/>
                <w:color w:val="auto"/>
                <w:sz w:val="30"/>
                <w:szCs w:val="30"/>
                <w:highlight w:val="none"/>
              </w:rPr>
            </w:pPr>
          </w:p>
        </w:tc>
        <w:tc>
          <w:tcPr>
            <w:tcW w:w="1058" w:type="dxa"/>
            <w:noWrap w:val="0"/>
            <w:vAlign w:val="top"/>
          </w:tcPr>
          <w:p w14:paraId="295B23DE">
            <w:pPr>
              <w:rPr>
                <w:rFonts w:eastAsia="仿宋_GB2312"/>
                <w:color w:val="auto"/>
                <w:sz w:val="30"/>
                <w:szCs w:val="30"/>
                <w:highlight w:val="none"/>
              </w:rPr>
            </w:pPr>
          </w:p>
        </w:tc>
        <w:tc>
          <w:tcPr>
            <w:tcW w:w="880" w:type="dxa"/>
            <w:noWrap w:val="0"/>
            <w:vAlign w:val="top"/>
          </w:tcPr>
          <w:p w14:paraId="4FA2C9E6">
            <w:pPr>
              <w:rPr>
                <w:rFonts w:eastAsia="仿宋_GB2312"/>
                <w:color w:val="auto"/>
                <w:sz w:val="30"/>
                <w:szCs w:val="30"/>
                <w:highlight w:val="none"/>
              </w:rPr>
            </w:pPr>
          </w:p>
        </w:tc>
        <w:tc>
          <w:tcPr>
            <w:tcW w:w="1020" w:type="dxa"/>
            <w:noWrap w:val="0"/>
            <w:vAlign w:val="top"/>
          </w:tcPr>
          <w:p w14:paraId="3FA7E6D3">
            <w:pPr>
              <w:rPr>
                <w:rFonts w:eastAsia="仿宋_GB2312"/>
                <w:color w:val="auto"/>
                <w:sz w:val="30"/>
                <w:szCs w:val="30"/>
                <w:highlight w:val="none"/>
              </w:rPr>
            </w:pPr>
          </w:p>
        </w:tc>
        <w:tc>
          <w:tcPr>
            <w:tcW w:w="1480" w:type="dxa"/>
            <w:noWrap w:val="0"/>
            <w:vAlign w:val="top"/>
          </w:tcPr>
          <w:p w14:paraId="50909B44">
            <w:pPr>
              <w:rPr>
                <w:rFonts w:eastAsia="仿宋_GB2312"/>
                <w:color w:val="auto"/>
                <w:sz w:val="30"/>
                <w:szCs w:val="30"/>
                <w:highlight w:val="none"/>
              </w:rPr>
            </w:pPr>
          </w:p>
        </w:tc>
        <w:tc>
          <w:tcPr>
            <w:tcW w:w="1020" w:type="dxa"/>
            <w:noWrap w:val="0"/>
            <w:vAlign w:val="top"/>
          </w:tcPr>
          <w:p w14:paraId="5598B5D6">
            <w:pPr>
              <w:rPr>
                <w:rFonts w:eastAsia="仿宋_GB2312"/>
                <w:color w:val="auto"/>
                <w:sz w:val="30"/>
                <w:szCs w:val="30"/>
                <w:highlight w:val="none"/>
              </w:rPr>
            </w:pPr>
          </w:p>
        </w:tc>
        <w:tc>
          <w:tcPr>
            <w:tcW w:w="921" w:type="dxa"/>
            <w:noWrap w:val="0"/>
            <w:vAlign w:val="top"/>
          </w:tcPr>
          <w:p w14:paraId="5E3F7158">
            <w:pPr>
              <w:rPr>
                <w:rFonts w:eastAsia="仿宋_GB2312"/>
                <w:color w:val="auto"/>
                <w:sz w:val="30"/>
                <w:szCs w:val="30"/>
                <w:highlight w:val="none"/>
              </w:rPr>
            </w:pPr>
          </w:p>
        </w:tc>
      </w:tr>
      <w:tr w14:paraId="0B0A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CC93706">
            <w:pPr>
              <w:rPr>
                <w:rFonts w:eastAsia="仿宋_GB2312"/>
                <w:color w:val="auto"/>
                <w:sz w:val="30"/>
                <w:szCs w:val="30"/>
                <w:highlight w:val="none"/>
              </w:rPr>
            </w:pPr>
          </w:p>
        </w:tc>
        <w:tc>
          <w:tcPr>
            <w:tcW w:w="1418" w:type="dxa"/>
            <w:noWrap w:val="0"/>
            <w:vAlign w:val="top"/>
          </w:tcPr>
          <w:p w14:paraId="6D26E154">
            <w:pPr>
              <w:rPr>
                <w:rFonts w:eastAsia="仿宋_GB2312"/>
                <w:color w:val="auto"/>
                <w:sz w:val="30"/>
                <w:szCs w:val="30"/>
                <w:highlight w:val="none"/>
              </w:rPr>
            </w:pPr>
          </w:p>
        </w:tc>
        <w:tc>
          <w:tcPr>
            <w:tcW w:w="850" w:type="dxa"/>
            <w:noWrap w:val="0"/>
            <w:vAlign w:val="top"/>
          </w:tcPr>
          <w:p w14:paraId="6B392EE1">
            <w:pPr>
              <w:rPr>
                <w:rFonts w:eastAsia="仿宋_GB2312"/>
                <w:color w:val="auto"/>
                <w:sz w:val="30"/>
                <w:szCs w:val="30"/>
                <w:highlight w:val="none"/>
              </w:rPr>
            </w:pPr>
          </w:p>
        </w:tc>
        <w:tc>
          <w:tcPr>
            <w:tcW w:w="1058" w:type="dxa"/>
            <w:noWrap w:val="0"/>
            <w:vAlign w:val="top"/>
          </w:tcPr>
          <w:p w14:paraId="4828E222">
            <w:pPr>
              <w:rPr>
                <w:rFonts w:eastAsia="仿宋_GB2312"/>
                <w:color w:val="auto"/>
                <w:sz w:val="30"/>
                <w:szCs w:val="30"/>
                <w:highlight w:val="none"/>
              </w:rPr>
            </w:pPr>
          </w:p>
        </w:tc>
        <w:tc>
          <w:tcPr>
            <w:tcW w:w="880" w:type="dxa"/>
            <w:noWrap w:val="0"/>
            <w:vAlign w:val="top"/>
          </w:tcPr>
          <w:p w14:paraId="6283FA35">
            <w:pPr>
              <w:rPr>
                <w:rFonts w:eastAsia="仿宋_GB2312"/>
                <w:color w:val="auto"/>
                <w:sz w:val="30"/>
                <w:szCs w:val="30"/>
                <w:highlight w:val="none"/>
              </w:rPr>
            </w:pPr>
          </w:p>
        </w:tc>
        <w:tc>
          <w:tcPr>
            <w:tcW w:w="1020" w:type="dxa"/>
            <w:noWrap w:val="0"/>
            <w:vAlign w:val="top"/>
          </w:tcPr>
          <w:p w14:paraId="5AEC4273">
            <w:pPr>
              <w:rPr>
                <w:rFonts w:eastAsia="仿宋_GB2312"/>
                <w:color w:val="auto"/>
                <w:sz w:val="30"/>
                <w:szCs w:val="30"/>
                <w:highlight w:val="none"/>
              </w:rPr>
            </w:pPr>
          </w:p>
        </w:tc>
        <w:tc>
          <w:tcPr>
            <w:tcW w:w="1480" w:type="dxa"/>
            <w:noWrap w:val="0"/>
            <w:vAlign w:val="top"/>
          </w:tcPr>
          <w:p w14:paraId="10A3BB0C">
            <w:pPr>
              <w:rPr>
                <w:rFonts w:eastAsia="仿宋_GB2312"/>
                <w:color w:val="auto"/>
                <w:sz w:val="30"/>
                <w:szCs w:val="30"/>
                <w:highlight w:val="none"/>
              </w:rPr>
            </w:pPr>
          </w:p>
        </w:tc>
        <w:tc>
          <w:tcPr>
            <w:tcW w:w="1020" w:type="dxa"/>
            <w:noWrap w:val="0"/>
            <w:vAlign w:val="top"/>
          </w:tcPr>
          <w:p w14:paraId="3D32AFC2">
            <w:pPr>
              <w:rPr>
                <w:rFonts w:eastAsia="仿宋_GB2312"/>
                <w:color w:val="auto"/>
                <w:sz w:val="30"/>
                <w:szCs w:val="30"/>
                <w:highlight w:val="none"/>
              </w:rPr>
            </w:pPr>
          </w:p>
        </w:tc>
        <w:tc>
          <w:tcPr>
            <w:tcW w:w="921" w:type="dxa"/>
            <w:noWrap w:val="0"/>
            <w:vAlign w:val="top"/>
          </w:tcPr>
          <w:p w14:paraId="6563821B">
            <w:pPr>
              <w:rPr>
                <w:rFonts w:eastAsia="仿宋_GB2312"/>
                <w:color w:val="auto"/>
                <w:sz w:val="30"/>
                <w:szCs w:val="30"/>
                <w:highlight w:val="none"/>
              </w:rPr>
            </w:pPr>
          </w:p>
        </w:tc>
      </w:tr>
      <w:tr w14:paraId="5E59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37A3C0A">
            <w:pPr>
              <w:rPr>
                <w:rFonts w:eastAsia="仿宋_GB2312"/>
                <w:color w:val="auto"/>
                <w:sz w:val="30"/>
                <w:szCs w:val="30"/>
                <w:highlight w:val="none"/>
              </w:rPr>
            </w:pPr>
          </w:p>
        </w:tc>
        <w:tc>
          <w:tcPr>
            <w:tcW w:w="1418" w:type="dxa"/>
            <w:noWrap w:val="0"/>
            <w:vAlign w:val="top"/>
          </w:tcPr>
          <w:p w14:paraId="768BEA8F">
            <w:pPr>
              <w:rPr>
                <w:rFonts w:eastAsia="仿宋_GB2312"/>
                <w:color w:val="auto"/>
                <w:sz w:val="30"/>
                <w:szCs w:val="30"/>
                <w:highlight w:val="none"/>
              </w:rPr>
            </w:pPr>
          </w:p>
        </w:tc>
        <w:tc>
          <w:tcPr>
            <w:tcW w:w="850" w:type="dxa"/>
            <w:noWrap w:val="0"/>
            <w:vAlign w:val="top"/>
          </w:tcPr>
          <w:p w14:paraId="7EF080EA">
            <w:pPr>
              <w:rPr>
                <w:rFonts w:eastAsia="仿宋_GB2312"/>
                <w:color w:val="auto"/>
                <w:sz w:val="30"/>
                <w:szCs w:val="30"/>
                <w:highlight w:val="none"/>
              </w:rPr>
            </w:pPr>
          </w:p>
        </w:tc>
        <w:tc>
          <w:tcPr>
            <w:tcW w:w="1058" w:type="dxa"/>
            <w:noWrap w:val="0"/>
            <w:vAlign w:val="top"/>
          </w:tcPr>
          <w:p w14:paraId="43CF1AB7">
            <w:pPr>
              <w:rPr>
                <w:rFonts w:eastAsia="仿宋_GB2312"/>
                <w:color w:val="auto"/>
                <w:sz w:val="30"/>
                <w:szCs w:val="30"/>
                <w:highlight w:val="none"/>
              </w:rPr>
            </w:pPr>
          </w:p>
        </w:tc>
        <w:tc>
          <w:tcPr>
            <w:tcW w:w="880" w:type="dxa"/>
            <w:noWrap w:val="0"/>
            <w:vAlign w:val="top"/>
          </w:tcPr>
          <w:p w14:paraId="39EE95A7">
            <w:pPr>
              <w:rPr>
                <w:rFonts w:eastAsia="仿宋_GB2312"/>
                <w:color w:val="auto"/>
                <w:sz w:val="30"/>
                <w:szCs w:val="30"/>
                <w:highlight w:val="none"/>
              </w:rPr>
            </w:pPr>
          </w:p>
        </w:tc>
        <w:tc>
          <w:tcPr>
            <w:tcW w:w="1020" w:type="dxa"/>
            <w:noWrap w:val="0"/>
            <w:vAlign w:val="top"/>
          </w:tcPr>
          <w:p w14:paraId="3A564513">
            <w:pPr>
              <w:rPr>
                <w:rFonts w:eastAsia="仿宋_GB2312"/>
                <w:color w:val="auto"/>
                <w:sz w:val="30"/>
                <w:szCs w:val="30"/>
                <w:highlight w:val="none"/>
              </w:rPr>
            </w:pPr>
          </w:p>
        </w:tc>
        <w:tc>
          <w:tcPr>
            <w:tcW w:w="1480" w:type="dxa"/>
            <w:noWrap w:val="0"/>
            <w:vAlign w:val="top"/>
          </w:tcPr>
          <w:p w14:paraId="25B22C1F">
            <w:pPr>
              <w:rPr>
                <w:rFonts w:eastAsia="仿宋_GB2312"/>
                <w:color w:val="auto"/>
                <w:sz w:val="30"/>
                <w:szCs w:val="30"/>
                <w:highlight w:val="none"/>
              </w:rPr>
            </w:pPr>
          </w:p>
        </w:tc>
        <w:tc>
          <w:tcPr>
            <w:tcW w:w="1020" w:type="dxa"/>
            <w:noWrap w:val="0"/>
            <w:vAlign w:val="top"/>
          </w:tcPr>
          <w:p w14:paraId="320FE1D7">
            <w:pPr>
              <w:rPr>
                <w:rFonts w:eastAsia="仿宋_GB2312"/>
                <w:color w:val="auto"/>
                <w:sz w:val="30"/>
                <w:szCs w:val="30"/>
                <w:highlight w:val="none"/>
              </w:rPr>
            </w:pPr>
          </w:p>
        </w:tc>
        <w:tc>
          <w:tcPr>
            <w:tcW w:w="921" w:type="dxa"/>
            <w:noWrap w:val="0"/>
            <w:vAlign w:val="top"/>
          </w:tcPr>
          <w:p w14:paraId="46841833">
            <w:pPr>
              <w:rPr>
                <w:rFonts w:eastAsia="仿宋_GB2312"/>
                <w:color w:val="auto"/>
                <w:sz w:val="30"/>
                <w:szCs w:val="30"/>
                <w:highlight w:val="none"/>
              </w:rPr>
            </w:pPr>
          </w:p>
        </w:tc>
      </w:tr>
      <w:tr w14:paraId="0AB8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D529B48">
            <w:pPr>
              <w:rPr>
                <w:rFonts w:eastAsia="仿宋_GB2312"/>
                <w:color w:val="auto"/>
                <w:sz w:val="30"/>
                <w:szCs w:val="30"/>
                <w:highlight w:val="none"/>
              </w:rPr>
            </w:pPr>
          </w:p>
        </w:tc>
        <w:tc>
          <w:tcPr>
            <w:tcW w:w="1418" w:type="dxa"/>
            <w:noWrap w:val="0"/>
            <w:vAlign w:val="top"/>
          </w:tcPr>
          <w:p w14:paraId="7CFBFED0">
            <w:pPr>
              <w:rPr>
                <w:rFonts w:eastAsia="仿宋_GB2312"/>
                <w:color w:val="auto"/>
                <w:sz w:val="30"/>
                <w:szCs w:val="30"/>
                <w:highlight w:val="none"/>
              </w:rPr>
            </w:pPr>
          </w:p>
        </w:tc>
        <w:tc>
          <w:tcPr>
            <w:tcW w:w="850" w:type="dxa"/>
            <w:noWrap w:val="0"/>
            <w:vAlign w:val="top"/>
          </w:tcPr>
          <w:p w14:paraId="632C1A1E">
            <w:pPr>
              <w:rPr>
                <w:rFonts w:eastAsia="仿宋_GB2312"/>
                <w:color w:val="auto"/>
                <w:sz w:val="30"/>
                <w:szCs w:val="30"/>
                <w:highlight w:val="none"/>
              </w:rPr>
            </w:pPr>
          </w:p>
        </w:tc>
        <w:tc>
          <w:tcPr>
            <w:tcW w:w="1058" w:type="dxa"/>
            <w:noWrap w:val="0"/>
            <w:vAlign w:val="top"/>
          </w:tcPr>
          <w:p w14:paraId="4B6E6B65">
            <w:pPr>
              <w:rPr>
                <w:rFonts w:eastAsia="仿宋_GB2312"/>
                <w:color w:val="auto"/>
                <w:sz w:val="30"/>
                <w:szCs w:val="30"/>
                <w:highlight w:val="none"/>
              </w:rPr>
            </w:pPr>
          </w:p>
        </w:tc>
        <w:tc>
          <w:tcPr>
            <w:tcW w:w="880" w:type="dxa"/>
            <w:noWrap w:val="0"/>
            <w:vAlign w:val="top"/>
          </w:tcPr>
          <w:p w14:paraId="46264F91">
            <w:pPr>
              <w:rPr>
                <w:rFonts w:eastAsia="仿宋_GB2312"/>
                <w:color w:val="auto"/>
                <w:sz w:val="30"/>
                <w:szCs w:val="30"/>
                <w:highlight w:val="none"/>
              </w:rPr>
            </w:pPr>
          </w:p>
        </w:tc>
        <w:tc>
          <w:tcPr>
            <w:tcW w:w="1020" w:type="dxa"/>
            <w:noWrap w:val="0"/>
            <w:vAlign w:val="top"/>
          </w:tcPr>
          <w:p w14:paraId="56EB3FD3">
            <w:pPr>
              <w:rPr>
                <w:rFonts w:eastAsia="仿宋_GB2312"/>
                <w:color w:val="auto"/>
                <w:sz w:val="30"/>
                <w:szCs w:val="30"/>
                <w:highlight w:val="none"/>
              </w:rPr>
            </w:pPr>
          </w:p>
        </w:tc>
        <w:tc>
          <w:tcPr>
            <w:tcW w:w="1480" w:type="dxa"/>
            <w:noWrap w:val="0"/>
            <w:vAlign w:val="top"/>
          </w:tcPr>
          <w:p w14:paraId="72BEE9C9">
            <w:pPr>
              <w:rPr>
                <w:rFonts w:eastAsia="仿宋_GB2312"/>
                <w:color w:val="auto"/>
                <w:sz w:val="30"/>
                <w:szCs w:val="30"/>
                <w:highlight w:val="none"/>
              </w:rPr>
            </w:pPr>
          </w:p>
        </w:tc>
        <w:tc>
          <w:tcPr>
            <w:tcW w:w="1020" w:type="dxa"/>
            <w:noWrap w:val="0"/>
            <w:vAlign w:val="top"/>
          </w:tcPr>
          <w:p w14:paraId="5850B77C">
            <w:pPr>
              <w:rPr>
                <w:rFonts w:eastAsia="仿宋_GB2312"/>
                <w:color w:val="auto"/>
                <w:sz w:val="30"/>
                <w:szCs w:val="30"/>
                <w:highlight w:val="none"/>
              </w:rPr>
            </w:pPr>
          </w:p>
        </w:tc>
        <w:tc>
          <w:tcPr>
            <w:tcW w:w="921" w:type="dxa"/>
            <w:noWrap w:val="0"/>
            <w:vAlign w:val="top"/>
          </w:tcPr>
          <w:p w14:paraId="16B7BA5D">
            <w:pPr>
              <w:rPr>
                <w:rFonts w:eastAsia="仿宋_GB2312"/>
                <w:color w:val="auto"/>
                <w:sz w:val="30"/>
                <w:szCs w:val="30"/>
                <w:highlight w:val="none"/>
              </w:rPr>
            </w:pPr>
          </w:p>
        </w:tc>
      </w:tr>
      <w:tr w14:paraId="5C25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05D0130B">
            <w:pPr>
              <w:rPr>
                <w:rFonts w:eastAsia="仿宋_GB2312"/>
                <w:color w:val="auto"/>
                <w:sz w:val="30"/>
                <w:szCs w:val="30"/>
                <w:highlight w:val="none"/>
              </w:rPr>
            </w:pPr>
          </w:p>
        </w:tc>
        <w:tc>
          <w:tcPr>
            <w:tcW w:w="1418" w:type="dxa"/>
            <w:noWrap w:val="0"/>
            <w:vAlign w:val="top"/>
          </w:tcPr>
          <w:p w14:paraId="22C2C9F2">
            <w:pPr>
              <w:rPr>
                <w:rFonts w:eastAsia="仿宋_GB2312"/>
                <w:color w:val="auto"/>
                <w:sz w:val="30"/>
                <w:szCs w:val="30"/>
                <w:highlight w:val="none"/>
              </w:rPr>
            </w:pPr>
          </w:p>
        </w:tc>
        <w:tc>
          <w:tcPr>
            <w:tcW w:w="850" w:type="dxa"/>
            <w:noWrap w:val="0"/>
            <w:vAlign w:val="top"/>
          </w:tcPr>
          <w:p w14:paraId="0DCBC678">
            <w:pPr>
              <w:rPr>
                <w:rFonts w:eastAsia="仿宋_GB2312"/>
                <w:color w:val="auto"/>
                <w:sz w:val="30"/>
                <w:szCs w:val="30"/>
                <w:highlight w:val="none"/>
              </w:rPr>
            </w:pPr>
          </w:p>
        </w:tc>
        <w:tc>
          <w:tcPr>
            <w:tcW w:w="1058" w:type="dxa"/>
            <w:noWrap w:val="0"/>
            <w:vAlign w:val="top"/>
          </w:tcPr>
          <w:p w14:paraId="528D090C">
            <w:pPr>
              <w:rPr>
                <w:rFonts w:eastAsia="仿宋_GB2312"/>
                <w:color w:val="auto"/>
                <w:sz w:val="30"/>
                <w:szCs w:val="30"/>
                <w:highlight w:val="none"/>
              </w:rPr>
            </w:pPr>
          </w:p>
        </w:tc>
        <w:tc>
          <w:tcPr>
            <w:tcW w:w="880" w:type="dxa"/>
            <w:noWrap w:val="0"/>
            <w:vAlign w:val="top"/>
          </w:tcPr>
          <w:p w14:paraId="1ABBCF7A">
            <w:pPr>
              <w:rPr>
                <w:rFonts w:eastAsia="仿宋_GB2312"/>
                <w:color w:val="auto"/>
                <w:sz w:val="30"/>
                <w:szCs w:val="30"/>
                <w:highlight w:val="none"/>
              </w:rPr>
            </w:pPr>
          </w:p>
        </w:tc>
        <w:tc>
          <w:tcPr>
            <w:tcW w:w="1020" w:type="dxa"/>
            <w:noWrap w:val="0"/>
            <w:vAlign w:val="top"/>
          </w:tcPr>
          <w:p w14:paraId="0E4B6646">
            <w:pPr>
              <w:rPr>
                <w:rFonts w:eastAsia="仿宋_GB2312"/>
                <w:color w:val="auto"/>
                <w:sz w:val="30"/>
                <w:szCs w:val="30"/>
                <w:highlight w:val="none"/>
              </w:rPr>
            </w:pPr>
          </w:p>
        </w:tc>
        <w:tc>
          <w:tcPr>
            <w:tcW w:w="1480" w:type="dxa"/>
            <w:noWrap w:val="0"/>
            <w:vAlign w:val="top"/>
          </w:tcPr>
          <w:p w14:paraId="24422700">
            <w:pPr>
              <w:rPr>
                <w:rFonts w:eastAsia="仿宋_GB2312"/>
                <w:color w:val="auto"/>
                <w:sz w:val="30"/>
                <w:szCs w:val="30"/>
                <w:highlight w:val="none"/>
              </w:rPr>
            </w:pPr>
          </w:p>
        </w:tc>
        <w:tc>
          <w:tcPr>
            <w:tcW w:w="1020" w:type="dxa"/>
            <w:noWrap w:val="0"/>
            <w:vAlign w:val="top"/>
          </w:tcPr>
          <w:p w14:paraId="08ECBE57">
            <w:pPr>
              <w:rPr>
                <w:rFonts w:eastAsia="仿宋_GB2312"/>
                <w:color w:val="auto"/>
                <w:sz w:val="30"/>
                <w:szCs w:val="30"/>
                <w:highlight w:val="none"/>
              </w:rPr>
            </w:pPr>
          </w:p>
        </w:tc>
        <w:tc>
          <w:tcPr>
            <w:tcW w:w="921" w:type="dxa"/>
            <w:noWrap w:val="0"/>
            <w:vAlign w:val="top"/>
          </w:tcPr>
          <w:p w14:paraId="0B4224C1">
            <w:pPr>
              <w:rPr>
                <w:rFonts w:eastAsia="仿宋_GB2312"/>
                <w:color w:val="auto"/>
                <w:sz w:val="30"/>
                <w:szCs w:val="30"/>
                <w:highlight w:val="none"/>
              </w:rPr>
            </w:pPr>
          </w:p>
        </w:tc>
      </w:tr>
    </w:tbl>
    <w:p w14:paraId="6DA45325">
      <w:pPr>
        <w:spacing w:line="440" w:lineRule="exact"/>
        <w:rPr>
          <w:rFonts w:eastAsia="仿宋_GB2312"/>
          <w:color w:val="auto"/>
          <w:sz w:val="30"/>
          <w:szCs w:val="30"/>
          <w:highlight w:val="none"/>
        </w:rPr>
        <w:sectPr>
          <w:pgSz w:w="11907" w:h="16840"/>
          <w:pgMar w:top="1440" w:right="1440" w:bottom="1440" w:left="1797" w:header="851" w:footer="851" w:gutter="0"/>
          <w:pgNumType w:fmt="decimal"/>
          <w:cols w:space="720" w:num="1"/>
          <w:docGrid w:linePitch="312" w:charSpace="0"/>
        </w:sectPr>
      </w:pPr>
    </w:p>
    <w:p w14:paraId="04E44BDB">
      <w:pPr>
        <w:spacing w:line="440" w:lineRule="exact"/>
        <w:jc w:val="left"/>
        <w:rPr>
          <w:rFonts w:eastAsia="黑体"/>
          <w:color w:val="auto"/>
          <w:sz w:val="30"/>
          <w:szCs w:val="30"/>
          <w:highlight w:val="none"/>
        </w:rPr>
      </w:pPr>
      <w:r>
        <w:rPr>
          <w:rFonts w:hint="eastAsia" w:eastAsia="仿宋_GB2312" w:cs="仿宋_GB2312"/>
          <w:color w:val="auto"/>
          <w:sz w:val="30"/>
          <w:szCs w:val="30"/>
          <w:highlight w:val="none"/>
        </w:rPr>
        <w:t>附</w:t>
      </w:r>
      <w:bookmarkStart w:id="1210" w:name="_Toc296944567"/>
      <w:bookmarkStart w:id="1211" w:name="_Toc296503228"/>
      <w:bookmarkStart w:id="1212" w:name="_Toc296346729"/>
      <w:bookmarkStart w:id="1213" w:name="_Toc296891268"/>
      <w:bookmarkStart w:id="1214" w:name="_Toc267261699"/>
      <w:bookmarkStart w:id="1215" w:name="_Toc296347227"/>
      <w:bookmarkStart w:id="1216" w:name="_Toc296891056"/>
      <w:r>
        <w:rPr>
          <w:rFonts w:hint="eastAsia" w:eastAsia="仿宋_GB2312" w:cs="仿宋_GB2312"/>
          <w:color w:val="auto"/>
          <w:sz w:val="30"/>
          <w:szCs w:val="30"/>
          <w:highlight w:val="none"/>
        </w:rPr>
        <w:t>件</w:t>
      </w:r>
      <w:r>
        <w:rPr>
          <w:rFonts w:hint="eastAsia" w:eastAsia="仿宋_GB2312"/>
          <w:color w:val="auto"/>
          <w:sz w:val="30"/>
          <w:szCs w:val="30"/>
          <w:highlight w:val="none"/>
        </w:rPr>
        <w:t>5</w:t>
      </w:r>
      <w:r>
        <w:rPr>
          <w:rFonts w:hint="eastAsia" w:eastAsia="仿宋_GB2312" w:cs="仿宋_GB2312"/>
          <w:color w:val="auto"/>
          <w:sz w:val="30"/>
          <w:szCs w:val="30"/>
          <w:highlight w:val="none"/>
        </w:rPr>
        <w:t>：</w:t>
      </w:r>
    </w:p>
    <w:bookmarkEnd w:id="1210"/>
    <w:bookmarkEnd w:id="1211"/>
    <w:bookmarkEnd w:id="1212"/>
    <w:bookmarkEnd w:id="1213"/>
    <w:bookmarkEnd w:id="1214"/>
    <w:bookmarkEnd w:id="1215"/>
    <w:bookmarkEnd w:id="1216"/>
    <w:p w14:paraId="1BEAFE35">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承包人主要施工管理人员表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0D8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805A09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名</w:t>
            </w:r>
            <w:r>
              <w:rPr>
                <w:rFonts w:eastAsia="仿宋_GB2312"/>
                <w:color w:val="auto"/>
                <w:sz w:val="28"/>
                <w:szCs w:val="28"/>
                <w:highlight w:val="none"/>
              </w:rPr>
              <w:t xml:space="preserve">    </w:t>
            </w:r>
            <w:r>
              <w:rPr>
                <w:rFonts w:hint="eastAsia" w:eastAsia="仿宋_GB2312" w:cs="仿宋_GB2312"/>
                <w:color w:val="auto"/>
                <w:sz w:val="28"/>
                <w:szCs w:val="28"/>
                <w:highlight w:val="none"/>
              </w:rPr>
              <w:t>称</w:t>
            </w:r>
          </w:p>
        </w:tc>
        <w:tc>
          <w:tcPr>
            <w:tcW w:w="1418" w:type="dxa"/>
            <w:noWrap w:val="0"/>
            <w:vAlign w:val="center"/>
          </w:tcPr>
          <w:p w14:paraId="7BA0028C">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姓名</w:t>
            </w:r>
          </w:p>
        </w:tc>
        <w:tc>
          <w:tcPr>
            <w:tcW w:w="1134" w:type="dxa"/>
            <w:noWrap w:val="0"/>
            <w:vAlign w:val="center"/>
          </w:tcPr>
          <w:p w14:paraId="10A79134">
            <w:pPr>
              <w:pStyle w:val="18"/>
              <w:keepNext/>
              <w:spacing w:after="0" w:line="440" w:lineRule="exact"/>
              <w:ind w:left="63" w:right="63"/>
              <w:rPr>
                <w:rFonts w:eastAsia="仿宋_GB2312"/>
                <w:color w:val="auto"/>
                <w:sz w:val="30"/>
                <w:szCs w:val="30"/>
                <w:highlight w:val="none"/>
              </w:rPr>
            </w:pPr>
            <w:r>
              <w:rPr>
                <w:rFonts w:hint="eastAsia" w:eastAsia="仿宋_GB2312" w:cs="仿宋_GB2312"/>
                <w:color w:val="auto"/>
                <w:sz w:val="30"/>
                <w:szCs w:val="30"/>
                <w:highlight w:val="none"/>
              </w:rPr>
              <w:t>职务</w:t>
            </w:r>
          </w:p>
        </w:tc>
        <w:tc>
          <w:tcPr>
            <w:tcW w:w="1134" w:type="dxa"/>
            <w:noWrap w:val="0"/>
            <w:vAlign w:val="center"/>
          </w:tcPr>
          <w:p w14:paraId="212822D3">
            <w:pPr>
              <w:pStyle w:val="18"/>
              <w:keepNext/>
              <w:spacing w:after="0" w:line="440" w:lineRule="exact"/>
              <w:ind w:left="63" w:right="63"/>
              <w:rPr>
                <w:rFonts w:eastAsia="仿宋_GB2312"/>
                <w:color w:val="auto"/>
                <w:sz w:val="30"/>
                <w:szCs w:val="30"/>
                <w:highlight w:val="none"/>
              </w:rPr>
            </w:pPr>
            <w:r>
              <w:rPr>
                <w:rFonts w:hint="eastAsia" w:eastAsia="仿宋_GB2312" w:cs="仿宋_GB2312"/>
                <w:color w:val="auto"/>
                <w:sz w:val="30"/>
                <w:szCs w:val="30"/>
                <w:highlight w:val="none"/>
              </w:rPr>
              <w:t>职称</w:t>
            </w:r>
          </w:p>
        </w:tc>
        <w:tc>
          <w:tcPr>
            <w:tcW w:w="4252" w:type="dxa"/>
            <w:noWrap w:val="0"/>
            <w:vAlign w:val="center"/>
          </w:tcPr>
          <w:p w14:paraId="70BA04B0">
            <w:pPr>
              <w:pStyle w:val="18"/>
              <w:keepNext/>
              <w:spacing w:after="0" w:line="440" w:lineRule="exact"/>
              <w:ind w:left="0" w:leftChars="0" w:right="63"/>
              <w:rPr>
                <w:rFonts w:eastAsia="仿宋_GB2312"/>
                <w:color w:val="auto"/>
                <w:sz w:val="30"/>
                <w:szCs w:val="30"/>
                <w:highlight w:val="none"/>
              </w:rPr>
            </w:pPr>
            <w:r>
              <w:rPr>
                <w:rFonts w:hint="eastAsia" w:eastAsia="仿宋_GB2312" w:cs="仿宋_GB2312"/>
                <w:color w:val="auto"/>
                <w:sz w:val="30"/>
                <w:szCs w:val="30"/>
                <w:highlight w:val="none"/>
              </w:rPr>
              <w:t>计划进场时间</w:t>
            </w:r>
          </w:p>
        </w:tc>
      </w:tr>
      <w:tr w14:paraId="311E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68A99EA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一、总部人员</w:t>
            </w:r>
          </w:p>
        </w:tc>
      </w:tr>
      <w:tr w14:paraId="6FB4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C81905F">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项目主管</w:t>
            </w:r>
          </w:p>
        </w:tc>
        <w:tc>
          <w:tcPr>
            <w:tcW w:w="1418" w:type="dxa"/>
            <w:noWrap w:val="0"/>
            <w:vAlign w:val="center"/>
          </w:tcPr>
          <w:p w14:paraId="01095F07">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5FC7DA67">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04B88F41">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44E0161B">
            <w:pPr>
              <w:pStyle w:val="18"/>
              <w:keepNext/>
              <w:spacing w:after="0" w:line="440" w:lineRule="exact"/>
              <w:ind w:left="63" w:right="63"/>
              <w:rPr>
                <w:rFonts w:eastAsia="仿宋_GB2312"/>
                <w:color w:val="auto"/>
                <w:sz w:val="30"/>
                <w:szCs w:val="30"/>
                <w:highlight w:val="none"/>
              </w:rPr>
            </w:pPr>
          </w:p>
        </w:tc>
      </w:tr>
      <w:tr w14:paraId="18A9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DB896C6">
            <w:pPr>
              <w:pStyle w:val="18"/>
              <w:keepNext/>
              <w:spacing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其他人员</w:t>
            </w:r>
          </w:p>
        </w:tc>
        <w:tc>
          <w:tcPr>
            <w:tcW w:w="1418" w:type="dxa"/>
            <w:noWrap w:val="0"/>
            <w:vAlign w:val="center"/>
          </w:tcPr>
          <w:p w14:paraId="468718DD">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31EE868">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4087704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70B20F44">
            <w:pPr>
              <w:pStyle w:val="18"/>
              <w:keepNext/>
              <w:spacing w:after="0" w:line="440" w:lineRule="exact"/>
              <w:ind w:left="63" w:right="63"/>
              <w:rPr>
                <w:rFonts w:eastAsia="仿宋_GB2312"/>
                <w:color w:val="auto"/>
                <w:sz w:val="30"/>
                <w:szCs w:val="30"/>
                <w:highlight w:val="none"/>
              </w:rPr>
            </w:pPr>
          </w:p>
        </w:tc>
      </w:tr>
      <w:tr w14:paraId="342F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3A176A2">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3AB5928B">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9B607A5">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62C4683A">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7B6781C2">
            <w:pPr>
              <w:pStyle w:val="18"/>
              <w:keepNext/>
              <w:spacing w:after="0" w:line="440" w:lineRule="exact"/>
              <w:ind w:left="63" w:right="63"/>
              <w:rPr>
                <w:rFonts w:eastAsia="仿宋_GB2312"/>
                <w:color w:val="auto"/>
                <w:sz w:val="30"/>
                <w:szCs w:val="30"/>
                <w:highlight w:val="none"/>
              </w:rPr>
            </w:pPr>
          </w:p>
        </w:tc>
      </w:tr>
      <w:tr w14:paraId="7892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02C0FA">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170C90B5">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726DF147">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130C52CF">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75EAB48">
            <w:pPr>
              <w:pStyle w:val="18"/>
              <w:keepNext/>
              <w:spacing w:after="0" w:line="440" w:lineRule="exact"/>
              <w:ind w:left="63" w:right="63"/>
              <w:rPr>
                <w:rFonts w:eastAsia="仿宋_GB2312"/>
                <w:color w:val="auto"/>
                <w:sz w:val="30"/>
                <w:szCs w:val="30"/>
                <w:highlight w:val="none"/>
              </w:rPr>
            </w:pPr>
          </w:p>
        </w:tc>
      </w:tr>
      <w:tr w14:paraId="2C7B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346CA01">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二、现场人员</w:t>
            </w:r>
          </w:p>
        </w:tc>
      </w:tr>
      <w:tr w14:paraId="5433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AB5F972">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项目经理</w:t>
            </w:r>
          </w:p>
        </w:tc>
        <w:tc>
          <w:tcPr>
            <w:tcW w:w="1418" w:type="dxa"/>
            <w:noWrap w:val="0"/>
            <w:vAlign w:val="center"/>
          </w:tcPr>
          <w:p w14:paraId="0769339F">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DCDCEF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C172131">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74BB80DA">
            <w:pPr>
              <w:pStyle w:val="18"/>
              <w:keepNext/>
              <w:spacing w:after="0" w:line="440" w:lineRule="exact"/>
              <w:ind w:left="63" w:right="63"/>
              <w:rPr>
                <w:rFonts w:eastAsia="仿宋_GB2312"/>
                <w:color w:val="auto"/>
                <w:sz w:val="30"/>
                <w:szCs w:val="30"/>
                <w:highlight w:val="none"/>
              </w:rPr>
            </w:pPr>
          </w:p>
        </w:tc>
      </w:tr>
      <w:tr w14:paraId="3F31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388AE18">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项目副经理</w:t>
            </w:r>
          </w:p>
        </w:tc>
        <w:tc>
          <w:tcPr>
            <w:tcW w:w="1418" w:type="dxa"/>
            <w:noWrap w:val="0"/>
            <w:vAlign w:val="center"/>
          </w:tcPr>
          <w:p w14:paraId="6261877A">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D8FD31A">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6F51473D">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3999E7F0">
            <w:pPr>
              <w:pStyle w:val="18"/>
              <w:keepNext/>
              <w:spacing w:after="0" w:line="440" w:lineRule="exact"/>
              <w:ind w:left="63" w:right="63"/>
              <w:rPr>
                <w:rFonts w:eastAsia="仿宋_GB2312"/>
                <w:color w:val="auto"/>
                <w:sz w:val="30"/>
                <w:szCs w:val="30"/>
                <w:highlight w:val="none"/>
              </w:rPr>
            </w:pPr>
          </w:p>
        </w:tc>
      </w:tr>
      <w:tr w14:paraId="1FE9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0DCBD76">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技术负责人</w:t>
            </w:r>
          </w:p>
        </w:tc>
        <w:tc>
          <w:tcPr>
            <w:tcW w:w="1418" w:type="dxa"/>
            <w:noWrap w:val="0"/>
            <w:vAlign w:val="center"/>
          </w:tcPr>
          <w:p w14:paraId="7332941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2C25B28">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11B5A94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7F760A0">
            <w:pPr>
              <w:pStyle w:val="18"/>
              <w:keepNext/>
              <w:spacing w:after="0" w:line="440" w:lineRule="exact"/>
              <w:ind w:left="63" w:right="63"/>
              <w:rPr>
                <w:rFonts w:eastAsia="仿宋_GB2312"/>
                <w:color w:val="auto"/>
                <w:sz w:val="30"/>
                <w:szCs w:val="30"/>
                <w:highlight w:val="none"/>
              </w:rPr>
            </w:pPr>
          </w:p>
        </w:tc>
      </w:tr>
      <w:tr w14:paraId="5717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F517189">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造价管理</w:t>
            </w:r>
          </w:p>
        </w:tc>
        <w:tc>
          <w:tcPr>
            <w:tcW w:w="1418" w:type="dxa"/>
            <w:noWrap w:val="0"/>
            <w:vAlign w:val="center"/>
          </w:tcPr>
          <w:p w14:paraId="44CC84D0">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13E313D0">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9F2A8CF">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C505A7D">
            <w:pPr>
              <w:pStyle w:val="18"/>
              <w:keepNext/>
              <w:spacing w:after="0" w:line="440" w:lineRule="exact"/>
              <w:ind w:left="63" w:right="63"/>
              <w:rPr>
                <w:rFonts w:eastAsia="仿宋_GB2312"/>
                <w:color w:val="auto"/>
                <w:sz w:val="30"/>
                <w:szCs w:val="30"/>
                <w:highlight w:val="none"/>
              </w:rPr>
            </w:pPr>
          </w:p>
        </w:tc>
      </w:tr>
      <w:tr w14:paraId="000C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5E4BDDE">
            <w:pPr>
              <w:pStyle w:val="18"/>
              <w:keepNext/>
              <w:spacing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质量管理</w:t>
            </w:r>
          </w:p>
        </w:tc>
        <w:tc>
          <w:tcPr>
            <w:tcW w:w="1418" w:type="dxa"/>
            <w:noWrap w:val="0"/>
            <w:vAlign w:val="center"/>
          </w:tcPr>
          <w:p w14:paraId="713ADE22">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1F7328D7">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F4C403B">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43B67E3F">
            <w:pPr>
              <w:pStyle w:val="18"/>
              <w:keepNext/>
              <w:spacing w:after="0" w:line="440" w:lineRule="exact"/>
              <w:ind w:left="63" w:right="63"/>
              <w:rPr>
                <w:rFonts w:eastAsia="仿宋_GB2312"/>
                <w:color w:val="auto"/>
                <w:sz w:val="30"/>
                <w:szCs w:val="30"/>
                <w:highlight w:val="none"/>
              </w:rPr>
            </w:pPr>
          </w:p>
        </w:tc>
      </w:tr>
      <w:tr w14:paraId="4065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33F25F5">
            <w:pPr>
              <w:pStyle w:val="18"/>
              <w:keepNext/>
              <w:spacing w:line="440" w:lineRule="exact"/>
              <w:ind w:left="63" w:right="63"/>
              <w:rPr>
                <w:rFonts w:eastAsia="仿宋_GB2312"/>
                <w:color w:val="auto"/>
                <w:sz w:val="28"/>
                <w:szCs w:val="28"/>
                <w:highlight w:val="none"/>
              </w:rPr>
            </w:pPr>
          </w:p>
        </w:tc>
        <w:tc>
          <w:tcPr>
            <w:tcW w:w="1418" w:type="dxa"/>
            <w:noWrap w:val="0"/>
            <w:vAlign w:val="center"/>
          </w:tcPr>
          <w:p w14:paraId="19E50FD6">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A91ABDB">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E7DB643">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9C04739">
            <w:pPr>
              <w:pStyle w:val="18"/>
              <w:keepNext/>
              <w:spacing w:after="0" w:line="440" w:lineRule="exact"/>
              <w:ind w:left="63" w:right="63"/>
              <w:rPr>
                <w:rFonts w:eastAsia="仿宋_GB2312"/>
                <w:color w:val="auto"/>
                <w:sz w:val="30"/>
                <w:szCs w:val="30"/>
                <w:highlight w:val="none"/>
              </w:rPr>
            </w:pPr>
          </w:p>
        </w:tc>
      </w:tr>
      <w:tr w14:paraId="49AF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8D3E78E">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4D94C3D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F179001">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D6A7121">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58AF33B2">
            <w:pPr>
              <w:pStyle w:val="18"/>
              <w:keepNext/>
              <w:spacing w:after="0" w:line="440" w:lineRule="exact"/>
              <w:ind w:left="63" w:right="63"/>
              <w:rPr>
                <w:rFonts w:eastAsia="仿宋_GB2312"/>
                <w:color w:val="auto"/>
                <w:sz w:val="30"/>
                <w:szCs w:val="30"/>
                <w:highlight w:val="none"/>
              </w:rPr>
            </w:pPr>
          </w:p>
        </w:tc>
      </w:tr>
      <w:tr w14:paraId="5901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3B4EB9">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材料管理</w:t>
            </w:r>
          </w:p>
        </w:tc>
        <w:tc>
          <w:tcPr>
            <w:tcW w:w="1418" w:type="dxa"/>
            <w:noWrap w:val="0"/>
            <w:vAlign w:val="center"/>
          </w:tcPr>
          <w:p w14:paraId="5E6EE0CC">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B743CA5">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5735E310">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41E7DC4D">
            <w:pPr>
              <w:pStyle w:val="18"/>
              <w:keepNext/>
              <w:spacing w:after="0" w:line="440" w:lineRule="exact"/>
              <w:ind w:left="63" w:right="63"/>
              <w:rPr>
                <w:rFonts w:eastAsia="仿宋_GB2312"/>
                <w:color w:val="auto"/>
                <w:sz w:val="30"/>
                <w:szCs w:val="30"/>
                <w:highlight w:val="none"/>
              </w:rPr>
            </w:pPr>
          </w:p>
        </w:tc>
      </w:tr>
      <w:tr w14:paraId="484A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807729">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计划管理</w:t>
            </w:r>
          </w:p>
        </w:tc>
        <w:tc>
          <w:tcPr>
            <w:tcW w:w="1418" w:type="dxa"/>
            <w:noWrap w:val="0"/>
            <w:vAlign w:val="center"/>
          </w:tcPr>
          <w:p w14:paraId="4423450B">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3E6DE91F">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4E1C84A">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5D7E9E34">
            <w:pPr>
              <w:pStyle w:val="18"/>
              <w:keepNext/>
              <w:spacing w:after="0" w:line="440" w:lineRule="exact"/>
              <w:ind w:left="63" w:right="63"/>
              <w:rPr>
                <w:rFonts w:eastAsia="仿宋_GB2312"/>
                <w:color w:val="auto"/>
                <w:sz w:val="30"/>
                <w:szCs w:val="30"/>
                <w:highlight w:val="none"/>
              </w:rPr>
            </w:pPr>
          </w:p>
        </w:tc>
      </w:tr>
      <w:tr w14:paraId="01F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0B22B69">
            <w:pPr>
              <w:pStyle w:val="18"/>
              <w:keepNext/>
              <w:spacing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安全管理</w:t>
            </w:r>
          </w:p>
        </w:tc>
        <w:tc>
          <w:tcPr>
            <w:tcW w:w="1418" w:type="dxa"/>
            <w:noWrap w:val="0"/>
            <w:vAlign w:val="center"/>
          </w:tcPr>
          <w:p w14:paraId="4A620BAD">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74E078C2">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F205A29">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6C207EE1">
            <w:pPr>
              <w:pStyle w:val="18"/>
              <w:keepNext/>
              <w:spacing w:after="0" w:line="440" w:lineRule="exact"/>
              <w:ind w:left="63" w:right="63"/>
              <w:rPr>
                <w:rFonts w:eastAsia="仿宋_GB2312"/>
                <w:color w:val="auto"/>
                <w:sz w:val="30"/>
                <w:szCs w:val="30"/>
                <w:highlight w:val="none"/>
              </w:rPr>
            </w:pPr>
          </w:p>
        </w:tc>
      </w:tr>
      <w:tr w14:paraId="02D4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75FF9D">
            <w:pPr>
              <w:pStyle w:val="18"/>
              <w:keepNext/>
              <w:spacing w:line="440" w:lineRule="exact"/>
              <w:ind w:left="63" w:right="63"/>
              <w:rPr>
                <w:rFonts w:eastAsia="仿宋_GB2312"/>
                <w:color w:val="auto"/>
                <w:sz w:val="28"/>
                <w:szCs w:val="28"/>
                <w:highlight w:val="none"/>
              </w:rPr>
            </w:pPr>
          </w:p>
        </w:tc>
        <w:tc>
          <w:tcPr>
            <w:tcW w:w="1418" w:type="dxa"/>
            <w:noWrap w:val="0"/>
            <w:vAlign w:val="center"/>
          </w:tcPr>
          <w:p w14:paraId="159BBD7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70C0D95A">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6DD57D1">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317AFEE6">
            <w:pPr>
              <w:pStyle w:val="18"/>
              <w:keepNext/>
              <w:spacing w:after="0" w:line="440" w:lineRule="exact"/>
              <w:ind w:left="63" w:right="63"/>
              <w:rPr>
                <w:rFonts w:eastAsia="仿宋_GB2312"/>
                <w:color w:val="auto"/>
                <w:sz w:val="30"/>
                <w:szCs w:val="30"/>
                <w:highlight w:val="none"/>
              </w:rPr>
            </w:pPr>
          </w:p>
        </w:tc>
      </w:tr>
      <w:tr w14:paraId="3696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AFC210A">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10782C5F">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6F312023">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BFE7DB6">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3CE9A06C">
            <w:pPr>
              <w:pStyle w:val="18"/>
              <w:keepNext/>
              <w:spacing w:after="0" w:line="440" w:lineRule="exact"/>
              <w:ind w:left="63" w:right="63"/>
              <w:rPr>
                <w:rFonts w:eastAsia="仿宋_GB2312"/>
                <w:color w:val="auto"/>
                <w:sz w:val="30"/>
                <w:szCs w:val="30"/>
                <w:highlight w:val="none"/>
              </w:rPr>
            </w:pPr>
          </w:p>
        </w:tc>
      </w:tr>
      <w:tr w14:paraId="5BF1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9085FB2">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其他人员</w:t>
            </w:r>
          </w:p>
        </w:tc>
        <w:tc>
          <w:tcPr>
            <w:tcW w:w="1418" w:type="dxa"/>
            <w:noWrap w:val="0"/>
            <w:vAlign w:val="center"/>
          </w:tcPr>
          <w:p w14:paraId="43C8B0BA">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73FAF1A2">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40306FE7">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23CEE295">
            <w:pPr>
              <w:pStyle w:val="18"/>
              <w:keepNext/>
              <w:spacing w:after="0" w:line="440" w:lineRule="exact"/>
              <w:ind w:left="63" w:right="63"/>
              <w:rPr>
                <w:rFonts w:eastAsia="仿宋_GB2312"/>
                <w:color w:val="auto"/>
                <w:sz w:val="30"/>
                <w:szCs w:val="30"/>
                <w:highlight w:val="none"/>
              </w:rPr>
            </w:pPr>
          </w:p>
        </w:tc>
      </w:tr>
      <w:tr w14:paraId="49D0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07AC48">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3DED2B6A">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5231C050">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B46A04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2DFCCAD5">
            <w:pPr>
              <w:pStyle w:val="18"/>
              <w:keepNext/>
              <w:spacing w:after="0" w:line="440" w:lineRule="exact"/>
              <w:ind w:left="63" w:right="63"/>
              <w:rPr>
                <w:rFonts w:eastAsia="仿宋_GB2312"/>
                <w:color w:val="auto"/>
                <w:sz w:val="30"/>
                <w:szCs w:val="30"/>
                <w:highlight w:val="none"/>
              </w:rPr>
            </w:pPr>
          </w:p>
        </w:tc>
      </w:tr>
      <w:tr w14:paraId="1D5F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90731BD">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0DD2445B">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09323B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0C8BDA6">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22453A35">
            <w:pPr>
              <w:pStyle w:val="18"/>
              <w:keepNext/>
              <w:spacing w:after="0" w:line="440" w:lineRule="exact"/>
              <w:ind w:left="63" w:right="63"/>
              <w:rPr>
                <w:rFonts w:eastAsia="仿宋_GB2312"/>
                <w:color w:val="auto"/>
                <w:sz w:val="30"/>
                <w:szCs w:val="30"/>
                <w:highlight w:val="none"/>
              </w:rPr>
            </w:pPr>
          </w:p>
        </w:tc>
      </w:tr>
      <w:tr w14:paraId="4DA0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94542E9">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55B82DC5">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296623D">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0F873274">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3E766016">
            <w:pPr>
              <w:pStyle w:val="18"/>
              <w:keepNext/>
              <w:spacing w:after="0" w:line="440" w:lineRule="exact"/>
              <w:ind w:left="63" w:right="63"/>
              <w:rPr>
                <w:rFonts w:eastAsia="仿宋_GB2312"/>
                <w:color w:val="auto"/>
                <w:sz w:val="30"/>
                <w:szCs w:val="30"/>
                <w:highlight w:val="none"/>
              </w:rPr>
            </w:pPr>
          </w:p>
        </w:tc>
      </w:tr>
      <w:tr w14:paraId="031C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B7244C6">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6958B3C4">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668E3B4F">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09E25B93">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859929A">
            <w:pPr>
              <w:pStyle w:val="18"/>
              <w:keepNext/>
              <w:spacing w:after="0" w:line="440" w:lineRule="exact"/>
              <w:ind w:left="63" w:right="63"/>
              <w:rPr>
                <w:rFonts w:eastAsia="仿宋_GB2312"/>
                <w:color w:val="auto"/>
                <w:sz w:val="30"/>
                <w:szCs w:val="30"/>
                <w:highlight w:val="none"/>
              </w:rPr>
            </w:pPr>
          </w:p>
        </w:tc>
      </w:tr>
      <w:tr w14:paraId="4497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9BB82D6">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751F2796">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502B0486">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06020E6E">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D23A357">
            <w:pPr>
              <w:pStyle w:val="18"/>
              <w:keepNext/>
              <w:spacing w:after="0" w:line="440" w:lineRule="exact"/>
              <w:ind w:left="63" w:right="63"/>
              <w:rPr>
                <w:rFonts w:eastAsia="仿宋_GB2312"/>
                <w:color w:val="auto"/>
                <w:sz w:val="30"/>
                <w:szCs w:val="30"/>
                <w:highlight w:val="none"/>
              </w:rPr>
            </w:pPr>
          </w:p>
        </w:tc>
      </w:tr>
    </w:tbl>
    <w:p w14:paraId="52C1C175">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eastAsia="仿宋_GB2312" w:cs="仿宋_GB2312"/>
          <w:color w:val="auto"/>
          <w:sz w:val="30"/>
          <w:szCs w:val="30"/>
          <w:highlight w:val="none"/>
        </w:rPr>
        <w:t>附</w:t>
      </w:r>
      <w:bookmarkStart w:id="1217" w:name="_Toc296891057"/>
      <w:bookmarkStart w:id="1218" w:name="_Toc296503229"/>
      <w:bookmarkStart w:id="1219" w:name="_Toc296346730"/>
      <w:bookmarkStart w:id="1220" w:name="_Toc296891269"/>
      <w:bookmarkStart w:id="1221" w:name="_Toc296944568"/>
      <w:bookmarkStart w:id="1222" w:name="_Toc296347228"/>
      <w:r>
        <w:rPr>
          <w:rFonts w:hint="eastAsia" w:eastAsia="仿宋_GB2312" w:cs="仿宋_GB2312"/>
          <w:color w:val="auto"/>
          <w:sz w:val="30"/>
          <w:szCs w:val="30"/>
          <w:highlight w:val="none"/>
        </w:rPr>
        <w:t>件</w:t>
      </w:r>
      <w:r>
        <w:rPr>
          <w:rFonts w:hint="eastAsia" w:eastAsia="仿宋_GB2312"/>
          <w:color w:val="auto"/>
          <w:sz w:val="30"/>
          <w:szCs w:val="30"/>
          <w:highlight w:val="none"/>
        </w:rPr>
        <w:t>6</w:t>
      </w:r>
      <w:r>
        <w:rPr>
          <w:rFonts w:hint="eastAsia" w:eastAsia="仿宋_GB2312" w:cs="仿宋_GB2312"/>
          <w:color w:val="auto"/>
          <w:sz w:val="30"/>
          <w:szCs w:val="30"/>
          <w:highlight w:val="none"/>
        </w:rPr>
        <w:t>：</w:t>
      </w:r>
    </w:p>
    <w:bookmarkEnd w:id="1217"/>
    <w:bookmarkEnd w:id="1218"/>
    <w:bookmarkEnd w:id="1219"/>
    <w:bookmarkEnd w:id="1220"/>
    <w:bookmarkEnd w:id="1221"/>
    <w:bookmarkEnd w:id="1222"/>
    <w:p w14:paraId="6E10BEE9">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分包人主要施工管理人员表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45C8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74BF850">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名</w:t>
            </w:r>
            <w:r>
              <w:rPr>
                <w:rFonts w:eastAsia="仿宋_GB2312"/>
                <w:color w:val="auto"/>
                <w:sz w:val="28"/>
                <w:szCs w:val="28"/>
                <w:highlight w:val="none"/>
              </w:rPr>
              <w:t xml:space="preserve">    </w:t>
            </w:r>
            <w:r>
              <w:rPr>
                <w:rFonts w:hint="eastAsia" w:eastAsia="仿宋_GB2312" w:cs="仿宋_GB2312"/>
                <w:color w:val="auto"/>
                <w:sz w:val="28"/>
                <w:szCs w:val="28"/>
                <w:highlight w:val="none"/>
              </w:rPr>
              <w:t>称</w:t>
            </w:r>
          </w:p>
        </w:tc>
        <w:tc>
          <w:tcPr>
            <w:tcW w:w="1418" w:type="dxa"/>
            <w:noWrap w:val="0"/>
            <w:vAlign w:val="center"/>
          </w:tcPr>
          <w:p w14:paraId="7CE59B2D">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姓名</w:t>
            </w:r>
          </w:p>
        </w:tc>
        <w:tc>
          <w:tcPr>
            <w:tcW w:w="1134" w:type="dxa"/>
            <w:noWrap w:val="0"/>
            <w:vAlign w:val="center"/>
          </w:tcPr>
          <w:p w14:paraId="16018EDC">
            <w:pPr>
              <w:pStyle w:val="18"/>
              <w:keepNext/>
              <w:spacing w:after="0" w:line="440" w:lineRule="exact"/>
              <w:ind w:left="63" w:right="63"/>
              <w:rPr>
                <w:rFonts w:eastAsia="仿宋_GB2312"/>
                <w:color w:val="auto"/>
                <w:sz w:val="30"/>
                <w:szCs w:val="30"/>
                <w:highlight w:val="none"/>
              </w:rPr>
            </w:pPr>
            <w:r>
              <w:rPr>
                <w:rFonts w:hint="eastAsia" w:eastAsia="仿宋_GB2312" w:cs="仿宋_GB2312"/>
                <w:color w:val="auto"/>
                <w:sz w:val="30"/>
                <w:szCs w:val="30"/>
                <w:highlight w:val="none"/>
              </w:rPr>
              <w:t>职务</w:t>
            </w:r>
          </w:p>
        </w:tc>
        <w:tc>
          <w:tcPr>
            <w:tcW w:w="1134" w:type="dxa"/>
            <w:noWrap w:val="0"/>
            <w:vAlign w:val="center"/>
          </w:tcPr>
          <w:p w14:paraId="4F7161B0">
            <w:pPr>
              <w:pStyle w:val="18"/>
              <w:keepNext/>
              <w:spacing w:after="0" w:line="440" w:lineRule="exact"/>
              <w:ind w:left="63" w:right="63"/>
              <w:rPr>
                <w:rFonts w:eastAsia="仿宋_GB2312"/>
                <w:color w:val="auto"/>
                <w:sz w:val="30"/>
                <w:szCs w:val="30"/>
                <w:highlight w:val="none"/>
              </w:rPr>
            </w:pPr>
            <w:r>
              <w:rPr>
                <w:rFonts w:hint="eastAsia" w:eastAsia="仿宋_GB2312" w:cs="仿宋_GB2312"/>
                <w:color w:val="auto"/>
                <w:sz w:val="30"/>
                <w:szCs w:val="30"/>
                <w:highlight w:val="none"/>
              </w:rPr>
              <w:t>职称</w:t>
            </w:r>
          </w:p>
        </w:tc>
        <w:tc>
          <w:tcPr>
            <w:tcW w:w="4252" w:type="dxa"/>
            <w:noWrap w:val="0"/>
            <w:vAlign w:val="center"/>
          </w:tcPr>
          <w:p w14:paraId="04C2F3BC">
            <w:pPr>
              <w:pStyle w:val="18"/>
              <w:keepNext/>
              <w:spacing w:after="0" w:line="440" w:lineRule="exact"/>
              <w:ind w:left="63" w:right="63"/>
              <w:rPr>
                <w:rFonts w:eastAsia="仿宋_GB2312"/>
                <w:color w:val="auto"/>
                <w:sz w:val="30"/>
                <w:szCs w:val="30"/>
                <w:highlight w:val="none"/>
              </w:rPr>
            </w:pPr>
            <w:r>
              <w:rPr>
                <w:rFonts w:hint="eastAsia" w:eastAsia="仿宋_GB2312" w:cs="仿宋_GB2312"/>
                <w:color w:val="auto"/>
                <w:sz w:val="30"/>
                <w:szCs w:val="30"/>
                <w:highlight w:val="none"/>
              </w:rPr>
              <w:t>主要资历、经验及承担过的项目</w:t>
            </w:r>
          </w:p>
        </w:tc>
      </w:tr>
      <w:tr w14:paraId="603D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E3F33CC">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一、总部人员</w:t>
            </w:r>
          </w:p>
        </w:tc>
      </w:tr>
      <w:tr w14:paraId="06B5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noWrap w:val="0"/>
            <w:vAlign w:val="center"/>
          </w:tcPr>
          <w:p w14:paraId="1C9D0B47">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项目主管</w:t>
            </w:r>
          </w:p>
        </w:tc>
        <w:tc>
          <w:tcPr>
            <w:tcW w:w="1418" w:type="dxa"/>
            <w:noWrap w:val="0"/>
            <w:vAlign w:val="center"/>
          </w:tcPr>
          <w:p w14:paraId="5C67BBB1">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9E1B8A7">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6B4DC3F0">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1B9E9D3">
            <w:pPr>
              <w:pStyle w:val="18"/>
              <w:keepNext/>
              <w:spacing w:after="0" w:line="440" w:lineRule="exact"/>
              <w:ind w:left="63" w:right="63"/>
              <w:rPr>
                <w:rFonts w:eastAsia="仿宋_GB2312"/>
                <w:color w:val="auto"/>
                <w:sz w:val="30"/>
                <w:szCs w:val="30"/>
                <w:highlight w:val="none"/>
              </w:rPr>
            </w:pPr>
          </w:p>
        </w:tc>
      </w:tr>
      <w:tr w14:paraId="3496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0F1C9CB">
            <w:pPr>
              <w:pStyle w:val="18"/>
              <w:keepNext/>
              <w:spacing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其他人员</w:t>
            </w:r>
          </w:p>
        </w:tc>
        <w:tc>
          <w:tcPr>
            <w:tcW w:w="1418" w:type="dxa"/>
            <w:noWrap w:val="0"/>
            <w:vAlign w:val="center"/>
          </w:tcPr>
          <w:p w14:paraId="672678BC">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3C6495DF">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FEB4F6B">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6690B95A">
            <w:pPr>
              <w:pStyle w:val="18"/>
              <w:keepNext/>
              <w:spacing w:after="0" w:line="440" w:lineRule="exact"/>
              <w:ind w:left="63" w:right="63"/>
              <w:rPr>
                <w:rFonts w:eastAsia="仿宋_GB2312"/>
                <w:color w:val="auto"/>
                <w:sz w:val="30"/>
                <w:szCs w:val="30"/>
                <w:highlight w:val="none"/>
              </w:rPr>
            </w:pPr>
          </w:p>
        </w:tc>
      </w:tr>
      <w:tr w14:paraId="48B0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E50EF41">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1288F726">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108D7E70">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4BA0DB8">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B782602">
            <w:pPr>
              <w:pStyle w:val="18"/>
              <w:keepNext/>
              <w:spacing w:after="0" w:line="440" w:lineRule="exact"/>
              <w:ind w:left="63" w:right="63"/>
              <w:rPr>
                <w:rFonts w:eastAsia="仿宋_GB2312"/>
                <w:color w:val="auto"/>
                <w:sz w:val="30"/>
                <w:szCs w:val="30"/>
                <w:highlight w:val="none"/>
              </w:rPr>
            </w:pPr>
          </w:p>
        </w:tc>
      </w:tr>
      <w:tr w14:paraId="1845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continue"/>
            <w:noWrap w:val="0"/>
            <w:vAlign w:val="center"/>
          </w:tcPr>
          <w:p w14:paraId="24BA1433">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11043ED0">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701E8F66">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1A72605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0CDA8609">
            <w:pPr>
              <w:pStyle w:val="18"/>
              <w:keepNext/>
              <w:spacing w:after="0" w:line="440" w:lineRule="exact"/>
              <w:ind w:left="63" w:right="63"/>
              <w:rPr>
                <w:rFonts w:eastAsia="仿宋_GB2312"/>
                <w:color w:val="auto"/>
                <w:sz w:val="30"/>
                <w:szCs w:val="30"/>
                <w:highlight w:val="none"/>
              </w:rPr>
            </w:pPr>
          </w:p>
        </w:tc>
      </w:tr>
      <w:tr w14:paraId="1803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09" w:type="dxa"/>
            <w:gridSpan w:val="5"/>
            <w:noWrap w:val="0"/>
            <w:vAlign w:val="center"/>
          </w:tcPr>
          <w:p w14:paraId="7DF060C7">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二、现场人员</w:t>
            </w:r>
          </w:p>
        </w:tc>
      </w:tr>
      <w:tr w14:paraId="17A6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CF40583">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项目经理</w:t>
            </w:r>
          </w:p>
        </w:tc>
        <w:tc>
          <w:tcPr>
            <w:tcW w:w="1418" w:type="dxa"/>
            <w:noWrap w:val="0"/>
            <w:vAlign w:val="center"/>
          </w:tcPr>
          <w:p w14:paraId="6BCE1056">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3465B7DA">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A7CAC10">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0B34A17E">
            <w:pPr>
              <w:pStyle w:val="18"/>
              <w:keepNext/>
              <w:spacing w:after="0" w:line="440" w:lineRule="exact"/>
              <w:ind w:left="63" w:right="63"/>
              <w:rPr>
                <w:rFonts w:eastAsia="仿宋_GB2312"/>
                <w:color w:val="auto"/>
                <w:sz w:val="30"/>
                <w:szCs w:val="30"/>
                <w:highlight w:val="none"/>
              </w:rPr>
            </w:pPr>
          </w:p>
        </w:tc>
      </w:tr>
      <w:tr w14:paraId="456E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270787C">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项目副经理</w:t>
            </w:r>
          </w:p>
        </w:tc>
        <w:tc>
          <w:tcPr>
            <w:tcW w:w="1418" w:type="dxa"/>
            <w:noWrap w:val="0"/>
            <w:vAlign w:val="center"/>
          </w:tcPr>
          <w:p w14:paraId="367C601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C0F26AD">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5D62BD28">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587E3FE8">
            <w:pPr>
              <w:pStyle w:val="18"/>
              <w:keepNext/>
              <w:spacing w:after="0" w:line="440" w:lineRule="exact"/>
              <w:ind w:left="63" w:right="63"/>
              <w:rPr>
                <w:rFonts w:eastAsia="仿宋_GB2312"/>
                <w:color w:val="auto"/>
                <w:sz w:val="30"/>
                <w:szCs w:val="30"/>
                <w:highlight w:val="none"/>
              </w:rPr>
            </w:pPr>
          </w:p>
        </w:tc>
      </w:tr>
      <w:tr w14:paraId="57D2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7A321FB">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技术负责人</w:t>
            </w:r>
          </w:p>
        </w:tc>
        <w:tc>
          <w:tcPr>
            <w:tcW w:w="1418" w:type="dxa"/>
            <w:noWrap w:val="0"/>
            <w:vAlign w:val="center"/>
          </w:tcPr>
          <w:p w14:paraId="2161CEAF">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E0F3E4E">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4CB62E5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60826A14">
            <w:pPr>
              <w:pStyle w:val="18"/>
              <w:keepNext/>
              <w:spacing w:after="0" w:line="440" w:lineRule="exact"/>
              <w:ind w:left="63" w:right="63"/>
              <w:rPr>
                <w:rFonts w:eastAsia="仿宋_GB2312"/>
                <w:color w:val="auto"/>
                <w:sz w:val="30"/>
                <w:szCs w:val="30"/>
                <w:highlight w:val="none"/>
              </w:rPr>
            </w:pPr>
          </w:p>
        </w:tc>
      </w:tr>
      <w:tr w14:paraId="3601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5950D95">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造价管理</w:t>
            </w:r>
          </w:p>
        </w:tc>
        <w:tc>
          <w:tcPr>
            <w:tcW w:w="1418" w:type="dxa"/>
            <w:noWrap w:val="0"/>
            <w:vAlign w:val="center"/>
          </w:tcPr>
          <w:p w14:paraId="686C18A1">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8F30A10">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7AB4540">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C80F543">
            <w:pPr>
              <w:pStyle w:val="18"/>
              <w:keepNext/>
              <w:spacing w:after="0" w:line="440" w:lineRule="exact"/>
              <w:ind w:left="63" w:right="63"/>
              <w:rPr>
                <w:rFonts w:eastAsia="仿宋_GB2312"/>
                <w:color w:val="auto"/>
                <w:sz w:val="30"/>
                <w:szCs w:val="30"/>
                <w:highlight w:val="none"/>
              </w:rPr>
            </w:pPr>
          </w:p>
        </w:tc>
      </w:tr>
      <w:tr w14:paraId="17B6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DA6F1EA">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质量管理</w:t>
            </w:r>
          </w:p>
        </w:tc>
        <w:tc>
          <w:tcPr>
            <w:tcW w:w="1418" w:type="dxa"/>
            <w:noWrap w:val="0"/>
            <w:vAlign w:val="center"/>
          </w:tcPr>
          <w:p w14:paraId="4FD9E3E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3E1DB1E0">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7C596BC">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54ADDBBC">
            <w:pPr>
              <w:pStyle w:val="18"/>
              <w:keepNext/>
              <w:spacing w:after="0" w:line="440" w:lineRule="exact"/>
              <w:ind w:left="63" w:right="63"/>
              <w:rPr>
                <w:rFonts w:eastAsia="仿宋_GB2312"/>
                <w:color w:val="auto"/>
                <w:sz w:val="30"/>
                <w:szCs w:val="30"/>
                <w:highlight w:val="none"/>
              </w:rPr>
            </w:pPr>
          </w:p>
        </w:tc>
      </w:tr>
      <w:tr w14:paraId="3D27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0F2C9DA">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材料管理</w:t>
            </w:r>
          </w:p>
        </w:tc>
        <w:tc>
          <w:tcPr>
            <w:tcW w:w="1418" w:type="dxa"/>
            <w:noWrap w:val="0"/>
            <w:vAlign w:val="center"/>
          </w:tcPr>
          <w:p w14:paraId="0609BA48">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834797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4D41AE44">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0BBBD669">
            <w:pPr>
              <w:pStyle w:val="18"/>
              <w:keepNext/>
              <w:spacing w:after="0" w:line="440" w:lineRule="exact"/>
              <w:ind w:left="63" w:right="63"/>
              <w:rPr>
                <w:rFonts w:eastAsia="仿宋_GB2312"/>
                <w:color w:val="auto"/>
                <w:sz w:val="30"/>
                <w:szCs w:val="30"/>
                <w:highlight w:val="none"/>
              </w:rPr>
            </w:pPr>
          </w:p>
        </w:tc>
      </w:tr>
      <w:tr w14:paraId="24AC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07AAAB5">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计划管理</w:t>
            </w:r>
          </w:p>
        </w:tc>
        <w:tc>
          <w:tcPr>
            <w:tcW w:w="1418" w:type="dxa"/>
            <w:noWrap w:val="0"/>
            <w:vAlign w:val="center"/>
          </w:tcPr>
          <w:p w14:paraId="2130442B">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6019729">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3BC74460">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3E3B53A6">
            <w:pPr>
              <w:pStyle w:val="18"/>
              <w:keepNext/>
              <w:spacing w:after="0" w:line="440" w:lineRule="exact"/>
              <w:ind w:left="63" w:right="63"/>
              <w:rPr>
                <w:rFonts w:eastAsia="仿宋_GB2312"/>
                <w:color w:val="auto"/>
                <w:sz w:val="30"/>
                <w:szCs w:val="30"/>
                <w:highlight w:val="none"/>
              </w:rPr>
            </w:pPr>
          </w:p>
        </w:tc>
      </w:tr>
      <w:tr w14:paraId="1192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258031">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安全管理</w:t>
            </w:r>
          </w:p>
        </w:tc>
        <w:tc>
          <w:tcPr>
            <w:tcW w:w="1418" w:type="dxa"/>
            <w:noWrap w:val="0"/>
            <w:vAlign w:val="center"/>
          </w:tcPr>
          <w:p w14:paraId="4FBCCA30">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7B28C5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50906062">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67D16401">
            <w:pPr>
              <w:pStyle w:val="18"/>
              <w:keepNext/>
              <w:spacing w:after="0" w:line="440" w:lineRule="exact"/>
              <w:ind w:left="63" w:right="63"/>
              <w:rPr>
                <w:rFonts w:eastAsia="仿宋_GB2312"/>
                <w:color w:val="auto"/>
                <w:sz w:val="30"/>
                <w:szCs w:val="30"/>
                <w:highlight w:val="none"/>
              </w:rPr>
            </w:pPr>
          </w:p>
        </w:tc>
      </w:tr>
      <w:tr w14:paraId="6174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7A0CB10C">
            <w:pPr>
              <w:pStyle w:val="18"/>
              <w:keepNext/>
              <w:spacing w:after="0" w:line="440" w:lineRule="exact"/>
              <w:ind w:left="63" w:right="63"/>
              <w:rPr>
                <w:rFonts w:eastAsia="仿宋_GB2312"/>
                <w:color w:val="auto"/>
                <w:sz w:val="28"/>
                <w:szCs w:val="28"/>
                <w:highlight w:val="none"/>
              </w:rPr>
            </w:pPr>
            <w:r>
              <w:rPr>
                <w:rFonts w:hint="eastAsia" w:eastAsia="仿宋_GB2312" w:cs="仿宋_GB2312"/>
                <w:color w:val="auto"/>
                <w:sz w:val="28"/>
                <w:szCs w:val="28"/>
                <w:highlight w:val="none"/>
              </w:rPr>
              <w:t>其他人员</w:t>
            </w:r>
          </w:p>
        </w:tc>
        <w:tc>
          <w:tcPr>
            <w:tcW w:w="1418" w:type="dxa"/>
            <w:noWrap w:val="0"/>
            <w:vAlign w:val="center"/>
          </w:tcPr>
          <w:p w14:paraId="6E456B54">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0C71CD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06B0A51E">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4B2B3CBC">
            <w:pPr>
              <w:pStyle w:val="18"/>
              <w:keepNext/>
              <w:spacing w:after="0" w:line="440" w:lineRule="exact"/>
              <w:ind w:left="63" w:right="63"/>
              <w:rPr>
                <w:rFonts w:eastAsia="仿宋_GB2312"/>
                <w:color w:val="auto"/>
                <w:sz w:val="30"/>
                <w:szCs w:val="30"/>
                <w:highlight w:val="none"/>
              </w:rPr>
            </w:pPr>
          </w:p>
        </w:tc>
      </w:tr>
      <w:tr w14:paraId="6A46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762D5BC">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3AD1E997">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2AC8BC3C">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4C1C9767">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46CF7184">
            <w:pPr>
              <w:pStyle w:val="18"/>
              <w:keepNext/>
              <w:spacing w:after="0" w:line="440" w:lineRule="exact"/>
              <w:ind w:left="63" w:right="63"/>
              <w:rPr>
                <w:rFonts w:eastAsia="仿宋_GB2312"/>
                <w:color w:val="auto"/>
                <w:sz w:val="30"/>
                <w:szCs w:val="30"/>
                <w:highlight w:val="none"/>
              </w:rPr>
            </w:pPr>
          </w:p>
        </w:tc>
      </w:tr>
      <w:tr w14:paraId="08BD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ADBA8DF">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53C8328B">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5A7F933D">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3BF48DE">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28750C9D">
            <w:pPr>
              <w:pStyle w:val="18"/>
              <w:keepNext/>
              <w:spacing w:after="0" w:line="440" w:lineRule="exact"/>
              <w:ind w:left="63" w:right="63"/>
              <w:rPr>
                <w:rFonts w:eastAsia="仿宋_GB2312"/>
                <w:color w:val="auto"/>
                <w:sz w:val="30"/>
                <w:szCs w:val="30"/>
                <w:highlight w:val="none"/>
              </w:rPr>
            </w:pPr>
          </w:p>
        </w:tc>
      </w:tr>
      <w:tr w14:paraId="45B3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383FE52">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0C63CB32">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309CE905">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69B77185">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1B1EF7AC">
            <w:pPr>
              <w:pStyle w:val="18"/>
              <w:keepNext/>
              <w:spacing w:after="0" w:line="440" w:lineRule="exact"/>
              <w:ind w:left="63" w:right="63"/>
              <w:rPr>
                <w:rFonts w:eastAsia="仿宋_GB2312"/>
                <w:color w:val="auto"/>
                <w:sz w:val="30"/>
                <w:szCs w:val="30"/>
                <w:highlight w:val="none"/>
              </w:rPr>
            </w:pPr>
          </w:p>
        </w:tc>
      </w:tr>
      <w:tr w14:paraId="36D6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6EEC4BD">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5A0EDF97">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0CC20C24">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71CE94F2">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7674A768">
            <w:pPr>
              <w:pStyle w:val="18"/>
              <w:keepNext/>
              <w:spacing w:after="0" w:line="440" w:lineRule="exact"/>
              <w:ind w:left="63" w:right="63"/>
              <w:rPr>
                <w:rFonts w:eastAsia="仿宋_GB2312"/>
                <w:color w:val="auto"/>
                <w:sz w:val="30"/>
                <w:szCs w:val="30"/>
                <w:highlight w:val="none"/>
              </w:rPr>
            </w:pPr>
          </w:p>
        </w:tc>
      </w:tr>
      <w:tr w14:paraId="1D3B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3A738D3">
            <w:pPr>
              <w:pStyle w:val="18"/>
              <w:keepNext/>
              <w:spacing w:after="0" w:line="440" w:lineRule="exact"/>
              <w:ind w:left="63" w:right="63"/>
              <w:rPr>
                <w:rFonts w:eastAsia="仿宋_GB2312"/>
                <w:color w:val="auto"/>
                <w:sz w:val="28"/>
                <w:szCs w:val="28"/>
                <w:highlight w:val="none"/>
              </w:rPr>
            </w:pPr>
          </w:p>
        </w:tc>
        <w:tc>
          <w:tcPr>
            <w:tcW w:w="1418" w:type="dxa"/>
            <w:noWrap w:val="0"/>
            <w:vAlign w:val="center"/>
          </w:tcPr>
          <w:p w14:paraId="42FC2F0F">
            <w:pPr>
              <w:pStyle w:val="18"/>
              <w:keepNext/>
              <w:spacing w:after="0" w:line="440" w:lineRule="exact"/>
              <w:ind w:left="63" w:right="63"/>
              <w:rPr>
                <w:rFonts w:eastAsia="仿宋_GB2312"/>
                <w:color w:val="auto"/>
                <w:sz w:val="28"/>
                <w:szCs w:val="28"/>
                <w:highlight w:val="none"/>
              </w:rPr>
            </w:pPr>
          </w:p>
        </w:tc>
        <w:tc>
          <w:tcPr>
            <w:tcW w:w="1134" w:type="dxa"/>
            <w:noWrap w:val="0"/>
            <w:vAlign w:val="center"/>
          </w:tcPr>
          <w:p w14:paraId="4D5A133D">
            <w:pPr>
              <w:pStyle w:val="18"/>
              <w:keepNext/>
              <w:spacing w:after="0" w:line="440" w:lineRule="exact"/>
              <w:ind w:left="63" w:right="63"/>
              <w:rPr>
                <w:rFonts w:eastAsia="仿宋_GB2312"/>
                <w:color w:val="auto"/>
                <w:sz w:val="30"/>
                <w:szCs w:val="30"/>
                <w:highlight w:val="none"/>
              </w:rPr>
            </w:pPr>
          </w:p>
        </w:tc>
        <w:tc>
          <w:tcPr>
            <w:tcW w:w="1134" w:type="dxa"/>
            <w:noWrap w:val="0"/>
            <w:vAlign w:val="center"/>
          </w:tcPr>
          <w:p w14:paraId="271C9186">
            <w:pPr>
              <w:pStyle w:val="18"/>
              <w:keepNext/>
              <w:spacing w:after="0" w:line="440" w:lineRule="exact"/>
              <w:ind w:left="63" w:right="63"/>
              <w:rPr>
                <w:rFonts w:eastAsia="仿宋_GB2312"/>
                <w:color w:val="auto"/>
                <w:sz w:val="30"/>
                <w:szCs w:val="30"/>
                <w:highlight w:val="none"/>
              </w:rPr>
            </w:pPr>
          </w:p>
        </w:tc>
        <w:tc>
          <w:tcPr>
            <w:tcW w:w="4252" w:type="dxa"/>
            <w:noWrap w:val="0"/>
            <w:vAlign w:val="center"/>
          </w:tcPr>
          <w:p w14:paraId="7A29BE00">
            <w:pPr>
              <w:pStyle w:val="18"/>
              <w:keepNext/>
              <w:spacing w:after="0" w:line="440" w:lineRule="exact"/>
              <w:ind w:left="63" w:right="63"/>
              <w:rPr>
                <w:rFonts w:eastAsia="仿宋_GB2312"/>
                <w:color w:val="auto"/>
                <w:sz w:val="30"/>
                <w:szCs w:val="30"/>
                <w:highlight w:val="none"/>
              </w:rPr>
            </w:pPr>
          </w:p>
        </w:tc>
      </w:tr>
    </w:tbl>
    <w:p w14:paraId="0438A957">
      <w:pPr>
        <w:spacing w:line="360" w:lineRule="auto"/>
        <w:jc w:val="left"/>
        <w:rPr>
          <w:rFonts w:hint="eastAsia" w:ascii="黑体" w:hAnsi="黑体" w:eastAsia="黑体" w:cs="黑体"/>
          <w:color w:val="auto"/>
          <w:sz w:val="32"/>
          <w:szCs w:val="32"/>
          <w:highlight w:val="none"/>
        </w:rPr>
      </w:pPr>
      <w:r>
        <w:rPr>
          <w:rFonts w:eastAsia="仿宋_GB2312"/>
          <w:color w:val="auto"/>
          <w:sz w:val="30"/>
          <w:szCs w:val="30"/>
          <w:highlight w:val="none"/>
        </w:rPr>
        <w:br w:type="page"/>
      </w:r>
      <w:bookmarkStart w:id="1223" w:name="_Toc267261701"/>
      <w:r>
        <w:rPr>
          <w:rFonts w:hint="eastAsia" w:ascii="黑体" w:hAnsi="黑体" w:eastAsia="黑体" w:cs="黑体"/>
          <w:color w:val="auto"/>
          <w:sz w:val="32"/>
          <w:szCs w:val="32"/>
          <w:highlight w:val="none"/>
        </w:rPr>
        <w:t>附件7</w:t>
      </w:r>
    </w:p>
    <w:p w14:paraId="1725F216">
      <w:pPr>
        <w:spacing w:line="360" w:lineRule="auto"/>
        <w:jc w:val="left"/>
        <w:rPr>
          <w:rFonts w:ascii="黑体" w:hAnsi="黑体" w:eastAsia="黑体" w:cs="黑体"/>
          <w:b/>
          <w:bCs/>
          <w:color w:val="auto"/>
          <w:sz w:val="32"/>
          <w:szCs w:val="32"/>
          <w:highlight w:val="none"/>
        </w:rPr>
      </w:pPr>
    </w:p>
    <w:p w14:paraId="1061F7A5">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272F07E9">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47C3AEDF">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06B6F49D">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2E57C189">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0D8DB42F">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52D23C43">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5453B879">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725AA5FB">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04EC979D">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37B72F76">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6EB337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（以下简称“基础合同”），我方（即“开立人”）根据基础合同了解到申请人为基础合同项下之承包人，受益人为基础合同项下之发包人，基于申请人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5310713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724670C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4B8D9A1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hint="eastAsia" w:ascii="宋体" w:hAnsi="宋体"/>
          <w:color w:val="auto"/>
          <w:sz w:val="24"/>
          <w:szCs w:val="24"/>
          <w:highlight w:val="none"/>
        </w:rPr>
        <w:t>日止，最迟不超过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6FAC6575">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09455F7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71A9BD9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5C14C75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786A291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6069C04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210F843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59FEAA3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1EE3913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2C05C6C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263C80F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26A5CC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526138E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64FC2C5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6DA5E53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9AD6C4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18E7FDD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27A3E34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5F696C8">
      <w:pPr>
        <w:spacing w:line="360" w:lineRule="auto"/>
        <w:ind w:firstLine="480" w:firstLineChars="200"/>
        <w:rPr>
          <w:color w:val="auto"/>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w:t>
      </w:r>
    </w:p>
    <w:p w14:paraId="11CB938F">
      <w:pPr>
        <w:spacing w:line="360" w:lineRule="auto"/>
        <w:jc w:val="left"/>
        <w:rPr>
          <w:rFonts w:eastAsia="仿宋_GB2312"/>
          <w:color w:val="auto"/>
          <w:sz w:val="30"/>
          <w:szCs w:val="30"/>
          <w:highlight w:val="none"/>
        </w:rPr>
      </w:pPr>
    </w:p>
    <w:p w14:paraId="06578AA8">
      <w:pPr>
        <w:spacing w:line="360" w:lineRule="auto"/>
        <w:jc w:val="left"/>
        <w:rPr>
          <w:rFonts w:ascii="宋体" w:hAnsi="宋体"/>
          <w:color w:val="auto"/>
          <w:sz w:val="32"/>
          <w:szCs w:val="32"/>
          <w:highlight w:val="none"/>
        </w:rPr>
      </w:pPr>
      <w:r>
        <w:rPr>
          <w:rFonts w:hint="eastAsia" w:eastAsia="仿宋_GB2312" w:cs="仿宋_GB2312"/>
          <w:color w:val="auto"/>
          <w:sz w:val="30"/>
          <w:szCs w:val="30"/>
          <w:highlight w:val="none"/>
        </w:rPr>
        <w:br w:type="page"/>
      </w:r>
      <w:r>
        <w:rPr>
          <w:rFonts w:hint="eastAsia" w:eastAsia="仿宋_GB2312" w:cs="仿宋_GB2312"/>
          <w:color w:val="auto"/>
          <w:sz w:val="30"/>
          <w:szCs w:val="30"/>
          <w:highlight w:val="none"/>
        </w:rPr>
        <w:t>附</w:t>
      </w:r>
      <w:bookmarkStart w:id="1224" w:name="_Toc296891059"/>
      <w:bookmarkStart w:id="1225" w:name="_Toc296346732"/>
      <w:bookmarkStart w:id="1226" w:name="_Toc296944570"/>
      <w:bookmarkStart w:id="1227" w:name="_Toc296347230"/>
      <w:bookmarkStart w:id="1228" w:name="_Toc296503231"/>
      <w:bookmarkStart w:id="1229" w:name="_Toc296891271"/>
      <w:r>
        <w:rPr>
          <w:rFonts w:hint="eastAsia" w:eastAsia="仿宋_GB2312" w:cs="仿宋_GB2312"/>
          <w:color w:val="auto"/>
          <w:sz w:val="30"/>
          <w:szCs w:val="30"/>
          <w:highlight w:val="none"/>
        </w:rPr>
        <w:t>件</w:t>
      </w:r>
      <w:r>
        <w:rPr>
          <w:rFonts w:hint="eastAsia" w:eastAsia="仿宋_GB2312"/>
          <w:color w:val="auto"/>
          <w:sz w:val="30"/>
          <w:szCs w:val="30"/>
          <w:highlight w:val="none"/>
        </w:rPr>
        <w:t>7</w:t>
      </w:r>
      <w:r>
        <w:rPr>
          <w:rFonts w:hint="eastAsia" w:eastAsia="仿宋_GB2312" w:cs="仿宋_GB2312"/>
          <w:color w:val="auto"/>
          <w:sz w:val="30"/>
          <w:szCs w:val="30"/>
          <w:highlight w:val="none"/>
        </w:rPr>
        <w:t>：</w:t>
      </w:r>
    </w:p>
    <w:p w14:paraId="6C9B0E71">
      <w:pPr>
        <w:spacing w:line="360" w:lineRule="auto"/>
        <w:rPr>
          <w:rFonts w:ascii="宋体" w:hAnsi="宋体"/>
          <w:b/>
          <w:bCs/>
          <w:color w:val="auto"/>
          <w:sz w:val="32"/>
          <w:szCs w:val="32"/>
          <w:highlight w:val="none"/>
        </w:rPr>
      </w:pPr>
    </w:p>
    <w:p w14:paraId="489B7D56">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700827AB">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17BC697B">
      <w:pPr>
        <w:spacing w:line="360" w:lineRule="auto"/>
        <w:jc w:val="center"/>
        <w:rPr>
          <w:rFonts w:ascii="宋体" w:hAnsi="宋体"/>
          <w:b/>
          <w:bCs/>
          <w:color w:val="auto"/>
          <w:sz w:val="32"/>
          <w:szCs w:val="32"/>
          <w:highlight w:val="none"/>
        </w:rPr>
      </w:pPr>
    </w:p>
    <w:p w14:paraId="57455293">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447CF0C">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p>
    <w:p w14:paraId="758AFB2C">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7371F01D">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r>
        <w:rPr>
          <w:rFonts w:ascii="宋体" w:hAnsi="宋体"/>
          <w:color w:val="auto"/>
          <w:sz w:val="24"/>
          <w:szCs w:val="24"/>
          <w:highlight w:val="none"/>
        </w:rPr>
        <w:t xml:space="preserve"> </w:t>
      </w:r>
    </w:p>
    <w:p w14:paraId="3EC5E3A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BC94D74">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3E258C1E">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24358B13">
      <w:pPr>
        <w:spacing w:line="360" w:lineRule="auto"/>
        <w:rPr>
          <w:rFonts w:ascii="宋体" w:hAnsi="宋体"/>
          <w:color w:val="auto"/>
          <w:sz w:val="24"/>
          <w:szCs w:val="24"/>
          <w:highlight w:val="none"/>
        </w:rPr>
      </w:pPr>
    </w:p>
    <w:p w14:paraId="65AE6E17">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640243D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39E850AB">
      <w:pPr>
        <w:spacing w:line="360" w:lineRule="auto"/>
        <w:rPr>
          <w:rFonts w:ascii="宋体" w:hAnsi="宋体"/>
          <w:b/>
          <w:bCs/>
          <w:color w:val="auto"/>
          <w:sz w:val="24"/>
          <w:szCs w:val="24"/>
          <w:highlight w:val="none"/>
        </w:rPr>
      </w:pPr>
      <w:r>
        <w:rPr>
          <w:rFonts w:hint="eastAsia" w:ascii="宋体" w:hAnsi="宋体"/>
          <w:color w:val="auto"/>
          <w:sz w:val="24"/>
          <w:szCs w:val="24"/>
          <w:highlight w:val="none"/>
        </w:rPr>
        <w:t xml:space="preserve">    </w:t>
      </w:r>
      <w:r>
        <w:rPr>
          <w:rFonts w:hint="eastAsia" w:ascii="宋体" w:hAnsi="宋体"/>
          <w:b/>
          <w:bCs/>
          <w:color w:val="auto"/>
          <w:sz w:val="24"/>
          <w:szCs w:val="24"/>
          <w:highlight w:val="none"/>
        </w:rPr>
        <w:t>一、保证担保的范围及保证担保金额</w:t>
      </w:r>
    </w:p>
    <w:p w14:paraId="4E2BD1A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保证担保范围：承包人未按照主合同的约定履行义务，应当向贵方承担的违约责任和赔偿因此造成的损失、利息、律师费、诉讼费用等实现债权的费用。</w:t>
      </w:r>
    </w:p>
    <w:p w14:paraId="6FDCD3D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6731B5F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6C321A1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6500526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0570B3A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4AB7199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我方按照贵方的要求以下列方式之一承担保证担保责任：</w:t>
      </w:r>
      <w:r>
        <w:rPr>
          <w:rFonts w:ascii="宋体" w:hAnsi="宋体"/>
          <w:color w:val="auto"/>
          <w:sz w:val="24"/>
          <w:szCs w:val="24"/>
          <w:highlight w:val="none"/>
        </w:rPr>
        <w:t xml:space="preserve"> </w:t>
      </w:r>
    </w:p>
    <w:p w14:paraId="256686D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1.向承包人资金、设备或者技术援助，使其能继续履行合同义务；</w:t>
      </w:r>
    </w:p>
    <w:p w14:paraId="2571598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2.直接接管该项工程或者委托经贵方同意的其他承包商，继续履行合同义务；</w:t>
      </w:r>
    </w:p>
    <w:p w14:paraId="10EF1E7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3.在保证担保金额最高限额内，按照合同约定，向贵方承担违约责任和赔偿因此造成的损失，以及利息和律师费、诉讼费用等实现债权的费用。</w:t>
      </w:r>
    </w:p>
    <w:p w14:paraId="0450B2E5">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6C0DE11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2D751B8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2.贵方以工程质量不符合主合同约定标准为由，向我方提出违约索赔的，还需同时提供符合相应条件要求的工程质量检测部门出具的质量说明材料。</w:t>
      </w:r>
    </w:p>
    <w:p w14:paraId="3A1C70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1C0B5D2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7C47FB2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43B186B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782B8A9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9CB2AB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4874DA53">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7AD23B1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1A8ABE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C89EB9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5EC947B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2C8C982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AA1301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0E42C3B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365C0954">
      <w:pPr>
        <w:spacing w:line="360" w:lineRule="auto"/>
        <w:ind w:firstLine="480" w:firstLineChars="200"/>
        <w:rPr>
          <w:rFonts w:ascii="宋体" w:hAnsi="宋体"/>
          <w:color w:val="auto"/>
          <w:sz w:val="24"/>
          <w:szCs w:val="24"/>
          <w:highlight w:val="none"/>
        </w:rPr>
      </w:pPr>
    </w:p>
    <w:p w14:paraId="7F51D79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（公</w:t>
      </w:r>
      <w:r>
        <w:rPr>
          <w:rFonts w:ascii="宋体" w:hAnsi="宋体"/>
          <w:color w:val="auto"/>
          <w:sz w:val="24"/>
          <w:szCs w:val="24"/>
          <w:highlight w:val="none"/>
        </w:rPr>
        <w:t xml:space="preserve">章） </w:t>
      </w:r>
    </w:p>
    <w:p w14:paraId="4B2CAA4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F92336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4E5219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2E5A12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65DE5E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654462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64FD12D6">
      <w:pPr>
        <w:rPr>
          <w:color w:val="auto"/>
          <w:highlight w:val="none"/>
        </w:rPr>
      </w:pPr>
    </w:p>
    <w:p w14:paraId="2A2B18FB">
      <w:pPr>
        <w:rPr>
          <w:color w:val="auto"/>
          <w:highlight w:val="none"/>
        </w:rPr>
      </w:pPr>
    </w:p>
    <w:bookmarkEnd w:id="1223"/>
    <w:bookmarkEnd w:id="1224"/>
    <w:bookmarkEnd w:id="1225"/>
    <w:bookmarkEnd w:id="1226"/>
    <w:bookmarkEnd w:id="1227"/>
    <w:bookmarkEnd w:id="1228"/>
    <w:bookmarkEnd w:id="1229"/>
    <w:p w14:paraId="670E9C66">
      <w:pPr>
        <w:spacing w:line="360" w:lineRule="auto"/>
        <w:jc w:val="left"/>
        <w:rPr>
          <w:rFonts w:ascii="黑体" w:hAnsi="黑体" w:eastAsia="黑体" w:cs="黑体"/>
          <w:color w:val="auto"/>
          <w:sz w:val="32"/>
          <w:szCs w:val="32"/>
          <w:highlight w:val="none"/>
        </w:rPr>
      </w:pPr>
      <w:r>
        <w:rPr>
          <w:rFonts w:hint="eastAsia" w:eastAsia="仿宋_GB2312" w:cs="仿宋_GB2312"/>
          <w:color w:val="auto"/>
          <w:sz w:val="30"/>
          <w:szCs w:val="30"/>
          <w:highlight w:val="none"/>
        </w:rPr>
        <w:br w:type="page"/>
      </w:r>
      <w:r>
        <w:rPr>
          <w:rFonts w:hint="eastAsia" w:eastAsia="仿宋_GB2312" w:cs="仿宋_GB2312"/>
          <w:color w:val="auto"/>
          <w:sz w:val="30"/>
          <w:szCs w:val="30"/>
          <w:highlight w:val="none"/>
        </w:rPr>
        <w:t>附件</w:t>
      </w:r>
      <w:r>
        <w:rPr>
          <w:rFonts w:hint="eastAsia" w:eastAsia="仿宋_GB2312"/>
          <w:color w:val="auto"/>
          <w:sz w:val="30"/>
          <w:szCs w:val="30"/>
          <w:highlight w:val="none"/>
        </w:rPr>
        <w:t>8</w:t>
      </w:r>
      <w:r>
        <w:rPr>
          <w:rFonts w:hint="eastAsia" w:eastAsia="仿宋_GB2312" w:cs="仿宋_GB2312"/>
          <w:color w:val="auto"/>
          <w:sz w:val="30"/>
          <w:szCs w:val="30"/>
          <w:highlight w:val="none"/>
        </w:rPr>
        <w:t>：</w:t>
      </w:r>
    </w:p>
    <w:p w14:paraId="26AFE8F1">
      <w:pPr>
        <w:spacing w:line="360" w:lineRule="auto"/>
        <w:jc w:val="left"/>
        <w:rPr>
          <w:rFonts w:ascii="黑体" w:hAnsi="黑体" w:eastAsia="黑体" w:cs="黑体"/>
          <w:b/>
          <w:bCs/>
          <w:color w:val="auto"/>
          <w:sz w:val="32"/>
          <w:szCs w:val="32"/>
          <w:highlight w:val="none"/>
        </w:rPr>
      </w:pPr>
    </w:p>
    <w:p w14:paraId="56DED248">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348AEF4C">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381A0725">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3233D95">
      <w:pPr>
        <w:spacing w:line="360" w:lineRule="auto"/>
        <w:rPr>
          <w:rFonts w:ascii="宋体" w:hAnsi="宋体"/>
          <w:color w:val="auto"/>
          <w:sz w:val="24"/>
          <w:szCs w:val="24"/>
          <w:highlight w:val="none"/>
        </w:rPr>
      </w:pPr>
    </w:p>
    <w:p w14:paraId="38258234">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3A498EB7">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6956A160">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7717721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2FDF49A2">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27F67336">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47D11B90">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D2625A5">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37C534E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（以下简称“基础合同”），我方（即“开立人”）根据主合同了解到申请人为主合同项下之承包人，受益人为主合同项下之发包人，基于申请人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申请人按照合同约定正确和合理地为合同目的使用预付款，</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6E59A8F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4D4FE3A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4BEF87D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p>
    <w:p w14:paraId="58F36D7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41BA13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00F2D5A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4A5E8D2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68EF0B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241330C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779179F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339A900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28F086B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236C134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7CED29F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D416B3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2395C051">
      <w:pPr>
        <w:spacing w:line="360" w:lineRule="auto"/>
        <w:ind w:firstLine="480" w:firstLineChars="200"/>
        <w:rPr>
          <w:rFonts w:ascii="宋体" w:hAnsi="宋体"/>
          <w:color w:val="auto"/>
          <w:sz w:val="24"/>
          <w:szCs w:val="24"/>
          <w:highlight w:val="none"/>
        </w:rPr>
      </w:pPr>
    </w:p>
    <w:p w14:paraId="6FC68E0F">
      <w:pPr>
        <w:spacing w:line="360" w:lineRule="auto"/>
        <w:ind w:firstLine="480" w:firstLineChars="200"/>
        <w:rPr>
          <w:rFonts w:ascii="宋体" w:hAnsi="宋体"/>
          <w:color w:val="auto"/>
          <w:sz w:val="24"/>
          <w:szCs w:val="24"/>
          <w:highlight w:val="none"/>
        </w:rPr>
      </w:pPr>
    </w:p>
    <w:p w14:paraId="1C31D6D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94D442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6E3A2CA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64F7F4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8D018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2A11276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490C602">
      <w:pPr>
        <w:rPr>
          <w:color w:val="auto"/>
          <w:highlight w:val="none"/>
        </w:rPr>
      </w:pPr>
      <w:r>
        <w:rPr>
          <w:rFonts w:hint="eastAsia" w:ascii="宋体" w:hAnsi="宋体"/>
          <w:color w:val="auto"/>
          <w:sz w:val="24"/>
          <w:szCs w:val="24"/>
          <w:highlight w:val="none"/>
        </w:rPr>
        <w:t xml:space="preserve">    开立时间：</w:t>
      </w:r>
      <w:r>
        <w:rPr>
          <w:rFonts w:ascii="宋体" w:hAnsi="宋体"/>
          <w:color w:val="auto"/>
          <w:sz w:val="24"/>
          <w:szCs w:val="24"/>
          <w:highlight w:val="none"/>
        </w:rPr>
        <w:t xml:space="preserve">      年      月        日</w:t>
      </w:r>
    </w:p>
    <w:p w14:paraId="2A6BB11A">
      <w:pPr>
        <w:spacing w:line="360" w:lineRule="auto"/>
        <w:jc w:val="center"/>
        <w:rPr>
          <w:rFonts w:ascii="宋体" w:hAnsi="宋体"/>
          <w:b/>
          <w:bCs/>
          <w:color w:val="auto"/>
          <w:sz w:val="32"/>
          <w:szCs w:val="32"/>
          <w:highlight w:val="none"/>
        </w:rPr>
      </w:pPr>
    </w:p>
    <w:p w14:paraId="3444A177">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8</w:t>
      </w:r>
    </w:p>
    <w:p w14:paraId="5813D059">
      <w:pPr>
        <w:spacing w:line="360" w:lineRule="auto"/>
        <w:jc w:val="left"/>
        <w:rPr>
          <w:rFonts w:ascii="黑体" w:hAnsi="黑体" w:eastAsia="黑体" w:cs="黑体"/>
          <w:b/>
          <w:bCs/>
          <w:color w:val="auto"/>
          <w:sz w:val="32"/>
          <w:szCs w:val="32"/>
          <w:highlight w:val="none"/>
        </w:rPr>
      </w:pPr>
    </w:p>
    <w:p w14:paraId="7940C1C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7469F50B">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54380B50">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7A7B058A">
      <w:pPr>
        <w:spacing w:line="360" w:lineRule="auto"/>
        <w:rPr>
          <w:rFonts w:ascii="宋体" w:hAnsi="宋体"/>
          <w:color w:val="auto"/>
          <w:sz w:val="24"/>
          <w:szCs w:val="24"/>
          <w:highlight w:val="none"/>
        </w:rPr>
      </w:pPr>
    </w:p>
    <w:p w14:paraId="1B34BB80">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p>
    <w:p w14:paraId="040ACFA0">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A7355D3">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r>
        <w:rPr>
          <w:rFonts w:ascii="宋体" w:hAnsi="宋体"/>
          <w:color w:val="auto"/>
          <w:sz w:val="24"/>
          <w:szCs w:val="24"/>
          <w:highlight w:val="none"/>
        </w:rPr>
        <w:t xml:space="preserve"> </w:t>
      </w:r>
    </w:p>
    <w:p w14:paraId="27C1F17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3F2496BE">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784A1D78">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0C1ECBB9">
      <w:pPr>
        <w:spacing w:line="360" w:lineRule="auto"/>
        <w:rPr>
          <w:rFonts w:ascii="宋体" w:hAnsi="宋体"/>
          <w:color w:val="auto"/>
          <w:sz w:val="24"/>
          <w:szCs w:val="24"/>
          <w:highlight w:val="none"/>
        </w:rPr>
      </w:pPr>
    </w:p>
    <w:p w14:paraId="2A30029C">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2108653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承包人按照合同约定正确和合理地为合同目的使用预付款，不将预付款挪作他用，</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12602AB0">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19703E1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保证担保范围：申请人未按照合同约定正确和合理地为合同目的使用预付款，应当向贵方承担的违约责任和赔偿因此造成的损失、利息、律师费、诉讼费用等实现债权的费用。</w:t>
      </w:r>
    </w:p>
    <w:p w14:paraId="0E02135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158231F2">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0AC3304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381FDE7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057FE1D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48D9776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发生应承担保证责任情形的，我方在保证金额内向贵方支付，并赔偿因此给贵方造成的损失，以及利息和律师费、诉讼费用等实现债权的费用。</w:t>
      </w:r>
    </w:p>
    <w:p w14:paraId="64EF2FE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0AFD01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4AD2A51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13672F9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32FAA93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71BBD99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0E5171D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FE72DD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199228BC">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0B14E46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626A08E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承包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3385C9D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39B4686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506E42E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2AF16E2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4F6CBB8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61AC96E">
      <w:pPr>
        <w:spacing w:line="360" w:lineRule="auto"/>
        <w:ind w:firstLine="480" w:firstLineChars="200"/>
        <w:rPr>
          <w:rFonts w:ascii="宋体" w:hAnsi="宋体"/>
          <w:color w:val="auto"/>
          <w:sz w:val="24"/>
          <w:szCs w:val="24"/>
          <w:highlight w:val="none"/>
        </w:rPr>
      </w:pPr>
    </w:p>
    <w:p w14:paraId="40A4CD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0FD764E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9773C3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43C3D4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82507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06216FD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E971A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45D0C132">
      <w:pPr>
        <w:rPr>
          <w:color w:val="auto"/>
          <w:highlight w:val="none"/>
        </w:rPr>
      </w:pPr>
    </w:p>
    <w:p w14:paraId="0E3366B5">
      <w:pPr>
        <w:spacing w:line="360" w:lineRule="auto"/>
        <w:jc w:val="center"/>
        <w:rPr>
          <w:rFonts w:hint="eastAsia" w:ascii="宋体" w:hAnsi="宋体"/>
          <w:b/>
          <w:bCs/>
          <w:color w:val="auto"/>
          <w:sz w:val="32"/>
          <w:szCs w:val="32"/>
          <w:highlight w:val="none"/>
        </w:rPr>
      </w:pPr>
    </w:p>
    <w:p w14:paraId="52A4F7BA">
      <w:pPr>
        <w:spacing w:line="440" w:lineRule="exact"/>
        <w:rPr>
          <w:rFonts w:eastAsia="黑体"/>
          <w:color w:val="auto"/>
          <w:sz w:val="30"/>
          <w:szCs w:val="30"/>
          <w:highlight w:val="none"/>
        </w:rPr>
      </w:pPr>
      <w:r>
        <w:rPr>
          <w:rFonts w:hint="eastAsia" w:eastAsia="仿宋_GB2312" w:cs="仿宋_GB2312"/>
          <w:color w:val="auto"/>
          <w:sz w:val="30"/>
          <w:szCs w:val="30"/>
          <w:highlight w:val="none"/>
        </w:rPr>
        <w:br w:type="page"/>
      </w:r>
      <w:r>
        <w:rPr>
          <w:rFonts w:hint="eastAsia" w:eastAsia="仿宋_GB2312" w:cs="仿宋_GB2312"/>
          <w:color w:val="auto"/>
          <w:sz w:val="30"/>
          <w:szCs w:val="30"/>
          <w:highlight w:val="none"/>
        </w:rPr>
        <w:t>附件</w:t>
      </w:r>
      <w:r>
        <w:rPr>
          <w:rFonts w:hint="eastAsia" w:eastAsia="仿宋_GB2312"/>
          <w:color w:val="auto"/>
          <w:sz w:val="30"/>
          <w:szCs w:val="30"/>
          <w:highlight w:val="none"/>
        </w:rPr>
        <w:t>9</w:t>
      </w:r>
      <w:r>
        <w:rPr>
          <w:rFonts w:hint="eastAsia" w:eastAsia="仿宋_GB2312" w:cs="仿宋_GB2312"/>
          <w:color w:val="auto"/>
          <w:sz w:val="30"/>
          <w:szCs w:val="30"/>
          <w:highlight w:val="none"/>
        </w:rPr>
        <w:t>：</w:t>
      </w:r>
    </w:p>
    <w:p w14:paraId="022C3DB2">
      <w:pPr>
        <w:spacing w:line="360" w:lineRule="auto"/>
        <w:jc w:val="left"/>
        <w:rPr>
          <w:rFonts w:ascii="黑体" w:hAnsi="黑体" w:eastAsia="黑体" w:cs="黑体"/>
          <w:b/>
          <w:bCs/>
          <w:color w:val="auto"/>
          <w:sz w:val="32"/>
          <w:szCs w:val="32"/>
          <w:highlight w:val="none"/>
        </w:rPr>
      </w:pPr>
    </w:p>
    <w:p w14:paraId="14A7B65D">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45850A83">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3F3A5FCA">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1BF95AC">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263A9D7B">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7E7FE56D">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02E11948">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28279E47">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4C1C06F8">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6C8B1487">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FB1C846">
      <w:pPr>
        <w:spacing w:line="360" w:lineRule="auto"/>
        <w:rPr>
          <w:rFonts w:ascii="宋体" w:hAnsi="宋体"/>
          <w:color w:val="auto"/>
          <w:sz w:val="24"/>
          <w:szCs w:val="24"/>
          <w:highlight w:val="none"/>
        </w:rPr>
      </w:pPr>
      <w:bookmarkStart w:id="1230" w:name="_Hlk40355074"/>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bookmarkEnd w:id="1230"/>
    <w:p w14:paraId="3EE98F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（以下简称基础合同”），我方（即“开立人”）根据基础合同了解到申请人为基础合同项下之发包人，受益人为基础合同项下之承包人，基于申请人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w:t>
      </w:r>
      <w:r>
        <w:rPr>
          <w:rFonts w:hint="eastAsia" w:ascii="宋体" w:hAnsi="宋体"/>
          <w:color w:val="auto"/>
          <w:sz w:val="24"/>
          <w:szCs w:val="24"/>
          <w:highlight w:val="none"/>
        </w:rPr>
        <w:t>工程款（指基础合同约定的除工程质量保修金以外的工程款）付款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6F248B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2CDD4BF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1DA9A7A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基础合同约定的除工程质量保修金以外的全部工程结算款项支付之日后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551FE77A">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7EE7602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445544D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118CD2A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6F0767F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2C588B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510B04F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3EC44D8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52A04A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的基础</w:t>
      </w:r>
      <w:r>
        <w:rPr>
          <w:rFonts w:hint="eastAsia" w:ascii="宋体" w:hAnsi="宋体"/>
          <w:color w:val="auto"/>
          <w:sz w:val="24"/>
          <w:szCs w:val="24"/>
          <w:highlight w:val="none"/>
        </w:rPr>
        <w:t>合同</w:t>
      </w:r>
      <w:r>
        <w:rPr>
          <w:rFonts w:ascii="宋体" w:hAnsi="宋体"/>
          <w:color w:val="auto"/>
          <w:sz w:val="24"/>
          <w:szCs w:val="24"/>
          <w:highlight w:val="none"/>
        </w:rPr>
        <w:t xml:space="preserve">不成立、不生效、无效、被撤销、被解除，不影响本保函的独立有效。 </w:t>
      </w:r>
    </w:p>
    <w:p w14:paraId="76820C1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7DBE1CE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65AE62C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bookmarkStart w:id="1231" w:name="_Hlk58487855"/>
      <w:r>
        <w:rPr>
          <w:rFonts w:hint="eastAsia" w:ascii="宋体" w:hAnsi="宋体"/>
          <w:color w:val="auto"/>
          <w:sz w:val="24"/>
          <w:szCs w:val="24"/>
          <w:highlight w:val="none"/>
        </w:rPr>
        <w:t>或授权代表</w:t>
      </w:r>
      <w:bookmarkEnd w:id="1231"/>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423E047B">
      <w:pPr>
        <w:spacing w:line="360" w:lineRule="auto"/>
        <w:ind w:firstLine="480" w:firstLineChars="200"/>
        <w:rPr>
          <w:rFonts w:ascii="宋体" w:hAnsi="宋体"/>
          <w:color w:val="auto"/>
          <w:sz w:val="24"/>
          <w:szCs w:val="24"/>
          <w:highlight w:val="none"/>
        </w:rPr>
      </w:pPr>
    </w:p>
    <w:p w14:paraId="0AFEE297">
      <w:pPr>
        <w:spacing w:line="360" w:lineRule="auto"/>
        <w:ind w:firstLine="480" w:firstLineChars="200"/>
        <w:rPr>
          <w:rFonts w:ascii="宋体" w:hAnsi="宋体"/>
          <w:color w:val="auto"/>
          <w:sz w:val="24"/>
          <w:szCs w:val="24"/>
          <w:highlight w:val="none"/>
        </w:rPr>
      </w:pPr>
    </w:p>
    <w:p w14:paraId="6BA3C61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A9676B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BDE4FD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5FC12C1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FC6705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1BC527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47D66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日</w:t>
      </w:r>
    </w:p>
    <w:p w14:paraId="71D09102">
      <w:pPr>
        <w:spacing w:line="360" w:lineRule="auto"/>
        <w:ind w:firstLine="480" w:firstLineChars="200"/>
        <w:rPr>
          <w:rFonts w:ascii="宋体" w:hAnsi="宋体"/>
          <w:color w:val="auto"/>
          <w:sz w:val="24"/>
          <w:szCs w:val="24"/>
          <w:highlight w:val="none"/>
        </w:rPr>
      </w:pPr>
    </w:p>
    <w:p w14:paraId="66DEC896">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9</w:t>
      </w:r>
      <w:r>
        <w:rPr>
          <w:rFonts w:hint="eastAsia" w:ascii="黑体" w:hAnsi="黑体" w:eastAsia="黑体" w:cs="黑体"/>
          <w:color w:val="auto"/>
          <w:sz w:val="32"/>
          <w:szCs w:val="32"/>
          <w:highlight w:val="none"/>
        </w:rPr>
        <w:t>：</w:t>
      </w:r>
    </w:p>
    <w:p w14:paraId="3D699C8D">
      <w:pPr>
        <w:spacing w:line="360" w:lineRule="auto"/>
        <w:jc w:val="left"/>
        <w:rPr>
          <w:rFonts w:ascii="黑体" w:hAnsi="黑体" w:eastAsia="黑体" w:cs="黑体"/>
          <w:b/>
          <w:bCs/>
          <w:color w:val="auto"/>
          <w:sz w:val="32"/>
          <w:szCs w:val="32"/>
          <w:highlight w:val="none"/>
        </w:rPr>
      </w:pPr>
    </w:p>
    <w:p w14:paraId="1AF02DBD">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2DD8E04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631FA36B">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6A2ECCE">
      <w:pPr>
        <w:wordWrap w:val="0"/>
        <w:spacing w:line="360" w:lineRule="auto"/>
        <w:jc w:val="right"/>
        <w:rPr>
          <w:rFonts w:ascii="宋体" w:hAnsi="宋体"/>
          <w:color w:val="auto"/>
          <w:highlight w:val="none"/>
        </w:rPr>
      </w:pPr>
      <w:r>
        <w:rPr>
          <w:rFonts w:ascii="宋体" w:hAnsi="宋体"/>
          <w:color w:val="auto"/>
          <w:highlight w:val="none"/>
        </w:rPr>
        <w:t xml:space="preserve">     </w:t>
      </w:r>
    </w:p>
    <w:p w14:paraId="14DEC7FE">
      <w:pPr>
        <w:spacing w:line="360" w:lineRule="auto"/>
        <w:rPr>
          <w:rFonts w:ascii="宋体" w:hAnsi="宋体"/>
          <w:color w:val="auto"/>
          <w:sz w:val="24"/>
          <w:szCs w:val="24"/>
          <w:highlight w:val="none"/>
        </w:rPr>
      </w:pPr>
      <w:r>
        <w:rPr>
          <w:rFonts w:hint="eastAsia" w:ascii="宋体" w:hAnsi="宋体"/>
          <w:color w:val="auto"/>
          <w:sz w:val="24"/>
          <w:szCs w:val="24"/>
          <w:highlight w:val="none"/>
        </w:rPr>
        <w:t>发包人：</w:t>
      </w:r>
    </w:p>
    <w:p w14:paraId="5B7A4425">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6CFDA7F">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担保权人/承包人：</w:t>
      </w:r>
      <w:r>
        <w:rPr>
          <w:rFonts w:ascii="宋体" w:hAnsi="宋体"/>
          <w:color w:val="auto"/>
          <w:sz w:val="24"/>
          <w:szCs w:val="24"/>
          <w:highlight w:val="none"/>
        </w:rPr>
        <w:t xml:space="preserve"> </w:t>
      </w:r>
    </w:p>
    <w:p w14:paraId="4ABA5930">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452965C3">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7FEF5D9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5D2EC10D">
      <w:pPr>
        <w:spacing w:line="360" w:lineRule="auto"/>
        <w:rPr>
          <w:rFonts w:ascii="宋体" w:hAnsi="宋体"/>
          <w:color w:val="auto"/>
          <w:sz w:val="24"/>
          <w:szCs w:val="24"/>
          <w:highlight w:val="none"/>
        </w:rPr>
      </w:pPr>
    </w:p>
    <w:p w14:paraId="5E6E1110">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承包人</w:t>
      </w:r>
      <w:r>
        <w:rPr>
          <w:rFonts w:ascii="宋体" w:hAnsi="宋体"/>
          <w:color w:val="auto"/>
          <w:sz w:val="24"/>
          <w:szCs w:val="24"/>
          <w:highlight w:val="none"/>
        </w:rPr>
        <w:t xml:space="preserve">名称）： </w:t>
      </w:r>
    </w:p>
    <w:p w14:paraId="319E80B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（以下简称“主合同”），我方即保证人基于发包人</w:t>
      </w:r>
      <w:r>
        <w:rPr>
          <w:rFonts w:ascii="宋体" w:hAnsi="宋体"/>
          <w:color w:val="auto"/>
          <w:sz w:val="24"/>
          <w:szCs w:val="24"/>
          <w:highlight w:val="none"/>
        </w:rPr>
        <w:t>的请求，同意就</w:t>
      </w:r>
      <w:r>
        <w:rPr>
          <w:rFonts w:hint="eastAsia" w:ascii="宋体" w:hAnsi="宋体"/>
          <w:color w:val="auto"/>
          <w:sz w:val="24"/>
          <w:szCs w:val="24"/>
          <w:highlight w:val="none"/>
        </w:rPr>
        <w:t>发包人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w:t>
      </w:r>
      <w:r>
        <w:rPr>
          <w:rFonts w:hint="eastAsia" w:ascii="宋体" w:hAnsi="宋体"/>
          <w:color w:val="auto"/>
          <w:sz w:val="24"/>
          <w:szCs w:val="24"/>
          <w:highlight w:val="none"/>
        </w:rPr>
        <w:t>工程款（指主合同约定的除工程质量保修金以外的全部工程结算款项）付款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0FB6045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6DD6C6D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080E9E4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B267BE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4C1445B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9B8787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主合同约定的除工程质量保修金以外的工程款支付之日后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FD77947">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2AB94F5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7BE0785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7350B63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w:t>
      </w:r>
    </w:p>
    <w:p w14:paraId="40A961B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6B8059E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2A30330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2007EE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47E0C25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49E5489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7E215F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6D1EFDB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7AFCCEC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发包人未履行主合同项下工程款付款义务的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25CF30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发包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BE07CE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发包</w:t>
      </w:r>
      <w:r>
        <w:rPr>
          <w:rFonts w:ascii="宋体" w:hAnsi="宋体"/>
          <w:color w:val="auto"/>
          <w:sz w:val="24"/>
          <w:szCs w:val="24"/>
          <w:highlight w:val="none"/>
        </w:rPr>
        <w:t>人</w:t>
      </w:r>
      <w:r>
        <w:rPr>
          <w:rFonts w:hint="eastAsia" w:ascii="宋体" w:hAnsi="宋体"/>
          <w:color w:val="auto"/>
          <w:sz w:val="24"/>
          <w:szCs w:val="24"/>
          <w:highlight w:val="none"/>
        </w:rPr>
        <w:t>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6B621D2E">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3EBD0E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63DBDE9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10CD629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2BB4C84B">
      <w:pPr>
        <w:spacing w:line="360" w:lineRule="auto"/>
        <w:ind w:firstLine="480" w:firstLineChars="200"/>
        <w:rPr>
          <w:rFonts w:ascii="宋体" w:hAnsi="宋体"/>
          <w:color w:val="auto"/>
          <w:sz w:val="24"/>
          <w:szCs w:val="24"/>
          <w:highlight w:val="none"/>
        </w:rPr>
      </w:pPr>
    </w:p>
    <w:p w14:paraId="2EDD418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3EFC3A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014737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422B0D0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2B6F805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76C02E7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34FD3C5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174B06A2">
      <w:pPr>
        <w:rPr>
          <w:color w:val="auto"/>
          <w:highlight w:val="none"/>
        </w:rPr>
      </w:pPr>
    </w:p>
    <w:p w14:paraId="72536904">
      <w:pPr>
        <w:spacing w:line="360" w:lineRule="auto"/>
        <w:ind w:firstLine="480" w:firstLineChars="200"/>
        <w:rPr>
          <w:rFonts w:ascii="宋体" w:hAnsi="宋体"/>
          <w:color w:val="auto"/>
          <w:sz w:val="24"/>
          <w:szCs w:val="24"/>
          <w:highlight w:val="none"/>
        </w:rPr>
      </w:pPr>
    </w:p>
    <w:p w14:paraId="6243C756">
      <w:pPr>
        <w:spacing w:line="360" w:lineRule="auto"/>
        <w:ind w:firstLine="420" w:firstLineChars="200"/>
        <w:rPr>
          <w:rFonts w:hint="eastAsia"/>
          <w:color w:val="auto"/>
          <w:highlight w:val="none"/>
        </w:rPr>
      </w:pPr>
    </w:p>
    <w:p w14:paraId="0F9E404C">
      <w:pPr>
        <w:jc w:val="left"/>
        <w:rPr>
          <w:rFonts w:eastAsia="仿宋_GB2312"/>
          <w:color w:val="auto"/>
          <w:sz w:val="30"/>
          <w:szCs w:val="30"/>
          <w:highlight w:val="none"/>
        </w:rPr>
      </w:pPr>
      <w:r>
        <w:rPr>
          <w:rFonts w:eastAsia="仿宋_GB2312"/>
          <w:color w:val="auto"/>
          <w:sz w:val="30"/>
          <w:szCs w:val="30"/>
          <w:highlight w:val="none"/>
        </w:rPr>
        <w:t xml:space="preserve"> </w:t>
      </w:r>
    </w:p>
    <w:p w14:paraId="58F16214">
      <w:pPr>
        <w:jc w:val="left"/>
        <w:rPr>
          <w:rFonts w:hint="eastAsia" w:hAnsi="宋体" w:cs="宋体"/>
          <w:color w:val="auto"/>
          <w:sz w:val="30"/>
          <w:szCs w:val="30"/>
          <w:highlight w:val="none"/>
        </w:rPr>
      </w:pPr>
      <w:r>
        <w:rPr>
          <w:rFonts w:eastAsia="仿宋_GB2312"/>
          <w:color w:val="auto"/>
          <w:sz w:val="30"/>
          <w:szCs w:val="30"/>
          <w:highlight w:val="none"/>
        </w:rPr>
        <w:br w:type="page"/>
      </w:r>
      <w:r>
        <w:rPr>
          <w:rFonts w:hint="eastAsia" w:hAnsi="宋体" w:cs="宋体"/>
          <w:color w:val="auto"/>
          <w:sz w:val="30"/>
          <w:szCs w:val="30"/>
          <w:highlight w:val="none"/>
        </w:rPr>
        <w:t>附件10：</w:t>
      </w:r>
    </w:p>
    <w:p w14:paraId="56F438B9">
      <w:pPr>
        <w:jc w:val="center"/>
        <w:rPr>
          <w:rFonts w:hint="eastAsia"/>
          <w:b/>
          <w:color w:val="auto"/>
          <w:sz w:val="36"/>
          <w:szCs w:val="36"/>
          <w:highlight w:val="none"/>
        </w:rPr>
      </w:pPr>
      <w:r>
        <w:rPr>
          <w:rFonts w:hint="eastAsia"/>
          <w:b/>
          <w:color w:val="auto"/>
          <w:sz w:val="36"/>
          <w:szCs w:val="36"/>
          <w:highlight w:val="none"/>
        </w:rPr>
        <w:t>预付款支付申请（核准）表</w:t>
      </w:r>
    </w:p>
    <w:p w14:paraId="16A93808">
      <w:pPr>
        <w:rPr>
          <w:rFonts w:hint="eastAsia"/>
          <w:color w:val="auto"/>
          <w:sz w:val="24"/>
          <w:szCs w:val="24"/>
          <w:highlight w:val="none"/>
        </w:rPr>
      </w:pPr>
      <w:r>
        <w:rPr>
          <w:rFonts w:hint="eastAsia"/>
          <w:color w:val="auto"/>
          <w:sz w:val="24"/>
          <w:szCs w:val="24"/>
          <w:highlight w:val="none"/>
        </w:rPr>
        <w:t>工程名称：                                             编号：</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8"/>
        <w:gridCol w:w="4697"/>
      </w:tblGrid>
      <w:tr w14:paraId="6C8A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185" w:type="dxa"/>
            <w:gridSpan w:val="2"/>
            <w:noWrap w:val="0"/>
            <w:vAlign w:val="top"/>
          </w:tcPr>
          <w:p w14:paraId="25E790FF">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569E4AAD">
            <w:pPr>
              <w:spacing w:line="400" w:lineRule="exact"/>
              <w:ind w:left="-4" w:leftChars="-2" w:firstLine="315" w:firstLineChars="150"/>
              <w:rPr>
                <w:rFonts w:hint="eastAsia"/>
                <w:color w:val="auto"/>
                <w:highlight w:val="none"/>
              </w:rPr>
            </w:pPr>
            <w:r>
              <w:rPr>
                <w:rFonts w:hint="eastAsia"/>
                <w:color w:val="auto"/>
                <w:highlight w:val="none"/>
              </w:rPr>
              <w:t>我方根据施工合同的约定，现申请支付工程预付款额为(大写)</w:t>
            </w:r>
            <w:r>
              <w:rPr>
                <w:rFonts w:hint="eastAsia"/>
                <w:color w:val="auto"/>
                <w:highlight w:val="none"/>
                <w:u w:val="single"/>
              </w:rPr>
              <w:t xml:space="preserve">            </w:t>
            </w:r>
            <w:r>
              <w:rPr>
                <w:rFonts w:hint="eastAsia"/>
                <w:color w:val="auto"/>
                <w:highlight w:val="none"/>
              </w:rPr>
              <w:t>元，(小写)</w:t>
            </w:r>
          </w:p>
          <w:p w14:paraId="633474A5">
            <w:pPr>
              <w:spacing w:line="400" w:lineRule="exact"/>
              <w:rPr>
                <w:rFonts w:hint="eastAsia"/>
                <w:color w:val="auto"/>
                <w:highlight w:val="none"/>
              </w:rPr>
            </w:pPr>
            <w:r>
              <w:rPr>
                <w:rFonts w:hint="eastAsia"/>
                <w:color w:val="auto"/>
                <w:highlight w:val="none"/>
                <w:u w:val="single"/>
              </w:rPr>
              <w:t xml:space="preserve">         </w:t>
            </w:r>
            <w:r>
              <w:rPr>
                <w:rFonts w:hint="eastAsia"/>
                <w:color w:val="auto"/>
                <w:highlight w:val="none"/>
              </w:rPr>
              <w:t>元，请予核准。</w:t>
            </w:r>
          </w:p>
          <w:tbl>
            <w:tblPr>
              <w:tblStyle w:val="40"/>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764"/>
              <w:gridCol w:w="2240"/>
              <w:gridCol w:w="1080"/>
            </w:tblGrid>
            <w:tr w14:paraId="022B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3A2856CA">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7D0AA4D7">
                  <w:pPr>
                    <w:spacing w:line="280" w:lineRule="exact"/>
                    <w:jc w:val="center"/>
                    <w:rPr>
                      <w:rFonts w:hint="eastAsia"/>
                      <w:color w:val="auto"/>
                      <w:highlight w:val="none"/>
                    </w:rPr>
                  </w:pPr>
                  <w:r>
                    <w:rPr>
                      <w:rFonts w:hint="eastAsia"/>
                      <w:color w:val="auto"/>
                      <w:highlight w:val="none"/>
                    </w:rPr>
                    <w:t>名      称</w:t>
                  </w:r>
                </w:p>
              </w:tc>
              <w:tc>
                <w:tcPr>
                  <w:tcW w:w="1764" w:type="dxa"/>
                  <w:noWrap w:val="0"/>
                  <w:vAlign w:val="center"/>
                </w:tcPr>
                <w:p w14:paraId="4C7AD82E">
                  <w:pPr>
                    <w:spacing w:line="280" w:lineRule="exact"/>
                    <w:jc w:val="center"/>
                    <w:rPr>
                      <w:rFonts w:hint="eastAsia"/>
                      <w:color w:val="auto"/>
                      <w:highlight w:val="none"/>
                    </w:rPr>
                  </w:pPr>
                  <w:r>
                    <w:rPr>
                      <w:rFonts w:hint="eastAsia"/>
                      <w:color w:val="auto"/>
                      <w:highlight w:val="none"/>
                    </w:rPr>
                    <w:t>申请金额（元）</w:t>
                  </w:r>
                </w:p>
              </w:tc>
              <w:tc>
                <w:tcPr>
                  <w:tcW w:w="2240" w:type="dxa"/>
                  <w:noWrap w:val="0"/>
                  <w:vAlign w:val="center"/>
                </w:tcPr>
                <w:p w14:paraId="18E643CC">
                  <w:pPr>
                    <w:spacing w:line="280" w:lineRule="exact"/>
                    <w:jc w:val="center"/>
                    <w:rPr>
                      <w:rFonts w:hint="eastAsia"/>
                      <w:color w:val="auto"/>
                      <w:highlight w:val="none"/>
                    </w:rPr>
                  </w:pPr>
                  <w:r>
                    <w:rPr>
                      <w:rFonts w:hint="eastAsia"/>
                      <w:color w:val="auto"/>
                      <w:highlight w:val="none"/>
                    </w:rPr>
                    <w:t>复核金额（元）</w:t>
                  </w:r>
                </w:p>
              </w:tc>
              <w:tc>
                <w:tcPr>
                  <w:tcW w:w="1080" w:type="dxa"/>
                  <w:noWrap w:val="0"/>
                  <w:vAlign w:val="center"/>
                </w:tcPr>
                <w:p w14:paraId="499FE45B">
                  <w:pPr>
                    <w:spacing w:line="280" w:lineRule="exact"/>
                    <w:jc w:val="center"/>
                    <w:rPr>
                      <w:rFonts w:hint="eastAsia"/>
                      <w:color w:val="auto"/>
                      <w:highlight w:val="none"/>
                    </w:rPr>
                  </w:pPr>
                  <w:r>
                    <w:rPr>
                      <w:rFonts w:hint="eastAsia"/>
                      <w:color w:val="auto"/>
                      <w:highlight w:val="none"/>
                    </w:rPr>
                    <w:t>备注</w:t>
                  </w:r>
                </w:p>
              </w:tc>
            </w:tr>
            <w:tr w14:paraId="0CA7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13099F8">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0970EE39">
                  <w:pPr>
                    <w:spacing w:line="280" w:lineRule="exact"/>
                    <w:rPr>
                      <w:rFonts w:hint="eastAsia"/>
                      <w:color w:val="auto"/>
                      <w:highlight w:val="none"/>
                    </w:rPr>
                  </w:pPr>
                  <w:r>
                    <w:rPr>
                      <w:rFonts w:hint="eastAsia"/>
                      <w:color w:val="auto"/>
                      <w:highlight w:val="none"/>
                    </w:rPr>
                    <w:t>已签约合同价款金额</w:t>
                  </w:r>
                </w:p>
              </w:tc>
              <w:tc>
                <w:tcPr>
                  <w:tcW w:w="1764" w:type="dxa"/>
                  <w:noWrap w:val="0"/>
                  <w:vAlign w:val="top"/>
                </w:tcPr>
                <w:p w14:paraId="5103373A">
                  <w:pPr>
                    <w:spacing w:line="280" w:lineRule="exact"/>
                    <w:rPr>
                      <w:rFonts w:hint="eastAsia"/>
                      <w:color w:val="auto"/>
                      <w:highlight w:val="none"/>
                    </w:rPr>
                  </w:pPr>
                </w:p>
              </w:tc>
              <w:tc>
                <w:tcPr>
                  <w:tcW w:w="2240" w:type="dxa"/>
                  <w:noWrap w:val="0"/>
                  <w:vAlign w:val="top"/>
                </w:tcPr>
                <w:p w14:paraId="44636ABE">
                  <w:pPr>
                    <w:spacing w:line="280" w:lineRule="exact"/>
                    <w:rPr>
                      <w:rFonts w:hint="eastAsia"/>
                      <w:color w:val="auto"/>
                      <w:highlight w:val="none"/>
                    </w:rPr>
                  </w:pPr>
                </w:p>
              </w:tc>
              <w:tc>
                <w:tcPr>
                  <w:tcW w:w="1080" w:type="dxa"/>
                  <w:noWrap w:val="0"/>
                  <w:vAlign w:val="top"/>
                </w:tcPr>
                <w:p w14:paraId="6F06A024">
                  <w:pPr>
                    <w:spacing w:line="280" w:lineRule="exact"/>
                    <w:rPr>
                      <w:rFonts w:hint="eastAsia"/>
                      <w:color w:val="auto"/>
                      <w:highlight w:val="none"/>
                    </w:rPr>
                  </w:pPr>
                </w:p>
              </w:tc>
            </w:tr>
            <w:tr w14:paraId="6520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7A5B33F">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3524C2EC">
                  <w:pPr>
                    <w:spacing w:line="280" w:lineRule="exact"/>
                    <w:rPr>
                      <w:rFonts w:hint="eastAsia"/>
                      <w:color w:val="auto"/>
                      <w:highlight w:val="none"/>
                    </w:rPr>
                  </w:pPr>
                  <w:r>
                    <w:rPr>
                      <w:rFonts w:hint="eastAsia"/>
                      <w:color w:val="auto"/>
                      <w:highlight w:val="none"/>
                    </w:rPr>
                    <w:t>其中：安全文明施工费</w:t>
                  </w:r>
                </w:p>
              </w:tc>
              <w:tc>
                <w:tcPr>
                  <w:tcW w:w="1764" w:type="dxa"/>
                  <w:noWrap w:val="0"/>
                  <w:vAlign w:val="top"/>
                </w:tcPr>
                <w:p w14:paraId="58FCEE9C">
                  <w:pPr>
                    <w:spacing w:line="280" w:lineRule="exact"/>
                    <w:rPr>
                      <w:rFonts w:hint="eastAsia"/>
                      <w:color w:val="auto"/>
                      <w:highlight w:val="none"/>
                    </w:rPr>
                  </w:pPr>
                </w:p>
              </w:tc>
              <w:tc>
                <w:tcPr>
                  <w:tcW w:w="2240" w:type="dxa"/>
                  <w:noWrap w:val="0"/>
                  <w:vAlign w:val="top"/>
                </w:tcPr>
                <w:p w14:paraId="2AA72055">
                  <w:pPr>
                    <w:spacing w:line="280" w:lineRule="exact"/>
                    <w:rPr>
                      <w:rFonts w:hint="eastAsia"/>
                      <w:color w:val="auto"/>
                      <w:highlight w:val="none"/>
                    </w:rPr>
                  </w:pPr>
                </w:p>
              </w:tc>
              <w:tc>
                <w:tcPr>
                  <w:tcW w:w="1080" w:type="dxa"/>
                  <w:noWrap w:val="0"/>
                  <w:vAlign w:val="top"/>
                </w:tcPr>
                <w:p w14:paraId="650812EE">
                  <w:pPr>
                    <w:spacing w:line="280" w:lineRule="exact"/>
                    <w:rPr>
                      <w:rFonts w:hint="eastAsia"/>
                      <w:color w:val="auto"/>
                      <w:highlight w:val="none"/>
                    </w:rPr>
                  </w:pPr>
                </w:p>
              </w:tc>
            </w:tr>
            <w:tr w14:paraId="757F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1B3276C">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29EC092F">
                  <w:pPr>
                    <w:spacing w:line="280" w:lineRule="exact"/>
                    <w:rPr>
                      <w:rFonts w:hint="eastAsia"/>
                      <w:color w:val="auto"/>
                      <w:highlight w:val="none"/>
                    </w:rPr>
                  </w:pPr>
                  <w:r>
                    <w:rPr>
                      <w:rFonts w:hint="eastAsia"/>
                      <w:color w:val="auto"/>
                      <w:highlight w:val="none"/>
                    </w:rPr>
                    <w:t>应支付的预付款</w:t>
                  </w:r>
                </w:p>
              </w:tc>
              <w:tc>
                <w:tcPr>
                  <w:tcW w:w="1764" w:type="dxa"/>
                  <w:noWrap w:val="0"/>
                  <w:vAlign w:val="top"/>
                </w:tcPr>
                <w:p w14:paraId="11E6B131">
                  <w:pPr>
                    <w:spacing w:line="280" w:lineRule="exact"/>
                    <w:rPr>
                      <w:rFonts w:hint="eastAsia"/>
                      <w:color w:val="auto"/>
                      <w:highlight w:val="none"/>
                    </w:rPr>
                  </w:pPr>
                </w:p>
              </w:tc>
              <w:tc>
                <w:tcPr>
                  <w:tcW w:w="2240" w:type="dxa"/>
                  <w:noWrap w:val="0"/>
                  <w:vAlign w:val="top"/>
                </w:tcPr>
                <w:p w14:paraId="5F065562">
                  <w:pPr>
                    <w:spacing w:line="280" w:lineRule="exact"/>
                    <w:rPr>
                      <w:rFonts w:hint="eastAsia"/>
                      <w:color w:val="auto"/>
                      <w:highlight w:val="none"/>
                    </w:rPr>
                  </w:pPr>
                </w:p>
              </w:tc>
              <w:tc>
                <w:tcPr>
                  <w:tcW w:w="1080" w:type="dxa"/>
                  <w:noWrap w:val="0"/>
                  <w:vAlign w:val="top"/>
                </w:tcPr>
                <w:p w14:paraId="55E8D119">
                  <w:pPr>
                    <w:spacing w:line="280" w:lineRule="exact"/>
                    <w:rPr>
                      <w:rFonts w:hint="eastAsia"/>
                      <w:color w:val="auto"/>
                      <w:highlight w:val="none"/>
                    </w:rPr>
                  </w:pPr>
                </w:p>
              </w:tc>
            </w:tr>
            <w:tr w14:paraId="1E28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B914F08">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22719201">
                  <w:pPr>
                    <w:spacing w:line="280" w:lineRule="exact"/>
                    <w:rPr>
                      <w:rFonts w:hint="eastAsia"/>
                      <w:color w:val="auto"/>
                      <w:highlight w:val="none"/>
                    </w:rPr>
                  </w:pPr>
                  <w:r>
                    <w:rPr>
                      <w:rFonts w:hint="eastAsia"/>
                      <w:color w:val="auto"/>
                      <w:highlight w:val="none"/>
                    </w:rPr>
                    <w:t>应支付的安全文明施工费预付款</w:t>
                  </w:r>
                </w:p>
              </w:tc>
              <w:tc>
                <w:tcPr>
                  <w:tcW w:w="1764" w:type="dxa"/>
                  <w:noWrap w:val="0"/>
                  <w:vAlign w:val="top"/>
                </w:tcPr>
                <w:p w14:paraId="7C67672C">
                  <w:pPr>
                    <w:spacing w:line="280" w:lineRule="exact"/>
                    <w:rPr>
                      <w:rFonts w:hint="eastAsia"/>
                      <w:color w:val="auto"/>
                      <w:highlight w:val="none"/>
                    </w:rPr>
                  </w:pPr>
                </w:p>
              </w:tc>
              <w:tc>
                <w:tcPr>
                  <w:tcW w:w="2240" w:type="dxa"/>
                  <w:noWrap w:val="0"/>
                  <w:vAlign w:val="top"/>
                </w:tcPr>
                <w:p w14:paraId="151629F5">
                  <w:pPr>
                    <w:spacing w:line="280" w:lineRule="exact"/>
                    <w:rPr>
                      <w:rFonts w:hint="eastAsia"/>
                      <w:color w:val="auto"/>
                      <w:highlight w:val="none"/>
                    </w:rPr>
                  </w:pPr>
                </w:p>
              </w:tc>
              <w:tc>
                <w:tcPr>
                  <w:tcW w:w="1080" w:type="dxa"/>
                  <w:noWrap w:val="0"/>
                  <w:vAlign w:val="top"/>
                </w:tcPr>
                <w:p w14:paraId="2A2F0DAE">
                  <w:pPr>
                    <w:spacing w:line="280" w:lineRule="exact"/>
                    <w:rPr>
                      <w:rFonts w:hint="eastAsia"/>
                      <w:color w:val="auto"/>
                      <w:highlight w:val="none"/>
                    </w:rPr>
                  </w:pPr>
                </w:p>
              </w:tc>
            </w:tr>
            <w:tr w14:paraId="108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A5BD3E8">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021D9EC8">
                  <w:pPr>
                    <w:spacing w:line="280" w:lineRule="exact"/>
                    <w:rPr>
                      <w:rFonts w:hint="eastAsia"/>
                      <w:color w:val="auto"/>
                      <w:highlight w:val="none"/>
                    </w:rPr>
                  </w:pPr>
                  <w:r>
                    <w:rPr>
                      <w:rFonts w:hint="eastAsia"/>
                      <w:color w:val="auto"/>
                      <w:highlight w:val="none"/>
                    </w:rPr>
                    <w:t>合计应支付的预付款</w:t>
                  </w:r>
                </w:p>
              </w:tc>
              <w:tc>
                <w:tcPr>
                  <w:tcW w:w="1764" w:type="dxa"/>
                  <w:noWrap w:val="0"/>
                  <w:vAlign w:val="top"/>
                </w:tcPr>
                <w:p w14:paraId="3F638159">
                  <w:pPr>
                    <w:spacing w:line="280" w:lineRule="exact"/>
                    <w:rPr>
                      <w:rFonts w:hint="eastAsia"/>
                      <w:color w:val="auto"/>
                      <w:highlight w:val="none"/>
                    </w:rPr>
                  </w:pPr>
                </w:p>
              </w:tc>
              <w:tc>
                <w:tcPr>
                  <w:tcW w:w="2240" w:type="dxa"/>
                  <w:noWrap w:val="0"/>
                  <w:vAlign w:val="top"/>
                </w:tcPr>
                <w:p w14:paraId="2BA2091F">
                  <w:pPr>
                    <w:spacing w:line="280" w:lineRule="exact"/>
                    <w:rPr>
                      <w:rFonts w:hint="eastAsia"/>
                      <w:color w:val="auto"/>
                      <w:highlight w:val="none"/>
                    </w:rPr>
                  </w:pPr>
                </w:p>
              </w:tc>
              <w:tc>
                <w:tcPr>
                  <w:tcW w:w="1080" w:type="dxa"/>
                  <w:noWrap w:val="0"/>
                  <w:vAlign w:val="top"/>
                </w:tcPr>
                <w:p w14:paraId="07A40163">
                  <w:pPr>
                    <w:spacing w:line="280" w:lineRule="exact"/>
                    <w:rPr>
                      <w:rFonts w:hint="eastAsia"/>
                      <w:color w:val="auto"/>
                      <w:highlight w:val="none"/>
                    </w:rPr>
                  </w:pPr>
                </w:p>
              </w:tc>
            </w:tr>
            <w:tr w14:paraId="650D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938F211">
                  <w:pPr>
                    <w:spacing w:line="280" w:lineRule="exact"/>
                    <w:jc w:val="center"/>
                    <w:rPr>
                      <w:rFonts w:hint="eastAsia"/>
                      <w:color w:val="auto"/>
                      <w:highlight w:val="none"/>
                    </w:rPr>
                  </w:pPr>
                </w:p>
              </w:tc>
              <w:tc>
                <w:tcPr>
                  <w:tcW w:w="3340" w:type="dxa"/>
                  <w:noWrap w:val="0"/>
                  <w:vAlign w:val="top"/>
                </w:tcPr>
                <w:p w14:paraId="349C3A2B">
                  <w:pPr>
                    <w:spacing w:line="280" w:lineRule="exact"/>
                    <w:rPr>
                      <w:rFonts w:hint="eastAsia"/>
                      <w:color w:val="auto"/>
                      <w:highlight w:val="none"/>
                    </w:rPr>
                  </w:pPr>
                </w:p>
              </w:tc>
              <w:tc>
                <w:tcPr>
                  <w:tcW w:w="1764" w:type="dxa"/>
                  <w:noWrap w:val="0"/>
                  <w:vAlign w:val="top"/>
                </w:tcPr>
                <w:p w14:paraId="6D1E27D3">
                  <w:pPr>
                    <w:spacing w:line="280" w:lineRule="exact"/>
                    <w:rPr>
                      <w:rFonts w:hint="eastAsia"/>
                      <w:color w:val="auto"/>
                      <w:highlight w:val="none"/>
                    </w:rPr>
                  </w:pPr>
                </w:p>
              </w:tc>
              <w:tc>
                <w:tcPr>
                  <w:tcW w:w="2240" w:type="dxa"/>
                  <w:noWrap w:val="0"/>
                  <w:vAlign w:val="top"/>
                </w:tcPr>
                <w:p w14:paraId="67C4F1E3">
                  <w:pPr>
                    <w:spacing w:line="280" w:lineRule="exact"/>
                    <w:rPr>
                      <w:rFonts w:hint="eastAsia"/>
                      <w:color w:val="auto"/>
                      <w:highlight w:val="none"/>
                    </w:rPr>
                  </w:pPr>
                </w:p>
              </w:tc>
              <w:tc>
                <w:tcPr>
                  <w:tcW w:w="1080" w:type="dxa"/>
                  <w:noWrap w:val="0"/>
                  <w:vAlign w:val="top"/>
                </w:tcPr>
                <w:p w14:paraId="417633BE">
                  <w:pPr>
                    <w:spacing w:line="280" w:lineRule="exact"/>
                    <w:rPr>
                      <w:rFonts w:hint="eastAsia"/>
                      <w:color w:val="auto"/>
                      <w:highlight w:val="none"/>
                    </w:rPr>
                  </w:pPr>
                </w:p>
              </w:tc>
            </w:tr>
          </w:tbl>
          <w:p w14:paraId="4EF1DE5C">
            <w:pPr>
              <w:wordWrap w:val="0"/>
              <w:spacing w:line="400" w:lineRule="exact"/>
              <w:ind w:right="420"/>
              <w:rPr>
                <w:rFonts w:hint="eastAsia"/>
                <w:color w:val="auto"/>
                <w:highlight w:val="none"/>
              </w:rPr>
            </w:pPr>
          </w:p>
          <w:p w14:paraId="0FF8C120">
            <w:pPr>
              <w:wordWrap w:val="0"/>
              <w:spacing w:line="400" w:lineRule="exact"/>
              <w:ind w:right="420"/>
              <w:rPr>
                <w:rFonts w:hint="eastAsia"/>
                <w:color w:val="auto"/>
                <w:highlight w:val="none"/>
              </w:rPr>
            </w:pPr>
            <w:r>
              <w:rPr>
                <w:rFonts w:hint="eastAsia"/>
                <w:color w:val="auto"/>
                <w:highlight w:val="none"/>
              </w:rPr>
              <w:t xml:space="preserve">                                            承包人（章）             </w:t>
            </w:r>
          </w:p>
          <w:p w14:paraId="797491DC">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6C2E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488" w:type="dxa"/>
            <w:noWrap w:val="0"/>
            <w:vAlign w:val="top"/>
          </w:tcPr>
          <w:p w14:paraId="3C673212">
            <w:pPr>
              <w:spacing w:line="360" w:lineRule="exact"/>
              <w:rPr>
                <w:rFonts w:hint="eastAsia"/>
                <w:color w:val="auto"/>
                <w:highlight w:val="none"/>
              </w:rPr>
            </w:pPr>
            <w:r>
              <w:rPr>
                <w:rFonts w:hint="eastAsia"/>
                <w:color w:val="auto"/>
                <w:highlight w:val="none"/>
              </w:rPr>
              <w:t>复核意见：</w:t>
            </w:r>
          </w:p>
          <w:p w14:paraId="1506DF19">
            <w:pPr>
              <w:spacing w:line="360" w:lineRule="exact"/>
              <w:ind w:firstLine="312"/>
              <w:rPr>
                <w:rFonts w:hint="eastAsia"/>
                <w:color w:val="auto"/>
                <w:highlight w:val="none"/>
              </w:rPr>
            </w:pPr>
            <w:r>
              <w:rPr>
                <w:rFonts w:hint="eastAsia"/>
                <w:color w:val="auto"/>
                <w:highlight w:val="none"/>
              </w:rPr>
              <w:t>□与合同约定不相符，修改意见见附件。</w:t>
            </w:r>
          </w:p>
          <w:p w14:paraId="31C6ABA6">
            <w:pPr>
              <w:spacing w:line="360" w:lineRule="exact"/>
              <w:ind w:firstLine="312"/>
              <w:rPr>
                <w:rFonts w:hint="eastAsia"/>
                <w:color w:val="auto"/>
                <w:highlight w:val="none"/>
              </w:rPr>
            </w:pPr>
            <w:r>
              <w:rPr>
                <w:rFonts w:hint="eastAsia"/>
                <w:color w:val="auto"/>
                <w:highlight w:val="none"/>
              </w:rPr>
              <w:t>□与合同约定相符，具体金额由造价工程师复核。</w:t>
            </w:r>
          </w:p>
          <w:p w14:paraId="3DF11656">
            <w:pPr>
              <w:spacing w:line="360" w:lineRule="exact"/>
              <w:ind w:firstLine="435"/>
              <w:jc w:val="right"/>
              <w:rPr>
                <w:rFonts w:hint="eastAsia"/>
                <w:color w:val="auto"/>
                <w:highlight w:val="none"/>
              </w:rPr>
            </w:pPr>
          </w:p>
          <w:p w14:paraId="0766D124">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5777A591">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697" w:type="dxa"/>
            <w:noWrap w:val="0"/>
            <w:vAlign w:val="top"/>
          </w:tcPr>
          <w:p w14:paraId="7FB90F36">
            <w:pPr>
              <w:spacing w:line="360" w:lineRule="exact"/>
              <w:rPr>
                <w:rFonts w:hint="eastAsia"/>
                <w:color w:val="auto"/>
                <w:highlight w:val="none"/>
              </w:rPr>
            </w:pPr>
            <w:r>
              <w:rPr>
                <w:rFonts w:hint="eastAsia"/>
                <w:color w:val="auto"/>
                <w:highlight w:val="none"/>
              </w:rPr>
              <w:t>复核意见：</w:t>
            </w:r>
          </w:p>
          <w:p w14:paraId="1CCBA5CD">
            <w:pPr>
              <w:spacing w:line="360" w:lineRule="exact"/>
              <w:ind w:firstLine="435"/>
              <w:rPr>
                <w:rFonts w:hint="eastAsia"/>
                <w:color w:val="auto"/>
                <w:highlight w:val="none"/>
              </w:rPr>
            </w:pPr>
            <w:r>
              <w:rPr>
                <w:rFonts w:hint="eastAsia"/>
                <w:color w:val="auto"/>
                <w:highlight w:val="none"/>
              </w:rPr>
              <w:t>你方提出的支付申请经复核，应支付预付款金额为(大写)</w:t>
            </w:r>
            <w:r>
              <w:rPr>
                <w:rFonts w:hint="eastAsia"/>
                <w:color w:val="auto"/>
                <w:highlight w:val="none"/>
                <w:u w:val="single"/>
              </w:rPr>
              <w:t xml:space="preserve">                </w:t>
            </w:r>
            <w:r>
              <w:rPr>
                <w:rFonts w:hint="eastAsia"/>
                <w:color w:val="auto"/>
                <w:highlight w:val="none"/>
              </w:rPr>
              <w:t>元，（小写）</w:t>
            </w:r>
          </w:p>
          <w:p w14:paraId="1C327702">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w:t>
            </w:r>
          </w:p>
          <w:p w14:paraId="1D860C20">
            <w:pPr>
              <w:spacing w:line="360" w:lineRule="exact"/>
              <w:rPr>
                <w:rFonts w:hint="eastAsia"/>
                <w:color w:val="auto"/>
                <w:highlight w:val="none"/>
                <w:u w:val="single"/>
              </w:rPr>
            </w:pPr>
          </w:p>
          <w:p w14:paraId="00AD4C51">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71C083DD">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r>
      <w:tr w14:paraId="149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185" w:type="dxa"/>
            <w:gridSpan w:val="2"/>
            <w:noWrap w:val="0"/>
            <w:vAlign w:val="top"/>
          </w:tcPr>
          <w:p w14:paraId="7CB713FE">
            <w:pPr>
              <w:spacing w:line="400" w:lineRule="exact"/>
              <w:rPr>
                <w:rFonts w:hint="eastAsia"/>
                <w:color w:val="auto"/>
                <w:highlight w:val="none"/>
              </w:rPr>
            </w:pPr>
            <w:r>
              <w:rPr>
                <w:rFonts w:hint="eastAsia"/>
                <w:color w:val="auto"/>
                <w:highlight w:val="none"/>
              </w:rPr>
              <w:t>审核意见：</w:t>
            </w:r>
          </w:p>
          <w:p w14:paraId="11EC8878">
            <w:pPr>
              <w:spacing w:line="400" w:lineRule="exact"/>
              <w:ind w:firstLine="435"/>
              <w:rPr>
                <w:rFonts w:hint="eastAsia"/>
                <w:color w:val="auto"/>
                <w:highlight w:val="none"/>
              </w:rPr>
            </w:pPr>
            <w:r>
              <w:rPr>
                <w:rFonts w:hint="eastAsia"/>
                <w:color w:val="auto"/>
                <w:highlight w:val="none"/>
              </w:rPr>
              <w:t>□不同意。</w:t>
            </w:r>
          </w:p>
          <w:p w14:paraId="1789322B">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4FF00F03">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1DFE426F">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5A76B92C">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50434C68">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43681740">
      <w:pPr>
        <w:spacing w:before="120" w:beforeLines="50"/>
        <w:ind w:left="720" w:hanging="720" w:hangingChars="400"/>
        <w:rPr>
          <w:rFonts w:hint="eastAsia" w:eastAsia="仿宋_GB2312"/>
          <w:color w:val="auto"/>
          <w:sz w:val="30"/>
          <w:szCs w:val="30"/>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76404241">
      <w:pPr>
        <w:spacing w:before="120" w:beforeLines="50"/>
        <w:ind w:left="1200" w:hanging="1200" w:hangingChars="400"/>
        <w:rPr>
          <w:rFonts w:hint="eastAsia" w:eastAsia="仿宋_GB2312"/>
          <w:color w:val="auto"/>
          <w:sz w:val="30"/>
          <w:szCs w:val="30"/>
          <w:highlight w:val="none"/>
        </w:rPr>
      </w:pPr>
      <w:r>
        <w:rPr>
          <w:rFonts w:hint="eastAsia" w:eastAsia="仿宋_GB2312"/>
          <w:color w:val="auto"/>
          <w:sz w:val="30"/>
          <w:szCs w:val="30"/>
          <w:highlight w:val="none"/>
        </w:rPr>
        <w:t>附件11：</w:t>
      </w:r>
    </w:p>
    <w:p w14:paraId="18884584">
      <w:pPr>
        <w:jc w:val="center"/>
        <w:rPr>
          <w:rFonts w:hint="eastAsia"/>
          <w:b/>
          <w:color w:val="auto"/>
          <w:sz w:val="36"/>
          <w:szCs w:val="36"/>
          <w:highlight w:val="none"/>
        </w:rPr>
      </w:pPr>
      <w:r>
        <w:rPr>
          <w:rFonts w:hint="eastAsia"/>
          <w:b/>
          <w:color w:val="auto"/>
          <w:sz w:val="36"/>
          <w:szCs w:val="36"/>
          <w:highlight w:val="none"/>
        </w:rPr>
        <w:t>进度款支付申请（核准）表</w:t>
      </w:r>
    </w:p>
    <w:p w14:paraId="6B30CA0C">
      <w:pPr>
        <w:rPr>
          <w:rFonts w:hint="eastAsia"/>
          <w:color w:val="auto"/>
          <w:sz w:val="24"/>
          <w:szCs w:val="24"/>
          <w:highlight w:val="none"/>
        </w:rPr>
      </w:pPr>
      <w:r>
        <w:rPr>
          <w:rFonts w:hint="eastAsia"/>
          <w:color w:val="auto"/>
          <w:sz w:val="24"/>
          <w:szCs w:val="24"/>
          <w:highlight w:val="none"/>
        </w:rPr>
        <w:t>工程名称：                                             编号：</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0180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2C87E625">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249E03E8">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w:t>
            </w:r>
            <w:r>
              <w:rPr>
                <w:rFonts w:hint="eastAsia"/>
                <w:color w:val="auto"/>
                <w:highlight w:val="none"/>
                <w:u w:val="single"/>
              </w:rPr>
              <w:t xml:space="preserve">               </w:t>
            </w:r>
            <w:r>
              <w:rPr>
                <w:rFonts w:hint="eastAsia"/>
                <w:color w:val="auto"/>
                <w:highlight w:val="none"/>
              </w:rPr>
              <w:t>工作，根据施工合同的约定，现申请支付本期的合同款额为(大写)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0"/>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340"/>
              <w:gridCol w:w="1440"/>
              <w:gridCol w:w="1260"/>
              <w:gridCol w:w="931"/>
            </w:tblGrid>
            <w:tr w14:paraId="620A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2FD6763E">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2FD16D5D">
                  <w:pPr>
                    <w:spacing w:line="280" w:lineRule="exact"/>
                    <w:jc w:val="center"/>
                    <w:rPr>
                      <w:rFonts w:hint="eastAsia"/>
                      <w:color w:val="auto"/>
                      <w:highlight w:val="none"/>
                    </w:rPr>
                  </w:pPr>
                  <w:r>
                    <w:rPr>
                      <w:rFonts w:hint="eastAsia"/>
                      <w:color w:val="auto"/>
                      <w:highlight w:val="none"/>
                    </w:rPr>
                    <w:t>名      称</w:t>
                  </w:r>
                </w:p>
              </w:tc>
              <w:tc>
                <w:tcPr>
                  <w:tcW w:w="1340" w:type="dxa"/>
                  <w:noWrap w:val="0"/>
                  <w:vAlign w:val="center"/>
                </w:tcPr>
                <w:p w14:paraId="5BAE3C61">
                  <w:pPr>
                    <w:spacing w:line="280" w:lineRule="exact"/>
                    <w:jc w:val="center"/>
                    <w:rPr>
                      <w:rFonts w:hint="eastAsia"/>
                      <w:color w:val="auto"/>
                      <w:highlight w:val="none"/>
                    </w:rPr>
                  </w:pPr>
                  <w:r>
                    <w:rPr>
                      <w:rFonts w:hint="eastAsia"/>
                      <w:color w:val="auto"/>
                      <w:highlight w:val="none"/>
                    </w:rPr>
                    <w:t>实际金额（元）</w:t>
                  </w:r>
                </w:p>
              </w:tc>
              <w:tc>
                <w:tcPr>
                  <w:tcW w:w="1440" w:type="dxa"/>
                  <w:noWrap w:val="0"/>
                  <w:vAlign w:val="center"/>
                </w:tcPr>
                <w:p w14:paraId="59915EFD">
                  <w:pPr>
                    <w:spacing w:line="280" w:lineRule="exact"/>
                    <w:jc w:val="center"/>
                    <w:rPr>
                      <w:rFonts w:hint="eastAsia"/>
                      <w:color w:val="auto"/>
                      <w:highlight w:val="none"/>
                    </w:rPr>
                  </w:pPr>
                  <w:r>
                    <w:rPr>
                      <w:rFonts w:hint="eastAsia"/>
                      <w:color w:val="auto"/>
                      <w:highlight w:val="none"/>
                    </w:rPr>
                    <w:t>申请金额（元）</w:t>
                  </w:r>
                </w:p>
              </w:tc>
              <w:tc>
                <w:tcPr>
                  <w:tcW w:w="1260" w:type="dxa"/>
                  <w:noWrap w:val="0"/>
                  <w:vAlign w:val="center"/>
                </w:tcPr>
                <w:p w14:paraId="5B755BC1">
                  <w:pPr>
                    <w:spacing w:line="280" w:lineRule="exact"/>
                    <w:jc w:val="center"/>
                    <w:rPr>
                      <w:rFonts w:hint="eastAsia"/>
                      <w:color w:val="auto"/>
                      <w:highlight w:val="none"/>
                    </w:rPr>
                  </w:pPr>
                  <w:r>
                    <w:rPr>
                      <w:rFonts w:hint="eastAsia"/>
                      <w:color w:val="auto"/>
                      <w:highlight w:val="none"/>
                    </w:rPr>
                    <w:t>复核金额（元）</w:t>
                  </w:r>
                </w:p>
              </w:tc>
              <w:tc>
                <w:tcPr>
                  <w:tcW w:w="931" w:type="dxa"/>
                  <w:noWrap w:val="0"/>
                  <w:vAlign w:val="center"/>
                </w:tcPr>
                <w:p w14:paraId="2F709477">
                  <w:pPr>
                    <w:spacing w:line="280" w:lineRule="exact"/>
                    <w:jc w:val="center"/>
                    <w:rPr>
                      <w:rFonts w:hint="eastAsia"/>
                      <w:color w:val="auto"/>
                      <w:highlight w:val="none"/>
                    </w:rPr>
                  </w:pPr>
                  <w:r>
                    <w:rPr>
                      <w:rFonts w:hint="eastAsia"/>
                      <w:color w:val="auto"/>
                      <w:highlight w:val="none"/>
                    </w:rPr>
                    <w:t>备注</w:t>
                  </w:r>
                </w:p>
              </w:tc>
            </w:tr>
            <w:tr w14:paraId="5382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3230470">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7DD9D09B">
                  <w:pPr>
                    <w:spacing w:line="280" w:lineRule="exact"/>
                    <w:rPr>
                      <w:rFonts w:hint="eastAsia"/>
                      <w:color w:val="auto"/>
                      <w:highlight w:val="none"/>
                    </w:rPr>
                  </w:pPr>
                  <w:r>
                    <w:rPr>
                      <w:rFonts w:hint="eastAsia"/>
                      <w:color w:val="auto"/>
                      <w:highlight w:val="none"/>
                    </w:rPr>
                    <w:t>累计已完成的工程价款</w:t>
                  </w:r>
                </w:p>
              </w:tc>
              <w:tc>
                <w:tcPr>
                  <w:tcW w:w="1340" w:type="dxa"/>
                  <w:noWrap w:val="0"/>
                  <w:vAlign w:val="top"/>
                </w:tcPr>
                <w:p w14:paraId="417D2251">
                  <w:pPr>
                    <w:spacing w:line="280" w:lineRule="exact"/>
                    <w:rPr>
                      <w:rFonts w:hint="eastAsia"/>
                      <w:color w:val="auto"/>
                      <w:highlight w:val="none"/>
                    </w:rPr>
                  </w:pPr>
                </w:p>
              </w:tc>
              <w:tc>
                <w:tcPr>
                  <w:tcW w:w="1440" w:type="dxa"/>
                  <w:noWrap w:val="0"/>
                  <w:vAlign w:val="top"/>
                </w:tcPr>
                <w:p w14:paraId="4F724D07">
                  <w:pPr>
                    <w:spacing w:line="280" w:lineRule="exact"/>
                    <w:rPr>
                      <w:rFonts w:hint="eastAsia"/>
                      <w:color w:val="auto"/>
                      <w:highlight w:val="none"/>
                    </w:rPr>
                  </w:pPr>
                </w:p>
              </w:tc>
              <w:tc>
                <w:tcPr>
                  <w:tcW w:w="1260" w:type="dxa"/>
                  <w:noWrap w:val="0"/>
                  <w:vAlign w:val="top"/>
                </w:tcPr>
                <w:p w14:paraId="586FE224">
                  <w:pPr>
                    <w:spacing w:line="280" w:lineRule="exact"/>
                    <w:rPr>
                      <w:rFonts w:hint="eastAsia"/>
                      <w:color w:val="auto"/>
                      <w:highlight w:val="none"/>
                    </w:rPr>
                  </w:pPr>
                </w:p>
              </w:tc>
              <w:tc>
                <w:tcPr>
                  <w:tcW w:w="931" w:type="dxa"/>
                  <w:noWrap w:val="0"/>
                  <w:vAlign w:val="top"/>
                </w:tcPr>
                <w:p w14:paraId="66D19586">
                  <w:pPr>
                    <w:spacing w:line="280" w:lineRule="exact"/>
                    <w:rPr>
                      <w:rFonts w:hint="eastAsia"/>
                      <w:color w:val="auto"/>
                      <w:highlight w:val="none"/>
                    </w:rPr>
                  </w:pPr>
                </w:p>
              </w:tc>
            </w:tr>
            <w:tr w14:paraId="0A67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4F954B7">
                  <w:pPr>
                    <w:spacing w:line="280" w:lineRule="exact"/>
                    <w:jc w:val="center"/>
                    <w:rPr>
                      <w:rFonts w:hint="eastAsia"/>
                      <w:color w:val="auto"/>
                      <w:highlight w:val="none"/>
                    </w:rPr>
                  </w:pPr>
                </w:p>
              </w:tc>
              <w:tc>
                <w:tcPr>
                  <w:tcW w:w="3340" w:type="dxa"/>
                  <w:noWrap w:val="0"/>
                  <w:vAlign w:val="top"/>
                </w:tcPr>
                <w:p w14:paraId="4AE75903">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14B36218">
                  <w:pPr>
                    <w:spacing w:line="280" w:lineRule="exact"/>
                    <w:rPr>
                      <w:rFonts w:hint="eastAsia"/>
                      <w:color w:val="auto"/>
                      <w:highlight w:val="none"/>
                    </w:rPr>
                  </w:pPr>
                </w:p>
              </w:tc>
              <w:tc>
                <w:tcPr>
                  <w:tcW w:w="1440" w:type="dxa"/>
                  <w:noWrap w:val="0"/>
                  <w:vAlign w:val="top"/>
                </w:tcPr>
                <w:p w14:paraId="3C36DCED">
                  <w:pPr>
                    <w:spacing w:line="280" w:lineRule="exact"/>
                    <w:rPr>
                      <w:rFonts w:hint="eastAsia"/>
                      <w:color w:val="auto"/>
                      <w:highlight w:val="none"/>
                    </w:rPr>
                  </w:pPr>
                </w:p>
              </w:tc>
              <w:tc>
                <w:tcPr>
                  <w:tcW w:w="1260" w:type="dxa"/>
                  <w:noWrap w:val="0"/>
                  <w:vAlign w:val="top"/>
                </w:tcPr>
                <w:p w14:paraId="6135EC1E">
                  <w:pPr>
                    <w:spacing w:line="280" w:lineRule="exact"/>
                    <w:rPr>
                      <w:rFonts w:hint="eastAsia"/>
                      <w:color w:val="auto"/>
                      <w:highlight w:val="none"/>
                    </w:rPr>
                  </w:pPr>
                </w:p>
              </w:tc>
              <w:tc>
                <w:tcPr>
                  <w:tcW w:w="931" w:type="dxa"/>
                  <w:noWrap w:val="0"/>
                  <w:vAlign w:val="top"/>
                </w:tcPr>
                <w:p w14:paraId="0A96574A">
                  <w:pPr>
                    <w:spacing w:line="280" w:lineRule="exact"/>
                    <w:rPr>
                      <w:rFonts w:hint="eastAsia"/>
                      <w:color w:val="auto"/>
                      <w:highlight w:val="none"/>
                    </w:rPr>
                  </w:pPr>
                </w:p>
              </w:tc>
            </w:tr>
            <w:tr w14:paraId="34EE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13AD2D2">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30DEE339">
                  <w:pPr>
                    <w:spacing w:line="280" w:lineRule="exact"/>
                    <w:rPr>
                      <w:rFonts w:hint="eastAsia"/>
                      <w:color w:val="auto"/>
                      <w:highlight w:val="none"/>
                    </w:rPr>
                  </w:pPr>
                  <w:r>
                    <w:rPr>
                      <w:rFonts w:hint="eastAsia"/>
                      <w:color w:val="auto"/>
                      <w:highlight w:val="none"/>
                    </w:rPr>
                    <w:t>累计已实际支付的工程价款</w:t>
                  </w:r>
                </w:p>
              </w:tc>
              <w:tc>
                <w:tcPr>
                  <w:tcW w:w="1340" w:type="dxa"/>
                  <w:noWrap w:val="0"/>
                  <w:vAlign w:val="top"/>
                </w:tcPr>
                <w:p w14:paraId="509EDEFF">
                  <w:pPr>
                    <w:spacing w:line="280" w:lineRule="exact"/>
                    <w:rPr>
                      <w:rFonts w:hint="eastAsia"/>
                      <w:color w:val="auto"/>
                      <w:highlight w:val="none"/>
                    </w:rPr>
                  </w:pPr>
                </w:p>
              </w:tc>
              <w:tc>
                <w:tcPr>
                  <w:tcW w:w="1440" w:type="dxa"/>
                  <w:noWrap w:val="0"/>
                  <w:vAlign w:val="top"/>
                </w:tcPr>
                <w:p w14:paraId="02C5C447">
                  <w:pPr>
                    <w:spacing w:line="280" w:lineRule="exact"/>
                    <w:rPr>
                      <w:rFonts w:hint="eastAsia"/>
                      <w:color w:val="auto"/>
                      <w:highlight w:val="none"/>
                    </w:rPr>
                  </w:pPr>
                </w:p>
              </w:tc>
              <w:tc>
                <w:tcPr>
                  <w:tcW w:w="1260" w:type="dxa"/>
                  <w:noWrap w:val="0"/>
                  <w:vAlign w:val="top"/>
                </w:tcPr>
                <w:p w14:paraId="123AFF65">
                  <w:pPr>
                    <w:spacing w:line="280" w:lineRule="exact"/>
                    <w:rPr>
                      <w:rFonts w:hint="eastAsia"/>
                      <w:color w:val="auto"/>
                      <w:highlight w:val="none"/>
                    </w:rPr>
                  </w:pPr>
                </w:p>
              </w:tc>
              <w:tc>
                <w:tcPr>
                  <w:tcW w:w="931" w:type="dxa"/>
                  <w:noWrap w:val="0"/>
                  <w:vAlign w:val="top"/>
                </w:tcPr>
                <w:p w14:paraId="70CC96CB">
                  <w:pPr>
                    <w:spacing w:line="280" w:lineRule="exact"/>
                    <w:rPr>
                      <w:rFonts w:hint="eastAsia"/>
                      <w:color w:val="auto"/>
                      <w:highlight w:val="none"/>
                    </w:rPr>
                  </w:pPr>
                </w:p>
              </w:tc>
            </w:tr>
            <w:tr w14:paraId="474E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315AEE1">
                  <w:pPr>
                    <w:spacing w:line="280" w:lineRule="exact"/>
                    <w:jc w:val="center"/>
                    <w:rPr>
                      <w:rFonts w:hint="eastAsia"/>
                      <w:color w:val="auto"/>
                      <w:highlight w:val="none"/>
                    </w:rPr>
                  </w:pPr>
                </w:p>
              </w:tc>
              <w:tc>
                <w:tcPr>
                  <w:tcW w:w="3340" w:type="dxa"/>
                  <w:noWrap w:val="0"/>
                  <w:vAlign w:val="top"/>
                </w:tcPr>
                <w:p w14:paraId="2377A7C4">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32ED8AD6">
                  <w:pPr>
                    <w:spacing w:line="280" w:lineRule="exact"/>
                    <w:rPr>
                      <w:rFonts w:hint="eastAsia"/>
                      <w:color w:val="auto"/>
                      <w:highlight w:val="none"/>
                    </w:rPr>
                  </w:pPr>
                </w:p>
              </w:tc>
              <w:tc>
                <w:tcPr>
                  <w:tcW w:w="1440" w:type="dxa"/>
                  <w:noWrap w:val="0"/>
                  <w:vAlign w:val="top"/>
                </w:tcPr>
                <w:p w14:paraId="59436EB6">
                  <w:pPr>
                    <w:spacing w:line="280" w:lineRule="exact"/>
                    <w:rPr>
                      <w:rFonts w:hint="eastAsia"/>
                      <w:color w:val="auto"/>
                      <w:highlight w:val="none"/>
                    </w:rPr>
                  </w:pPr>
                </w:p>
              </w:tc>
              <w:tc>
                <w:tcPr>
                  <w:tcW w:w="1260" w:type="dxa"/>
                  <w:noWrap w:val="0"/>
                  <w:vAlign w:val="top"/>
                </w:tcPr>
                <w:p w14:paraId="2EFDB97F">
                  <w:pPr>
                    <w:spacing w:line="280" w:lineRule="exact"/>
                    <w:rPr>
                      <w:rFonts w:hint="eastAsia"/>
                      <w:color w:val="auto"/>
                      <w:highlight w:val="none"/>
                    </w:rPr>
                  </w:pPr>
                </w:p>
              </w:tc>
              <w:tc>
                <w:tcPr>
                  <w:tcW w:w="931" w:type="dxa"/>
                  <w:noWrap w:val="0"/>
                  <w:vAlign w:val="top"/>
                </w:tcPr>
                <w:p w14:paraId="18AC05C9">
                  <w:pPr>
                    <w:spacing w:line="280" w:lineRule="exact"/>
                    <w:rPr>
                      <w:rFonts w:hint="eastAsia"/>
                      <w:color w:val="auto"/>
                      <w:highlight w:val="none"/>
                    </w:rPr>
                  </w:pPr>
                </w:p>
              </w:tc>
            </w:tr>
            <w:tr w14:paraId="72E6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D5FBD7F">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599C2A49">
                  <w:pPr>
                    <w:spacing w:line="280" w:lineRule="exact"/>
                    <w:rPr>
                      <w:rFonts w:hint="eastAsia"/>
                      <w:color w:val="auto"/>
                      <w:highlight w:val="none"/>
                    </w:rPr>
                  </w:pPr>
                  <w:r>
                    <w:rPr>
                      <w:rFonts w:hint="eastAsia"/>
                      <w:color w:val="auto"/>
                      <w:highlight w:val="none"/>
                    </w:rPr>
                    <w:t>本周期已完成的工程价款</w:t>
                  </w:r>
                </w:p>
              </w:tc>
              <w:tc>
                <w:tcPr>
                  <w:tcW w:w="1340" w:type="dxa"/>
                  <w:noWrap w:val="0"/>
                  <w:vAlign w:val="top"/>
                </w:tcPr>
                <w:p w14:paraId="6C35880D">
                  <w:pPr>
                    <w:spacing w:line="280" w:lineRule="exact"/>
                    <w:rPr>
                      <w:rFonts w:hint="eastAsia"/>
                      <w:color w:val="auto"/>
                      <w:highlight w:val="none"/>
                    </w:rPr>
                  </w:pPr>
                </w:p>
              </w:tc>
              <w:tc>
                <w:tcPr>
                  <w:tcW w:w="1440" w:type="dxa"/>
                  <w:noWrap w:val="0"/>
                  <w:vAlign w:val="top"/>
                </w:tcPr>
                <w:p w14:paraId="5BB791C8">
                  <w:pPr>
                    <w:spacing w:line="280" w:lineRule="exact"/>
                    <w:rPr>
                      <w:rFonts w:hint="eastAsia"/>
                      <w:color w:val="auto"/>
                      <w:highlight w:val="none"/>
                    </w:rPr>
                  </w:pPr>
                </w:p>
              </w:tc>
              <w:tc>
                <w:tcPr>
                  <w:tcW w:w="1260" w:type="dxa"/>
                  <w:noWrap w:val="0"/>
                  <w:vAlign w:val="top"/>
                </w:tcPr>
                <w:p w14:paraId="53CD4726">
                  <w:pPr>
                    <w:spacing w:line="280" w:lineRule="exact"/>
                    <w:rPr>
                      <w:rFonts w:hint="eastAsia"/>
                      <w:color w:val="auto"/>
                      <w:highlight w:val="none"/>
                    </w:rPr>
                  </w:pPr>
                </w:p>
              </w:tc>
              <w:tc>
                <w:tcPr>
                  <w:tcW w:w="931" w:type="dxa"/>
                  <w:noWrap w:val="0"/>
                  <w:vAlign w:val="top"/>
                </w:tcPr>
                <w:p w14:paraId="6BB06085">
                  <w:pPr>
                    <w:spacing w:line="280" w:lineRule="exact"/>
                    <w:rPr>
                      <w:rFonts w:hint="eastAsia"/>
                      <w:color w:val="auto"/>
                      <w:highlight w:val="none"/>
                    </w:rPr>
                  </w:pPr>
                </w:p>
              </w:tc>
            </w:tr>
            <w:tr w14:paraId="39B7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BD18132">
                  <w:pPr>
                    <w:spacing w:line="280" w:lineRule="exact"/>
                    <w:jc w:val="center"/>
                    <w:rPr>
                      <w:rFonts w:hint="eastAsia"/>
                      <w:color w:val="auto"/>
                      <w:highlight w:val="none"/>
                    </w:rPr>
                  </w:pPr>
                </w:p>
              </w:tc>
              <w:tc>
                <w:tcPr>
                  <w:tcW w:w="3340" w:type="dxa"/>
                  <w:noWrap w:val="0"/>
                  <w:vAlign w:val="top"/>
                </w:tcPr>
                <w:p w14:paraId="03078A51">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64C2BFE2">
                  <w:pPr>
                    <w:spacing w:line="280" w:lineRule="exact"/>
                    <w:rPr>
                      <w:rFonts w:hint="eastAsia"/>
                      <w:color w:val="auto"/>
                      <w:highlight w:val="none"/>
                    </w:rPr>
                  </w:pPr>
                </w:p>
              </w:tc>
              <w:tc>
                <w:tcPr>
                  <w:tcW w:w="1440" w:type="dxa"/>
                  <w:noWrap w:val="0"/>
                  <w:vAlign w:val="top"/>
                </w:tcPr>
                <w:p w14:paraId="56731E08">
                  <w:pPr>
                    <w:spacing w:line="280" w:lineRule="exact"/>
                    <w:rPr>
                      <w:rFonts w:hint="eastAsia"/>
                      <w:color w:val="auto"/>
                      <w:highlight w:val="none"/>
                    </w:rPr>
                  </w:pPr>
                </w:p>
              </w:tc>
              <w:tc>
                <w:tcPr>
                  <w:tcW w:w="1260" w:type="dxa"/>
                  <w:noWrap w:val="0"/>
                  <w:vAlign w:val="top"/>
                </w:tcPr>
                <w:p w14:paraId="232B33C9">
                  <w:pPr>
                    <w:spacing w:line="280" w:lineRule="exact"/>
                    <w:rPr>
                      <w:rFonts w:hint="eastAsia"/>
                      <w:color w:val="auto"/>
                      <w:highlight w:val="none"/>
                    </w:rPr>
                  </w:pPr>
                </w:p>
              </w:tc>
              <w:tc>
                <w:tcPr>
                  <w:tcW w:w="931" w:type="dxa"/>
                  <w:noWrap w:val="0"/>
                  <w:vAlign w:val="top"/>
                </w:tcPr>
                <w:p w14:paraId="71D1EDB2">
                  <w:pPr>
                    <w:spacing w:line="280" w:lineRule="exact"/>
                    <w:rPr>
                      <w:rFonts w:hint="eastAsia"/>
                      <w:color w:val="auto"/>
                      <w:highlight w:val="none"/>
                    </w:rPr>
                  </w:pPr>
                </w:p>
              </w:tc>
            </w:tr>
            <w:tr w14:paraId="70B5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5ABF97C">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783B4834">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6DB4D958">
                  <w:pPr>
                    <w:spacing w:line="280" w:lineRule="exact"/>
                    <w:rPr>
                      <w:rFonts w:hint="eastAsia"/>
                      <w:color w:val="auto"/>
                      <w:highlight w:val="none"/>
                    </w:rPr>
                  </w:pPr>
                </w:p>
              </w:tc>
              <w:tc>
                <w:tcPr>
                  <w:tcW w:w="1440" w:type="dxa"/>
                  <w:noWrap w:val="0"/>
                  <w:vAlign w:val="top"/>
                </w:tcPr>
                <w:p w14:paraId="59C3C324">
                  <w:pPr>
                    <w:spacing w:line="280" w:lineRule="exact"/>
                    <w:rPr>
                      <w:rFonts w:hint="eastAsia"/>
                      <w:color w:val="auto"/>
                      <w:highlight w:val="none"/>
                    </w:rPr>
                  </w:pPr>
                </w:p>
              </w:tc>
              <w:tc>
                <w:tcPr>
                  <w:tcW w:w="1260" w:type="dxa"/>
                  <w:noWrap w:val="0"/>
                  <w:vAlign w:val="top"/>
                </w:tcPr>
                <w:p w14:paraId="3D145576">
                  <w:pPr>
                    <w:spacing w:line="280" w:lineRule="exact"/>
                    <w:rPr>
                      <w:rFonts w:hint="eastAsia"/>
                      <w:color w:val="auto"/>
                      <w:highlight w:val="none"/>
                    </w:rPr>
                  </w:pPr>
                </w:p>
              </w:tc>
              <w:tc>
                <w:tcPr>
                  <w:tcW w:w="931" w:type="dxa"/>
                  <w:noWrap w:val="0"/>
                  <w:vAlign w:val="top"/>
                </w:tcPr>
                <w:p w14:paraId="2482EC5B">
                  <w:pPr>
                    <w:spacing w:line="280" w:lineRule="exact"/>
                    <w:rPr>
                      <w:rFonts w:hint="eastAsia"/>
                      <w:color w:val="auto"/>
                      <w:highlight w:val="none"/>
                    </w:rPr>
                  </w:pPr>
                </w:p>
              </w:tc>
            </w:tr>
            <w:tr w14:paraId="683F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2642D00">
                  <w:pPr>
                    <w:spacing w:line="280" w:lineRule="exact"/>
                    <w:jc w:val="center"/>
                    <w:rPr>
                      <w:rFonts w:hint="eastAsia"/>
                      <w:color w:val="auto"/>
                      <w:highlight w:val="none"/>
                    </w:rPr>
                  </w:pPr>
                  <w:r>
                    <w:rPr>
                      <w:rFonts w:hint="eastAsia"/>
                      <w:color w:val="auto"/>
                      <w:highlight w:val="none"/>
                    </w:rPr>
                    <w:t>4.1</w:t>
                  </w:r>
                </w:p>
              </w:tc>
              <w:tc>
                <w:tcPr>
                  <w:tcW w:w="3340" w:type="dxa"/>
                  <w:noWrap w:val="0"/>
                  <w:vAlign w:val="top"/>
                </w:tcPr>
                <w:p w14:paraId="1CF74BAF">
                  <w:pPr>
                    <w:spacing w:line="280" w:lineRule="exact"/>
                    <w:rPr>
                      <w:rFonts w:hint="eastAsia"/>
                      <w:color w:val="auto"/>
                      <w:highlight w:val="none"/>
                    </w:rPr>
                  </w:pPr>
                  <w:r>
                    <w:rPr>
                      <w:rFonts w:hint="eastAsia"/>
                      <w:color w:val="auto"/>
                      <w:highlight w:val="none"/>
                    </w:rPr>
                    <w:t>本周期实际应抵扣的预付款</w:t>
                  </w:r>
                </w:p>
              </w:tc>
              <w:tc>
                <w:tcPr>
                  <w:tcW w:w="1340" w:type="dxa"/>
                  <w:noWrap w:val="0"/>
                  <w:vAlign w:val="top"/>
                </w:tcPr>
                <w:p w14:paraId="789E21DB">
                  <w:pPr>
                    <w:spacing w:line="280" w:lineRule="exact"/>
                    <w:rPr>
                      <w:rFonts w:hint="eastAsia"/>
                      <w:color w:val="auto"/>
                      <w:highlight w:val="none"/>
                    </w:rPr>
                  </w:pPr>
                </w:p>
              </w:tc>
              <w:tc>
                <w:tcPr>
                  <w:tcW w:w="1440" w:type="dxa"/>
                  <w:noWrap w:val="0"/>
                  <w:vAlign w:val="top"/>
                </w:tcPr>
                <w:p w14:paraId="765EB4B9">
                  <w:pPr>
                    <w:spacing w:line="280" w:lineRule="exact"/>
                    <w:rPr>
                      <w:rFonts w:hint="eastAsia"/>
                      <w:color w:val="auto"/>
                      <w:highlight w:val="none"/>
                    </w:rPr>
                  </w:pPr>
                </w:p>
              </w:tc>
              <w:tc>
                <w:tcPr>
                  <w:tcW w:w="1260" w:type="dxa"/>
                  <w:noWrap w:val="0"/>
                  <w:vAlign w:val="top"/>
                </w:tcPr>
                <w:p w14:paraId="4A270752">
                  <w:pPr>
                    <w:spacing w:line="280" w:lineRule="exact"/>
                    <w:rPr>
                      <w:rFonts w:hint="eastAsia"/>
                      <w:color w:val="auto"/>
                      <w:highlight w:val="none"/>
                    </w:rPr>
                  </w:pPr>
                </w:p>
              </w:tc>
              <w:tc>
                <w:tcPr>
                  <w:tcW w:w="931" w:type="dxa"/>
                  <w:noWrap w:val="0"/>
                  <w:vAlign w:val="top"/>
                </w:tcPr>
                <w:p w14:paraId="50099E67">
                  <w:pPr>
                    <w:spacing w:line="280" w:lineRule="exact"/>
                    <w:rPr>
                      <w:rFonts w:hint="eastAsia"/>
                      <w:color w:val="auto"/>
                      <w:highlight w:val="none"/>
                    </w:rPr>
                  </w:pPr>
                </w:p>
              </w:tc>
            </w:tr>
            <w:tr w14:paraId="2E15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A1A7A3A">
                  <w:pPr>
                    <w:spacing w:line="280" w:lineRule="exact"/>
                    <w:jc w:val="center"/>
                    <w:rPr>
                      <w:rFonts w:hint="eastAsia"/>
                      <w:color w:val="auto"/>
                      <w:highlight w:val="none"/>
                    </w:rPr>
                  </w:pPr>
                  <w:r>
                    <w:rPr>
                      <w:rFonts w:hint="eastAsia"/>
                      <w:color w:val="auto"/>
                      <w:highlight w:val="none"/>
                    </w:rPr>
                    <w:t>4.2</w:t>
                  </w:r>
                </w:p>
              </w:tc>
              <w:tc>
                <w:tcPr>
                  <w:tcW w:w="3340" w:type="dxa"/>
                  <w:noWrap w:val="0"/>
                  <w:vAlign w:val="top"/>
                </w:tcPr>
                <w:p w14:paraId="0BD241B0">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0EDBED8B">
                  <w:pPr>
                    <w:spacing w:line="280" w:lineRule="exact"/>
                    <w:rPr>
                      <w:rFonts w:hint="eastAsia"/>
                      <w:color w:val="auto"/>
                      <w:highlight w:val="none"/>
                    </w:rPr>
                  </w:pPr>
                </w:p>
              </w:tc>
              <w:tc>
                <w:tcPr>
                  <w:tcW w:w="1440" w:type="dxa"/>
                  <w:noWrap w:val="0"/>
                  <w:vAlign w:val="top"/>
                </w:tcPr>
                <w:p w14:paraId="66EAEB1F">
                  <w:pPr>
                    <w:spacing w:line="280" w:lineRule="exact"/>
                    <w:rPr>
                      <w:rFonts w:hint="eastAsia"/>
                      <w:color w:val="auto"/>
                      <w:highlight w:val="none"/>
                    </w:rPr>
                  </w:pPr>
                </w:p>
              </w:tc>
              <w:tc>
                <w:tcPr>
                  <w:tcW w:w="1260" w:type="dxa"/>
                  <w:noWrap w:val="0"/>
                  <w:vAlign w:val="top"/>
                </w:tcPr>
                <w:p w14:paraId="06D330A9">
                  <w:pPr>
                    <w:spacing w:line="280" w:lineRule="exact"/>
                    <w:rPr>
                      <w:rFonts w:hint="eastAsia"/>
                      <w:color w:val="auto"/>
                      <w:highlight w:val="none"/>
                    </w:rPr>
                  </w:pPr>
                </w:p>
              </w:tc>
              <w:tc>
                <w:tcPr>
                  <w:tcW w:w="931" w:type="dxa"/>
                  <w:noWrap w:val="0"/>
                  <w:vAlign w:val="top"/>
                </w:tcPr>
                <w:p w14:paraId="1A8EA3F4">
                  <w:pPr>
                    <w:spacing w:line="280" w:lineRule="exact"/>
                    <w:rPr>
                      <w:rFonts w:hint="eastAsia"/>
                      <w:color w:val="auto"/>
                      <w:highlight w:val="none"/>
                    </w:rPr>
                  </w:pPr>
                </w:p>
              </w:tc>
            </w:tr>
            <w:tr w14:paraId="33A8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64E1681">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7A091C4D">
                  <w:pPr>
                    <w:spacing w:line="280" w:lineRule="exact"/>
                    <w:rPr>
                      <w:rFonts w:hint="eastAsia"/>
                      <w:color w:val="auto"/>
                      <w:highlight w:val="none"/>
                    </w:rPr>
                  </w:pPr>
                  <w:r>
                    <w:rPr>
                      <w:rFonts w:hint="eastAsia"/>
                      <w:color w:val="auto"/>
                      <w:highlight w:val="none"/>
                    </w:rPr>
                    <w:t>本周期应支付的合同价款</w:t>
                  </w:r>
                </w:p>
              </w:tc>
              <w:tc>
                <w:tcPr>
                  <w:tcW w:w="1340" w:type="dxa"/>
                  <w:noWrap w:val="0"/>
                  <w:vAlign w:val="top"/>
                </w:tcPr>
                <w:p w14:paraId="4F525E8D">
                  <w:pPr>
                    <w:spacing w:line="280" w:lineRule="exact"/>
                    <w:rPr>
                      <w:rFonts w:hint="eastAsia"/>
                      <w:color w:val="auto"/>
                      <w:highlight w:val="none"/>
                    </w:rPr>
                  </w:pPr>
                </w:p>
              </w:tc>
              <w:tc>
                <w:tcPr>
                  <w:tcW w:w="1440" w:type="dxa"/>
                  <w:noWrap w:val="0"/>
                  <w:vAlign w:val="top"/>
                </w:tcPr>
                <w:p w14:paraId="746C0268">
                  <w:pPr>
                    <w:spacing w:line="280" w:lineRule="exact"/>
                    <w:rPr>
                      <w:rFonts w:hint="eastAsia"/>
                      <w:color w:val="auto"/>
                      <w:highlight w:val="none"/>
                    </w:rPr>
                  </w:pPr>
                </w:p>
              </w:tc>
              <w:tc>
                <w:tcPr>
                  <w:tcW w:w="1260" w:type="dxa"/>
                  <w:noWrap w:val="0"/>
                  <w:vAlign w:val="top"/>
                </w:tcPr>
                <w:p w14:paraId="04109393">
                  <w:pPr>
                    <w:spacing w:line="280" w:lineRule="exact"/>
                    <w:rPr>
                      <w:rFonts w:hint="eastAsia"/>
                      <w:color w:val="auto"/>
                      <w:highlight w:val="none"/>
                    </w:rPr>
                  </w:pPr>
                </w:p>
              </w:tc>
              <w:tc>
                <w:tcPr>
                  <w:tcW w:w="931" w:type="dxa"/>
                  <w:noWrap w:val="0"/>
                  <w:vAlign w:val="top"/>
                </w:tcPr>
                <w:p w14:paraId="0E1997D1">
                  <w:pPr>
                    <w:spacing w:line="280" w:lineRule="exact"/>
                    <w:rPr>
                      <w:rFonts w:hint="eastAsia"/>
                      <w:color w:val="auto"/>
                      <w:highlight w:val="none"/>
                    </w:rPr>
                  </w:pPr>
                </w:p>
              </w:tc>
            </w:tr>
            <w:tr w14:paraId="145F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85BBAF7">
                  <w:pPr>
                    <w:spacing w:line="280" w:lineRule="exact"/>
                    <w:jc w:val="center"/>
                    <w:rPr>
                      <w:rFonts w:hint="eastAsia"/>
                      <w:color w:val="auto"/>
                      <w:highlight w:val="none"/>
                    </w:rPr>
                  </w:pPr>
                </w:p>
              </w:tc>
              <w:tc>
                <w:tcPr>
                  <w:tcW w:w="3340" w:type="dxa"/>
                  <w:noWrap w:val="0"/>
                  <w:vAlign w:val="top"/>
                </w:tcPr>
                <w:p w14:paraId="6B06314F">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7AE93383">
                  <w:pPr>
                    <w:spacing w:line="280" w:lineRule="exact"/>
                    <w:rPr>
                      <w:rFonts w:hint="eastAsia"/>
                      <w:color w:val="auto"/>
                      <w:highlight w:val="none"/>
                    </w:rPr>
                  </w:pPr>
                </w:p>
              </w:tc>
              <w:tc>
                <w:tcPr>
                  <w:tcW w:w="1440" w:type="dxa"/>
                  <w:noWrap w:val="0"/>
                  <w:vAlign w:val="top"/>
                </w:tcPr>
                <w:p w14:paraId="61BF5CAB">
                  <w:pPr>
                    <w:spacing w:line="280" w:lineRule="exact"/>
                    <w:rPr>
                      <w:rFonts w:hint="eastAsia"/>
                      <w:color w:val="auto"/>
                      <w:highlight w:val="none"/>
                    </w:rPr>
                  </w:pPr>
                </w:p>
              </w:tc>
              <w:tc>
                <w:tcPr>
                  <w:tcW w:w="1260" w:type="dxa"/>
                  <w:noWrap w:val="0"/>
                  <w:vAlign w:val="top"/>
                </w:tcPr>
                <w:p w14:paraId="1FDF20F7">
                  <w:pPr>
                    <w:spacing w:line="280" w:lineRule="exact"/>
                    <w:rPr>
                      <w:rFonts w:hint="eastAsia"/>
                      <w:color w:val="auto"/>
                      <w:highlight w:val="none"/>
                    </w:rPr>
                  </w:pPr>
                </w:p>
              </w:tc>
              <w:tc>
                <w:tcPr>
                  <w:tcW w:w="931" w:type="dxa"/>
                  <w:noWrap w:val="0"/>
                  <w:vAlign w:val="top"/>
                </w:tcPr>
                <w:p w14:paraId="5CBCA532">
                  <w:pPr>
                    <w:spacing w:line="280" w:lineRule="exact"/>
                    <w:rPr>
                      <w:rFonts w:hint="eastAsia"/>
                      <w:color w:val="auto"/>
                      <w:highlight w:val="none"/>
                    </w:rPr>
                  </w:pPr>
                </w:p>
              </w:tc>
            </w:tr>
          </w:tbl>
          <w:p w14:paraId="1CDC7870">
            <w:pPr>
              <w:wordWrap w:val="0"/>
              <w:spacing w:line="400" w:lineRule="exact"/>
              <w:ind w:right="420"/>
              <w:rPr>
                <w:rFonts w:hint="eastAsia"/>
                <w:color w:val="auto"/>
                <w:highlight w:val="none"/>
              </w:rPr>
            </w:pPr>
            <w:r>
              <w:rPr>
                <w:rFonts w:hint="eastAsia"/>
                <w:color w:val="auto"/>
                <w:highlight w:val="none"/>
              </w:rPr>
              <w:t>附：上述3、4详见附件清单。</w:t>
            </w:r>
          </w:p>
          <w:p w14:paraId="77A4CE01">
            <w:pPr>
              <w:wordWrap w:val="0"/>
              <w:spacing w:line="400" w:lineRule="exact"/>
              <w:ind w:right="420"/>
              <w:rPr>
                <w:rFonts w:hint="eastAsia"/>
                <w:color w:val="auto"/>
                <w:highlight w:val="none"/>
              </w:rPr>
            </w:pPr>
            <w:r>
              <w:rPr>
                <w:rFonts w:hint="eastAsia"/>
                <w:color w:val="auto"/>
                <w:highlight w:val="none"/>
              </w:rPr>
              <w:t xml:space="preserve">                                            承包人（章）             </w:t>
            </w:r>
          </w:p>
          <w:p w14:paraId="41783DF7">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5ED1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16E3C125">
            <w:pPr>
              <w:spacing w:line="360" w:lineRule="exact"/>
              <w:rPr>
                <w:rFonts w:hint="eastAsia"/>
                <w:color w:val="auto"/>
                <w:highlight w:val="none"/>
              </w:rPr>
            </w:pPr>
            <w:r>
              <w:rPr>
                <w:rFonts w:hint="eastAsia"/>
                <w:color w:val="auto"/>
                <w:highlight w:val="none"/>
              </w:rPr>
              <w:t>复核意见：</w:t>
            </w:r>
          </w:p>
          <w:p w14:paraId="070685C3">
            <w:pPr>
              <w:spacing w:line="360" w:lineRule="exact"/>
              <w:ind w:firstLine="312"/>
              <w:rPr>
                <w:rFonts w:hint="eastAsia"/>
                <w:color w:val="auto"/>
                <w:highlight w:val="none"/>
              </w:rPr>
            </w:pPr>
            <w:r>
              <w:rPr>
                <w:rFonts w:hint="eastAsia"/>
                <w:color w:val="auto"/>
                <w:highlight w:val="none"/>
              </w:rPr>
              <w:t>□与实际施工情况不相符，修改意见见附件。</w:t>
            </w:r>
          </w:p>
          <w:p w14:paraId="13259873">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24B75C05">
            <w:pPr>
              <w:spacing w:line="360" w:lineRule="exact"/>
              <w:ind w:firstLine="435"/>
              <w:jc w:val="right"/>
              <w:rPr>
                <w:rFonts w:hint="eastAsia"/>
                <w:color w:val="auto"/>
                <w:highlight w:val="none"/>
              </w:rPr>
            </w:pPr>
          </w:p>
          <w:p w14:paraId="0E3442EC">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0CBBC743">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52" w:type="dxa"/>
            <w:noWrap w:val="0"/>
            <w:vAlign w:val="top"/>
          </w:tcPr>
          <w:p w14:paraId="19C19B53">
            <w:pPr>
              <w:spacing w:line="360" w:lineRule="exact"/>
              <w:rPr>
                <w:rFonts w:hint="eastAsia"/>
                <w:color w:val="auto"/>
                <w:highlight w:val="none"/>
              </w:rPr>
            </w:pPr>
            <w:r>
              <w:rPr>
                <w:rFonts w:hint="eastAsia"/>
                <w:color w:val="auto"/>
                <w:highlight w:val="none"/>
              </w:rPr>
              <w:t>复核意见：</w:t>
            </w:r>
          </w:p>
          <w:p w14:paraId="788F57A3">
            <w:pPr>
              <w:spacing w:line="360" w:lineRule="exact"/>
              <w:ind w:firstLine="435"/>
              <w:rPr>
                <w:rFonts w:hint="eastAsia"/>
                <w:color w:val="auto"/>
                <w:highlight w:val="none"/>
              </w:rPr>
            </w:pPr>
            <w:r>
              <w:rPr>
                <w:rFonts w:hint="eastAsia"/>
                <w:color w:val="auto"/>
                <w:highlight w:val="none"/>
              </w:rPr>
              <w:t>你方提出的支付申请经复核，本周期已完成工程价款为(大写)</w:t>
            </w:r>
            <w:r>
              <w:rPr>
                <w:rFonts w:hint="eastAsia"/>
                <w:color w:val="auto"/>
                <w:highlight w:val="none"/>
                <w:u w:val="single"/>
              </w:rPr>
              <w:t xml:space="preserve">                </w:t>
            </w:r>
            <w:r>
              <w:rPr>
                <w:rFonts w:hint="eastAsia"/>
                <w:color w:val="auto"/>
                <w:highlight w:val="none"/>
              </w:rPr>
              <w:t>元，（小写）</w:t>
            </w:r>
          </w:p>
          <w:p w14:paraId="0A517207">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元，本期间应支付金额为（大写）</w:t>
            </w:r>
          </w:p>
          <w:p w14:paraId="36EC08E8">
            <w:pPr>
              <w:spacing w:line="360" w:lineRule="exact"/>
              <w:rPr>
                <w:rFonts w:hint="eastAsia"/>
                <w:color w:val="auto"/>
                <w:highlight w:val="none"/>
                <w:u w:val="single"/>
              </w:rPr>
            </w:pP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45A0A71E">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481E7892">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0D5B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7A6E3869">
            <w:pPr>
              <w:spacing w:line="400" w:lineRule="exact"/>
              <w:rPr>
                <w:rFonts w:hint="eastAsia"/>
                <w:color w:val="auto"/>
                <w:highlight w:val="none"/>
              </w:rPr>
            </w:pPr>
            <w:r>
              <w:rPr>
                <w:rFonts w:hint="eastAsia"/>
                <w:color w:val="auto"/>
                <w:highlight w:val="none"/>
              </w:rPr>
              <w:t>审核意见：</w:t>
            </w:r>
          </w:p>
          <w:p w14:paraId="27028819">
            <w:pPr>
              <w:spacing w:line="400" w:lineRule="exact"/>
              <w:ind w:firstLine="435"/>
              <w:rPr>
                <w:rFonts w:hint="eastAsia"/>
                <w:color w:val="auto"/>
                <w:highlight w:val="none"/>
              </w:rPr>
            </w:pPr>
            <w:r>
              <w:rPr>
                <w:rFonts w:hint="eastAsia"/>
                <w:color w:val="auto"/>
                <w:highlight w:val="none"/>
              </w:rPr>
              <w:t>□不同意。</w:t>
            </w:r>
          </w:p>
          <w:p w14:paraId="02A00C70">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6B7CABD9">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09CEDDCF">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627EEA4C">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428F4370">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5D8A9C5F">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0A80F047">
      <w:pPr>
        <w:jc w:val="left"/>
        <w:rPr>
          <w:rFonts w:hint="eastAsia"/>
          <w:color w:val="auto"/>
          <w:sz w:val="30"/>
          <w:szCs w:val="30"/>
          <w:highlight w:val="none"/>
        </w:rPr>
      </w:pPr>
      <w:r>
        <w:rPr>
          <w:rFonts w:hint="eastAsia"/>
          <w:color w:val="auto"/>
          <w:sz w:val="30"/>
          <w:szCs w:val="30"/>
          <w:highlight w:val="none"/>
        </w:rPr>
        <w:t>附件12</w:t>
      </w:r>
    </w:p>
    <w:p w14:paraId="5D1B5109">
      <w:pPr>
        <w:jc w:val="center"/>
        <w:rPr>
          <w:rFonts w:hint="eastAsia"/>
          <w:b/>
          <w:color w:val="auto"/>
          <w:sz w:val="36"/>
          <w:szCs w:val="36"/>
          <w:highlight w:val="none"/>
        </w:rPr>
      </w:pPr>
      <w:r>
        <w:rPr>
          <w:rFonts w:hint="eastAsia"/>
          <w:b/>
          <w:color w:val="auto"/>
          <w:sz w:val="36"/>
          <w:szCs w:val="36"/>
          <w:highlight w:val="none"/>
        </w:rPr>
        <w:t>竣工结算款支付申请（核准）表</w:t>
      </w:r>
    </w:p>
    <w:p w14:paraId="5E945B86">
      <w:pPr>
        <w:rPr>
          <w:rFonts w:hint="eastAsia"/>
          <w:color w:val="auto"/>
          <w:sz w:val="24"/>
          <w:szCs w:val="24"/>
          <w:highlight w:val="none"/>
        </w:rPr>
      </w:pPr>
      <w:r>
        <w:rPr>
          <w:rFonts w:hint="eastAsia"/>
          <w:color w:val="auto"/>
          <w:sz w:val="24"/>
          <w:szCs w:val="24"/>
          <w:highlight w:val="none"/>
        </w:rPr>
        <w:t>工程名称：                                              编号：</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9"/>
        <w:gridCol w:w="4533"/>
      </w:tblGrid>
      <w:tr w14:paraId="7FE4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072" w:type="dxa"/>
            <w:gridSpan w:val="2"/>
            <w:noWrap w:val="0"/>
            <w:vAlign w:val="top"/>
          </w:tcPr>
          <w:p w14:paraId="5F636470">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1C6FF4D2">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期间已完成了合同约定的工作，根据施工合同的约定，现申请支付竣工结算的工程款额为(大写)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0"/>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169F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3DFB5084">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1925A2EF">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2019BABD">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4AB6D560">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64F984D4">
                  <w:pPr>
                    <w:spacing w:line="280" w:lineRule="exact"/>
                    <w:jc w:val="center"/>
                    <w:rPr>
                      <w:rFonts w:hint="eastAsia"/>
                      <w:color w:val="auto"/>
                      <w:highlight w:val="none"/>
                    </w:rPr>
                  </w:pPr>
                  <w:r>
                    <w:rPr>
                      <w:rFonts w:hint="eastAsia"/>
                      <w:color w:val="auto"/>
                      <w:highlight w:val="none"/>
                    </w:rPr>
                    <w:t>备注</w:t>
                  </w:r>
                </w:p>
              </w:tc>
            </w:tr>
            <w:tr w14:paraId="1BEF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E1DDACF">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54701FB5">
                  <w:pPr>
                    <w:spacing w:line="280" w:lineRule="exact"/>
                    <w:rPr>
                      <w:rFonts w:hint="eastAsia"/>
                      <w:color w:val="auto"/>
                      <w:highlight w:val="none"/>
                    </w:rPr>
                  </w:pPr>
                  <w:r>
                    <w:rPr>
                      <w:rFonts w:hint="eastAsia"/>
                      <w:color w:val="auto"/>
                      <w:highlight w:val="none"/>
                    </w:rPr>
                    <w:t>竣工结算合同价款总额</w:t>
                  </w:r>
                </w:p>
              </w:tc>
              <w:tc>
                <w:tcPr>
                  <w:tcW w:w="1620" w:type="dxa"/>
                  <w:noWrap w:val="0"/>
                  <w:vAlign w:val="top"/>
                </w:tcPr>
                <w:p w14:paraId="17E1BD9F">
                  <w:pPr>
                    <w:spacing w:line="280" w:lineRule="exact"/>
                    <w:rPr>
                      <w:rFonts w:hint="eastAsia"/>
                      <w:color w:val="auto"/>
                      <w:highlight w:val="none"/>
                    </w:rPr>
                  </w:pPr>
                </w:p>
              </w:tc>
              <w:tc>
                <w:tcPr>
                  <w:tcW w:w="1620" w:type="dxa"/>
                  <w:noWrap w:val="0"/>
                  <w:vAlign w:val="top"/>
                </w:tcPr>
                <w:p w14:paraId="49704E39">
                  <w:pPr>
                    <w:spacing w:line="280" w:lineRule="exact"/>
                    <w:rPr>
                      <w:rFonts w:hint="eastAsia"/>
                      <w:color w:val="auto"/>
                      <w:highlight w:val="none"/>
                    </w:rPr>
                  </w:pPr>
                </w:p>
              </w:tc>
              <w:tc>
                <w:tcPr>
                  <w:tcW w:w="1651" w:type="dxa"/>
                  <w:noWrap w:val="0"/>
                  <w:vAlign w:val="top"/>
                </w:tcPr>
                <w:p w14:paraId="27D96732">
                  <w:pPr>
                    <w:spacing w:line="280" w:lineRule="exact"/>
                    <w:rPr>
                      <w:rFonts w:hint="eastAsia"/>
                      <w:color w:val="auto"/>
                      <w:highlight w:val="none"/>
                    </w:rPr>
                  </w:pPr>
                </w:p>
              </w:tc>
            </w:tr>
            <w:tr w14:paraId="05E7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160A923">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17C908D3">
                  <w:pPr>
                    <w:spacing w:line="280" w:lineRule="exact"/>
                    <w:rPr>
                      <w:rFonts w:hint="eastAsia"/>
                      <w:color w:val="auto"/>
                      <w:highlight w:val="none"/>
                    </w:rPr>
                  </w:pPr>
                  <w:r>
                    <w:rPr>
                      <w:rFonts w:hint="eastAsia"/>
                      <w:color w:val="auto"/>
                      <w:highlight w:val="none"/>
                    </w:rPr>
                    <w:t>累计已实际支付的合同价款</w:t>
                  </w:r>
                </w:p>
              </w:tc>
              <w:tc>
                <w:tcPr>
                  <w:tcW w:w="1620" w:type="dxa"/>
                  <w:noWrap w:val="0"/>
                  <w:vAlign w:val="top"/>
                </w:tcPr>
                <w:p w14:paraId="11FD9C6A">
                  <w:pPr>
                    <w:spacing w:line="280" w:lineRule="exact"/>
                    <w:rPr>
                      <w:rFonts w:hint="eastAsia"/>
                      <w:color w:val="auto"/>
                      <w:highlight w:val="none"/>
                    </w:rPr>
                  </w:pPr>
                </w:p>
              </w:tc>
              <w:tc>
                <w:tcPr>
                  <w:tcW w:w="1620" w:type="dxa"/>
                  <w:noWrap w:val="0"/>
                  <w:vAlign w:val="top"/>
                </w:tcPr>
                <w:p w14:paraId="79976658">
                  <w:pPr>
                    <w:spacing w:line="280" w:lineRule="exact"/>
                    <w:rPr>
                      <w:rFonts w:hint="eastAsia"/>
                      <w:color w:val="auto"/>
                      <w:highlight w:val="none"/>
                    </w:rPr>
                  </w:pPr>
                </w:p>
              </w:tc>
              <w:tc>
                <w:tcPr>
                  <w:tcW w:w="1651" w:type="dxa"/>
                  <w:noWrap w:val="0"/>
                  <w:vAlign w:val="top"/>
                </w:tcPr>
                <w:p w14:paraId="759FEDBA">
                  <w:pPr>
                    <w:spacing w:line="280" w:lineRule="exact"/>
                    <w:rPr>
                      <w:rFonts w:hint="eastAsia"/>
                      <w:color w:val="auto"/>
                      <w:highlight w:val="none"/>
                    </w:rPr>
                  </w:pPr>
                </w:p>
              </w:tc>
            </w:tr>
            <w:tr w14:paraId="33A3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8CA89C8">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7F33D81B">
                  <w:pPr>
                    <w:spacing w:line="280" w:lineRule="exact"/>
                    <w:rPr>
                      <w:rFonts w:hint="eastAsia"/>
                      <w:color w:val="auto"/>
                      <w:highlight w:val="none"/>
                    </w:rPr>
                  </w:pPr>
                  <w:r>
                    <w:rPr>
                      <w:rFonts w:hint="eastAsia"/>
                      <w:color w:val="auto"/>
                      <w:highlight w:val="none"/>
                    </w:rPr>
                    <w:t>应预留的质量保证金</w:t>
                  </w:r>
                </w:p>
              </w:tc>
              <w:tc>
                <w:tcPr>
                  <w:tcW w:w="1620" w:type="dxa"/>
                  <w:noWrap w:val="0"/>
                  <w:vAlign w:val="top"/>
                </w:tcPr>
                <w:p w14:paraId="2EA5390F">
                  <w:pPr>
                    <w:spacing w:line="280" w:lineRule="exact"/>
                    <w:rPr>
                      <w:rFonts w:hint="eastAsia"/>
                      <w:color w:val="auto"/>
                      <w:highlight w:val="none"/>
                    </w:rPr>
                  </w:pPr>
                </w:p>
              </w:tc>
              <w:tc>
                <w:tcPr>
                  <w:tcW w:w="1620" w:type="dxa"/>
                  <w:noWrap w:val="0"/>
                  <w:vAlign w:val="top"/>
                </w:tcPr>
                <w:p w14:paraId="08D79F62">
                  <w:pPr>
                    <w:spacing w:line="280" w:lineRule="exact"/>
                    <w:rPr>
                      <w:rFonts w:hint="eastAsia"/>
                      <w:color w:val="auto"/>
                      <w:highlight w:val="none"/>
                    </w:rPr>
                  </w:pPr>
                </w:p>
              </w:tc>
              <w:tc>
                <w:tcPr>
                  <w:tcW w:w="1651" w:type="dxa"/>
                  <w:noWrap w:val="0"/>
                  <w:vAlign w:val="top"/>
                </w:tcPr>
                <w:p w14:paraId="38374990">
                  <w:pPr>
                    <w:spacing w:line="280" w:lineRule="exact"/>
                    <w:rPr>
                      <w:rFonts w:hint="eastAsia"/>
                      <w:color w:val="auto"/>
                      <w:highlight w:val="none"/>
                    </w:rPr>
                  </w:pPr>
                </w:p>
              </w:tc>
            </w:tr>
            <w:tr w14:paraId="4942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D482ED1">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4CA1DC22">
                  <w:pPr>
                    <w:spacing w:line="280" w:lineRule="exact"/>
                    <w:rPr>
                      <w:rFonts w:hint="eastAsia"/>
                      <w:color w:val="auto"/>
                      <w:highlight w:val="none"/>
                    </w:rPr>
                  </w:pPr>
                  <w:r>
                    <w:rPr>
                      <w:rFonts w:hint="eastAsia"/>
                      <w:color w:val="auto"/>
                      <w:highlight w:val="none"/>
                    </w:rPr>
                    <w:t>应支付的竣工结算款金额</w:t>
                  </w:r>
                </w:p>
              </w:tc>
              <w:tc>
                <w:tcPr>
                  <w:tcW w:w="1620" w:type="dxa"/>
                  <w:noWrap w:val="0"/>
                  <w:vAlign w:val="top"/>
                </w:tcPr>
                <w:p w14:paraId="0B6148A3">
                  <w:pPr>
                    <w:spacing w:line="280" w:lineRule="exact"/>
                    <w:rPr>
                      <w:rFonts w:hint="eastAsia"/>
                      <w:color w:val="auto"/>
                      <w:highlight w:val="none"/>
                    </w:rPr>
                  </w:pPr>
                </w:p>
              </w:tc>
              <w:tc>
                <w:tcPr>
                  <w:tcW w:w="1620" w:type="dxa"/>
                  <w:noWrap w:val="0"/>
                  <w:vAlign w:val="top"/>
                </w:tcPr>
                <w:p w14:paraId="3D25AEE7">
                  <w:pPr>
                    <w:spacing w:line="280" w:lineRule="exact"/>
                    <w:rPr>
                      <w:rFonts w:hint="eastAsia"/>
                      <w:color w:val="auto"/>
                      <w:highlight w:val="none"/>
                    </w:rPr>
                  </w:pPr>
                </w:p>
              </w:tc>
              <w:tc>
                <w:tcPr>
                  <w:tcW w:w="1651" w:type="dxa"/>
                  <w:noWrap w:val="0"/>
                  <w:vAlign w:val="top"/>
                </w:tcPr>
                <w:p w14:paraId="7F55C254">
                  <w:pPr>
                    <w:spacing w:line="280" w:lineRule="exact"/>
                    <w:rPr>
                      <w:rFonts w:hint="eastAsia"/>
                      <w:color w:val="auto"/>
                      <w:highlight w:val="none"/>
                    </w:rPr>
                  </w:pPr>
                </w:p>
              </w:tc>
            </w:tr>
            <w:tr w14:paraId="3859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E09E6E8">
                  <w:pPr>
                    <w:spacing w:line="280" w:lineRule="exact"/>
                    <w:jc w:val="center"/>
                    <w:rPr>
                      <w:rFonts w:hint="eastAsia"/>
                      <w:color w:val="auto"/>
                      <w:highlight w:val="none"/>
                    </w:rPr>
                  </w:pPr>
                </w:p>
              </w:tc>
              <w:tc>
                <w:tcPr>
                  <w:tcW w:w="3420" w:type="dxa"/>
                  <w:noWrap w:val="0"/>
                  <w:vAlign w:val="top"/>
                </w:tcPr>
                <w:p w14:paraId="36698459">
                  <w:pPr>
                    <w:spacing w:line="280" w:lineRule="exact"/>
                    <w:rPr>
                      <w:rFonts w:hint="eastAsia"/>
                      <w:color w:val="auto"/>
                      <w:highlight w:val="none"/>
                    </w:rPr>
                  </w:pPr>
                </w:p>
              </w:tc>
              <w:tc>
                <w:tcPr>
                  <w:tcW w:w="1620" w:type="dxa"/>
                  <w:noWrap w:val="0"/>
                  <w:vAlign w:val="top"/>
                </w:tcPr>
                <w:p w14:paraId="3A61DC99">
                  <w:pPr>
                    <w:spacing w:line="280" w:lineRule="exact"/>
                    <w:rPr>
                      <w:rFonts w:hint="eastAsia"/>
                      <w:color w:val="auto"/>
                      <w:highlight w:val="none"/>
                    </w:rPr>
                  </w:pPr>
                </w:p>
              </w:tc>
              <w:tc>
                <w:tcPr>
                  <w:tcW w:w="1620" w:type="dxa"/>
                  <w:noWrap w:val="0"/>
                  <w:vAlign w:val="top"/>
                </w:tcPr>
                <w:p w14:paraId="717B8C46">
                  <w:pPr>
                    <w:spacing w:line="280" w:lineRule="exact"/>
                    <w:rPr>
                      <w:rFonts w:hint="eastAsia"/>
                      <w:color w:val="auto"/>
                      <w:highlight w:val="none"/>
                    </w:rPr>
                  </w:pPr>
                </w:p>
              </w:tc>
              <w:tc>
                <w:tcPr>
                  <w:tcW w:w="1651" w:type="dxa"/>
                  <w:noWrap w:val="0"/>
                  <w:vAlign w:val="top"/>
                </w:tcPr>
                <w:p w14:paraId="30A1A9B1">
                  <w:pPr>
                    <w:spacing w:line="280" w:lineRule="exact"/>
                    <w:rPr>
                      <w:rFonts w:hint="eastAsia"/>
                      <w:color w:val="auto"/>
                      <w:highlight w:val="none"/>
                    </w:rPr>
                  </w:pPr>
                </w:p>
              </w:tc>
            </w:tr>
            <w:tr w14:paraId="1EA2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BA46343">
                  <w:pPr>
                    <w:spacing w:line="280" w:lineRule="exact"/>
                    <w:jc w:val="center"/>
                    <w:rPr>
                      <w:rFonts w:hint="eastAsia"/>
                      <w:color w:val="auto"/>
                      <w:highlight w:val="none"/>
                    </w:rPr>
                  </w:pPr>
                </w:p>
              </w:tc>
              <w:tc>
                <w:tcPr>
                  <w:tcW w:w="3420" w:type="dxa"/>
                  <w:noWrap w:val="0"/>
                  <w:vAlign w:val="top"/>
                </w:tcPr>
                <w:p w14:paraId="4031C17E">
                  <w:pPr>
                    <w:spacing w:line="280" w:lineRule="exact"/>
                    <w:rPr>
                      <w:rFonts w:hint="eastAsia"/>
                      <w:color w:val="auto"/>
                      <w:highlight w:val="none"/>
                    </w:rPr>
                  </w:pPr>
                </w:p>
              </w:tc>
              <w:tc>
                <w:tcPr>
                  <w:tcW w:w="1620" w:type="dxa"/>
                  <w:noWrap w:val="0"/>
                  <w:vAlign w:val="top"/>
                </w:tcPr>
                <w:p w14:paraId="422F60F2">
                  <w:pPr>
                    <w:spacing w:line="280" w:lineRule="exact"/>
                    <w:rPr>
                      <w:rFonts w:hint="eastAsia"/>
                      <w:color w:val="auto"/>
                      <w:highlight w:val="none"/>
                    </w:rPr>
                  </w:pPr>
                </w:p>
              </w:tc>
              <w:tc>
                <w:tcPr>
                  <w:tcW w:w="1620" w:type="dxa"/>
                  <w:noWrap w:val="0"/>
                  <w:vAlign w:val="top"/>
                </w:tcPr>
                <w:p w14:paraId="2DC19199">
                  <w:pPr>
                    <w:spacing w:line="280" w:lineRule="exact"/>
                    <w:rPr>
                      <w:rFonts w:hint="eastAsia"/>
                      <w:color w:val="auto"/>
                      <w:highlight w:val="none"/>
                    </w:rPr>
                  </w:pPr>
                </w:p>
              </w:tc>
              <w:tc>
                <w:tcPr>
                  <w:tcW w:w="1651" w:type="dxa"/>
                  <w:noWrap w:val="0"/>
                  <w:vAlign w:val="top"/>
                </w:tcPr>
                <w:p w14:paraId="0987874C">
                  <w:pPr>
                    <w:spacing w:line="280" w:lineRule="exact"/>
                    <w:rPr>
                      <w:rFonts w:hint="eastAsia"/>
                      <w:color w:val="auto"/>
                      <w:highlight w:val="none"/>
                    </w:rPr>
                  </w:pPr>
                </w:p>
              </w:tc>
            </w:tr>
            <w:tr w14:paraId="3E33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BFB7C42">
                  <w:pPr>
                    <w:spacing w:line="280" w:lineRule="exact"/>
                    <w:jc w:val="center"/>
                    <w:rPr>
                      <w:rFonts w:hint="eastAsia"/>
                      <w:color w:val="auto"/>
                      <w:highlight w:val="none"/>
                    </w:rPr>
                  </w:pPr>
                </w:p>
              </w:tc>
              <w:tc>
                <w:tcPr>
                  <w:tcW w:w="3420" w:type="dxa"/>
                  <w:noWrap w:val="0"/>
                  <w:vAlign w:val="top"/>
                </w:tcPr>
                <w:p w14:paraId="2A477817">
                  <w:pPr>
                    <w:spacing w:line="280" w:lineRule="exact"/>
                    <w:rPr>
                      <w:rFonts w:hint="eastAsia"/>
                      <w:color w:val="auto"/>
                      <w:highlight w:val="none"/>
                    </w:rPr>
                  </w:pPr>
                </w:p>
              </w:tc>
              <w:tc>
                <w:tcPr>
                  <w:tcW w:w="1620" w:type="dxa"/>
                  <w:noWrap w:val="0"/>
                  <w:vAlign w:val="top"/>
                </w:tcPr>
                <w:p w14:paraId="70380032">
                  <w:pPr>
                    <w:spacing w:line="280" w:lineRule="exact"/>
                    <w:rPr>
                      <w:rFonts w:hint="eastAsia"/>
                      <w:color w:val="auto"/>
                      <w:highlight w:val="none"/>
                    </w:rPr>
                  </w:pPr>
                </w:p>
              </w:tc>
              <w:tc>
                <w:tcPr>
                  <w:tcW w:w="1620" w:type="dxa"/>
                  <w:noWrap w:val="0"/>
                  <w:vAlign w:val="top"/>
                </w:tcPr>
                <w:p w14:paraId="78A5F749">
                  <w:pPr>
                    <w:spacing w:line="280" w:lineRule="exact"/>
                    <w:rPr>
                      <w:rFonts w:hint="eastAsia"/>
                      <w:color w:val="auto"/>
                      <w:highlight w:val="none"/>
                    </w:rPr>
                  </w:pPr>
                </w:p>
              </w:tc>
              <w:tc>
                <w:tcPr>
                  <w:tcW w:w="1651" w:type="dxa"/>
                  <w:noWrap w:val="0"/>
                  <w:vAlign w:val="top"/>
                </w:tcPr>
                <w:p w14:paraId="71147189">
                  <w:pPr>
                    <w:spacing w:line="280" w:lineRule="exact"/>
                    <w:rPr>
                      <w:rFonts w:hint="eastAsia"/>
                      <w:color w:val="auto"/>
                      <w:highlight w:val="none"/>
                    </w:rPr>
                  </w:pPr>
                </w:p>
              </w:tc>
            </w:tr>
            <w:tr w14:paraId="54C0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2CAE2C5">
                  <w:pPr>
                    <w:spacing w:line="280" w:lineRule="exact"/>
                    <w:jc w:val="center"/>
                    <w:rPr>
                      <w:rFonts w:hint="eastAsia"/>
                      <w:color w:val="auto"/>
                      <w:highlight w:val="none"/>
                    </w:rPr>
                  </w:pPr>
                </w:p>
              </w:tc>
              <w:tc>
                <w:tcPr>
                  <w:tcW w:w="3420" w:type="dxa"/>
                  <w:noWrap w:val="0"/>
                  <w:vAlign w:val="top"/>
                </w:tcPr>
                <w:p w14:paraId="63BC13D0">
                  <w:pPr>
                    <w:spacing w:line="280" w:lineRule="exact"/>
                    <w:rPr>
                      <w:rFonts w:hint="eastAsia"/>
                      <w:color w:val="auto"/>
                      <w:highlight w:val="none"/>
                    </w:rPr>
                  </w:pPr>
                </w:p>
              </w:tc>
              <w:tc>
                <w:tcPr>
                  <w:tcW w:w="1620" w:type="dxa"/>
                  <w:noWrap w:val="0"/>
                  <w:vAlign w:val="top"/>
                </w:tcPr>
                <w:p w14:paraId="2EF703FA">
                  <w:pPr>
                    <w:spacing w:line="280" w:lineRule="exact"/>
                    <w:rPr>
                      <w:rFonts w:hint="eastAsia"/>
                      <w:color w:val="auto"/>
                      <w:highlight w:val="none"/>
                    </w:rPr>
                  </w:pPr>
                </w:p>
              </w:tc>
              <w:tc>
                <w:tcPr>
                  <w:tcW w:w="1620" w:type="dxa"/>
                  <w:noWrap w:val="0"/>
                  <w:vAlign w:val="top"/>
                </w:tcPr>
                <w:p w14:paraId="7903A9CF">
                  <w:pPr>
                    <w:spacing w:line="280" w:lineRule="exact"/>
                    <w:rPr>
                      <w:rFonts w:hint="eastAsia"/>
                      <w:color w:val="auto"/>
                      <w:highlight w:val="none"/>
                    </w:rPr>
                  </w:pPr>
                </w:p>
              </w:tc>
              <w:tc>
                <w:tcPr>
                  <w:tcW w:w="1651" w:type="dxa"/>
                  <w:noWrap w:val="0"/>
                  <w:vAlign w:val="top"/>
                </w:tcPr>
                <w:p w14:paraId="41772B11">
                  <w:pPr>
                    <w:spacing w:line="280" w:lineRule="exact"/>
                    <w:rPr>
                      <w:rFonts w:hint="eastAsia"/>
                      <w:color w:val="auto"/>
                      <w:highlight w:val="none"/>
                    </w:rPr>
                  </w:pPr>
                </w:p>
              </w:tc>
            </w:tr>
            <w:tr w14:paraId="2B93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AE7AC3">
                  <w:pPr>
                    <w:spacing w:line="280" w:lineRule="exact"/>
                    <w:jc w:val="center"/>
                    <w:rPr>
                      <w:rFonts w:hint="eastAsia"/>
                      <w:color w:val="auto"/>
                      <w:highlight w:val="none"/>
                    </w:rPr>
                  </w:pPr>
                </w:p>
              </w:tc>
              <w:tc>
                <w:tcPr>
                  <w:tcW w:w="3420" w:type="dxa"/>
                  <w:noWrap w:val="0"/>
                  <w:vAlign w:val="top"/>
                </w:tcPr>
                <w:p w14:paraId="0CA2A252">
                  <w:pPr>
                    <w:spacing w:line="280" w:lineRule="exact"/>
                    <w:rPr>
                      <w:rFonts w:hint="eastAsia"/>
                      <w:color w:val="auto"/>
                      <w:highlight w:val="none"/>
                    </w:rPr>
                  </w:pPr>
                </w:p>
              </w:tc>
              <w:tc>
                <w:tcPr>
                  <w:tcW w:w="1620" w:type="dxa"/>
                  <w:noWrap w:val="0"/>
                  <w:vAlign w:val="top"/>
                </w:tcPr>
                <w:p w14:paraId="5EEFF7C4">
                  <w:pPr>
                    <w:spacing w:line="280" w:lineRule="exact"/>
                    <w:rPr>
                      <w:rFonts w:hint="eastAsia"/>
                      <w:color w:val="auto"/>
                      <w:highlight w:val="none"/>
                    </w:rPr>
                  </w:pPr>
                </w:p>
              </w:tc>
              <w:tc>
                <w:tcPr>
                  <w:tcW w:w="1620" w:type="dxa"/>
                  <w:noWrap w:val="0"/>
                  <w:vAlign w:val="top"/>
                </w:tcPr>
                <w:p w14:paraId="298C38E7">
                  <w:pPr>
                    <w:spacing w:line="280" w:lineRule="exact"/>
                    <w:rPr>
                      <w:rFonts w:hint="eastAsia"/>
                      <w:color w:val="auto"/>
                      <w:highlight w:val="none"/>
                    </w:rPr>
                  </w:pPr>
                </w:p>
              </w:tc>
              <w:tc>
                <w:tcPr>
                  <w:tcW w:w="1651" w:type="dxa"/>
                  <w:noWrap w:val="0"/>
                  <w:vAlign w:val="top"/>
                </w:tcPr>
                <w:p w14:paraId="52D10A82">
                  <w:pPr>
                    <w:spacing w:line="280" w:lineRule="exact"/>
                    <w:rPr>
                      <w:rFonts w:hint="eastAsia"/>
                      <w:color w:val="auto"/>
                      <w:highlight w:val="none"/>
                    </w:rPr>
                  </w:pPr>
                </w:p>
              </w:tc>
            </w:tr>
          </w:tbl>
          <w:p w14:paraId="7C585649">
            <w:pPr>
              <w:spacing w:line="400" w:lineRule="exact"/>
              <w:ind w:right="420" w:firstLine="435"/>
              <w:jc w:val="center"/>
              <w:rPr>
                <w:rFonts w:hint="eastAsia"/>
                <w:color w:val="auto"/>
                <w:highlight w:val="none"/>
              </w:rPr>
            </w:pPr>
          </w:p>
          <w:p w14:paraId="4FE34A80">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4DEB0A5F">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58C0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9" w:type="dxa"/>
            <w:noWrap w:val="0"/>
            <w:vAlign w:val="top"/>
          </w:tcPr>
          <w:p w14:paraId="5D748324">
            <w:pPr>
              <w:spacing w:line="360" w:lineRule="exact"/>
              <w:rPr>
                <w:rFonts w:hint="eastAsia"/>
                <w:color w:val="auto"/>
                <w:highlight w:val="none"/>
              </w:rPr>
            </w:pPr>
            <w:r>
              <w:rPr>
                <w:rFonts w:hint="eastAsia"/>
                <w:color w:val="auto"/>
                <w:highlight w:val="none"/>
              </w:rPr>
              <w:t>复核意见：</w:t>
            </w:r>
          </w:p>
          <w:p w14:paraId="4A16AC73">
            <w:pPr>
              <w:spacing w:line="360" w:lineRule="exact"/>
              <w:ind w:firstLine="312"/>
              <w:rPr>
                <w:rFonts w:hint="eastAsia"/>
                <w:color w:val="auto"/>
                <w:highlight w:val="none"/>
              </w:rPr>
            </w:pPr>
            <w:r>
              <w:rPr>
                <w:rFonts w:hint="eastAsia"/>
                <w:color w:val="auto"/>
                <w:highlight w:val="none"/>
              </w:rPr>
              <w:t>□与实际施工情况不相符，修改意见见附件。</w:t>
            </w:r>
          </w:p>
          <w:p w14:paraId="166B2363">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173830AC">
            <w:pPr>
              <w:spacing w:line="360" w:lineRule="exact"/>
              <w:ind w:firstLine="435"/>
              <w:jc w:val="right"/>
              <w:rPr>
                <w:rFonts w:hint="eastAsia"/>
                <w:color w:val="auto"/>
                <w:highlight w:val="none"/>
              </w:rPr>
            </w:pPr>
          </w:p>
          <w:p w14:paraId="2D7BE0D8">
            <w:pPr>
              <w:spacing w:line="360" w:lineRule="exact"/>
              <w:ind w:firstLine="435"/>
              <w:jc w:val="right"/>
              <w:rPr>
                <w:rFonts w:hint="eastAsia"/>
                <w:color w:val="auto"/>
                <w:highlight w:val="none"/>
              </w:rPr>
            </w:pPr>
          </w:p>
          <w:p w14:paraId="4DB699AE">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358A56A8">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5C35C037">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33" w:type="dxa"/>
            <w:noWrap w:val="0"/>
            <w:vAlign w:val="top"/>
          </w:tcPr>
          <w:p w14:paraId="284C2CFA">
            <w:pPr>
              <w:spacing w:line="360" w:lineRule="exact"/>
              <w:rPr>
                <w:rFonts w:hint="eastAsia"/>
                <w:color w:val="auto"/>
                <w:highlight w:val="none"/>
              </w:rPr>
            </w:pPr>
            <w:r>
              <w:rPr>
                <w:rFonts w:hint="eastAsia"/>
                <w:color w:val="auto"/>
                <w:highlight w:val="none"/>
              </w:rPr>
              <w:t>复核意见：</w:t>
            </w:r>
          </w:p>
          <w:p w14:paraId="1B329E06">
            <w:pPr>
              <w:spacing w:line="360" w:lineRule="exact"/>
              <w:ind w:firstLine="435"/>
              <w:rPr>
                <w:rFonts w:hint="eastAsia"/>
                <w:color w:val="auto"/>
                <w:highlight w:val="none"/>
                <w:u w:val="single"/>
              </w:rPr>
            </w:pPr>
            <w:r>
              <w:rPr>
                <w:rFonts w:hint="eastAsia"/>
                <w:color w:val="auto"/>
                <w:highlight w:val="none"/>
              </w:rPr>
              <w:t>你方提出的竣工结算支付申请经复核，竣工结算款总额为(大写)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 xml:space="preserve"> 元，扣除前期支付以及质量保证金后应支付金额为（大写）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20697DE4">
            <w:pPr>
              <w:spacing w:line="360" w:lineRule="exact"/>
              <w:ind w:firstLine="435"/>
              <w:jc w:val="center"/>
              <w:rPr>
                <w:rFonts w:hint="eastAsia"/>
                <w:color w:val="auto"/>
                <w:highlight w:val="none"/>
              </w:rPr>
            </w:pPr>
            <w:r>
              <w:rPr>
                <w:color w:val="auto"/>
                <w:highlight w:val="none"/>
              </w:rPr>
              <w:t xml:space="preserve">    </w:t>
            </w:r>
          </w:p>
          <w:p w14:paraId="01B20571">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3728121E">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0025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5729AA8B">
            <w:pPr>
              <w:spacing w:line="400" w:lineRule="exact"/>
              <w:rPr>
                <w:rFonts w:hint="eastAsia"/>
                <w:color w:val="auto"/>
                <w:highlight w:val="none"/>
              </w:rPr>
            </w:pPr>
            <w:r>
              <w:rPr>
                <w:rFonts w:hint="eastAsia"/>
                <w:color w:val="auto"/>
                <w:highlight w:val="none"/>
              </w:rPr>
              <w:t>审核意见：</w:t>
            </w:r>
          </w:p>
          <w:p w14:paraId="5228DC27">
            <w:pPr>
              <w:spacing w:line="400" w:lineRule="exact"/>
              <w:ind w:firstLine="435"/>
              <w:rPr>
                <w:rFonts w:hint="eastAsia"/>
                <w:color w:val="auto"/>
                <w:highlight w:val="none"/>
              </w:rPr>
            </w:pPr>
            <w:r>
              <w:rPr>
                <w:rFonts w:hint="eastAsia"/>
                <w:color w:val="auto"/>
                <w:highlight w:val="none"/>
              </w:rPr>
              <w:t>□不同意。</w:t>
            </w:r>
          </w:p>
          <w:p w14:paraId="43D257AE">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638FFE88">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621EAF4A">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2C476131">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7F526879">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67C2B297">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2DF2E775">
      <w:pPr>
        <w:jc w:val="left"/>
        <w:rPr>
          <w:rFonts w:hint="eastAsia"/>
          <w:b/>
          <w:color w:val="auto"/>
          <w:sz w:val="30"/>
          <w:szCs w:val="30"/>
          <w:highlight w:val="none"/>
        </w:rPr>
      </w:pPr>
      <w:r>
        <w:rPr>
          <w:rFonts w:hint="eastAsia"/>
          <w:color w:val="auto"/>
          <w:sz w:val="18"/>
          <w:szCs w:val="18"/>
          <w:highlight w:val="none"/>
        </w:rPr>
        <w:t xml:space="preserve">          </w:t>
      </w:r>
      <w:r>
        <w:rPr>
          <w:rFonts w:hint="eastAsia" w:hAnsi="宋体" w:cs="宋体"/>
          <w:color w:val="auto"/>
          <w:sz w:val="30"/>
          <w:szCs w:val="30"/>
          <w:highlight w:val="none"/>
        </w:rPr>
        <w:t>附件13：</w:t>
      </w:r>
    </w:p>
    <w:p w14:paraId="45223C8D">
      <w:pPr>
        <w:jc w:val="center"/>
        <w:rPr>
          <w:rFonts w:hint="eastAsia"/>
          <w:b/>
          <w:color w:val="auto"/>
          <w:sz w:val="36"/>
          <w:szCs w:val="36"/>
          <w:highlight w:val="none"/>
        </w:rPr>
      </w:pPr>
      <w:r>
        <w:rPr>
          <w:rFonts w:hint="eastAsia"/>
          <w:b/>
          <w:color w:val="auto"/>
          <w:sz w:val="36"/>
          <w:szCs w:val="36"/>
          <w:highlight w:val="none"/>
        </w:rPr>
        <w:t>最终结算款支付申请（核准）表</w:t>
      </w:r>
    </w:p>
    <w:p w14:paraId="4768E05E">
      <w:pPr>
        <w:rPr>
          <w:rFonts w:hint="eastAsia"/>
          <w:color w:val="auto"/>
          <w:sz w:val="24"/>
          <w:szCs w:val="24"/>
          <w:highlight w:val="none"/>
        </w:rPr>
      </w:pPr>
      <w:r>
        <w:rPr>
          <w:rFonts w:hint="eastAsia"/>
          <w:color w:val="auto"/>
          <w:sz w:val="24"/>
          <w:szCs w:val="24"/>
          <w:highlight w:val="none"/>
        </w:rPr>
        <w:t>工程名称：                                             编号：</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9"/>
        <w:gridCol w:w="4533"/>
      </w:tblGrid>
      <w:tr w14:paraId="4DA8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072" w:type="dxa"/>
            <w:gridSpan w:val="2"/>
            <w:noWrap w:val="0"/>
            <w:vAlign w:val="top"/>
          </w:tcPr>
          <w:p w14:paraId="42F02231">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44C149BF">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期间已完成了缺陷修复工作，根据施工合同的约定，现申请支付最终结清合同款额为(大写)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0"/>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497B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1A83640F">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0897F1F4">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6ED58636">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379A49D1">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6CC8070C">
                  <w:pPr>
                    <w:spacing w:line="280" w:lineRule="exact"/>
                    <w:jc w:val="center"/>
                    <w:rPr>
                      <w:rFonts w:hint="eastAsia"/>
                      <w:color w:val="auto"/>
                      <w:highlight w:val="none"/>
                    </w:rPr>
                  </w:pPr>
                  <w:r>
                    <w:rPr>
                      <w:rFonts w:hint="eastAsia"/>
                      <w:color w:val="auto"/>
                      <w:highlight w:val="none"/>
                    </w:rPr>
                    <w:t>备注</w:t>
                  </w:r>
                </w:p>
              </w:tc>
            </w:tr>
            <w:tr w14:paraId="6FA0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10226A2">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03B054E1">
                  <w:pPr>
                    <w:spacing w:line="280" w:lineRule="exact"/>
                    <w:rPr>
                      <w:rFonts w:hint="eastAsia"/>
                      <w:color w:val="auto"/>
                      <w:highlight w:val="none"/>
                    </w:rPr>
                  </w:pPr>
                  <w:r>
                    <w:rPr>
                      <w:rFonts w:hint="eastAsia"/>
                      <w:color w:val="auto"/>
                      <w:highlight w:val="none"/>
                    </w:rPr>
                    <w:t>已预留的质量保证金</w:t>
                  </w:r>
                </w:p>
              </w:tc>
              <w:tc>
                <w:tcPr>
                  <w:tcW w:w="1620" w:type="dxa"/>
                  <w:noWrap w:val="0"/>
                  <w:vAlign w:val="top"/>
                </w:tcPr>
                <w:p w14:paraId="3BFCFA6C">
                  <w:pPr>
                    <w:spacing w:line="280" w:lineRule="exact"/>
                    <w:rPr>
                      <w:rFonts w:hint="eastAsia"/>
                      <w:color w:val="auto"/>
                      <w:highlight w:val="none"/>
                    </w:rPr>
                  </w:pPr>
                </w:p>
              </w:tc>
              <w:tc>
                <w:tcPr>
                  <w:tcW w:w="1620" w:type="dxa"/>
                  <w:noWrap w:val="0"/>
                  <w:vAlign w:val="top"/>
                </w:tcPr>
                <w:p w14:paraId="3A9A2D23">
                  <w:pPr>
                    <w:spacing w:line="280" w:lineRule="exact"/>
                    <w:rPr>
                      <w:rFonts w:hint="eastAsia"/>
                      <w:color w:val="auto"/>
                      <w:highlight w:val="none"/>
                    </w:rPr>
                  </w:pPr>
                </w:p>
              </w:tc>
              <w:tc>
                <w:tcPr>
                  <w:tcW w:w="1651" w:type="dxa"/>
                  <w:noWrap w:val="0"/>
                  <w:vAlign w:val="top"/>
                </w:tcPr>
                <w:p w14:paraId="6B92CEFA">
                  <w:pPr>
                    <w:spacing w:line="280" w:lineRule="exact"/>
                    <w:rPr>
                      <w:rFonts w:hint="eastAsia"/>
                      <w:color w:val="auto"/>
                      <w:highlight w:val="none"/>
                    </w:rPr>
                  </w:pPr>
                </w:p>
              </w:tc>
            </w:tr>
            <w:tr w14:paraId="5FDC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40BCBCD">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30E1E4E3">
                  <w:pPr>
                    <w:spacing w:line="280" w:lineRule="exact"/>
                    <w:rPr>
                      <w:rFonts w:hint="eastAsia"/>
                      <w:color w:val="auto"/>
                      <w:highlight w:val="none"/>
                    </w:rPr>
                  </w:pPr>
                  <w:r>
                    <w:rPr>
                      <w:rFonts w:hint="eastAsia"/>
                      <w:color w:val="auto"/>
                      <w:highlight w:val="none"/>
                    </w:rPr>
                    <w:t>应增加因发包人原因造成缺陷的修复金额</w:t>
                  </w:r>
                </w:p>
              </w:tc>
              <w:tc>
                <w:tcPr>
                  <w:tcW w:w="1620" w:type="dxa"/>
                  <w:noWrap w:val="0"/>
                  <w:vAlign w:val="top"/>
                </w:tcPr>
                <w:p w14:paraId="6845056F">
                  <w:pPr>
                    <w:spacing w:line="280" w:lineRule="exact"/>
                    <w:rPr>
                      <w:rFonts w:hint="eastAsia"/>
                      <w:color w:val="auto"/>
                      <w:highlight w:val="none"/>
                    </w:rPr>
                  </w:pPr>
                </w:p>
              </w:tc>
              <w:tc>
                <w:tcPr>
                  <w:tcW w:w="1620" w:type="dxa"/>
                  <w:noWrap w:val="0"/>
                  <w:vAlign w:val="top"/>
                </w:tcPr>
                <w:p w14:paraId="0260FA68">
                  <w:pPr>
                    <w:spacing w:line="280" w:lineRule="exact"/>
                    <w:rPr>
                      <w:rFonts w:hint="eastAsia"/>
                      <w:color w:val="auto"/>
                      <w:highlight w:val="none"/>
                    </w:rPr>
                  </w:pPr>
                </w:p>
              </w:tc>
              <w:tc>
                <w:tcPr>
                  <w:tcW w:w="1651" w:type="dxa"/>
                  <w:noWrap w:val="0"/>
                  <w:vAlign w:val="top"/>
                </w:tcPr>
                <w:p w14:paraId="0593D412">
                  <w:pPr>
                    <w:spacing w:line="280" w:lineRule="exact"/>
                    <w:rPr>
                      <w:rFonts w:hint="eastAsia"/>
                      <w:color w:val="auto"/>
                      <w:highlight w:val="none"/>
                    </w:rPr>
                  </w:pPr>
                </w:p>
              </w:tc>
            </w:tr>
            <w:tr w14:paraId="2336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CECA635">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338C1DBA">
                  <w:pPr>
                    <w:spacing w:line="280" w:lineRule="exact"/>
                    <w:rPr>
                      <w:rFonts w:hint="eastAsia"/>
                      <w:color w:val="auto"/>
                      <w:highlight w:val="none"/>
                    </w:rPr>
                  </w:pPr>
                  <w:r>
                    <w:rPr>
                      <w:rFonts w:hint="eastAsia"/>
                      <w:color w:val="auto"/>
                      <w:highlight w:val="none"/>
                    </w:rPr>
                    <w:t>应扣减承包人不修复缺陷、发包人组织修复的金额</w:t>
                  </w:r>
                </w:p>
              </w:tc>
              <w:tc>
                <w:tcPr>
                  <w:tcW w:w="1620" w:type="dxa"/>
                  <w:noWrap w:val="0"/>
                  <w:vAlign w:val="top"/>
                </w:tcPr>
                <w:p w14:paraId="7B7B1EAD">
                  <w:pPr>
                    <w:spacing w:line="280" w:lineRule="exact"/>
                    <w:rPr>
                      <w:rFonts w:hint="eastAsia"/>
                      <w:color w:val="auto"/>
                      <w:highlight w:val="none"/>
                    </w:rPr>
                  </w:pPr>
                </w:p>
              </w:tc>
              <w:tc>
                <w:tcPr>
                  <w:tcW w:w="1620" w:type="dxa"/>
                  <w:noWrap w:val="0"/>
                  <w:vAlign w:val="top"/>
                </w:tcPr>
                <w:p w14:paraId="147B6372">
                  <w:pPr>
                    <w:spacing w:line="280" w:lineRule="exact"/>
                    <w:rPr>
                      <w:rFonts w:hint="eastAsia"/>
                      <w:color w:val="auto"/>
                      <w:highlight w:val="none"/>
                    </w:rPr>
                  </w:pPr>
                </w:p>
              </w:tc>
              <w:tc>
                <w:tcPr>
                  <w:tcW w:w="1651" w:type="dxa"/>
                  <w:noWrap w:val="0"/>
                  <w:vAlign w:val="top"/>
                </w:tcPr>
                <w:p w14:paraId="03106771">
                  <w:pPr>
                    <w:spacing w:line="280" w:lineRule="exact"/>
                    <w:rPr>
                      <w:rFonts w:hint="eastAsia"/>
                      <w:color w:val="auto"/>
                      <w:highlight w:val="none"/>
                    </w:rPr>
                  </w:pPr>
                </w:p>
              </w:tc>
            </w:tr>
            <w:tr w14:paraId="5772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459B54C">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17D79621">
                  <w:pPr>
                    <w:spacing w:line="280" w:lineRule="exact"/>
                    <w:rPr>
                      <w:rFonts w:hint="eastAsia"/>
                      <w:color w:val="auto"/>
                      <w:highlight w:val="none"/>
                    </w:rPr>
                  </w:pPr>
                  <w:r>
                    <w:rPr>
                      <w:rFonts w:hint="eastAsia"/>
                      <w:color w:val="auto"/>
                      <w:highlight w:val="none"/>
                    </w:rPr>
                    <w:t>最终应支付的合同价款</w:t>
                  </w:r>
                </w:p>
              </w:tc>
              <w:tc>
                <w:tcPr>
                  <w:tcW w:w="1620" w:type="dxa"/>
                  <w:noWrap w:val="0"/>
                  <w:vAlign w:val="top"/>
                </w:tcPr>
                <w:p w14:paraId="4D175475">
                  <w:pPr>
                    <w:spacing w:line="280" w:lineRule="exact"/>
                    <w:rPr>
                      <w:rFonts w:hint="eastAsia"/>
                      <w:color w:val="auto"/>
                      <w:highlight w:val="none"/>
                    </w:rPr>
                  </w:pPr>
                </w:p>
              </w:tc>
              <w:tc>
                <w:tcPr>
                  <w:tcW w:w="1620" w:type="dxa"/>
                  <w:noWrap w:val="0"/>
                  <w:vAlign w:val="top"/>
                </w:tcPr>
                <w:p w14:paraId="6F83B663">
                  <w:pPr>
                    <w:spacing w:line="280" w:lineRule="exact"/>
                    <w:rPr>
                      <w:rFonts w:hint="eastAsia"/>
                      <w:color w:val="auto"/>
                      <w:highlight w:val="none"/>
                    </w:rPr>
                  </w:pPr>
                </w:p>
              </w:tc>
              <w:tc>
                <w:tcPr>
                  <w:tcW w:w="1651" w:type="dxa"/>
                  <w:noWrap w:val="0"/>
                  <w:vAlign w:val="top"/>
                </w:tcPr>
                <w:p w14:paraId="6D26A7E5">
                  <w:pPr>
                    <w:spacing w:line="280" w:lineRule="exact"/>
                    <w:rPr>
                      <w:rFonts w:hint="eastAsia"/>
                      <w:color w:val="auto"/>
                      <w:highlight w:val="none"/>
                    </w:rPr>
                  </w:pPr>
                </w:p>
              </w:tc>
            </w:tr>
            <w:tr w14:paraId="6C66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B7A812A">
                  <w:pPr>
                    <w:spacing w:line="280" w:lineRule="exact"/>
                    <w:jc w:val="center"/>
                    <w:rPr>
                      <w:rFonts w:hint="eastAsia"/>
                      <w:color w:val="auto"/>
                      <w:highlight w:val="none"/>
                    </w:rPr>
                  </w:pPr>
                </w:p>
              </w:tc>
              <w:tc>
                <w:tcPr>
                  <w:tcW w:w="3420" w:type="dxa"/>
                  <w:noWrap w:val="0"/>
                  <w:vAlign w:val="top"/>
                </w:tcPr>
                <w:p w14:paraId="32C6E186">
                  <w:pPr>
                    <w:spacing w:line="280" w:lineRule="exact"/>
                    <w:rPr>
                      <w:rFonts w:hint="eastAsia"/>
                      <w:color w:val="auto"/>
                      <w:highlight w:val="none"/>
                    </w:rPr>
                  </w:pPr>
                </w:p>
              </w:tc>
              <w:tc>
                <w:tcPr>
                  <w:tcW w:w="1620" w:type="dxa"/>
                  <w:noWrap w:val="0"/>
                  <w:vAlign w:val="top"/>
                </w:tcPr>
                <w:p w14:paraId="366A1EF3">
                  <w:pPr>
                    <w:spacing w:line="280" w:lineRule="exact"/>
                    <w:rPr>
                      <w:rFonts w:hint="eastAsia"/>
                      <w:color w:val="auto"/>
                      <w:highlight w:val="none"/>
                    </w:rPr>
                  </w:pPr>
                </w:p>
              </w:tc>
              <w:tc>
                <w:tcPr>
                  <w:tcW w:w="1620" w:type="dxa"/>
                  <w:noWrap w:val="0"/>
                  <w:vAlign w:val="top"/>
                </w:tcPr>
                <w:p w14:paraId="4A3C6E5E">
                  <w:pPr>
                    <w:spacing w:line="280" w:lineRule="exact"/>
                    <w:rPr>
                      <w:rFonts w:hint="eastAsia"/>
                      <w:color w:val="auto"/>
                      <w:highlight w:val="none"/>
                    </w:rPr>
                  </w:pPr>
                </w:p>
              </w:tc>
              <w:tc>
                <w:tcPr>
                  <w:tcW w:w="1651" w:type="dxa"/>
                  <w:noWrap w:val="0"/>
                  <w:vAlign w:val="top"/>
                </w:tcPr>
                <w:p w14:paraId="4D13FF5D">
                  <w:pPr>
                    <w:spacing w:line="280" w:lineRule="exact"/>
                    <w:rPr>
                      <w:rFonts w:hint="eastAsia"/>
                      <w:color w:val="auto"/>
                      <w:highlight w:val="none"/>
                    </w:rPr>
                  </w:pPr>
                </w:p>
              </w:tc>
            </w:tr>
            <w:tr w14:paraId="0173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CDF953">
                  <w:pPr>
                    <w:spacing w:line="280" w:lineRule="exact"/>
                    <w:jc w:val="center"/>
                    <w:rPr>
                      <w:rFonts w:hint="eastAsia"/>
                      <w:color w:val="auto"/>
                      <w:highlight w:val="none"/>
                    </w:rPr>
                  </w:pPr>
                </w:p>
              </w:tc>
              <w:tc>
                <w:tcPr>
                  <w:tcW w:w="3420" w:type="dxa"/>
                  <w:noWrap w:val="0"/>
                  <w:vAlign w:val="top"/>
                </w:tcPr>
                <w:p w14:paraId="3EF4D90E">
                  <w:pPr>
                    <w:spacing w:line="280" w:lineRule="exact"/>
                    <w:rPr>
                      <w:rFonts w:hint="eastAsia"/>
                      <w:color w:val="auto"/>
                      <w:highlight w:val="none"/>
                    </w:rPr>
                  </w:pPr>
                </w:p>
              </w:tc>
              <w:tc>
                <w:tcPr>
                  <w:tcW w:w="1620" w:type="dxa"/>
                  <w:noWrap w:val="0"/>
                  <w:vAlign w:val="top"/>
                </w:tcPr>
                <w:p w14:paraId="75FEE4AB">
                  <w:pPr>
                    <w:spacing w:line="280" w:lineRule="exact"/>
                    <w:rPr>
                      <w:rFonts w:hint="eastAsia"/>
                      <w:color w:val="auto"/>
                      <w:highlight w:val="none"/>
                    </w:rPr>
                  </w:pPr>
                </w:p>
              </w:tc>
              <w:tc>
                <w:tcPr>
                  <w:tcW w:w="1620" w:type="dxa"/>
                  <w:noWrap w:val="0"/>
                  <w:vAlign w:val="top"/>
                </w:tcPr>
                <w:p w14:paraId="2799A7F4">
                  <w:pPr>
                    <w:spacing w:line="280" w:lineRule="exact"/>
                    <w:rPr>
                      <w:rFonts w:hint="eastAsia"/>
                      <w:color w:val="auto"/>
                      <w:highlight w:val="none"/>
                    </w:rPr>
                  </w:pPr>
                </w:p>
              </w:tc>
              <w:tc>
                <w:tcPr>
                  <w:tcW w:w="1651" w:type="dxa"/>
                  <w:noWrap w:val="0"/>
                  <w:vAlign w:val="top"/>
                </w:tcPr>
                <w:p w14:paraId="4013DB2C">
                  <w:pPr>
                    <w:spacing w:line="280" w:lineRule="exact"/>
                    <w:rPr>
                      <w:rFonts w:hint="eastAsia"/>
                      <w:color w:val="auto"/>
                      <w:highlight w:val="none"/>
                    </w:rPr>
                  </w:pPr>
                </w:p>
              </w:tc>
            </w:tr>
            <w:tr w14:paraId="6551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F65AFE">
                  <w:pPr>
                    <w:spacing w:line="280" w:lineRule="exact"/>
                    <w:jc w:val="center"/>
                    <w:rPr>
                      <w:rFonts w:hint="eastAsia"/>
                      <w:color w:val="auto"/>
                      <w:highlight w:val="none"/>
                    </w:rPr>
                  </w:pPr>
                </w:p>
              </w:tc>
              <w:tc>
                <w:tcPr>
                  <w:tcW w:w="3420" w:type="dxa"/>
                  <w:noWrap w:val="0"/>
                  <w:vAlign w:val="top"/>
                </w:tcPr>
                <w:p w14:paraId="07BC8D3D">
                  <w:pPr>
                    <w:spacing w:line="280" w:lineRule="exact"/>
                    <w:rPr>
                      <w:rFonts w:hint="eastAsia"/>
                      <w:color w:val="auto"/>
                      <w:highlight w:val="none"/>
                    </w:rPr>
                  </w:pPr>
                </w:p>
              </w:tc>
              <w:tc>
                <w:tcPr>
                  <w:tcW w:w="1620" w:type="dxa"/>
                  <w:noWrap w:val="0"/>
                  <w:vAlign w:val="top"/>
                </w:tcPr>
                <w:p w14:paraId="6585A090">
                  <w:pPr>
                    <w:spacing w:line="280" w:lineRule="exact"/>
                    <w:rPr>
                      <w:rFonts w:hint="eastAsia"/>
                      <w:color w:val="auto"/>
                      <w:highlight w:val="none"/>
                    </w:rPr>
                  </w:pPr>
                </w:p>
              </w:tc>
              <w:tc>
                <w:tcPr>
                  <w:tcW w:w="1620" w:type="dxa"/>
                  <w:noWrap w:val="0"/>
                  <w:vAlign w:val="top"/>
                </w:tcPr>
                <w:p w14:paraId="084C6D49">
                  <w:pPr>
                    <w:spacing w:line="280" w:lineRule="exact"/>
                    <w:rPr>
                      <w:rFonts w:hint="eastAsia"/>
                      <w:color w:val="auto"/>
                      <w:highlight w:val="none"/>
                    </w:rPr>
                  </w:pPr>
                </w:p>
              </w:tc>
              <w:tc>
                <w:tcPr>
                  <w:tcW w:w="1651" w:type="dxa"/>
                  <w:noWrap w:val="0"/>
                  <w:vAlign w:val="top"/>
                </w:tcPr>
                <w:p w14:paraId="5995A565">
                  <w:pPr>
                    <w:spacing w:line="280" w:lineRule="exact"/>
                    <w:rPr>
                      <w:rFonts w:hint="eastAsia"/>
                      <w:color w:val="auto"/>
                      <w:highlight w:val="none"/>
                    </w:rPr>
                  </w:pPr>
                </w:p>
              </w:tc>
            </w:tr>
            <w:tr w14:paraId="2E60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15D9D6A">
                  <w:pPr>
                    <w:spacing w:line="280" w:lineRule="exact"/>
                    <w:jc w:val="center"/>
                    <w:rPr>
                      <w:rFonts w:hint="eastAsia"/>
                      <w:color w:val="auto"/>
                      <w:highlight w:val="none"/>
                    </w:rPr>
                  </w:pPr>
                </w:p>
              </w:tc>
              <w:tc>
                <w:tcPr>
                  <w:tcW w:w="3420" w:type="dxa"/>
                  <w:noWrap w:val="0"/>
                  <w:vAlign w:val="top"/>
                </w:tcPr>
                <w:p w14:paraId="38D27E36">
                  <w:pPr>
                    <w:spacing w:line="280" w:lineRule="exact"/>
                    <w:rPr>
                      <w:rFonts w:hint="eastAsia"/>
                      <w:color w:val="auto"/>
                      <w:highlight w:val="none"/>
                    </w:rPr>
                  </w:pPr>
                </w:p>
              </w:tc>
              <w:tc>
                <w:tcPr>
                  <w:tcW w:w="1620" w:type="dxa"/>
                  <w:noWrap w:val="0"/>
                  <w:vAlign w:val="top"/>
                </w:tcPr>
                <w:p w14:paraId="7A95C545">
                  <w:pPr>
                    <w:spacing w:line="280" w:lineRule="exact"/>
                    <w:rPr>
                      <w:rFonts w:hint="eastAsia"/>
                      <w:color w:val="auto"/>
                      <w:highlight w:val="none"/>
                    </w:rPr>
                  </w:pPr>
                </w:p>
              </w:tc>
              <w:tc>
                <w:tcPr>
                  <w:tcW w:w="1620" w:type="dxa"/>
                  <w:noWrap w:val="0"/>
                  <w:vAlign w:val="top"/>
                </w:tcPr>
                <w:p w14:paraId="5487BB6A">
                  <w:pPr>
                    <w:spacing w:line="280" w:lineRule="exact"/>
                    <w:rPr>
                      <w:rFonts w:hint="eastAsia"/>
                      <w:color w:val="auto"/>
                      <w:highlight w:val="none"/>
                    </w:rPr>
                  </w:pPr>
                </w:p>
              </w:tc>
              <w:tc>
                <w:tcPr>
                  <w:tcW w:w="1651" w:type="dxa"/>
                  <w:noWrap w:val="0"/>
                  <w:vAlign w:val="top"/>
                </w:tcPr>
                <w:p w14:paraId="1EA9296A">
                  <w:pPr>
                    <w:spacing w:line="280" w:lineRule="exact"/>
                    <w:rPr>
                      <w:rFonts w:hint="eastAsia"/>
                      <w:color w:val="auto"/>
                      <w:highlight w:val="none"/>
                    </w:rPr>
                  </w:pPr>
                </w:p>
              </w:tc>
            </w:tr>
          </w:tbl>
          <w:p w14:paraId="37081330">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5065321B">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5638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9" w:type="dxa"/>
            <w:noWrap w:val="0"/>
            <w:vAlign w:val="top"/>
          </w:tcPr>
          <w:p w14:paraId="6434859D">
            <w:pPr>
              <w:spacing w:line="360" w:lineRule="exact"/>
              <w:rPr>
                <w:rFonts w:hint="eastAsia"/>
                <w:color w:val="auto"/>
                <w:highlight w:val="none"/>
              </w:rPr>
            </w:pPr>
            <w:r>
              <w:rPr>
                <w:rFonts w:hint="eastAsia"/>
                <w:color w:val="auto"/>
                <w:highlight w:val="none"/>
              </w:rPr>
              <w:t>复核意见：</w:t>
            </w:r>
          </w:p>
          <w:p w14:paraId="576ACEFD">
            <w:pPr>
              <w:spacing w:line="360" w:lineRule="exact"/>
              <w:ind w:firstLine="312"/>
              <w:rPr>
                <w:rFonts w:hint="eastAsia"/>
                <w:color w:val="auto"/>
                <w:highlight w:val="none"/>
              </w:rPr>
            </w:pPr>
            <w:r>
              <w:rPr>
                <w:rFonts w:hint="eastAsia"/>
                <w:color w:val="auto"/>
                <w:highlight w:val="none"/>
              </w:rPr>
              <w:t>□与实际施工情况不相符，修改意见见附件。</w:t>
            </w:r>
          </w:p>
          <w:p w14:paraId="5099A880">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278DD476">
            <w:pPr>
              <w:spacing w:line="360" w:lineRule="exact"/>
              <w:ind w:firstLine="435"/>
              <w:jc w:val="right"/>
              <w:rPr>
                <w:rFonts w:hint="eastAsia"/>
                <w:color w:val="auto"/>
                <w:highlight w:val="none"/>
              </w:rPr>
            </w:pPr>
          </w:p>
          <w:p w14:paraId="69267AEB">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157AA305">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3C263F8B">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33" w:type="dxa"/>
            <w:noWrap w:val="0"/>
            <w:vAlign w:val="top"/>
          </w:tcPr>
          <w:p w14:paraId="4C3A5363">
            <w:pPr>
              <w:spacing w:line="360" w:lineRule="exact"/>
              <w:rPr>
                <w:rFonts w:hint="eastAsia"/>
                <w:color w:val="auto"/>
                <w:highlight w:val="none"/>
              </w:rPr>
            </w:pPr>
            <w:r>
              <w:rPr>
                <w:rFonts w:hint="eastAsia"/>
                <w:color w:val="auto"/>
                <w:highlight w:val="none"/>
              </w:rPr>
              <w:t>复核意见：</w:t>
            </w:r>
          </w:p>
          <w:p w14:paraId="0803C17B">
            <w:pPr>
              <w:spacing w:line="360" w:lineRule="exact"/>
              <w:ind w:firstLine="435"/>
              <w:rPr>
                <w:rFonts w:hint="eastAsia"/>
                <w:color w:val="auto"/>
                <w:highlight w:val="none"/>
                <w:u w:val="single"/>
              </w:rPr>
            </w:pPr>
            <w:r>
              <w:rPr>
                <w:rFonts w:hint="eastAsia"/>
                <w:color w:val="auto"/>
                <w:highlight w:val="none"/>
              </w:rPr>
              <w:t>你方提出的支付申请经复核，最终应支付金额为（大写）</w:t>
            </w:r>
            <w:r>
              <w:rPr>
                <w:rFonts w:hint="eastAsia"/>
                <w:color w:val="auto"/>
                <w:highlight w:val="none"/>
                <w:u w:val="single"/>
              </w:rPr>
              <w:t xml:space="preserve">          </w:t>
            </w:r>
            <w:r>
              <w:rPr>
                <w:rFonts w:hint="eastAsia"/>
                <w:color w:val="auto"/>
                <w:highlight w:val="none"/>
              </w:rPr>
              <w:t xml:space="preserve">元，（小写）  </w:t>
            </w:r>
            <w:r>
              <w:rPr>
                <w:rFonts w:hint="eastAsia"/>
                <w:color w:val="auto"/>
                <w:highlight w:val="none"/>
                <w:u w:val="single"/>
              </w:rPr>
              <w:t xml:space="preserve">       </w:t>
            </w:r>
            <w:r>
              <w:rPr>
                <w:rFonts w:hint="eastAsia"/>
                <w:color w:val="auto"/>
                <w:highlight w:val="none"/>
              </w:rPr>
              <w:t>元。</w:t>
            </w:r>
          </w:p>
          <w:p w14:paraId="7981EA24">
            <w:pPr>
              <w:spacing w:line="360" w:lineRule="exact"/>
              <w:ind w:firstLine="435"/>
              <w:jc w:val="center"/>
              <w:rPr>
                <w:rFonts w:hint="eastAsia"/>
                <w:color w:val="auto"/>
                <w:highlight w:val="none"/>
              </w:rPr>
            </w:pPr>
          </w:p>
          <w:p w14:paraId="3D2A9FB5">
            <w:pPr>
              <w:spacing w:line="360" w:lineRule="exact"/>
              <w:ind w:firstLine="435"/>
              <w:jc w:val="center"/>
              <w:rPr>
                <w:rFonts w:hint="eastAsia"/>
                <w:color w:val="auto"/>
                <w:highlight w:val="none"/>
              </w:rPr>
            </w:pPr>
          </w:p>
          <w:p w14:paraId="0548796C">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79AE1858">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3010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1895046C">
            <w:pPr>
              <w:spacing w:line="400" w:lineRule="exact"/>
              <w:rPr>
                <w:rFonts w:hint="eastAsia"/>
                <w:color w:val="auto"/>
                <w:highlight w:val="none"/>
              </w:rPr>
            </w:pPr>
            <w:r>
              <w:rPr>
                <w:rFonts w:hint="eastAsia"/>
                <w:color w:val="auto"/>
                <w:highlight w:val="none"/>
              </w:rPr>
              <w:t>审核意见：</w:t>
            </w:r>
          </w:p>
          <w:p w14:paraId="4FBD9EA0">
            <w:pPr>
              <w:spacing w:line="400" w:lineRule="exact"/>
              <w:ind w:firstLine="435"/>
              <w:rPr>
                <w:rFonts w:hint="eastAsia"/>
                <w:color w:val="auto"/>
                <w:highlight w:val="none"/>
              </w:rPr>
            </w:pPr>
            <w:r>
              <w:rPr>
                <w:rFonts w:hint="eastAsia"/>
                <w:color w:val="auto"/>
                <w:highlight w:val="none"/>
              </w:rPr>
              <w:t>□不同意。</w:t>
            </w:r>
          </w:p>
          <w:p w14:paraId="24AFDE6B">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23555AAA">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510037E1">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29F1A504">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43C6B575">
      <w:pPr>
        <w:spacing w:before="120" w:beforeLines="50"/>
        <w:ind w:firstLine="360" w:firstLineChars="200"/>
        <w:rPr>
          <w:rFonts w:hint="eastAsia"/>
          <w:color w:val="auto"/>
          <w:sz w:val="18"/>
          <w:szCs w:val="18"/>
          <w:highlight w:val="none"/>
        </w:rPr>
      </w:pPr>
      <w:r>
        <w:rPr>
          <w:rFonts w:hint="eastAsia"/>
          <w:color w:val="auto"/>
          <w:sz w:val="18"/>
          <w:szCs w:val="18"/>
          <w:highlight w:val="none"/>
        </w:rPr>
        <w:t>注：1.在选择栏中的“□”内作标识“√”。 如监理人已退场，监理工程师栏可空缺。</w:t>
      </w:r>
    </w:p>
    <w:p w14:paraId="514E3B54">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53037EB5">
      <w:pPr>
        <w:spacing w:line="360" w:lineRule="auto"/>
        <w:ind w:firstLine="420" w:firstLineChars="200"/>
        <w:jc w:val="left"/>
        <w:rPr>
          <w:color w:val="auto"/>
          <w:highlight w:val="none"/>
          <w:u w:val="single"/>
        </w:rPr>
      </w:pPr>
    </w:p>
    <w:p w14:paraId="1B2664E2">
      <w:pPr>
        <w:spacing w:line="360" w:lineRule="auto"/>
        <w:jc w:val="left"/>
        <w:rPr>
          <w:rFonts w:hint="eastAsia" w:hAnsi="宋体" w:cs="宋体"/>
          <w:color w:val="auto"/>
          <w:sz w:val="30"/>
          <w:szCs w:val="30"/>
          <w:highlight w:val="none"/>
        </w:rPr>
      </w:pPr>
      <w:r>
        <w:rPr>
          <w:rFonts w:hint="eastAsia"/>
          <w:color w:val="auto"/>
          <w:sz w:val="30"/>
          <w:szCs w:val="30"/>
          <w:highlight w:val="none"/>
        </w:rPr>
        <w:t>附件14：</w:t>
      </w:r>
    </w:p>
    <w:p w14:paraId="0D5AF553">
      <w:pPr>
        <w:spacing w:line="360" w:lineRule="auto"/>
        <w:ind w:firstLine="720" w:firstLineChars="200"/>
        <w:jc w:val="center"/>
        <w:rPr>
          <w:rFonts w:hint="eastAsia" w:ascii="宋体" w:hAnsi="宋体" w:cs="宋体"/>
          <w:color w:val="auto"/>
          <w:kern w:val="0"/>
          <w:sz w:val="36"/>
          <w:szCs w:val="36"/>
          <w:highlight w:val="none"/>
        </w:rPr>
      </w:pPr>
      <w:r>
        <w:rPr>
          <w:rFonts w:hint="eastAsia" w:ascii="宋体" w:hAnsi="宋体" w:cs="宋体"/>
          <w:color w:val="auto"/>
          <w:kern w:val="0"/>
          <w:sz w:val="36"/>
          <w:szCs w:val="36"/>
          <w:highlight w:val="none"/>
        </w:rPr>
        <w:t>总价合同进度款支付分解表</w:t>
      </w:r>
    </w:p>
    <w:p w14:paraId="22A8E6D1">
      <w:pPr>
        <w:spacing w:line="360" w:lineRule="auto"/>
        <w:rPr>
          <w:rFonts w:hint="eastAsia" w:ascii="宋体" w:hAnsi="宋体" w:cs="宋体"/>
          <w:color w:val="auto"/>
          <w:kern w:val="0"/>
          <w:highlight w:val="none"/>
        </w:rPr>
      </w:pPr>
      <w:r>
        <w:rPr>
          <w:rFonts w:hint="eastAsia" w:ascii="宋体" w:hAnsi="宋体" w:cs="宋体"/>
          <w:color w:val="auto"/>
          <w:kern w:val="0"/>
          <w:highlight w:val="none"/>
        </w:rPr>
        <w:t>工程名称：</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00D3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noWrap w:val="0"/>
            <w:vAlign w:val="top"/>
          </w:tcPr>
          <w:p w14:paraId="5F483E09">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进度款期次</w:t>
            </w:r>
          </w:p>
        </w:tc>
        <w:tc>
          <w:tcPr>
            <w:tcW w:w="3794" w:type="dxa"/>
            <w:gridSpan w:val="2"/>
            <w:noWrap w:val="0"/>
            <w:vAlign w:val="top"/>
          </w:tcPr>
          <w:p w14:paraId="407655EC">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形象进度</w:t>
            </w:r>
          </w:p>
        </w:tc>
        <w:tc>
          <w:tcPr>
            <w:tcW w:w="2268" w:type="dxa"/>
            <w:noWrap w:val="0"/>
            <w:vAlign w:val="top"/>
          </w:tcPr>
          <w:p w14:paraId="23375C93">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进度款付款金额（元）</w:t>
            </w:r>
          </w:p>
        </w:tc>
        <w:tc>
          <w:tcPr>
            <w:tcW w:w="1276" w:type="dxa"/>
            <w:noWrap w:val="0"/>
            <w:vAlign w:val="top"/>
          </w:tcPr>
          <w:p w14:paraId="02A4EDAD">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备注</w:t>
            </w:r>
          </w:p>
        </w:tc>
      </w:tr>
      <w:tr w14:paraId="1D31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noWrap w:val="0"/>
            <w:vAlign w:val="top"/>
          </w:tcPr>
          <w:p w14:paraId="5E0A3CFE">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第一期</w:t>
            </w:r>
          </w:p>
        </w:tc>
        <w:tc>
          <w:tcPr>
            <w:tcW w:w="3794" w:type="dxa"/>
            <w:gridSpan w:val="2"/>
            <w:noWrap w:val="0"/>
            <w:vAlign w:val="top"/>
          </w:tcPr>
          <w:p w14:paraId="509A83F9">
            <w:pPr>
              <w:spacing w:line="360" w:lineRule="auto"/>
              <w:jc w:val="center"/>
              <w:rPr>
                <w:rFonts w:hint="eastAsia" w:ascii="宋体" w:hAnsi="宋体" w:cs="宋体"/>
                <w:color w:val="auto"/>
                <w:kern w:val="0"/>
                <w:highlight w:val="none"/>
              </w:rPr>
            </w:pPr>
          </w:p>
        </w:tc>
        <w:tc>
          <w:tcPr>
            <w:tcW w:w="2268" w:type="dxa"/>
            <w:noWrap w:val="0"/>
            <w:vAlign w:val="top"/>
          </w:tcPr>
          <w:p w14:paraId="37D40B8C">
            <w:pPr>
              <w:spacing w:line="360" w:lineRule="auto"/>
              <w:jc w:val="center"/>
              <w:rPr>
                <w:rFonts w:hint="eastAsia" w:ascii="宋体" w:hAnsi="宋体" w:cs="宋体"/>
                <w:color w:val="auto"/>
                <w:kern w:val="0"/>
                <w:highlight w:val="none"/>
              </w:rPr>
            </w:pPr>
          </w:p>
        </w:tc>
        <w:tc>
          <w:tcPr>
            <w:tcW w:w="1276" w:type="dxa"/>
            <w:noWrap w:val="0"/>
            <w:vAlign w:val="top"/>
          </w:tcPr>
          <w:p w14:paraId="2F20424C">
            <w:pPr>
              <w:spacing w:line="360" w:lineRule="auto"/>
              <w:jc w:val="center"/>
              <w:rPr>
                <w:rFonts w:hint="eastAsia" w:ascii="宋体" w:hAnsi="宋体" w:cs="宋体"/>
                <w:color w:val="auto"/>
                <w:kern w:val="0"/>
                <w:highlight w:val="none"/>
              </w:rPr>
            </w:pPr>
          </w:p>
        </w:tc>
      </w:tr>
      <w:tr w14:paraId="0E51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noWrap w:val="0"/>
            <w:vAlign w:val="top"/>
          </w:tcPr>
          <w:p w14:paraId="7716894D">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第二期</w:t>
            </w:r>
          </w:p>
        </w:tc>
        <w:tc>
          <w:tcPr>
            <w:tcW w:w="3794" w:type="dxa"/>
            <w:gridSpan w:val="2"/>
            <w:noWrap w:val="0"/>
            <w:vAlign w:val="top"/>
          </w:tcPr>
          <w:p w14:paraId="75B92028">
            <w:pPr>
              <w:spacing w:line="360" w:lineRule="auto"/>
              <w:jc w:val="center"/>
              <w:rPr>
                <w:rFonts w:hint="eastAsia" w:ascii="宋体" w:hAnsi="宋体" w:cs="宋体"/>
                <w:color w:val="auto"/>
                <w:kern w:val="0"/>
                <w:highlight w:val="none"/>
              </w:rPr>
            </w:pPr>
          </w:p>
        </w:tc>
        <w:tc>
          <w:tcPr>
            <w:tcW w:w="2268" w:type="dxa"/>
            <w:noWrap w:val="0"/>
            <w:vAlign w:val="top"/>
          </w:tcPr>
          <w:p w14:paraId="7399998E">
            <w:pPr>
              <w:spacing w:line="360" w:lineRule="auto"/>
              <w:jc w:val="center"/>
              <w:rPr>
                <w:rFonts w:hint="eastAsia" w:ascii="宋体" w:hAnsi="宋体" w:cs="宋体"/>
                <w:color w:val="auto"/>
                <w:kern w:val="0"/>
                <w:highlight w:val="none"/>
              </w:rPr>
            </w:pPr>
          </w:p>
        </w:tc>
        <w:tc>
          <w:tcPr>
            <w:tcW w:w="1276" w:type="dxa"/>
            <w:noWrap w:val="0"/>
            <w:vAlign w:val="top"/>
          </w:tcPr>
          <w:p w14:paraId="72A80520">
            <w:pPr>
              <w:spacing w:line="360" w:lineRule="auto"/>
              <w:jc w:val="center"/>
              <w:rPr>
                <w:rFonts w:hint="eastAsia" w:ascii="宋体" w:hAnsi="宋体" w:cs="宋体"/>
                <w:color w:val="auto"/>
                <w:kern w:val="0"/>
                <w:highlight w:val="none"/>
              </w:rPr>
            </w:pPr>
          </w:p>
        </w:tc>
      </w:tr>
      <w:tr w14:paraId="2C3E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noWrap w:val="0"/>
            <w:vAlign w:val="top"/>
          </w:tcPr>
          <w:p w14:paraId="60ED24A1">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第三期</w:t>
            </w:r>
          </w:p>
        </w:tc>
        <w:tc>
          <w:tcPr>
            <w:tcW w:w="3794" w:type="dxa"/>
            <w:gridSpan w:val="2"/>
            <w:noWrap w:val="0"/>
            <w:vAlign w:val="top"/>
          </w:tcPr>
          <w:p w14:paraId="262A979E">
            <w:pPr>
              <w:spacing w:line="360" w:lineRule="auto"/>
              <w:jc w:val="center"/>
              <w:rPr>
                <w:rFonts w:hint="eastAsia" w:ascii="宋体" w:hAnsi="宋体" w:cs="宋体"/>
                <w:color w:val="auto"/>
                <w:kern w:val="0"/>
                <w:highlight w:val="none"/>
              </w:rPr>
            </w:pPr>
          </w:p>
        </w:tc>
        <w:tc>
          <w:tcPr>
            <w:tcW w:w="2268" w:type="dxa"/>
            <w:noWrap w:val="0"/>
            <w:vAlign w:val="top"/>
          </w:tcPr>
          <w:p w14:paraId="4E8C9822">
            <w:pPr>
              <w:spacing w:line="360" w:lineRule="auto"/>
              <w:jc w:val="center"/>
              <w:rPr>
                <w:rFonts w:hint="eastAsia" w:ascii="宋体" w:hAnsi="宋体" w:cs="宋体"/>
                <w:color w:val="auto"/>
                <w:kern w:val="0"/>
                <w:highlight w:val="none"/>
              </w:rPr>
            </w:pPr>
          </w:p>
        </w:tc>
        <w:tc>
          <w:tcPr>
            <w:tcW w:w="1276" w:type="dxa"/>
            <w:noWrap w:val="0"/>
            <w:vAlign w:val="top"/>
          </w:tcPr>
          <w:p w14:paraId="77B8AFCD">
            <w:pPr>
              <w:spacing w:line="360" w:lineRule="auto"/>
              <w:jc w:val="center"/>
              <w:rPr>
                <w:rFonts w:hint="eastAsia" w:ascii="宋体" w:hAnsi="宋体" w:cs="宋体"/>
                <w:color w:val="auto"/>
                <w:kern w:val="0"/>
                <w:highlight w:val="none"/>
              </w:rPr>
            </w:pPr>
          </w:p>
        </w:tc>
      </w:tr>
      <w:tr w14:paraId="1897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noWrap w:val="0"/>
            <w:vAlign w:val="top"/>
          </w:tcPr>
          <w:p w14:paraId="3377D6BC">
            <w:pPr>
              <w:spacing w:line="360" w:lineRule="auto"/>
              <w:jc w:val="center"/>
              <w:rPr>
                <w:rFonts w:hint="eastAsia" w:ascii="宋体" w:hAnsi="宋体" w:cs="宋体"/>
                <w:color w:val="auto"/>
                <w:kern w:val="0"/>
                <w:highlight w:val="none"/>
              </w:rPr>
            </w:pPr>
            <w:r>
              <w:rPr>
                <w:rFonts w:ascii="宋体" w:hAnsi="宋体" w:cs="宋体"/>
                <w:color w:val="auto"/>
                <w:kern w:val="0"/>
                <w:highlight w:val="none"/>
              </w:rPr>
              <w:t>……</w:t>
            </w:r>
          </w:p>
        </w:tc>
        <w:tc>
          <w:tcPr>
            <w:tcW w:w="3794" w:type="dxa"/>
            <w:gridSpan w:val="2"/>
            <w:noWrap w:val="0"/>
            <w:vAlign w:val="top"/>
          </w:tcPr>
          <w:p w14:paraId="41E5A8F6">
            <w:pPr>
              <w:spacing w:line="360" w:lineRule="auto"/>
              <w:jc w:val="center"/>
              <w:rPr>
                <w:rFonts w:hint="eastAsia" w:ascii="宋体" w:hAnsi="宋体" w:cs="宋体"/>
                <w:color w:val="auto"/>
                <w:kern w:val="0"/>
                <w:highlight w:val="none"/>
              </w:rPr>
            </w:pPr>
          </w:p>
        </w:tc>
        <w:tc>
          <w:tcPr>
            <w:tcW w:w="2268" w:type="dxa"/>
            <w:noWrap w:val="0"/>
            <w:vAlign w:val="top"/>
          </w:tcPr>
          <w:p w14:paraId="1395A97F">
            <w:pPr>
              <w:spacing w:line="360" w:lineRule="auto"/>
              <w:jc w:val="center"/>
              <w:rPr>
                <w:rFonts w:hint="eastAsia" w:ascii="宋体" w:hAnsi="宋体" w:cs="宋体"/>
                <w:color w:val="auto"/>
                <w:kern w:val="0"/>
                <w:highlight w:val="none"/>
              </w:rPr>
            </w:pPr>
          </w:p>
        </w:tc>
        <w:tc>
          <w:tcPr>
            <w:tcW w:w="1276" w:type="dxa"/>
            <w:noWrap w:val="0"/>
            <w:vAlign w:val="top"/>
          </w:tcPr>
          <w:p w14:paraId="3D460890">
            <w:pPr>
              <w:spacing w:line="360" w:lineRule="auto"/>
              <w:jc w:val="center"/>
              <w:rPr>
                <w:rFonts w:hint="eastAsia" w:ascii="宋体" w:hAnsi="宋体" w:cs="宋体"/>
                <w:color w:val="auto"/>
                <w:kern w:val="0"/>
                <w:highlight w:val="none"/>
              </w:rPr>
            </w:pPr>
          </w:p>
        </w:tc>
      </w:tr>
      <w:tr w14:paraId="273B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6" w:type="dxa"/>
            <w:gridSpan w:val="2"/>
            <w:noWrap w:val="0"/>
            <w:vAlign w:val="top"/>
          </w:tcPr>
          <w:p w14:paraId="4C5BE7B2">
            <w:pPr>
              <w:spacing w:line="360" w:lineRule="exact"/>
              <w:ind w:firstLine="435"/>
              <w:jc w:val="right"/>
              <w:rPr>
                <w:rFonts w:hint="eastAsia"/>
                <w:color w:val="auto"/>
                <w:highlight w:val="none"/>
              </w:rPr>
            </w:pPr>
          </w:p>
          <w:p w14:paraId="3CF23C48">
            <w:pPr>
              <w:spacing w:line="360" w:lineRule="exact"/>
              <w:ind w:firstLine="435"/>
              <w:jc w:val="center"/>
              <w:rPr>
                <w:rFonts w:hint="eastAsia"/>
                <w:color w:val="auto"/>
                <w:highlight w:val="none"/>
              </w:rPr>
            </w:pPr>
          </w:p>
          <w:p w14:paraId="70C4471B">
            <w:pPr>
              <w:spacing w:line="360" w:lineRule="exact"/>
              <w:ind w:firstLine="435"/>
              <w:jc w:val="center"/>
              <w:rPr>
                <w:rFonts w:hint="eastAsia"/>
                <w:color w:val="auto"/>
                <w:highlight w:val="none"/>
              </w:rPr>
            </w:pPr>
            <w:r>
              <w:rPr>
                <w:rFonts w:hint="eastAsia"/>
                <w:color w:val="auto"/>
                <w:highlight w:val="none"/>
              </w:rPr>
              <w:t>发包人代表签字：</w:t>
            </w:r>
          </w:p>
          <w:p w14:paraId="3AA47D24">
            <w:pPr>
              <w:spacing w:line="360" w:lineRule="exact"/>
              <w:ind w:firstLine="435"/>
              <w:jc w:val="center"/>
              <w:rPr>
                <w:rFonts w:hint="eastAsia"/>
                <w:color w:val="auto"/>
                <w:highlight w:val="none"/>
              </w:rPr>
            </w:pPr>
          </w:p>
          <w:p w14:paraId="5C927AFF">
            <w:pPr>
              <w:spacing w:line="360" w:lineRule="exact"/>
              <w:ind w:firstLine="435"/>
              <w:jc w:val="center"/>
              <w:rPr>
                <w:rFonts w:hint="eastAsia"/>
                <w:color w:val="auto"/>
                <w:highlight w:val="none"/>
              </w:rPr>
            </w:pPr>
            <w:r>
              <w:rPr>
                <w:rFonts w:hint="eastAsia"/>
                <w:color w:val="auto"/>
                <w:highlight w:val="none"/>
              </w:rPr>
              <w:t>发包人（盖公章）</w:t>
            </w:r>
          </w:p>
          <w:p w14:paraId="6AE7CDE0">
            <w:pPr>
              <w:spacing w:line="360" w:lineRule="exact"/>
              <w:ind w:firstLine="435"/>
              <w:jc w:val="center"/>
              <w:rPr>
                <w:rFonts w:hint="eastAsia"/>
                <w:color w:val="auto"/>
                <w:highlight w:val="none"/>
              </w:rPr>
            </w:pPr>
          </w:p>
          <w:p w14:paraId="699A47F5">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 </w:t>
            </w:r>
            <w:r>
              <w:rPr>
                <w:rFonts w:hint="eastAsia"/>
                <w:color w:val="auto"/>
                <w:highlight w:val="none"/>
                <w:u w:val="single"/>
              </w:rPr>
              <w:t xml:space="preserve">          </w:t>
            </w:r>
          </w:p>
        </w:tc>
        <w:tc>
          <w:tcPr>
            <w:tcW w:w="4219" w:type="dxa"/>
            <w:gridSpan w:val="3"/>
            <w:noWrap w:val="0"/>
            <w:vAlign w:val="top"/>
          </w:tcPr>
          <w:p w14:paraId="108CAF59">
            <w:pPr>
              <w:spacing w:line="360" w:lineRule="exact"/>
              <w:ind w:firstLine="435"/>
              <w:jc w:val="center"/>
              <w:rPr>
                <w:rFonts w:hint="eastAsia"/>
                <w:color w:val="auto"/>
                <w:highlight w:val="none"/>
              </w:rPr>
            </w:pPr>
          </w:p>
          <w:p w14:paraId="77F8F8EB">
            <w:pPr>
              <w:spacing w:line="360" w:lineRule="exact"/>
              <w:ind w:firstLine="435"/>
              <w:jc w:val="center"/>
              <w:rPr>
                <w:rFonts w:hint="eastAsia"/>
                <w:color w:val="auto"/>
                <w:highlight w:val="none"/>
                <w:u w:val="single"/>
              </w:rPr>
            </w:pPr>
          </w:p>
          <w:p w14:paraId="3004D3C5">
            <w:pPr>
              <w:spacing w:line="360" w:lineRule="exact"/>
              <w:ind w:firstLine="435"/>
              <w:jc w:val="center"/>
              <w:rPr>
                <w:rFonts w:hint="eastAsia"/>
                <w:color w:val="auto"/>
                <w:highlight w:val="none"/>
              </w:rPr>
            </w:pPr>
            <w:r>
              <w:rPr>
                <w:rFonts w:hint="eastAsia"/>
                <w:color w:val="auto"/>
                <w:highlight w:val="none"/>
              </w:rPr>
              <w:t>承包人代表签字：</w:t>
            </w:r>
          </w:p>
          <w:p w14:paraId="554ECA79">
            <w:pPr>
              <w:spacing w:line="360" w:lineRule="exact"/>
              <w:ind w:firstLine="435"/>
              <w:jc w:val="center"/>
              <w:rPr>
                <w:rFonts w:hint="eastAsia"/>
                <w:color w:val="auto"/>
                <w:highlight w:val="none"/>
              </w:rPr>
            </w:pPr>
          </w:p>
          <w:p w14:paraId="4C99E185">
            <w:pPr>
              <w:spacing w:line="360" w:lineRule="exact"/>
              <w:ind w:firstLine="435"/>
              <w:jc w:val="center"/>
              <w:rPr>
                <w:rFonts w:hint="eastAsia"/>
                <w:color w:val="auto"/>
                <w:highlight w:val="none"/>
              </w:rPr>
            </w:pPr>
            <w:r>
              <w:rPr>
                <w:rFonts w:hint="eastAsia"/>
                <w:color w:val="auto"/>
                <w:highlight w:val="none"/>
              </w:rPr>
              <w:t>承包人（盖公章）</w:t>
            </w:r>
          </w:p>
          <w:p w14:paraId="229BAFC9">
            <w:pPr>
              <w:spacing w:line="360" w:lineRule="exact"/>
              <w:ind w:firstLine="435"/>
              <w:jc w:val="center"/>
              <w:rPr>
                <w:rFonts w:hint="eastAsia"/>
                <w:color w:val="auto"/>
                <w:highlight w:val="none"/>
              </w:rPr>
            </w:pPr>
          </w:p>
          <w:p w14:paraId="179C7489">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none"/>
              </w:rPr>
              <w:t xml:space="preserve"> </w:t>
            </w:r>
            <w:r>
              <w:rPr>
                <w:rFonts w:hint="eastAsia"/>
                <w:color w:val="auto"/>
                <w:highlight w:val="none"/>
                <w:u w:val="single"/>
              </w:rPr>
              <w:t xml:space="preserve">       </w:t>
            </w:r>
          </w:p>
        </w:tc>
      </w:tr>
    </w:tbl>
    <w:p w14:paraId="3E3C4515">
      <w:pPr>
        <w:autoSpaceDE w:val="0"/>
        <w:autoSpaceDN w:val="0"/>
        <w:adjustRightInd w:val="0"/>
        <w:snapToGrid w:val="0"/>
        <w:spacing w:line="300" w:lineRule="auto"/>
        <w:rPr>
          <w:rFonts w:ascii="仿宋_GB2312" w:hAnsi="宋体" w:eastAsia="仿宋_GB2312"/>
          <w:b/>
          <w:color w:val="auto"/>
          <w:kern w:val="0"/>
          <w:sz w:val="44"/>
          <w:szCs w:val="44"/>
          <w:highlight w:val="none"/>
        </w:rPr>
      </w:pPr>
      <w:r>
        <w:rPr>
          <w:rFonts w:ascii="仿宋_GB2312" w:hAnsi="宋体" w:eastAsia="仿宋_GB2312"/>
          <w:b/>
          <w:color w:val="auto"/>
          <w:kern w:val="0"/>
          <w:sz w:val="44"/>
          <w:szCs w:val="44"/>
          <w:highlight w:val="none"/>
        </w:rPr>
        <w:br w:type="page"/>
      </w:r>
    </w:p>
    <w:p w14:paraId="20142D46">
      <w:pPr>
        <w:autoSpaceDE w:val="0"/>
        <w:autoSpaceDN w:val="0"/>
        <w:adjustRightInd w:val="0"/>
        <w:snapToGrid w:val="0"/>
        <w:spacing w:line="300" w:lineRule="auto"/>
        <w:jc w:val="center"/>
        <w:outlineLvl w:val="0"/>
        <w:rPr>
          <w:rFonts w:ascii="宋体" w:hAnsi="宋体"/>
          <w:b/>
          <w:color w:val="auto"/>
          <w:kern w:val="0"/>
          <w:sz w:val="44"/>
          <w:szCs w:val="44"/>
          <w:highlight w:val="none"/>
        </w:rPr>
      </w:pPr>
      <w:bookmarkStart w:id="1232" w:name="_Toc176861412"/>
      <w:bookmarkStart w:id="1233" w:name="_Toc3994508"/>
      <w:bookmarkStart w:id="1234" w:name="_Toc29416"/>
      <w:r>
        <w:rPr>
          <w:rFonts w:hint="eastAsia" w:ascii="宋体" w:hAnsi="宋体"/>
          <w:b/>
          <w:color w:val="auto"/>
          <w:kern w:val="0"/>
          <w:sz w:val="44"/>
          <w:szCs w:val="44"/>
          <w:highlight w:val="none"/>
        </w:rPr>
        <w:t>第七章  评定标准</w:t>
      </w:r>
      <w:bookmarkEnd w:id="1232"/>
      <w:bookmarkEnd w:id="1233"/>
      <w:bookmarkEnd w:id="1234"/>
    </w:p>
    <w:p w14:paraId="6BF76CD6">
      <w:pPr>
        <w:pStyle w:val="25"/>
        <w:numPr>
          <w:ilvl w:val="0"/>
          <w:numId w:val="4"/>
        </w:numPr>
        <w:adjustRightInd w:val="0"/>
        <w:spacing w:line="360" w:lineRule="auto"/>
        <w:ind w:firstLine="482" w:firstLineChars="200"/>
        <w:contextualSpacing/>
        <w:rPr>
          <w:rFonts w:hAnsi="宋体"/>
          <w:b/>
          <w:bCs/>
          <w:color w:val="auto"/>
          <w:sz w:val="24"/>
          <w:szCs w:val="24"/>
          <w:highlight w:val="none"/>
        </w:rPr>
      </w:pPr>
      <w:r>
        <w:rPr>
          <w:rFonts w:hAnsi="宋体"/>
          <w:b/>
          <w:bCs/>
          <w:color w:val="auto"/>
          <w:sz w:val="24"/>
          <w:szCs w:val="24"/>
          <w:highlight w:val="none"/>
        </w:rPr>
        <w:t>评标原则</w:t>
      </w:r>
    </w:p>
    <w:p w14:paraId="77C7706B">
      <w:pPr>
        <w:pStyle w:val="25"/>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(一)磋商小组组成：本磋商采购项目的磋商小组由采购人代表、技术和经济等方面的专家共3人以上单数组成。其中，专家磋商小组成员不得少于成员总数的三分之二。</w:t>
      </w:r>
    </w:p>
    <w:p w14:paraId="653B3BAC">
      <w:pPr>
        <w:pStyle w:val="25"/>
        <w:adjustRightInd w:val="0"/>
        <w:spacing w:line="360" w:lineRule="auto"/>
        <w:ind w:firstLine="480" w:firstLineChars="200"/>
        <w:contextualSpacing/>
        <w:rPr>
          <w:rFonts w:hint="eastAsia" w:hAnsi="宋体" w:eastAsia="宋体" w:cs="宋体"/>
          <w:color w:val="auto"/>
          <w:sz w:val="24"/>
          <w:szCs w:val="24"/>
          <w:highlight w:val="yellow"/>
          <w:lang w:val="en-US" w:eastAsia="zh-CN"/>
        </w:rPr>
      </w:pPr>
      <w:r>
        <w:rPr>
          <w:rFonts w:hint="eastAsia" w:hAnsi="宋体" w:cs="宋体"/>
          <w:color w:val="auto"/>
          <w:sz w:val="24"/>
          <w:szCs w:val="24"/>
          <w:highlight w:val="none"/>
        </w:rPr>
        <w:t>(二)评审依据：磋商小组成员将以采购文件为评审依据，对供应商的最终报价、技术性能、实施方案、信誉业绩、售后服务、政策优惠等方面内容按百分制打分。</w:t>
      </w:r>
    </w:p>
    <w:p w14:paraId="0D971AA7">
      <w:pPr>
        <w:pStyle w:val="25"/>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(三)评审方式：以封闭方式进行。</w:t>
      </w:r>
    </w:p>
    <w:p w14:paraId="3D5DBE04">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(四)按《政府采购促进中小企业发展管理办法》(财库〔2020〕46号)的规定，</w:t>
      </w:r>
      <w:r>
        <w:rPr>
          <w:rFonts w:hint="eastAsia" w:ascii="宋体" w:hAnsi="宋体" w:cs="宋体"/>
          <w:color w:val="auto"/>
          <w:sz w:val="24"/>
          <w:highlight w:val="none"/>
        </w:rPr>
        <w:t>对于未预留份额专门面向中小企业采购的政府采购工程项目，以及预留份额政府采购工程项目中的非预留部分标项，对小型和微型企业的最后报价给予3%</w:t>
      </w:r>
      <w:r>
        <w:rPr>
          <w:rFonts w:ascii="宋体" w:hAnsi="宋体" w:cs="宋体"/>
          <w:color w:val="auto"/>
          <w:sz w:val="24"/>
          <w:highlight w:val="none"/>
        </w:rPr>
        <w:t>—</w:t>
      </w:r>
      <w:r>
        <w:rPr>
          <w:rFonts w:hint="eastAsia" w:ascii="宋体" w:hAnsi="宋体" w:cs="宋体"/>
          <w:color w:val="auto"/>
          <w:sz w:val="24"/>
          <w:highlight w:val="none"/>
        </w:rPr>
        <w:t>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的扣除，用扣除后的价格参加评审。中小企业参加政府采购活动，应当出具《中小企业声明函》，否则不得享受相关中小企业扶持政策。</w:t>
      </w:r>
    </w:p>
    <w:p w14:paraId="180F7023">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(五)磋商供应商按《关于政府采购支持监狱企业发展有关问题的通知》(财库〔2014〕68 号)认定为监狱企业的，在政府采购活动中，监狱企业视同小型、微型企业。监狱企业以提供由省级以上监狱管理局、戒毒管理局(含新疆生产建设兵团)出具的属于监狱企业的证明文件为准。</w:t>
      </w:r>
    </w:p>
    <w:p w14:paraId="28B59C8F">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磋商供应商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3EF654EE">
      <w:pPr>
        <w:spacing w:line="360" w:lineRule="auto"/>
        <w:ind w:firstLine="480" w:firstLineChars="200"/>
        <w:rPr>
          <w:rFonts w:ascii="宋体" w:hAnsi="宋体" w:cs="Courier New"/>
          <w:bCs/>
          <w:color w:val="auto"/>
          <w:sz w:val="24"/>
          <w:highlight w:val="none"/>
        </w:rPr>
      </w:pPr>
      <w:r>
        <w:rPr>
          <w:rFonts w:hint="eastAsia" w:ascii="宋体" w:hAnsi="宋体" w:cs="宋体"/>
          <w:color w:val="auto"/>
          <w:kern w:val="0"/>
          <w:sz w:val="24"/>
          <w:highlight w:val="none"/>
        </w:rPr>
        <w:t>(七)未享受优惠政策的供应商的磋商最终报价即为评审价。</w:t>
      </w:r>
    </w:p>
    <w:p w14:paraId="7374B747">
      <w:pPr>
        <w:rPr>
          <w:rFonts w:hint="eastAsia" w:ascii="宋体" w:hAnsi="宋体" w:cs="Courier New"/>
          <w:b/>
          <w:color w:val="auto"/>
          <w:sz w:val="24"/>
          <w:highlight w:val="none"/>
        </w:rPr>
      </w:pPr>
      <w:r>
        <w:rPr>
          <w:rFonts w:hint="eastAsia" w:ascii="宋体" w:hAnsi="宋体" w:cs="Courier New"/>
          <w:b/>
          <w:color w:val="auto"/>
          <w:sz w:val="24"/>
          <w:highlight w:val="none"/>
        </w:rPr>
        <w:br w:type="page"/>
      </w:r>
    </w:p>
    <w:p w14:paraId="3BA8861A">
      <w:pPr>
        <w:spacing w:line="360" w:lineRule="auto"/>
        <w:ind w:firstLine="472" w:firstLineChars="196"/>
        <w:rPr>
          <w:rFonts w:ascii="宋体" w:hAnsi="宋体" w:cs="Courier New"/>
          <w:b/>
          <w:color w:val="auto"/>
          <w:sz w:val="24"/>
          <w:highlight w:val="none"/>
        </w:rPr>
      </w:pPr>
      <w:r>
        <w:rPr>
          <w:rFonts w:hint="eastAsia" w:ascii="宋体" w:hAnsi="宋体" w:cs="Courier New"/>
          <w:b/>
          <w:color w:val="auto"/>
          <w:sz w:val="24"/>
          <w:highlight w:val="none"/>
        </w:rPr>
        <w:t>二、评标方法</w:t>
      </w:r>
    </w:p>
    <w:tbl>
      <w:tblPr>
        <w:tblStyle w:val="40"/>
        <w:tblW w:w="9599"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108"/>
        <w:gridCol w:w="7038"/>
        <w:gridCol w:w="794"/>
      </w:tblGrid>
      <w:tr w14:paraId="029D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9" w:type="dxa"/>
            <w:noWrap w:val="0"/>
            <w:vAlign w:val="center"/>
          </w:tcPr>
          <w:p w14:paraId="144BBD8C">
            <w:pPr>
              <w:spacing w:line="360" w:lineRule="auto"/>
              <w:jc w:val="center"/>
              <w:rPr>
                <w:rFonts w:hint="eastAsia"/>
                <w:bCs/>
                <w:color w:val="auto"/>
                <w:szCs w:val="21"/>
                <w:highlight w:val="none"/>
              </w:rPr>
            </w:pPr>
            <w:r>
              <w:rPr>
                <w:rFonts w:hint="eastAsia"/>
                <w:bCs/>
                <w:color w:val="auto"/>
                <w:szCs w:val="21"/>
                <w:highlight w:val="none"/>
              </w:rPr>
              <w:t>序号</w:t>
            </w:r>
          </w:p>
        </w:tc>
        <w:tc>
          <w:tcPr>
            <w:tcW w:w="1108" w:type="dxa"/>
            <w:noWrap w:val="0"/>
            <w:vAlign w:val="center"/>
          </w:tcPr>
          <w:p w14:paraId="15EF0A52">
            <w:pPr>
              <w:spacing w:line="360" w:lineRule="auto"/>
              <w:jc w:val="center"/>
              <w:rPr>
                <w:rFonts w:hint="eastAsia"/>
                <w:bCs/>
                <w:color w:val="auto"/>
                <w:szCs w:val="21"/>
                <w:highlight w:val="none"/>
              </w:rPr>
            </w:pPr>
            <w:r>
              <w:rPr>
                <w:rFonts w:hint="eastAsia"/>
                <w:bCs/>
                <w:color w:val="auto"/>
                <w:szCs w:val="21"/>
                <w:highlight w:val="none"/>
              </w:rPr>
              <w:t>评分类型</w:t>
            </w:r>
          </w:p>
        </w:tc>
        <w:tc>
          <w:tcPr>
            <w:tcW w:w="7038" w:type="dxa"/>
            <w:noWrap w:val="0"/>
            <w:vAlign w:val="center"/>
          </w:tcPr>
          <w:p w14:paraId="6F1597B3">
            <w:pPr>
              <w:spacing w:line="360" w:lineRule="auto"/>
              <w:jc w:val="center"/>
              <w:rPr>
                <w:rFonts w:hint="eastAsia"/>
                <w:bCs/>
                <w:color w:val="auto"/>
                <w:szCs w:val="21"/>
                <w:highlight w:val="none"/>
              </w:rPr>
            </w:pPr>
            <w:r>
              <w:rPr>
                <w:rFonts w:hint="eastAsia"/>
                <w:bCs/>
                <w:color w:val="auto"/>
                <w:szCs w:val="21"/>
                <w:highlight w:val="none"/>
              </w:rPr>
              <w:t>评分标准</w:t>
            </w:r>
          </w:p>
        </w:tc>
        <w:tc>
          <w:tcPr>
            <w:tcW w:w="794" w:type="dxa"/>
            <w:noWrap w:val="0"/>
            <w:vAlign w:val="center"/>
          </w:tcPr>
          <w:p w14:paraId="76C58264">
            <w:pPr>
              <w:spacing w:line="360" w:lineRule="auto"/>
              <w:jc w:val="center"/>
              <w:rPr>
                <w:rFonts w:hint="eastAsia"/>
                <w:bCs/>
                <w:color w:val="auto"/>
                <w:szCs w:val="21"/>
                <w:highlight w:val="none"/>
              </w:rPr>
            </w:pPr>
            <w:r>
              <w:rPr>
                <w:rFonts w:hint="eastAsia"/>
                <w:bCs/>
                <w:color w:val="auto"/>
                <w:szCs w:val="21"/>
                <w:highlight w:val="none"/>
              </w:rPr>
              <w:t>分值</w:t>
            </w:r>
          </w:p>
        </w:tc>
      </w:tr>
      <w:tr w14:paraId="3377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9" w:type="dxa"/>
            <w:noWrap w:val="0"/>
            <w:vAlign w:val="center"/>
          </w:tcPr>
          <w:p w14:paraId="04D7A6A7">
            <w:pPr>
              <w:spacing w:line="360" w:lineRule="auto"/>
              <w:jc w:val="center"/>
              <w:rPr>
                <w:rFonts w:hint="eastAsia"/>
                <w:bCs/>
                <w:color w:val="auto"/>
                <w:szCs w:val="21"/>
                <w:highlight w:val="none"/>
              </w:rPr>
            </w:pPr>
            <w:r>
              <w:rPr>
                <w:rFonts w:hint="eastAsia" w:ascii="宋体" w:hAnsi="宋体" w:eastAsia="宋体" w:cs="宋体"/>
                <w:bCs/>
                <w:color w:val="auto"/>
                <w:szCs w:val="21"/>
                <w:highlight w:val="none"/>
              </w:rPr>
              <w:t>1</w:t>
            </w:r>
          </w:p>
        </w:tc>
        <w:tc>
          <w:tcPr>
            <w:tcW w:w="1108" w:type="dxa"/>
            <w:noWrap w:val="0"/>
            <w:vAlign w:val="center"/>
          </w:tcPr>
          <w:p w14:paraId="35DB4989">
            <w:pPr>
              <w:spacing w:line="360" w:lineRule="auto"/>
              <w:jc w:val="center"/>
              <w:rPr>
                <w:rFonts w:hint="eastAsia"/>
                <w:bCs/>
                <w:color w:val="auto"/>
                <w:szCs w:val="21"/>
                <w:highlight w:val="none"/>
              </w:rPr>
            </w:pPr>
            <w:r>
              <w:rPr>
                <w:rFonts w:hint="eastAsia"/>
                <w:b/>
                <w:bCs w:val="0"/>
                <w:color w:val="auto"/>
                <w:szCs w:val="21"/>
                <w:highlight w:val="none"/>
              </w:rPr>
              <w:t>报</w:t>
            </w:r>
            <w:r>
              <w:rPr>
                <w:rFonts w:hint="default" w:ascii="Times New Roman" w:hAnsi="Times New Roman" w:cs="Times New Roman"/>
                <w:b/>
                <w:bCs w:val="0"/>
                <w:i w:val="0"/>
                <w:iCs w:val="0"/>
                <w:color w:val="auto"/>
                <w:szCs w:val="21"/>
                <w:highlight w:val="none"/>
              </w:rPr>
              <w:t>价</w:t>
            </w:r>
            <w:r>
              <w:rPr>
                <w:rFonts w:hint="default" w:ascii="Times New Roman" w:hAnsi="Times New Roman" w:cs="Times New Roman"/>
                <w:b/>
                <w:bCs w:val="0"/>
                <w:i w:val="0"/>
                <w:iCs w:val="0"/>
                <w:color w:val="auto"/>
                <w:kern w:val="0"/>
                <w:szCs w:val="21"/>
                <w:highlight w:val="none"/>
                <w:lang w:val="en-US" w:eastAsia="zh-CN"/>
              </w:rPr>
              <w:t>分</w:t>
            </w:r>
          </w:p>
        </w:tc>
        <w:tc>
          <w:tcPr>
            <w:tcW w:w="7038" w:type="dxa"/>
            <w:noWrap w:val="0"/>
            <w:vAlign w:val="top"/>
          </w:tcPr>
          <w:p w14:paraId="5F5BD601">
            <w:pPr>
              <w:spacing w:line="360" w:lineRule="auto"/>
              <w:ind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本项目为专门面向</w:t>
            </w:r>
            <w:r>
              <w:rPr>
                <w:rFonts w:hint="eastAsia" w:cs="Times New Roman"/>
                <w:color w:val="auto"/>
                <w:highlight w:val="none"/>
                <w:lang w:val="en-US" w:eastAsia="zh-CN"/>
              </w:rPr>
              <w:t>小微</w:t>
            </w:r>
            <w:r>
              <w:rPr>
                <w:rFonts w:hint="eastAsia" w:ascii="Times New Roman" w:hAnsi="Times New Roman" w:eastAsia="宋体" w:cs="Times New Roman"/>
                <w:color w:val="auto"/>
                <w:highlight w:val="none"/>
                <w:lang w:eastAsia="zh-CN"/>
              </w:rPr>
              <w:t>企业采购的项目，按照《政府采购促进中小企业发展管理办法》（财库〔2020〕46号）的规定，对供应商最后报价不再执行价格评审优惠的扶持政策。</w:t>
            </w:r>
          </w:p>
          <w:p w14:paraId="6CA38502">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评审</w:t>
            </w:r>
            <w:r>
              <w:rPr>
                <w:rFonts w:hint="eastAsia" w:ascii="Times New Roman" w:hAnsi="Times New Roman" w:eastAsia="宋体" w:cs="Times New Roman"/>
                <w:color w:val="auto"/>
                <w:highlight w:val="none"/>
                <w:lang w:eastAsia="zh-CN"/>
              </w:rPr>
              <w:t>报</w:t>
            </w:r>
            <w:r>
              <w:rPr>
                <w:rFonts w:hint="eastAsia" w:ascii="Times New Roman" w:hAnsi="Times New Roman" w:eastAsia="宋体" w:cs="Times New Roman"/>
                <w:color w:val="auto"/>
                <w:highlight w:val="none"/>
              </w:rPr>
              <w:t>价为供应商的最后报价</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评审</w:t>
            </w:r>
            <w:r>
              <w:rPr>
                <w:rFonts w:hint="eastAsia" w:ascii="Times New Roman" w:hAnsi="Times New Roman" w:eastAsia="宋体" w:cs="Times New Roman"/>
                <w:color w:val="auto"/>
                <w:highlight w:val="none"/>
                <w:lang w:eastAsia="zh-CN"/>
              </w:rPr>
              <w:t>报</w:t>
            </w:r>
            <w:r>
              <w:rPr>
                <w:rFonts w:hint="eastAsia" w:ascii="Times New Roman" w:hAnsi="Times New Roman" w:eastAsia="宋体" w:cs="Times New Roman"/>
                <w:color w:val="auto"/>
                <w:highlight w:val="none"/>
              </w:rPr>
              <w:t>价只是作为评审时使用。最终成交供应商的成交金额等于最后报价（如有修正，以确认修正后的最后报价为准）。</w:t>
            </w:r>
          </w:p>
          <w:p w14:paraId="539B9487">
            <w:pPr>
              <w:spacing w:line="360" w:lineRule="auto"/>
              <w:ind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以进入比较与评价环节的最低的评审报价为基准价，基准价得分为</w:t>
            </w:r>
            <w:r>
              <w:rPr>
                <w:rFonts w:hint="eastAsia" w:ascii="Times New Roman" w:hAnsi="Times New Roman" w:eastAsia="宋体" w:cs="Times New Roman"/>
                <w:color w:val="auto"/>
                <w:highlight w:val="none"/>
                <w:lang w:val="en-US" w:eastAsia="zh-CN"/>
              </w:rPr>
              <w:t>30</w:t>
            </w:r>
            <w:r>
              <w:rPr>
                <w:rFonts w:hint="eastAsia" w:ascii="Times New Roman" w:hAnsi="Times New Roman" w:eastAsia="宋体" w:cs="Times New Roman"/>
                <w:color w:val="auto"/>
                <w:highlight w:val="none"/>
                <w:lang w:eastAsia="zh-CN"/>
              </w:rPr>
              <w:t>分。</w:t>
            </w:r>
          </w:p>
          <w:p w14:paraId="4AC97C10">
            <w:pPr>
              <w:spacing w:line="360" w:lineRule="auto"/>
              <w:ind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价格分计算公式：</w:t>
            </w:r>
          </w:p>
          <w:p w14:paraId="7E207E0D">
            <w:pPr>
              <w:spacing w:line="360" w:lineRule="auto"/>
              <w:ind w:firstLine="420" w:firstLineChars="200"/>
              <w:rPr>
                <w:rFonts w:hint="default" w:ascii="Times New Roman" w:hAnsi="Times New Roman" w:cs="Times New Roman"/>
                <w:color w:val="auto"/>
                <w:highlight w:val="none"/>
              </w:rPr>
            </w:pPr>
            <w:r>
              <w:rPr>
                <w:rFonts w:hint="eastAsia" w:ascii="Times New Roman" w:hAnsi="Times New Roman" w:eastAsia="宋体" w:cs="Times New Roman"/>
                <w:color w:val="auto"/>
                <w:highlight w:val="none"/>
                <w:lang w:eastAsia="zh-CN"/>
              </w:rPr>
              <w:t>报价得分=（基准价/评审报价）×</w:t>
            </w:r>
            <w:r>
              <w:rPr>
                <w:rFonts w:hint="eastAsia" w:ascii="Times New Roman" w:hAnsi="Times New Roman" w:eastAsia="宋体" w:cs="Times New Roman"/>
                <w:color w:val="auto"/>
                <w:highlight w:val="none"/>
                <w:lang w:val="en-US" w:eastAsia="zh-CN"/>
              </w:rPr>
              <w:t>30</w:t>
            </w:r>
            <w:r>
              <w:rPr>
                <w:rFonts w:hint="eastAsia" w:ascii="Times New Roman" w:hAnsi="Times New Roman" w:eastAsia="宋体" w:cs="Times New Roman"/>
                <w:color w:val="auto"/>
                <w:highlight w:val="none"/>
                <w:lang w:eastAsia="zh-CN"/>
              </w:rPr>
              <w:t>分</w:t>
            </w:r>
          </w:p>
        </w:tc>
        <w:tc>
          <w:tcPr>
            <w:tcW w:w="794" w:type="dxa"/>
            <w:noWrap w:val="0"/>
            <w:vAlign w:val="center"/>
          </w:tcPr>
          <w:p w14:paraId="7248185A">
            <w:pPr>
              <w:spacing w:line="360" w:lineRule="auto"/>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val="en-US" w:eastAsia="zh-CN"/>
              </w:rPr>
              <w:t xml:space="preserve"> </w:t>
            </w:r>
            <w:r>
              <w:rPr>
                <w:rFonts w:hint="eastAsia" w:ascii="Times New Roman" w:hAnsi="Times New Roman" w:cs="Times New Roman"/>
                <w:color w:val="auto"/>
                <w:kern w:val="0"/>
                <w:szCs w:val="21"/>
                <w:highlight w:val="none"/>
                <w:lang w:val="en-US" w:eastAsia="zh-CN"/>
              </w:rPr>
              <w:t>30</w:t>
            </w:r>
            <w:r>
              <w:rPr>
                <w:rFonts w:hint="default" w:ascii="Times New Roman" w:hAnsi="Times New Roman" w:cs="Times New Roman"/>
                <w:color w:val="auto"/>
                <w:kern w:val="0"/>
                <w:szCs w:val="21"/>
                <w:highlight w:val="none"/>
              </w:rPr>
              <w:t>分</w:t>
            </w:r>
          </w:p>
        </w:tc>
      </w:tr>
      <w:tr w14:paraId="653E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3EBF2F83">
            <w:pPr>
              <w:spacing w:line="360" w:lineRule="auto"/>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2</w:t>
            </w:r>
          </w:p>
        </w:tc>
        <w:tc>
          <w:tcPr>
            <w:tcW w:w="1108" w:type="dxa"/>
            <w:noWrap w:val="0"/>
            <w:vAlign w:val="center"/>
          </w:tcPr>
          <w:p w14:paraId="1FB4C407">
            <w:pPr>
              <w:spacing w:line="360" w:lineRule="auto"/>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
                <w:bCs/>
                <w:color w:val="auto"/>
                <w:highlight w:val="none"/>
              </w:rPr>
              <w:t>主要施工方法</w:t>
            </w:r>
            <w:r>
              <w:rPr>
                <w:rFonts w:hint="eastAsia" w:ascii="Times New Roman" w:hAnsi="Times New Roman" w:eastAsia="宋体" w:cs="Times New Roman"/>
                <w:b/>
                <w:bCs/>
                <w:color w:val="auto"/>
                <w:highlight w:val="none"/>
                <w:lang w:eastAsia="zh-CN"/>
              </w:rPr>
              <w:t>方案</w:t>
            </w:r>
            <w:r>
              <w:rPr>
                <w:rFonts w:hint="eastAsia" w:ascii="Times New Roman" w:hAnsi="Times New Roman" w:eastAsia="宋体" w:cs="Times New Roman"/>
                <w:b/>
                <w:bCs/>
                <w:color w:val="auto"/>
                <w:highlight w:val="none"/>
                <w:lang w:val="en-US" w:eastAsia="zh-CN"/>
              </w:rPr>
              <w:t>分</w:t>
            </w:r>
          </w:p>
        </w:tc>
        <w:tc>
          <w:tcPr>
            <w:tcW w:w="7038" w:type="dxa"/>
            <w:noWrap w:val="0"/>
            <w:vAlign w:val="top"/>
          </w:tcPr>
          <w:p w14:paraId="2E551EC2">
            <w:pPr>
              <w:spacing w:line="360" w:lineRule="auto"/>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rPr>
              <w:t>供应商未提供主要施工方法方案的不得分</w:t>
            </w:r>
            <w:r>
              <w:rPr>
                <w:rFonts w:hint="eastAsia" w:cs="Times New Roman"/>
                <w:b/>
                <w:bCs/>
                <w:color w:val="auto"/>
                <w:highlight w:val="none"/>
                <w:lang w:eastAsia="zh-CN"/>
              </w:rPr>
              <w:t>。</w:t>
            </w:r>
          </w:p>
          <w:p w14:paraId="14115D6D">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一档（</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rPr>
              <w:t>分）：各主要分部施工方法符合项目</w:t>
            </w:r>
            <w:r>
              <w:rPr>
                <w:rFonts w:hint="eastAsia" w:ascii="Times New Roman" w:hAnsi="Times New Roman" w:eastAsia="宋体" w:cs="Times New Roman"/>
                <w:color w:val="auto"/>
                <w:highlight w:val="none"/>
                <w:lang w:eastAsia="zh-CN"/>
              </w:rPr>
              <w:t>需求</w:t>
            </w:r>
            <w:r>
              <w:rPr>
                <w:rFonts w:hint="eastAsia" w:ascii="Times New Roman" w:hAnsi="Times New Roman" w:eastAsia="宋体" w:cs="Times New Roman"/>
                <w:color w:val="auto"/>
                <w:highlight w:val="none"/>
              </w:rPr>
              <w:t xml:space="preserve">，有施工技术方案。 </w:t>
            </w:r>
          </w:p>
          <w:p w14:paraId="226E520F">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二档（</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分）：各主要分部施工方法符合项目实际，施工技术方案</w:t>
            </w:r>
            <w:r>
              <w:rPr>
                <w:rFonts w:hint="eastAsia" w:ascii="Times New Roman" w:hAnsi="Times New Roman" w:eastAsia="宋体" w:cs="Times New Roman"/>
                <w:color w:val="auto"/>
                <w:highlight w:val="none"/>
                <w:lang w:val="en-US" w:eastAsia="zh-CN"/>
              </w:rPr>
              <w:t>内容简单，具有各</w:t>
            </w:r>
            <w:r>
              <w:rPr>
                <w:rFonts w:hint="eastAsia" w:ascii="Times New Roman" w:hAnsi="Times New Roman" w:eastAsia="宋体" w:cs="Times New Roman"/>
                <w:color w:val="auto"/>
                <w:highlight w:val="none"/>
              </w:rPr>
              <w:t>主要分部工程施工步骤、施工要点</w:t>
            </w:r>
            <w:r>
              <w:rPr>
                <w:rFonts w:hint="eastAsia" w:ascii="Times New Roman" w:hAnsi="Times New Roman" w:eastAsia="宋体" w:cs="Times New Roman"/>
                <w:color w:val="auto"/>
                <w:highlight w:val="none"/>
                <w:lang w:val="en-US" w:eastAsia="zh-CN"/>
              </w:rPr>
              <w:t>内容</w:t>
            </w:r>
            <w:r>
              <w:rPr>
                <w:rFonts w:hint="eastAsia" w:ascii="Times New Roman" w:hAnsi="Times New Roman" w:eastAsia="宋体" w:cs="Times New Roman"/>
                <w:color w:val="auto"/>
                <w:highlight w:val="none"/>
              </w:rPr>
              <w:t xml:space="preserve">，能指导具体施工并确保安全。 </w:t>
            </w:r>
          </w:p>
          <w:p w14:paraId="4B32AE5D">
            <w:pPr>
              <w:spacing w:line="360" w:lineRule="auto"/>
              <w:ind w:firstLine="420" w:firstLineChars="200"/>
              <w:rPr>
                <w:rFonts w:hint="default"/>
                <w:color w:val="auto"/>
                <w:highlight w:val="none"/>
              </w:rPr>
            </w:pPr>
            <w:r>
              <w:rPr>
                <w:rFonts w:hint="eastAsia" w:ascii="Times New Roman" w:hAnsi="Times New Roman" w:eastAsia="宋体" w:cs="Times New Roman"/>
                <w:color w:val="auto"/>
                <w:highlight w:val="none"/>
              </w:rPr>
              <w:t>三档（</w:t>
            </w:r>
            <w:r>
              <w:rPr>
                <w:rFonts w:hint="eastAsia" w:ascii="Times New Roman" w:hAnsi="Times New Roman" w:eastAsia="宋体" w:cs="Times New Roman"/>
                <w:color w:val="auto"/>
                <w:highlight w:val="none"/>
                <w:lang w:val="en-US" w:eastAsia="zh-CN"/>
              </w:rPr>
              <w:t>15</w:t>
            </w:r>
            <w:r>
              <w:rPr>
                <w:rFonts w:hint="eastAsia" w:ascii="Times New Roman" w:hAnsi="Times New Roman" w:eastAsia="宋体" w:cs="Times New Roman"/>
                <w:color w:val="auto"/>
                <w:highlight w:val="none"/>
              </w:rPr>
              <w:t>分）：各主要分部施工方法符合项目实际，施工技术方案</w:t>
            </w:r>
            <w:r>
              <w:rPr>
                <w:rFonts w:hint="eastAsia" w:ascii="Times New Roman" w:hAnsi="Times New Roman" w:eastAsia="宋体" w:cs="Times New Roman"/>
                <w:color w:val="auto"/>
                <w:highlight w:val="none"/>
                <w:lang w:val="en-US" w:eastAsia="zh-CN"/>
              </w:rPr>
              <w:t>内容详细，具有各</w:t>
            </w:r>
            <w:r>
              <w:rPr>
                <w:rFonts w:hint="eastAsia" w:ascii="Times New Roman" w:hAnsi="Times New Roman" w:eastAsia="宋体" w:cs="Times New Roman"/>
                <w:color w:val="auto"/>
                <w:highlight w:val="none"/>
              </w:rPr>
              <w:t>主要分部工程施工工序、施工步骤、施工要点、施工工艺</w:t>
            </w:r>
            <w:r>
              <w:rPr>
                <w:rFonts w:hint="eastAsia" w:ascii="Times New Roman" w:hAnsi="Times New Roman" w:eastAsia="宋体" w:cs="Times New Roman"/>
                <w:color w:val="auto"/>
                <w:highlight w:val="none"/>
                <w:lang w:eastAsia="zh-CN"/>
              </w:rPr>
              <w:t>方案</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施工准备、技术准备或交底、各工种施工配合方案</w:t>
            </w:r>
            <w:r>
              <w:rPr>
                <w:rFonts w:hint="eastAsia" w:ascii="Times New Roman" w:hAnsi="Times New Roman" w:eastAsia="宋体" w:cs="Times New Roman"/>
                <w:color w:val="auto"/>
                <w:highlight w:val="none"/>
                <w:lang w:val="en-US" w:eastAsia="zh-CN"/>
              </w:rPr>
              <w:t>且</w:t>
            </w:r>
            <w:r>
              <w:rPr>
                <w:rFonts w:hint="eastAsia" w:ascii="Times New Roman" w:hAnsi="Times New Roman" w:eastAsia="宋体" w:cs="Times New Roman"/>
                <w:color w:val="auto"/>
                <w:highlight w:val="none"/>
                <w:lang w:eastAsia="zh-CN"/>
              </w:rPr>
              <w:t>具有针对性</w:t>
            </w:r>
            <w:r>
              <w:rPr>
                <w:rFonts w:hint="eastAsia" w:ascii="Times New Roman" w:hAnsi="Times New Roman" w:eastAsia="宋体" w:cs="Times New Roman"/>
                <w:color w:val="auto"/>
                <w:highlight w:val="none"/>
              </w:rPr>
              <w:t>，能高效指导具体施工并确保安全。</w:t>
            </w:r>
          </w:p>
        </w:tc>
        <w:tc>
          <w:tcPr>
            <w:tcW w:w="794" w:type="dxa"/>
            <w:noWrap w:val="0"/>
            <w:vAlign w:val="center"/>
          </w:tcPr>
          <w:p w14:paraId="3C17C4E4">
            <w:pPr>
              <w:spacing w:line="360" w:lineRule="auto"/>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15</w:t>
            </w:r>
            <w:r>
              <w:rPr>
                <w:rFonts w:hint="default" w:ascii="Times New Roman" w:hAnsi="Times New Roman" w:eastAsia="宋体" w:cs="Times New Roman"/>
                <w:bCs/>
                <w:color w:val="auto"/>
                <w:szCs w:val="21"/>
                <w:highlight w:val="none"/>
                <w:lang w:eastAsia="zh-CN"/>
              </w:rPr>
              <w:t>分</w:t>
            </w:r>
          </w:p>
        </w:tc>
      </w:tr>
      <w:tr w14:paraId="414A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6951F3F2">
            <w:pPr>
              <w:spacing w:line="360" w:lineRule="auto"/>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w:t>
            </w:r>
          </w:p>
        </w:tc>
        <w:tc>
          <w:tcPr>
            <w:tcW w:w="1108" w:type="dxa"/>
            <w:noWrap w:val="0"/>
            <w:vAlign w:val="center"/>
          </w:tcPr>
          <w:p w14:paraId="424B1B3A">
            <w:pPr>
              <w:spacing w:line="360" w:lineRule="auto"/>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rPr>
              <w:t>拟投入的主要物资计划、劳动力安排计划</w:t>
            </w:r>
            <w:r>
              <w:rPr>
                <w:rFonts w:hint="eastAsia" w:ascii="Times New Roman" w:hAnsi="Times New Roman" w:eastAsia="宋体" w:cs="Times New Roman"/>
                <w:b/>
                <w:bCs/>
                <w:color w:val="auto"/>
                <w:highlight w:val="none"/>
                <w:lang w:eastAsia="zh-CN"/>
              </w:rPr>
              <w:t>方案</w:t>
            </w:r>
            <w:r>
              <w:rPr>
                <w:rFonts w:hint="eastAsia" w:ascii="Times New Roman" w:hAnsi="Times New Roman" w:eastAsia="宋体" w:cs="Times New Roman"/>
                <w:b/>
                <w:bCs/>
                <w:color w:val="auto"/>
                <w:highlight w:val="none"/>
                <w:lang w:val="en-US" w:eastAsia="zh-CN"/>
              </w:rPr>
              <w:t>分</w:t>
            </w:r>
          </w:p>
          <w:p w14:paraId="6D74CC50">
            <w:pPr>
              <w:spacing w:line="360" w:lineRule="auto"/>
              <w:jc w:val="center"/>
              <w:rPr>
                <w:rFonts w:hint="default" w:ascii="Times New Roman" w:hAnsi="Times New Roman" w:eastAsia="宋体" w:cs="Times New Roman"/>
                <w:bCs/>
                <w:color w:val="auto"/>
                <w:szCs w:val="21"/>
                <w:highlight w:val="none"/>
              </w:rPr>
            </w:pPr>
          </w:p>
        </w:tc>
        <w:tc>
          <w:tcPr>
            <w:tcW w:w="7038" w:type="dxa"/>
            <w:noWrap w:val="0"/>
            <w:vAlign w:val="top"/>
          </w:tcPr>
          <w:p w14:paraId="188E9E37">
            <w:pPr>
              <w:spacing w:line="360" w:lineRule="auto"/>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rPr>
              <w:t>供应商未提供拟投入的主要物资计划、劳动力安排计划方案的不得分</w:t>
            </w:r>
            <w:r>
              <w:rPr>
                <w:rFonts w:hint="eastAsia" w:cs="Times New Roman"/>
                <w:b/>
                <w:bCs/>
                <w:color w:val="auto"/>
                <w:highlight w:val="none"/>
                <w:lang w:eastAsia="zh-CN"/>
              </w:rPr>
              <w:t>。</w:t>
            </w:r>
          </w:p>
          <w:p w14:paraId="67D35F80">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一档（</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rPr>
              <w:t>分）：</w:t>
            </w:r>
            <w:r>
              <w:rPr>
                <w:color w:val="auto"/>
                <w:highlight w:val="none"/>
              </w:rPr>
              <w:t>投入的</w:t>
            </w:r>
            <w:r>
              <w:rPr>
                <w:rFonts w:hint="eastAsia"/>
                <w:color w:val="auto"/>
                <w:highlight w:val="none"/>
                <w:lang w:val="en-US" w:eastAsia="zh-CN"/>
              </w:rPr>
              <w:t>主要物资简单，具有</w:t>
            </w:r>
            <w:r>
              <w:rPr>
                <w:color w:val="auto"/>
                <w:highlight w:val="none"/>
              </w:rPr>
              <w:t>组织计划</w:t>
            </w:r>
            <w:r>
              <w:rPr>
                <w:rFonts w:hint="eastAsia" w:ascii="Times New Roman" w:hAnsi="Times New Roman" w:eastAsia="宋体" w:cs="Times New Roman"/>
                <w:color w:val="auto"/>
                <w:highlight w:val="none"/>
              </w:rPr>
              <w:t>。各主要施工工序有劳动力安排计划，有各工种劳动力安排计划。</w:t>
            </w:r>
          </w:p>
          <w:p w14:paraId="4E308791">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二档（</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分）：投入的主要物资计划与进度计划呼应，满足施工需要，定量定点堆放物资。各主要施工工序有劳动力安排计划，不窝工，有各工种劳动力安排计划，能满足施工需要。</w:t>
            </w:r>
          </w:p>
          <w:p w14:paraId="72410F03">
            <w:pPr>
              <w:spacing w:line="360" w:lineRule="auto"/>
              <w:ind w:firstLine="420" w:firstLineChars="200"/>
              <w:rPr>
                <w:rFonts w:hint="eastAsia" w:eastAsia="宋体"/>
                <w:color w:val="auto"/>
                <w:highlight w:val="none"/>
                <w:lang w:eastAsia="zh-CN"/>
              </w:rPr>
            </w:pPr>
            <w:r>
              <w:rPr>
                <w:rFonts w:hint="eastAsia" w:ascii="Times New Roman" w:hAnsi="Times New Roman" w:eastAsia="宋体" w:cs="Times New Roman"/>
                <w:color w:val="auto"/>
                <w:highlight w:val="none"/>
              </w:rPr>
              <w:t>三档（</w:t>
            </w:r>
            <w:r>
              <w:rPr>
                <w:rFonts w:hint="eastAsia" w:ascii="Times New Roman" w:hAnsi="Times New Roman" w:eastAsia="宋体" w:cs="Times New Roman"/>
                <w:color w:val="auto"/>
                <w:highlight w:val="none"/>
                <w:lang w:val="en-US" w:eastAsia="zh-CN"/>
              </w:rPr>
              <w:t>15</w:t>
            </w:r>
            <w:r>
              <w:rPr>
                <w:rFonts w:hint="eastAsia" w:ascii="Times New Roman" w:hAnsi="Times New Roman" w:eastAsia="宋体" w:cs="Times New Roman"/>
                <w:color w:val="auto"/>
                <w:highlight w:val="none"/>
              </w:rPr>
              <w:t>分）：投入的主要物资计划与进度计划呼应，满足施工需要，材料物资采购及供应保证措施，定量定点堆放物资。各主要施工工序有劳动力安排计划，不窝工，有各工种劳动力安排计划和劳动力保障措施</w:t>
            </w:r>
            <w:r>
              <w:rPr>
                <w:rFonts w:hint="eastAsia" w:cs="Times New Roman"/>
                <w:color w:val="auto"/>
                <w:highlight w:val="none"/>
                <w:lang w:eastAsia="zh-CN"/>
              </w:rPr>
              <w:t>。</w:t>
            </w:r>
          </w:p>
        </w:tc>
        <w:tc>
          <w:tcPr>
            <w:tcW w:w="794" w:type="dxa"/>
            <w:noWrap w:val="0"/>
            <w:vAlign w:val="center"/>
          </w:tcPr>
          <w:p w14:paraId="42B2E918">
            <w:pPr>
              <w:spacing w:line="360" w:lineRule="auto"/>
              <w:jc w:val="center"/>
              <w:rPr>
                <w:rFonts w:hint="default" w:ascii="Times New Roman" w:hAnsi="Times New Roman" w:eastAsia="宋体" w:cs="Times New Roman"/>
                <w:bCs/>
                <w:color w:val="auto"/>
                <w:szCs w:val="21"/>
                <w:highlight w:val="none"/>
                <w:lang w:eastAsia="zh-CN"/>
              </w:rPr>
            </w:pPr>
            <w:r>
              <w:rPr>
                <w:rFonts w:hint="eastAsia" w:ascii="Times New Roman" w:hAnsi="Times New Roman" w:eastAsia="宋体" w:cs="Times New Roman"/>
                <w:bCs/>
                <w:color w:val="auto"/>
                <w:szCs w:val="21"/>
                <w:highlight w:val="none"/>
                <w:lang w:val="en-US" w:eastAsia="zh-CN"/>
              </w:rPr>
              <w:t>15</w:t>
            </w:r>
            <w:r>
              <w:rPr>
                <w:rFonts w:hint="default" w:ascii="Times New Roman" w:hAnsi="Times New Roman" w:eastAsia="宋体" w:cs="Times New Roman"/>
                <w:bCs/>
                <w:color w:val="auto"/>
                <w:szCs w:val="21"/>
                <w:highlight w:val="none"/>
                <w:lang w:eastAsia="zh-CN"/>
              </w:rPr>
              <w:t>分</w:t>
            </w:r>
          </w:p>
        </w:tc>
      </w:tr>
      <w:tr w14:paraId="34CF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3DEDC74F">
            <w:pPr>
              <w:spacing w:line="360" w:lineRule="auto"/>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4</w:t>
            </w:r>
          </w:p>
        </w:tc>
        <w:tc>
          <w:tcPr>
            <w:tcW w:w="1108" w:type="dxa"/>
            <w:noWrap w:val="0"/>
            <w:vAlign w:val="center"/>
          </w:tcPr>
          <w:p w14:paraId="64A3F1CC">
            <w:pPr>
              <w:spacing w:line="360" w:lineRule="auto"/>
              <w:jc w:val="center"/>
              <w:rPr>
                <w:rFonts w:hint="default" w:ascii="Times New Roman" w:hAnsi="Times New Roman" w:eastAsia="宋体" w:cs="Times New Roman"/>
                <w:bCs/>
                <w:color w:val="auto"/>
                <w:szCs w:val="21"/>
                <w:highlight w:val="none"/>
              </w:rPr>
            </w:pPr>
            <w:r>
              <w:rPr>
                <w:rFonts w:hint="eastAsia" w:ascii="Times New Roman" w:hAnsi="Times New Roman" w:eastAsia="宋体" w:cs="Times New Roman"/>
                <w:b/>
                <w:bCs/>
                <w:color w:val="auto"/>
                <w:highlight w:val="none"/>
              </w:rPr>
              <w:t>确保工程质量的技术组织措施</w:t>
            </w:r>
            <w:r>
              <w:rPr>
                <w:rFonts w:hint="eastAsia" w:ascii="Times New Roman" w:hAnsi="Times New Roman" w:eastAsia="宋体" w:cs="Times New Roman"/>
                <w:b/>
                <w:bCs/>
                <w:color w:val="auto"/>
                <w:highlight w:val="none"/>
                <w:lang w:eastAsia="zh-CN"/>
              </w:rPr>
              <w:t>方案</w:t>
            </w:r>
            <w:r>
              <w:rPr>
                <w:rFonts w:hint="eastAsia" w:ascii="Times New Roman" w:hAnsi="Times New Roman" w:eastAsia="宋体" w:cs="Times New Roman"/>
                <w:b/>
                <w:bCs/>
                <w:color w:val="auto"/>
                <w:highlight w:val="none"/>
                <w:lang w:val="en-US" w:eastAsia="zh-CN"/>
              </w:rPr>
              <w:t>分</w:t>
            </w:r>
          </w:p>
        </w:tc>
        <w:tc>
          <w:tcPr>
            <w:tcW w:w="7038" w:type="dxa"/>
            <w:noWrap w:val="0"/>
            <w:vAlign w:val="top"/>
          </w:tcPr>
          <w:p w14:paraId="2923264D">
            <w:pPr>
              <w:spacing w:line="360" w:lineRule="auto"/>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rPr>
              <w:t>供应商未提供确保工程质量的技术组织措施方案的不得分</w:t>
            </w:r>
            <w:r>
              <w:rPr>
                <w:rFonts w:hint="eastAsia" w:cs="Times New Roman"/>
                <w:b/>
                <w:bCs/>
                <w:color w:val="auto"/>
                <w:highlight w:val="none"/>
                <w:lang w:eastAsia="zh-CN"/>
              </w:rPr>
              <w:t>。</w:t>
            </w:r>
          </w:p>
          <w:p w14:paraId="79F46151">
            <w:pPr>
              <w:spacing w:line="360" w:lineRule="auto"/>
              <w:ind w:firstLine="42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一档（</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rPr>
              <w:t>分）：有质量技术管理班子和制度，主要工序有质量技术保证措施和手段</w:t>
            </w:r>
            <w:r>
              <w:rPr>
                <w:rFonts w:hint="eastAsia" w:ascii="Times New Roman" w:hAnsi="Times New Roman" w:eastAsia="宋体" w:cs="Times New Roman"/>
                <w:color w:val="auto"/>
                <w:highlight w:val="none"/>
                <w:lang w:eastAsia="zh-CN"/>
              </w:rPr>
              <w:t>。</w:t>
            </w:r>
          </w:p>
          <w:p w14:paraId="01FE11C0">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二档（</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分）：有质量技术管理班子和制度，主要工序有质量技术保证措施和手段</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自控体系、</w:t>
            </w:r>
            <w:r>
              <w:rPr>
                <w:rFonts w:hint="eastAsia" w:ascii="Times New Roman" w:hAnsi="Times New Roman" w:eastAsia="宋体" w:cs="Times New Roman"/>
                <w:color w:val="auto"/>
                <w:highlight w:val="none"/>
              </w:rPr>
              <w:t>施工准备阶段和施工过程质量控制措施，能保证技术质量，满足采购文件的质量要求及验收规范要求。</w:t>
            </w:r>
          </w:p>
          <w:p w14:paraId="1491D5C6">
            <w:pPr>
              <w:spacing w:line="360" w:lineRule="auto"/>
              <w:ind w:firstLine="420" w:firstLineChars="200"/>
              <w:rPr>
                <w:rFonts w:hint="eastAsia"/>
                <w:color w:val="auto"/>
                <w:highlight w:val="none"/>
                <w:lang w:eastAsia="zh-CN"/>
              </w:rPr>
            </w:pPr>
            <w:r>
              <w:rPr>
                <w:rFonts w:hint="eastAsia" w:ascii="Times New Roman" w:hAnsi="Times New Roman" w:eastAsia="宋体" w:cs="Times New Roman"/>
                <w:color w:val="auto"/>
                <w:highlight w:val="none"/>
              </w:rPr>
              <w:t>三档（</w:t>
            </w:r>
            <w:r>
              <w:rPr>
                <w:rFonts w:hint="eastAsia" w:ascii="Times New Roman" w:hAnsi="Times New Roman" w:eastAsia="宋体" w:cs="Times New Roman"/>
                <w:color w:val="auto"/>
                <w:highlight w:val="none"/>
                <w:lang w:val="en-US" w:eastAsia="zh-CN"/>
              </w:rPr>
              <w:t>15</w:t>
            </w:r>
            <w:r>
              <w:rPr>
                <w:rFonts w:hint="eastAsia" w:ascii="Times New Roman" w:hAnsi="Times New Roman" w:eastAsia="宋体" w:cs="Times New Roman"/>
                <w:color w:val="auto"/>
                <w:highlight w:val="none"/>
              </w:rPr>
              <w:t>分）：有专门的质量技术管理班子和制度，明确管理班子质量责任，主要工序有质量技术保证措施和手段</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自控体系</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施工准备阶段、施工过程、竣工验收及交工阶段质量控制措施，隐蔽工程检查制度，有施工质量验收制度，工程质量保修方案，能有效保证技术质量，达到承诺的质量标准及验收规范要求。</w:t>
            </w:r>
          </w:p>
        </w:tc>
        <w:tc>
          <w:tcPr>
            <w:tcW w:w="794" w:type="dxa"/>
            <w:noWrap w:val="0"/>
            <w:vAlign w:val="center"/>
          </w:tcPr>
          <w:p w14:paraId="640E6F3B">
            <w:pPr>
              <w:spacing w:line="360" w:lineRule="auto"/>
              <w:jc w:val="center"/>
              <w:rPr>
                <w:rFonts w:hint="default" w:ascii="Times New Roman" w:hAnsi="Times New Roman" w:eastAsia="宋体" w:cs="Times New Roman"/>
                <w:bCs/>
                <w:color w:val="auto"/>
                <w:szCs w:val="21"/>
                <w:highlight w:val="none"/>
                <w:lang w:eastAsia="zh-CN"/>
              </w:rPr>
            </w:pPr>
            <w:r>
              <w:rPr>
                <w:rFonts w:hint="eastAsia" w:ascii="Times New Roman" w:hAnsi="Times New Roman" w:eastAsia="宋体" w:cs="Times New Roman"/>
                <w:bCs/>
                <w:color w:val="auto"/>
                <w:szCs w:val="21"/>
                <w:highlight w:val="none"/>
                <w:lang w:val="en-US" w:eastAsia="zh-CN"/>
              </w:rPr>
              <w:t>15</w:t>
            </w:r>
            <w:r>
              <w:rPr>
                <w:rFonts w:hint="default" w:ascii="Times New Roman" w:hAnsi="Times New Roman" w:eastAsia="宋体" w:cs="Times New Roman"/>
                <w:bCs/>
                <w:color w:val="auto"/>
                <w:szCs w:val="21"/>
                <w:highlight w:val="none"/>
                <w:lang w:eastAsia="zh-CN"/>
              </w:rPr>
              <w:t>分</w:t>
            </w:r>
          </w:p>
        </w:tc>
      </w:tr>
      <w:tr w14:paraId="4A79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47A39EF2">
            <w:pPr>
              <w:spacing w:line="360" w:lineRule="auto"/>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5</w:t>
            </w:r>
          </w:p>
        </w:tc>
        <w:tc>
          <w:tcPr>
            <w:tcW w:w="1108" w:type="dxa"/>
            <w:noWrap w:val="0"/>
            <w:vAlign w:val="center"/>
          </w:tcPr>
          <w:p w14:paraId="693ED57E">
            <w:pPr>
              <w:spacing w:line="360" w:lineRule="auto"/>
              <w:jc w:val="center"/>
              <w:rPr>
                <w:rFonts w:hint="default" w:ascii="Times New Roman" w:hAnsi="Times New Roman" w:eastAsia="宋体" w:cs="Times New Roman"/>
                <w:bCs/>
                <w:color w:val="auto"/>
                <w:szCs w:val="21"/>
                <w:highlight w:val="none"/>
              </w:rPr>
            </w:pPr>
            <w:r>
              <w:rPr>
                <w:rFonts w:hint="eastAsia"/>
                <w:b/>
                <w:bCs/>
                <w:color w:val="auto"/>
                <w:highlight w:val="none"/>
              </w:rPr>
              <w:t>确保安全生产的技术组织措施</w:t>
            </w:r>
            <w:r>
              <w:rPr>
                <w:rFonts w:hint="eastAsia"/>
                <w:b/>
                <w:bCs/>
                <w:color w:val="auto"/>
                <w:highlight w:val="none"/>
                <w:lang w:eastAsia="zh-CN"/>
              </w:rPr>
              <w:t>方案</w:t>
            </w:r>
            <w:r>
              <w:rPr>
                <w:rFonts w:hint="eastAsia" w:ascii="Times New Roman" w:hAnsi="Times New Roman" w:eastAsia="宋体" w:cs="Times New Roman"/>
                <w:b/>
                <w:bCs/>
                <w:color w:val="auto"/>
                <w:highlight w:val="none"/>
                <w:lang w:val="en-US" w:eastAsia="zh-CN"/>
              </w:rPr>
              <w:t>分</w:t>
            </w:r>
          </w:p>
        </w:tc>
        <w:tc>
          <w:tcPr>
            <w:tcW w:w="7038" w:type="dxa"/>
            <w:noWrap w:val="0"/>
            <w:vAlign w:val="top"/>
          </w:tcPr>
          <w:p w14:paraId="74FE5D3E">
            <w:pPr>
              <w:spacing w:line="360" w:lineRule="auto"/>
              <w:rPr>
                <w:rFonts w:hint="eastAsia" w:eastAsia="宋体"/>
                <w:b/>
                <w:bCs/>
                <w:color w:val="auto"/>
                <w:highlight w:val="none"/>
                <w:lang w:eastAsia="zh-CN"/>
              </w:rPr>
            </w:pPr>
            <w:r>
              <w:rPr>
                <w:rFonts w:hint="eastAsia"/>
                <w:b/>
                <w:bCs/>
                <w:color w:val="auto"/>
                <w:highlight w:val="none"/>
              </w:rPr>
              <w:t>供应商未提供确保安全生产的技术组织措施方案的不得分</w:t>
            </w:r>
            <w:r>
              <w:rPr>
                <w:rFonts w:hint="eastAsia"/>
                <w:b/>
                <w:bCs/>
                <w:color w:val="auto"/>
                <w:highlight w:val="none"/>
                <w:lang w:eastAsia="zh-CN"/>
              </w:rPr>
              <w:t>。</w:t>
            </w:r>
          </w:p>
          <w:p w14:paraId="6CC4232D">
            <w:pPr>
              <w:spacing w:line="360" w:lineRule="auto"/>
              <w:ind w:firstLine="420" w:firstLineChars="200"/>
              <w:rPr>
                <w:rFonts w:hint="eastAsia" w:eastAsia="宋体"/>
                <w:color w:val="auto"/>
                <w:highlight w:val="none"/>
                <w:lang w:eastAsia="zh-CN"/>
              </w:rPr>
            </w:pPr>
            <w:r>
              <w:rPr>
                <w:rFonts w:hint="eastAsia"/>
                <w:color w:val="auto"/>
                <w:highlight w:val="none"/>
              </w:rPr>
              <w:t>一档（</w:t>
            </w:r>
            <w:r>
              <w:rPr>
                <w:rFonts w:hint="eastAsia"/>
                <w:color w:val="auto"/>
                <w:highlight w:val="none"/>
                <w:lang w:val="en-US" w:eastAsia="zh-CN"/>
              </w:rPr>
              <w:t>2</w:t>
            </w:r>
            <w:r>
              <w:rPr>
                <w:rFonts w:hint="eastAsia"/>
                <w:color w:val="auto"/>
                <w:highlight w:val="none"/>
              </w:rPr>
              <w:t>分）：</w:t>
            </w:r>
            <w:r>
              <w:rPr>
                <w:rFonts w:hint="eastAsia" w:ascii="宋体" w:hAnsi="宋体" w:cs="宋体"/>
                <w:color w:val="auto"/>
                <w:szCs w:val="21"/>
                <w:highlight w:val="none"/>
              </w:rPr>
              <w:t>有专门的安全管理人员和制度，有各道工序安全技术措施</w:t>
            </w:r>
            <w:r>
              <w:rPr>
                <w:rFonts w:hint="eastAsia" w:ascii="宋体" w:hAnsi="宋体" w:cs="宋体"/>
                <w:color w:val="auto"/>
                <w:szCs w:val="21"/>
                <w:highlight w:val="none"/>
                <w:lang w:eastAsia="zh-CN"/>
              </w:rPr>
              <w:t>。</w:t>
            </w:r>
          </w:p>
          <w:p w14:paraId="50501558">
            <w:pPr>
              <w:spacing w:line="360" w:lineRule="auto"/>
              <w:ind w:firstLine="420" w:firstLineChars="200"/>
              <w:rPr>
                <w:rFonts w:hint="eastAsia" w:hAnsi="宋体"/>
                <w:bCs/>
                <w:color w:val="auto"/>
                <w:sz w:val="21"/>
                <w:highlight w:val="none"/>
              </w:rPr>
            </w:pPr>
            <w:r>
              <w:rPr>
                <w:rFonts w:hint="eastAsia"/>
                <w:color w:val="auto"/>
                <w:highlight w:val="none"/>
              </w:rPr>
              <w:t>二档（</w:t>
            </w:r>
            <w:r>
              <w:rPr>
                <w:rFonts w:hint="eastAsia"/>
                <w:color w:val="auto"/>
                <w:highlight w:val="none"/>
                <w:lang w:val="en-US" w:eastAsia="zh-CN"/>
              </w:rPr>
              <w:t>6</w:t>
            </w:r>
            <w:r>
              <w:rPr>
                <w:rFonts w:hint="eastAsia"/>
                <w:color w:val="auto"/>
                <w:highlight w:val="none"/>
              </w:rPr>
              <w:t>分）：</w:t>
            </w:r>
            <w:r>
              <w:rPr>
                <w:rFonts w:hint="eastAsia" w:ascii="宋体" w:hAnsi="宋体" w:cs="宋体"/>
                <w:color w:val="auto"/>
                <w:szCs w:val="21"/>
                <w:highlight w:val="none"/>
              </w:rPr>
              <w:t>有专门的安全管理人员和制度，有各道工序安全技术措施，确保</w:t>
            </w:r>
            <w:r>
              <w:rPr>
                <w:rFonts w:hint="eastAsia" w:hAnsi="宋体"/>
                <w:bCs/>
                <w:color w:val="auto"/>
                <w:sz w:val="21"/>
                <w:highlight w:val="none"/>
              </w:rPr>
              <w:t>工程质量的技术组织措施符合实际且满足有关安全技术标准要求。有现场防火、应急救援、社会治安安全措施。</w:t>
            </w:r>
          </w:p>
          <w:p w14:paraId="7766B562">
            <w:pPr>
              <w:spacing w:line="360" w:lineRule="auto"/>
              <w:ind w:firstLine="420" w:firstLineChars="200"/>
              <w:rPr>
                <w:rFonts w:hint="default" w:ascii="Times New Roman" w:hAnsi="Times New Roman" w:eastAsia="宋体" w:cs="Times New Roman"/>
                <w:color w:val="auto"/>
                <w:highlight w:val="none"/>
              </w:rPr>
            </w:pPr>
            <w:r>
              <w:rPr>
                <w:rFonts w:hint="eastAsia" w:hAnsi="宋体"/>
                <w:bCs/>
                <w:color w:val="auto"/>
                <w:sz w:val="21"/>
                <w:highlight w:val="none"/>
              </w:rPr>
              <w:t>三档（</w:t>
            </w:r>
            <w:r>
              <w:rPr>
                <w:rFonts w:hint="eastAsia" w:hAnsi="宋体"/>
                <w:bCs/>
                <w:color w:val="auto"/>
                <w:sz w:val="21"/>
                <w:highlight w:val="none"/>
                <w:lang w:val="en-US" w:eastAsia="zh-CN"/>
              </w:rPr>
              <w:t>10</w:t>
            </w:r>
            <w:r>
              <w:rPr>
                <w:rFonts w:hint="eastAsia" w:hAnsi="宋体"/>
                <w:bCs/>
                <w:color w:val="auto"/>
                <w:sz w:val="21"/>
                <w:highlight w:val="none"/>
              </w:rPr>
              <w:t>分）：有专门的安全管理人员和制度，各道工序安全技术措施</w:t>
            </w:r>
            <w:r>
              <w:rPr>
                <w:rFonts w:hint="eastAsia" w:hAnsi="宋体"/>
                <w:bCs/>
                <w:color w:val="auto"/>
                <w:sz w:val="21"/>
                <w:highlight w:val="none"/>
                <w:lang w:eastAsia="zh-CN"/>
              </w:rPr>
              <w:t>具有针对性</w:t>
            </w:r>
            <w:r>
              <w:rPr>
                <w:rFonts w:hint="eastAsia" w:hAnsi="宋体"/>
                <w:bCs/>
                <w:color w:val="auto"/>
                <w:sz w:val="21"/>
                <w:highlight w:val="none"/>
              </w:rPr>
              <w:t>，确保工程质量的技术组织措施</w:t>
            </w:r>
            <w:r>
              <w:rPr>
                <w:rFonts w:hint="eastAsia" w:hAnsi="宋体"/>
                <w:bCs/>
                <w:color w:val="auto"/>
                <w:sz w:val="21"/>
                <w:highlight w:val="none"/>
                <w:lang w:eastAsia="zh-CN"/>
              </w:rPr>
              <w:t>切</w:t>
            </w:r>
            <w:r>
              <w:rPr>
                <w:rFonts w:hint="eastAsia" w:hAnsi="宋体"/>
                <w:bCs/>
                <w:color w:val="auto"/>
                <w:sz w:val="21"/>
                <w:highlight w:val="none"/>
              </w:rPr>
              <w:t>合实际且</w:t>
            </w:r>
            <w:r>
              <w:rPr>
                <w:rFonts w:hint="eastAsia" w:hAnsi="宋体"/>
                <w:bCs/>
                <w:color w:val="auto"/>
                <w:sz w:val="21"/>
                <w:highlight w:val="none"/>
                <w:lang w:eastAsia="zh-CN"/>
              </w:rPr>
              <w:t>优于</w:t>
            </w:r>
            <w:r>
              <w:rPr>
                <w:rFonts w:hint="eastAsia" w:hAnsi="宋体"/>
                <w:bCs/>
                <w:color w:val="auto"/>
                <w:sz w:val="21"/>
                <w:highlight w:val="none"/>
              </w:rPr>
              <w:t>有关安全技术标准要求。有现场防火、应急救援、社会治安安全措施</w:t>
            </w:r>
            <w:r>
              <w:rPr>
                <w:rFonts w:hint="eastAsia" w:hAnsi="宋体"/>
                <w:bCs/>
                <w:color w:val="auto"/>
                <w:sz w:val="21"/>
                <w:highlight w:val="none"/>
                <w:lang w:val="en-US" w:eastAsia="zh-CN"/>
              </w:rPr>
              <w:t>及</w:t>
            </w:r>
            <w:r>
              <w:rPr>
                <w:rFonts w:hint="eastAsia" w:hAnsi="宋体"/>
                <w:bCs/>
                <w:color w:val="auto"/>
                <w:sz w:val="21"/>
                <w:highlight w:val="none"/>
              </w:rPr>
              <w:t>安全生产责任、安全生产教育培训制度、施工现场临时用电方案及安全用电措施、安全管理目标。</w:t>
            </w:r>
          </w:p>
        </w:tc>
        <w:tc>
          <w:tcPr>
            <w:tcW w:w="794" w:type="dxa"/>
            <w:noWrap w:val="0"/>
            <w:vAlign w:val="center"/>
          </w:tcPr>
          <w:p w14:paraId="4E300959">
            <w:pPr>
              <w:spacing w:line="360" w:lineRule="auto"/>
              <w:jc w:val="center"/>
              <w:rPr>
                <w:rFonts w:hint="default" w:ascii="Times New Roman" w:hAnsi="Times New Roman" w:eastAsia="宋体" w:cs="Times New Roman"/>
                <w:bCs/>
                <w:color w:val="auto"/>
                <w:szCs w:val="21"/>
                <w:highlight w:val="none"/>
                <w:lang w:eastAsia="zh-CN"/>
              </w:rPr>
            </w:pPr>
            <w:r>
              <w:rPr>
                <w:rFonts w:hint="eastAsia" w:ascii="Times New Roman" w:hAnsi="Times New Roman" w:eastAsia="宋体" w:cs="Times New Roman"/>
                <w:bCs/>
                <w:color w:val="auto"/>
                <w:szCs w:val="21"/>
                <w:highlight w:val="none"/>
                <w:lang w:val="en-US" w:eastAsia="zh-CN"/>
              </w:rPr>
              <w:t>10</w:t>
            </w:r>
            <w:r>
              <w:rPr>
                <w:rFonts w:hint="default" w:ascii="Times New Roman" w:hAnsi="Times New Roman" w:eastAsia="宋体" w:cs="Times New Roman"/>
                <w:bCs/>
                <w:color w:val="auto"/>
                <w:szCs w:val="21"/>
                <w:highlight w:val="none"/>
                <w:lang w:eastAsia="zh-CN"/>
              </w:rPr>
              <w:t>分</w:t>
            </w:r>
          </w:p>
        </w:tc>
      </w:tr>
      <w:tr w14:paraId="7EC7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15B9B25B">
            <w:pPr>
              <w:spacing w:line="360" w:lineRule="auto"/>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6</w:t>
            </w:r>
          </w:p>
        </w:tc>
        <w:tc>
          <w:tcPr>
            <w:tcW w:w="1108" w:type="dxa"/>
            <w:noWrap w:val="0"/>
            <w:vAlign w:val="center"/>
          </w:tcPr>
          <w:p w14:paraId="72078988">
            <w:pPr>
              <w:spacing w:line="360" w:lineRule="auto"/>
              <w:jc w:val="center"/>
              <w:rPr>
                <w:rFonts w:hint="default" w:ascii="Times New Roman" w:hAnsi="Times New Roman" w:eastAsia="宋体" w:cs="Times New Roman"/>
                <w:bCs/>
                <w:color w:val="auto"/>
                <w:szCs w:val="21"/>
                <w:highlight w:val="none"/>
              </w:rPr>
            </w:pPr>
            <w:r>
              <w:rPr>
                <w:rFonts w:hint="eastAsia"/>
                <w:b/>
                <w:bCs/>
                <w:color w:val="auto"/>
                <w:highlight w:val="none"/>
              </w:rPr>
              <w:t>确保工期的技术组织措施</w:t>
            </w:r>
            <w:r>
              <w:rPr>
                <w:rFonts w:hint="eastAsia"/>
                <w:b/>
                <w:bCs/>
                <w:color w:val="auto"/>
                <w:highlight w:val="none"/>
                <w:lang w:eastAsia="zh-CN"/>
              </w:rPr>
              <w:t>方案</w:t>
            </w:r>
            <w:r>
              <w:rPr>
                <w:rFonts w:hint="eastAsia" w:ascii="Times New Roman" w:hAnsi="Times New Roman" w:eastAsia="宋体" w:cs="Times New Roman"/>
                <w:b/>
                <w:bCs/>
                <w:color w:val="auto"/>
                <w:highlight w:val="none"/>
                <w:lang w:val="en-US" w:eastAsia="zh-CN"/>
              </w:rPr>
              <w:t>分</w:t>
            </w:r>
          </w:p>
        </w:tc>
        <w:tc>
          <w:tcPr>
            <w:tcW w:w="7038" w:type="dxa"/>
            <w:noWrap w:val="0"/>
            <w:vAlign w:val="top"/>
          </w:tcPr>
          <w:p w14:paraId="77A58229">
            <w:pPr>
              <w:spacing w:line="360" w:lineRule="auto"/>
              <w:rPr>
                <w:rFonts w:hint="eastAsia" w:eastAsia="宋体"/>
                <w:b/>
                <w:bCs/>
                <w:color w:val="auto"/>
                <w:highlight w:val="none"/>
                <w:lang w:eastAsia="zh-CN"/>
              </w:rPr>
            </w:pPr>
            <w:r>
              <w:rPr>
                <w:rFonts w:hint="eastAsia" w:eastAsia="宋体"/>
                <w:b/>
                <w:bCs/>
                <w:color w:val="auto"/>
                <w:highlight w:val="none"/>
                <w:lang w:eastAsia="zh-CN"/>
              </w:rPr>
              <w:t>供应商未提供确保工期的技术组织措施方案的不得分</w:t>
            </w:r>
            <w:r>
              <w:rPr>
                <w:rFonts w:hint="eastAsia"/>
                <w:b/>
                <w:bCs/>
                <w:color w:val="auto"/>
                <w:highlight w:val="none"/>
                <w:lang w:eastAsia="zh-CN"/>
              </w:rPr>
              <w:t>。</w:t>
            </w:r>
          </w:p>
          <w:p w14:paraId="2662E679">
            <w:pPr>
              <w:spacing w:line="360" w:lineRule="auto"/>
              <w:ind w:firstLine="420" w:firstLineChars="200"/>
              <w:rPr>
                <w:rFonts w:hint="eastAsia" w:eastAsia="宋体"/>
                <w:color w:val="auto"/>
                <w:highlight w:val="none"/>
                <w:lang w:eastAsia="zh-CN"/>
              </w:rPr>
            </w:pPr>
            <w:r>
              <w:rPr>
                <w:rFonts w:hint="eastAsia" w:eastAsia="宋体"/>
                <w:color w:val="auto"/>
                <w:highlight w:val="none"/>
                <w:lang w:eastAsia="zh-CN"/>
              </w:rPr>
              <w:t>一档（</w:t>
            </w:r>
            <w:r>
              <w:rPr>
                <w:rFonts w:hint="eastAsia"/>
                <w:color w:val="auto"/>
                <w:highlight w:val="none"/>
                <w:lang w:val="en-US" w:eastAsia="zh-CN"/>
              </w:rPr>
              <w:t>2</w:t>
            </w:r>
            <w:r>
              <w:rPr>
                <w:rFonts w:hint="eastAsia" w:eastAsia="宋体"/>
                <w:color w:val="auto"/>
                <w:highlight w:val="none"/>
                <w:lang w:eastAsia="zh-CN"/>
              </w:rPr>
              <w:t>分）：在施工工艺、施工方法、材料选用、劳动力安排、技术方面有保证工期的措施。有控制工期的施工进度计划。</w:t>
            </w:r>
          </w:p>
          <w:p w14:paraId="33B830CE">
            <w:pPr>
              <w:spacing w:line="360" w:lineRule="auto"/>
              <w:ind w:firstLine="420" w:firstLineChars="200"/>
              <w:rPr>
                <w:rFonts w:hint="eastAsia" w:eastAsia="宋体"/>
                <w:color w:val="auto"/>
                <w:highlight w:val="none"/>
                <w:lang w:eastAsia="zh-CN"/>
              </w:rPr>
            </w:pPr>
            <w:r>
              <w:rPr>
                <w:rFonts w:hint="eastAsia" w:eastAsia="宋体"/>
                <w:color w:val="auto"/>
                <w:highlight w:val="none"/>
                <w:lang w:eastAsia="zh-CN"/>
              </w:rPr>
              <w:t>二档（</w:t>
            </w:r>
            <w:r>
              <w:rPr>
                <w:rFonts w:hint="eastAsia"/>
                <w:color w:val="auto"/>
                <w:highlight w:val="none"/>
                <w:lang w:val="en-US" w:eastAsia="zh-CN"/>
              </w:rPr>
              <w:t>6</w:t>
            </w:r>
            <w:r>
              <w:rPr>
                <w:rFonts w:hint="eastAsia" w:eastAsia="宋体"/>
                <w:color w:val="auto"/>
                <w:highlight w:val="none"/>
                <w:lang w:eastAsia="zh-CN"/>
              </w:rPr>
              <w:t>分）：在施工工艺、施工方法、材料选用、劳动力安排、技术方面有保证工期的措施。有控制工期的施工进度计划。有施工总进度表或施工网络图。</w:t>
            </w:r>
          </w:p>
          <w:p w14:paraId="1A1DCB8A">
            <w:pPr>
              <w:spacing w:line="360" w:lineRule="auto"/>
              <w:ind w:firstLine="420" w:firstLineChars="200"/>
              <w:rPr>
                <w:rFonts w:hint="default" w:ascii="Times New Roman" w:hAnsi="Times New Roman" w:eastAsia="宋体" w:cs="Times New Roman"/>
                <w:color w:val="auto"/>
                <w:highlight w:val="none"/>
              </w:rPr>
            </w:pPr>
            <w:r>
              <w:rPr>
                <w:rFonts w:hint="eastAsia" w:eastAsia="宋体"/>
                <w:color w:val="auto"/>
                <w:highlight w:val="none"/>
                <w:lang w:eastAsia="zh-CN"/>
              </w:rPr>
              <w:t>三档（</w:t>
            </w:r>
            <w:r>
              <w:rPr>
                <w:rFonts w:hint="eastAsia"/>
                <w:color w:val="auto"/>
                <w:highlight w:val="none"/>
                <w:lang w:val="en-US" w:eastAsia="zh-CN"/>
              </w:rPr>
              <w:t>10</w:t>
            </w:r>
            <w:r>
              <w:rPr>
                <w:rFonts w:hint="eastAsia" w:eastAsia="宋体"/>
                <w:color w:val="auto"/>
                <w:highlight w:val="none"/>
                <w:lang w:eastAsia="zh-CN"/>
              </w:rPr>
              <w:t>分）：在施工工艺、施工方法、材料选用、劳动力安排、技术方面有保证工期的措施切实符合项目需求，具有针对性。有控制工期的施工进度计划，施工进度计划的执行与控制，进度偏差管理措施。有施工总进度表或施工网络图，</w:t>
            </w:r>
            <w:r>
              <w:rPr>
                <w:rFonts w:hint="eastAsia" w:eastAsia="宋体"/>
                <w:color w:val="auto"/>
                <w:highlight w:val="none"/>
                <w:lang w:val="en-US" w:eastAsia="zh-CN"/>
              </w:rPr>
              <w:t>具有</w:t>
            </w:r>
            <w:r>
              <w:rPr>
                <w:rFonts w:hint="eastAsia" w:eastAsia="宋体"/>
                <w:color w:val="auto"/>
                <w:highlight w:val="none"/>
                <w:lang w:eastAsia="zh-CN"/>
              </w:rPr>
              <w:t>各项计划图表。</w:t>
            </w:r>
          </w:p>
        </w:tc>
        <w:tc>
          <w:tcPr>
            <w:tcW w:w="794" w:type="dxa"/>
            <w:noWrap w:val="0"/>
            <w:vAlign w:val="center"/>
          </w:tcPr>
          <w:p w14:paraId="785BDC3E">
            <w:pPr>
              <w:spacing w:line="360" w:lineRule="auto"/>
              <w:jc w:val="center"/>
              <w:rPr>
                <w:rFonts w:hint="default"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10</w:t>
            </w:r>
            <w:r>
              <w:rPr>
                <w:rFonts w:hint="default" w:ascii="Times New Roman" w:hAnsi="Times New Roman" w:eastAsia="宋体" w:cs="Times New Roman"/>
                <w:bCs/>
                <w:color w:val="auto"/>
                <w:szCs w:val="21"/>
                <w:highlight w:val="none"/>
                <w:lang w:eastAsia="zh-CN"/>
              </w:rPr>
              <w:t>分</w:t>
            </w:r>
          </w:p>
        </w:tc>
      </w:tr>
      <w:tr w14:paraId="5AA2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noWrap w:val="0"/>
            <w:vAlign w:val="center"/>
          </w:tcPr>
          <w:p w14:paraId="4A961FA0">
            <w:pPr>
              <w:spacing w:line="360" w:lineRule="auto"/>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7</w:t>
            </w:r>
          </w:p>
        </w:tc>
        <w:tc>
          <w:tcPr>
            <w:tcW w:w="1108" w:type="dxa"/>
            <w:shd w:val="clear" w:color="auto" w:fill="auto"/>
            <w:noWrap w:val="0"/>
            <w:vAlign w:val="center"/>
          </w:tcPr>
          <w:p w14:paraId="496DBE0E">
            <w:pPr>
              <w:spacing w:line="36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
                <w:bCs w:val="0"/>
                <w:color w:val="auto"/>
                <w:szCs w:val="21"/>
                <w:highlight w:val="none"/>
                <w:lang w:val="en-US" w:eastAsia="zh-CN"/>
              </w:rPr>
              <w:t>业绩分</w:t>
            </w:r>
          </w:p>
        </w:tc>
        <w:tc>
          <w:tcPr>
            <w:tcW w:w="7038" w:type="dxa"/>
            <w:shd w:val="clear" w:color="auto" w:fill="auto"/>
            <w:noWrap w:val="0"/>
            <w:vAlign w:val="center"/>
          </w:tcPr>
          <w:p w14:paraId="747F19E2">
            <w:pPr>
              <w:spacing w:line="360" w:lineRule="auto"/>
              <w:ind w:firstLine="420" w:firstLineChars="20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eastAsia="zh-CN"/>
              </w:rPr>
              <w:t>20</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eastAsia="zh-CN"/>
              </w:rPr>
              <w:t>年1月1日至首次响应文件提交截止时间止，供应商</w:t>
            </w:r>
            <w:r>
              <w:rPr>
                <w:rFonts w:hint="eastAsia" w:ascii="Times New Roman" w:hAnsi="Times New Roman" w:eastAsia="宋体" w:cs="Times New Roman"/>
                <w:color w:val="auto"/>
                <w:highlight w:val="none"/>
                <w:lang w:val="en-US" w:eastAsia="zh-CN"/>
              </w:rPr>
              <w:t>承接</w:t>
            </w:r>
            <w:r>
              <w:rPr>
                <w:rFonts w:hint="eastAsia" w:ascii="Times New Roman" w:hAnsi="Times New Roman" w:eastAsia="宋体" w:cs="Times New Roman"/>
                <w:color w:val="auto"/>
                <w:highlight w:val="none"/>
                <w:lang w:eastAsia="zh-CN"/>
              </w:rPr>
              <w:t>过</w:t>
            </w:r>
            <w:r>
              <w:rPr>
                <w:rFonts w:hint="eastAsia" w:ascii="Times New Roman" w:hAnsi="Times New Roman" w:eastAsia="宋体" w:cs="Times New Roman"/>
                <w:color w:val="auto"/>
                <w:highlight w:val="none"/>
                <w:lang w:val="en-US" w:eastAsia="zh-CN"/>
              </w:rPr>
              <w:t>与本项目采购内容相关的</w:t>
            </w:r>
            <w:r>
              <w:rPr>
                <w:rFonts w:hint="eastAsia" w:ascii="Times New Roman" w:hAnsi="Times New Roman" w:eastAsia="宋体" w:cs="Times New Roman"/>
                <w:color w:val="auto"/>
                <w:highlight w:val="none"/>
                <w:lang w:eastAsia="zh-CN"/>
              </w:rPr>
              <w:t>项目业绩的，每提供一项得1分，满分</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分。【</w:t>
            </w:r>
            <w:r>
              <w:rPr>
                <w:rFonts w:hint="eastAsia" w:cs="Times New Roman"/>
                <w:color w:val="auto"/>
                <w:highlight w:val="none"/>
                <w:lang w:val="en-US" w:eastAsia="zh-CN"/>
              </w:rPr>
              <w:t>须</w:t>
            </w:r>
            <w:r>
              <w:rPr>
                <w:rFonts w:hint="eastAsia" w:ascii="Times New Roman" w:hAnsi="Times New Roman" w:eastAsia="宋体" w:cs="Times New Roman"/>
                <w:color w:val="auto"/>
                <w:highlight w:val="none"/>
                <w:lang w:eastAsia="zh-CN"/>
              </w:rPr>
              <w:t>在响应文件中提供合同或者中标（成交）通知书扫描件】</w:t>
            </w:r>
          </w:p>
        </w:tc>
        <w:tc>
          <w:tcPr>
            <w:tcW w:w="794" w:type="dxa"/>
            <w:shd w:val="clear" w:color="auto" w:fill="auto"/>
            <w:noWrap w:val="0"/>
            <w:vAlign w:val="center"/>
          </w:tcPr>
          <w:p w14:paraId="3BFB69FF">
            <w:pPr>
              <w:spacing w:line="36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Cs w:val="21"/>
                <w:highlight w:val="none"/>
                <w:lang w:val="en-US" w:eastAsia="zh-CN"/>
              </w:rPr>
              <w:t>5</w:t>
            </w:r>
            <w:r>
              <w:rPr>
                <w:rFonts w:hint="default" w:ascii="Times New Roman" w:hAnsi="Times New Roman" w:eastAsia="宋体" w:cs="Times New Roman"/>
                <w:bCs/>
                <w:color w:val="auto"/>
                <w:szCs w:val="21"/>
                <w:highlight w:val="none"/>
                <w:lang w:eastAsia="zh-CN"/>
              </w:rPr>
              <w:t>分</w:t>
            </w:r>
          </w:p>
        </w:tc>
      </w:tr>
      <w:tr w14:paraId="0EA3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599" w:type="dxa"/>
            <w:gridSpan w:val="4"/>
            <w:noWrap w:val="0"/>
            <w:vAlign w:val="center"/>
          </w:tcPr>
          <w:p w14:paraId="4CE1A347">
            <w:pPr>
              <w:spacing w:line="360" w:lineRule="auto"/>
              <w:jc w:val="left"/>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
                <w:bCs w:val="0"/>
                <w:color w:val="auto"/>
                <w:szCs w:val="21"/>
                <w:highlight w:val="none"/>
                <w:lang w:val="en-US" w:eastAsia="zh-CN"/>
              </w:rPr>
              <w:t>合计=1+2+3+4+5+6+7</w:t>
            </w:r>
          </w:p>
        </w:tc>
      </w:tr>
    </w:tbl>
    <w:p w14:paraId="38E728CE">
      <w:pPr>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三、推荐成交候选供应商原则</w:t>
      </w:r>
    </w:p>
    <w:p w14:paraId="794B1FE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根据《财政部关于政府采购竞争性磋商采购方式管理暂行办法有关问题的补充通知》财库〔2015〕124号文件的规定，采购过程中符合要求的供应商只有2家的，竞争性磋商采购活动可以继续进行。</w:t>
      </w:r>
    </w:p>
    <w:p w14:paraId="30676A1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磋商小组将根据得分由高到低排列次序（得分相同时，以磋商报价由低到高顺序排列；得分相同且磋商报价相同的，按技术指标优劣顺序排列）并推荐三名成交候选供应商。采购单位应当确定磋商小组推荐排名第一的成交候选人为成交人。排名第一的成交候选人放弃成交、因不可抗力提出不能履行合同，或者磋商文件规定应当提交履约保证金而在规定的期限内未能提交的，采购单位可以确定排名第二的成交候选人为成交人。排名第二的成交候选人因前款规定的同样原因不能签订合同的，采购单位可以确定排名第三的成交候选人为成交人。</w:t>
      </w:r>
    </w:p>
    <w:p w14:paraId="526C282A">
      <w:pPr>
        <w:pStyle w:val="25"/>
        <w:adjustRightIn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四、</w:t>
      </w:r>
      <w:r>
        <w:rPr>
          <w:rFonts w:hAnsi="宋体"/>
          <w:b/>
          <w:bCs/>
          <w:color w:val="auto"/>
          <w:sz w:val="24"/>
          <w:szCs w:val="24"/>
          <w:highlight w:val="none"/>
        </w:rPr>
        <w:t>成交标准：</w:t>
      </w:r>
    </w:p>
    <w:p w14:paraId="4DEE01E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根据《财政部关于政府采购竞争性磋商采购方式管理暂行办法有关问题的补充通知》财库〔2015〕124号文件的规定，采购过程中符合要求的供应商只有2家的，竞争性磋商采购活动可以继续进行。</w:t>
      </w:r>
    </w:p>
    <w:p w14:paraId="1935286D">
      <w:pPr>
        <w:pStyle w:val="80"/>
        <w:widowControl/>
        <w:ind w:firstLine="480"/>
        <w:rPr>
          <w:rFonts w:ascii="宋体" w:hAnsi="宋体"/>
          <w:color w:val="auto"/>
          <w:sz w:val="24"/>
          <w:highlight w:val="none"/>
        </w:rPr>
      </w:pPr>
      <w:r>
        <w:rPr>
          <w:rFonts w:hint="eastAsia" w:ascii="宋体" w:hAnsi="宋体"/>
          <w:color w:val="auto"/>
          <w:sz w:val="24"/>
          <w:highlight w:val="none"/>
        </w:rPr>
        <w:t>磋商小组将根据得分由高到低排列次序（得分相同时，以磋商报价由低到高顺序排列；得分相同且磋商报价相同的，按技术指标优劣顺序排列）并推荐三名成交候选供应商。采购单位应当确定磋商小组推荐排名第一的成交候选人为成交人。排名第一的成交候选人放弃成交、因不可抗力提出不能履行合同，或者磋商文件规定应当提交履约保证金而在规定的期限内未能提交的，采购单位可以确定排名第二的成交候选人为成交人。排名第二的成交候选人因前款规定的同样原因不能签订合同的，采购单位可以确定排名第三的成交候选人为成交人。</w:t>
      </w:r>
    </w:p>
    <w:sectPr>
      <w:footerReference r:id="rId7" w:type="default"/>
      <w:pgSz w:w="11906" w:h="16838"/>
      <w:pgMar w:top="1247" w:right="1247" w:bottom="891" w:left="124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6" w:usb3="00000000" w:csb0="6006009F" w:csb1="DFD7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方正小标宋简体">
    <w:altName w:val="黑体"/>
    <w:panose1 w:val="02000000000000000000"/>
    <w:charset w:val="86"/>
    <w:family w:val="script"/>
    <w:pitch w:val="default"/>
    <w:sig w:usb0="00000000" w:usb1="00000000" w:usb2="00000000" w:usb3="00000000" w:csb0="00040000" w:csb1="00000000"/>
  </w:font>
  <w:font w:name="MingLiU_HKSCS">
    <w:altName w:val="Microsoft JhengHei UI"/>
    <w:panose1 w:val="02020500000000000000"/>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KSOF1994A8B0">
    <w:panose1 w:val="020B0604030504040204"/>
    <w:charset w:val="88"/>
    <w:family w:val="auto"/>
    <w:pitch w:val="default"/>
    <w:sig w:usb0="00000001" w:usb1="00000000" w:usb2="00000000" w:usb3="00000000" w:csb0="001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F13B1">
    <w:pPr>
      <w:pStyle w:val="2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98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118</w:t>
    </w:r>
    <w:r>
      <w:rPr>
        <w:rFonts w:hint="eastAsia" w:ascii="仿宋_GB2312" w:eastAsia="仿宋_GB2312"/>
        <w:kern w:val="0"/>
      </w:rPr>
      <w:fldChar w:fldCharType="end"/>
    </w:r>
    <w:r>
      <w:rPr>
        <w:rFonts w:hint="eastAsia" w:ascii="仿宋_GB2312" w:eastAsia="仿宋_GB2312"/>
        <w:kern w:val="0"/>
      </w:rPr>
      <w:t xml:space="preserve"> 页</w:t>
    </w:r>
  </w:p>
  <w:p w14:paraId="6AF89C0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5BB47">
    <w:pPr>
      <w:pStyle w:val="29"/>
      <w:jc w:val="center"/>
      <w:rPr>
        <w:rFonts w:ascii="仿宋_GB2312" w:eastAsia="仿宋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2E70F">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12E70F">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6117E9F6">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00D92">
    <w:pPr>
      <w:pStyle w:val="29"/>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51D0FB">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051D0FB">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294CFAB9">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66DB">
    <w:pPr>
      <w:pStyle w:val="29"/>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73569">
                          <w:pPr>
                            <w:pStyle w:val="29"/>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673569">
                    <w:pPr>
                      <w:pStyle w:val="29"/>
                    </w:pPr>
                    <w:r>
                      <w:fldChar w:fldCharType="begin"/>
                    </w:r>
                    <w:r>
                      <w:instrText xml:space="preserve"> PAGE  \* MERGEFORMAT </w:instrText>
                    </w:r>
                    <w:r>
                      <w:fldChar w:fldCharType="separate"/>
                    </w:r>
                    <w:r>
                      <w:t>106</w:t>
                    </w:r>
                    <w:r>
                      <w:fldChar w:fldCharType="end"/>
                    </w:r>
                  </w:p>
                </w:txbxContent>
              </v:textbox>
            </v:shape>
          </w:pict>
        </mc:Fallback>
      </mc:AlternateContent>
    </w:r>
  </w:p>
  <w:p w14:paraId="2C5715E9">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5BCBE">
    <w:pPr>
      <w:pStyle w:val="30"/>
      <w:jc w:val="right"/>
    </w:pPr>
    <w:r>
      <w:rPr>
        <w:rFonts w:hint="eastAsia"/>
      </w:rPr>
      <w:t>北海市政府采购竞争性磋商文件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E66586"/>
    <w:multiLevelType w:val="singleLevel"/>
    <w:tmpl w:val="C0E66586"/>
    <w:lvl w:ilvl="0" w:tentative="0">
      <w:start w:val="1"/>
      <w:numFmt w:val="bullet"/>
      <w:pStyle w:val="22"/>
      <w:lvlText w:val=""/>
      <w:lvlJc w:val="left"/>
      <w:pPr>
        <w:tabs>
          <w:tab w:val="left" w:pos="780"/>
        </w:tabs>
        <w:ind w:left="780" w:hanging="360"/>
      </w:pPr>
      <w:rPr>
        <w:rFonts w:hint="default" w:ascii="Wingdings" w:hAnsi="Wingdings"/>
      </w:rPr>
    </w:lvl>
  </w:abstractNum>
  <w:abstractNum w:abstractNumId="1">
    <w:nsid w:val="00003F82"/>
    <w:multiLevelType w:val="multilevel"/>
    <w:tmpl w:val="00003F82"/>
    <w:lvl w:ilvl="0" w:tentative="0">
      <w:start w:val="1"/>
      <w:numFmt w:val="decimal"/>
      <w:pStyle w:val="20"/>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pStyle w:val="8"/>
      <w:lvlText w:val="%6."/>
      <w:lvlJc w:val="right"/>
      <w:pPr>
        <w:tabs>
          <w:tab w:val="left" w:pos="2520"/>
        </w:tabs>
        <w:ind w:left="2520" w:hanging="420"/>
      </w:pPr>
    </w:lvl>
    <w:lvl w:ilvl="6" w:tentative="0">
      <w:start w:val="1"/>
      <w:numFmt w:val="decimal"/>
      <w:pStyle w:val="9"/>
      <w:lvlText w:val="%7."/>
      <w:lvlJc w:val="left"/>
      <w:pPr>
        <w:tabs>
          <w:tab w:val="left" w:pos="2940"/>
        </w:tabs>
        <w:ind w:left="2940" w:hanging="420"/>
      </w:pPr>
    </w:lvl>
    <w:lvl w:ilvl="7" w:tentative="0">
      <w:start w:val="1"/>
      <w:numFmt w:val="lowerLetter"/>
      <w:pStyle w:val="10"/>
      <w:lvlText w:val="%8)"/>
      <w:lvlJc w:val="left"/>
      <w:pPr>
        <w:tabs>
          <w:tab w:val="left" w:pos="3360"/>
        </w:tabs>
        <w:ind w:left="3360" w:hanging="420"/>
      </w:pPr>
    </w:lvl>
    <w:lvl w:ilvl="8" w:tentative="0">
      <w:start w:val="1"/>
      <w:numFmt w:val="lowerRoman"/>
      <w:pStyle w:val="11"/>
      <w:lvlText w:val="%9."/>
      <w:lvlJc w:val="right"/>
      <w:pPr>
        <w:tabs>
          <w:tab w:val="left" w:pos="3780"/>
        </w:tabs>
        <w:ind w:left="3780" w:hanging="420"/>
      </w:pPr>
    </w:lvl>
  </w:abstractNum>
  <w:abstractNum w:abstractNumId="2">
    <w:nsid w:val="4D844C20"/>
    <w:multiLevelType w:val="singleLevel"/>
    <w:tmpl w:val="4D844C20"/>
    <w:lvl w:ilvl="0" w:tentative="0">
      <w:start w:val="10"/>
      <w:numFmt w:val="chineseCounting"/>
      <w:suff w:val="nothing"/>
      <w:lvlText w:val="%1、"/>
      <w:lvlJc w:val="left"/>
      <w:rPr>
        <w:rFonts w:hint="eastAsia"/>
      </w:rPr>
    </w:lvl>
  </w:abstractNum>
  <w:abstractNum w:abstractNumId="3">
    <w:nsid w:val="5DF9E985"/>
    <w:multiLevelType w:val="singleLevel"/>
    <w:tmpl w:val="5DF9E98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iYjdmYTVhNWFiMjE1Y2E1NDNlZTdhNDMzMjk2M2EifQ=="/>
  </w:docVars>
  <w:rsids>
    <w:rsidRoot w:val="00172A27"/>
    <w:rsid w:val="000001E7"/>
    <w:rsid w:val="00000366"/>
    <w:rsid w:val="0000048D"/>
    <w:rsid w:val="00000716"/>
    <w:rsid w:val="00000A97"/>
    <w:rsid w:val="00000FE5"/>
    <w:rsid w:val="000010F5"/>
    <w:rsid w:val="000013BB"/>
    <w:rsid w:val="0000160B"/>
    <w:rsid w:val="0000181F"/>
    <w:rsid w:val="00002027"/>
    <w:rsid w:val="000026A8"/>
    <w:rsid w:val="0000279E"/>
    <w:rsid w:val="000027A3"/>
    <w:rsid w:val="00002A66"/>
    <w:rsid w:val="00002D43"/>
    <w:rsid w:val="00002DD8"/>
    <w:rsid w:val="00003301"/>
    <w:rsid w:val="000033B4"/>
    <w:rsid w:val="00003461"/>
    <w:rsid w:val="00003C25"/>
    <w:rsid w:val="00003DEE"/>
    <w:rsid w:val="0000402D"/>
    <w:rsid w:val="000043B1"/>
    <w:rsid w:val="00004632"/>
    <w:rsid w:val="0000477D"/>
    <w:rsid w:val="00004A06"/>
    <w:rsid w:val="000052CE"/>
    <w:rsid w:val="00005C76"/>
    <w:rsid w:val="00005E2B"/>
    <w:rsid w:val="00006003"/>
    <w:rsid w:val="000060BC"/>
    <w:rsid w:val="0000620D"/>
    <w:rsid w:val="0000726F"/>
    <w:rsid w:val="000075CD"/>
    <w:rsid w:val="00007683"/>
    <w:rsid w:val="00007872"/>
    <w:rsid w:val="00007A85"/>
    <w:rsid w:val="00007EEE"/>
    <w:rsid w:val="000103E1"/>
    <w:rsid w:val="00010544"/>
    <w:rsid w:val="000106AE"/>
    <w:rsid w:val="00010EB8"/>
    <w:rsid w:val="000121F1"/>
    <w:rsid w:val="00013234"/>
    <w:rsid w:val="0001385B"/>
    <w:rsid w:val="00013BF2"/>
    <w:rsid w:val="00014856"/>
    <w:rsid w:val="00014E8A"/>
    <w:rsid w:val="00015746"/>
    <w:rsid w:val="000159D8"/>
    <w:rsid w:val="00015BFC"/>
    <w:rsid w:val="00015C9A"/>
    <w:rsid w:val="00015CE7"/>
    <w:rsid w:val="000160FF"/>
    <w:rsid w:val="0001703D"/>
    <w:rsid w:val="0002028E"/>
    <w:rsid w:val="0002048F"/>
    <w:rsid w:val="0002053F"/>
    <w:rsid w:val="00020E60"/>
    <w:rsid w:val="00021435"/>
    <w:rsid w:val="00021947"/>
    <w:rsid w:val="00022B83"/>
    <w:rsid w:val="00022BE4"/>
    <w:rsid w:val="00023457"/>
    <w:rsid w:val="00023894"/>
    <w:rsid w:val="00023A16"/>
    <w:rsid w:val="000240E5"/>
    <w:rsid w:val="00024161"/>
    <w:rsid w:val="000243D1"/>
    <w:rsid w:val="000245C3"/>
    <w:rsid w:val="00024AB6"/>
    <w:rsid w:val="00024ACD"/>
    <w:rsid w:val="000251AD"/>
    <w:rsid w:val="000253C6"/>
    <w:rsid w:val="00025792"/>
    <w:rsid w:val="000257F2"/>
    <w:rsid w:val="00025934"/>
    <w:rsid w:val="00025979"/>
    <w:rsid w:val="00025A10"/>
    <w:rsid w:val="00025AF3"/>
    <w:rsid w:val="000267AE"/>
    <w:rsid w:val="00026875"/>
    <w:rsid w:val="000268F6"/>
    <w:rsid w:val="00026927"/>
    <w:rsid w:val="00026992"/>
    <w:rsid w:val="00026F49"/>
    <w:rsid w:val="00027C91"/>
    <w:rsid w:val="000301FB"/>
    <w:rsid w:val="00030269"/>
    <w:rsid w:val="000303F4"/>
    <w:rsid w:val="00030A2C"/>
    <w:rsid w:val="00030D49"/>
    <w:rsid w:val="000310B4"/>
    <w:rsid w:val="00031624"/>
    <w:rsid w:val="00031694"/>
    <w:rsid w:val="000317B4"/>
    <w:rsid w:val="00031FD2"/>
    <w:rsid w:val="000328F5"/>
    <w:rsid w:val="00032E7C"/>
    <w:rsid w:val="00032EA5"/>
    <w:rsid w:val="0003315B"/>
    <w:rsid w:val="00034049"/>
    <w:rsid w:val="000341A1"/>
    <w:rsid w:val="000349A8"/>
    <w:rsid w:val="000354FA"/>
    <w:rsid w:val="0003597C"/>
    <w:rsid w:val="00035A87"/>
    <w:rsid w:val="00035C07"/>
    <w:rsid w:val="00035FE3"/>
    <w:rsid w:val="00036189"/>
    <w:rsid w:val="00036707"/>
    <w:rsid w:val="00036D2F"/>
    <w:rsid w:val="00036D4A"/>
    <w:rsid w:val="0003702E"/>
    <w:rsid w:val="000370F3"/>
    <w:rsid w:val="000371E3"/>
    <w:rsid w:val="00037C85"/>
    <w:rsid w:val="00037EF7"/>
    <w:rsid w:val="000401B0"/>
    <w:rsid w:val="000403CC"/>
    <w:rsid w:val="0004127F"/>
    <w:rsid w:val="00041AB2"/>
    <w:rsid w:val="00041FE8"/>
    <w:rsid w:val="00042C85"/>
    <w:rsid w:val="00042FDE"/>
    <w:rsid w:val="000438B4"/>
    <w:rsid w:val="00043F42"/>
    <w:rsid w:val="000443B7"/>
    <w:rsid w:val="000446BD"/>
    <w:rsid w:val="00044BE6"/>
    <w:rsid w:val="00044FE9"/>
    <w:rsid w:val="000454C8"/>
    <w:rsid w:val="0004642E"/>
    <w:rsid w:val="00046963"/>
    <w:rsid w:val="00046DA6"/>
    <w:rsid w:val="00047604"/>
    <w:rsid w:val="000476DA"/>
    <w:rsid w:val="0005020A"/>
    <w:rsid w:val="000502A1"/>
    <w:rsid w:val="000509E1"/>
    <w:rsid w:val="00050F5A"/>
    <w:rsid w:val="00051025"/>
    <w:rsid w:val="000515BE"/>
    <w:rsid w:val="00051873"/>
    <w:rsid w:val="00051875"/>
    <w:rsid w:val="00051BF8"/>
    <w:rsid w:val="0005282C"/>
    <w:rsid w:val="00052993"/>
    <w:rsid w:val="00052E8B"/>
    <w:rsid w:val="0005301D"/>
    <w:rsid w:val="00053057"/>
    <w:rsid w:val="00053225"/>
    <w:rsid w:val="000533DF"/>
    <w:rsid w:val="00053519"/>
    <w:rsid w:val="00053947"/>
    <w:rsid w:val="00053C58"/>
    <w:rsid w:val="00054F12"/>
    <w:rsid w:val="0005528E"/>
    <w:rsid w:val="00055508"/>
    <w:rsid w:val="00056055"/>
    <w:rsid w:val="00056178"/>
    <w:rsid w:val="000565D0"/>
    <w:rsid w:val="00056641"/>
    <w:rsid w:val="00056B26"/>
    <w:rsid w:val="00056DD2"/>
    <w:rsid w:val="00057386"/>
    <w:rsid w:val="0005754F"/>
    <w:rsid w:val="00057690"/>
    <w:rsid w:val="0005780E"/>
    <w:rsid w:val="00057E84"/>
    <w:rsid w:val="000605FA"/>
    <w:rsid w:val="00060609"/>
    <w:rsid w:val="000608DA"/>
    <w:rsid w:val="00061482"/>
    <w:rsid w:val="00061489"/>
    <w:rsid w:val="00061B13"/>
    <w:rsid w:val="00061D96"/>
    <w:rsid w:val="00061D9D"/>
    <w:rsid w:val="0006240E"/>
    <w:rsid w:val="000625B1"/>
    <w:rsid w:val="00062874"/>
    <w:rsid w:val="00063349"/>
    <w:rsid w:val="000637F9"/>
    <w:rsid w:val="000638D4"/>
    <w:rsid w:val="000639E2"/>
    <w:rsid w:val="00063F74"/>
    <w:rsid w:val="0006479D"/>
    <w:rsid w:val="000648FB"/>
    <w:rsid w:val="00064FF9"/>
    <w:rsid w:val="00065247"/>
    <w:rsid w:val="00065383"/>
    <w:rsid w:val="000657DF"/>
    <w:rsid w:val="00065905"/>
    <w:rsid w:val="00066418"/>
    <w:rsid w:val="000665EC"/>
    <w:rsid w:val="000666F4"/>
    <w:rsid w:val="00066C48"/>
    <w:rsid w:val="00066D1C"/>
    <w:rsid w:val="00066FBA"/>
    <w:rsid w:val="00066FD9"/>
    <w:rsid w:val="000675B3"/>
    <w:rsid w:val="000678DC"/>
    <w:rsid w:val="00067F85"/>
    <w:rsid w:val="00070133"/>
    <w:rsid w:val="00070214"/>
    <w:rsid w:val="00070953"/>
    <w:rsid w:val="00070BF0"/>
    <w:rsid w:val="00070EC9"/>
    <w:rsid w:val="000712AE"/>
    <w:rsid w:val="000716D3"/>
    <w:rsid w:val="00071709"/>
    <w:rsid w:val="00071863"/>
    <w:rsid w:val="00072525"/>
    <w:rsid w:val="00072539"/>
    <w:rsid w:val="0007287D"/>
    <w:rsid w:val="00072B56"/>
    <w:rsid w:val="00072BED"/>
    <w:rsid w:val="00073509"/>
    <w:rsid w:val="000738C8"/>
    <w:rsid w:val="000739F4"/>
    <w:rsid w:val="00073AD4"/>
    <w:rsid w:val="00074470"/>
    <w:rsid w:val="0007467E"/>
    <w:rsid w:val="000746C2"/>
    <w:rsid w:val="00074988"/>
    <w:rsid w:val="0007510E"/>
    <w:rsid w:val="00075493"/>
    <w:rsid w:val="000764E3"/>
    <w:rsid w:val="00076629"/>
    <w:rsid w:val="000768BD"/>
    <w:rsid w:val="00076A3C"/>
    <w:rsid w:val="00076D10"/>
    <w:rsid w:val="00076F10"/>
    <w:rsid w:val="00077067"/>
    <w:rsid w:val="0007744D"/>
    <w:rsid w:val="00077793"/>
    <w:rsid w:val="00077888"/>
    <w:rsid w:val="00080194"/>
    <w:rsid w:val="00080517"/>
    <w:rsid w:val="0008099D"/>
    <w:rsid w:val="00080AF6"/>
    <w:rsid w:val="0008199B"/>
    <w:rsid w:val="00081D56"/>
    <w:rsid w:val="00081EE3"/>
    <w:rsid w:val="00081F53"/>
    <w:rsid w:val="0008237B"/>
    <w:rsid w:val="0008291C"/>
    <w:rsid w:val="00082B45"/>
    <w:rsid w:val="000830AC"/>
    <w:rsid w:val="000830C5"/>
    <w:rsid w:val="000830E5"/>
    <w:rsid w:val="00083EF5"/>
    <w:rsid w:val="00084569"/>
    <w:rsid w:val="0008458D"/>
    <w:rsid w:val="00085826"/>
    <w:rsid w:val="00085A3E"/>
    <w:rsid w:val="00085BB4"/>
    <w:rsid w:val="00085DA3"/>
    <w:rsid w:val="00085DF6"/>
    <w:rsid w:val="00085E3B"/>
    <w:rsid w:val="00085E44"/>
    <w:rsid w:val="00086890"/>
    <w:rsid w:val="00086A86"/>
    <w:rsid w:val="00086C6B"/>
    <w:rsid w:val="00086F28"/>
    <w:rsid w:val="00087061"/>
    <w:rsid w:val="00087117"/>
    <w:rsid w:val="0008734E"/>
    <w:rsid w:val="00087A84"/>
    <w:rsid w:val="000908E8"/>
    <w:rsid w:val="000908F5"/>
    <w:rsid w:val="00090A73"/>
    <w:rsid w:val="00090CB4"/>
    <w:rsid w:val="00090D1E"/>
    <w:rsid w:val="00090E81"/>
    <w:rsid w:val="0009114B"/>
    <w:rsid w:val="0009140A"/>
    <w:rsid w:val="00091B32"/>
    <w:rsid w:val="00091D0B"/>
    <w:rsid w:val="00091F18"/>
    <w:rsid w:val="00092065"/>
    <w:rsid w:val="000926BC"/>
    <w:rsid w:val="0009299B"/>
    <w:rsid w:val="00092F29"/>
    <w:rsid w:val="000930CC"/>
    <w:rsid w:val="0009319D"/>
    <w:rsid w:val="0009362D"/>
    <w:rsid w:val="000937AE"/>
    <w:rsid w:val="00093DEB"/>
    <w:rsid w:val="00093E2D"/>
    <w:rsid w:val="00093F68"/>
    <w:rsid w:val="0009404A"/>
    <w:rsid w:val="000940BD"/>
    <w:rsid w:val="00094731"/>
    <w:rsid w:val="00094C16"/>
    <w:rsid w:val="00095AC7"/>
    <w:rsid w:val="00095C3B"/>
    <w:rsid w:val="00095D49"/>
    <w:rsid w:val="000960CD"/>
    <w:rsid w:val="00096306"/>
    <w:rsid w:val="000965CA"/>
    <w:rsid w:val="000967D6"/>
    <w:rsid w:val="00096B21"/>
    <w:rsid w:val="00096DD4"/>
    <w:rsid w:val="00096F38"/>
    <w:rsid w:val="00097105"/>
    <w:rsid w:val="00097277"/>
    <w:rsid w:val="00097A0F"/>
    <w:rsid w:val="00097A78"/>
    <w:rsid w:val="00097ACA"/>
    <w:rsid w:val="00097B61"/>
    <w:rsid w:val="00097E7D"/>
    <w:rsid w:val="000A0224"/>
    <w:rsid w:val="000A02BC"/>
    <w:rsid w:val="000A04C1"/>
    <w:rsid w:val="000A0726"/>
    <w:rsid w:val="000A0AA4"/>
    <w:rsid w:val="000A0B6E"/>
    <w:rsid w:val="000A0C21"/>
    <w:rsid w:val="000A0FF0"/>
    <w:rsid w:val="000A15A5"/>
    <w:rsid w:val="000A170A"/>
    <w:rsid w:val="000A1A01"/>
    <w:rsid w:val="000A2108"/>
    <w:rsid w:val="000A24C2"/>
    <w:rsid w:val="000A24E9"/>
    <w:rsid w:val="000A2762"/>
    <w:rsid w:val="000A2C07"/>
    <w:rsid w:val="000A3234"/>
    <w:rsid w:val="000A4076"/>
    <w:rsid w:val="000A4710"/>
    <w:rsid w:val="000A49C2"/>
    <w:rsid w:val="000A555C"/>
    <w:rsid w:val="000A5AC3"/>
    <w:rsid w:val="000A5E6B"/>
    <w:rsid w:val="000A6539"/>
    <w:rsid w:val="000A7792"/>
    <w:rsid w:val="000B04F9"/>
    <w:rsid w:val="000B0591"/>
    <w:rsid w:val="000B0964"/>
    <w:rsid w:val="000B0D1F"/>
    <w:rsid w:val="000B11E4"/>
    <w:rsid w:val="000B15DE"/>
    <w:rsid w:val="000B196D"/>
    <w:rsid w:val="000B1A5F"/>
    <w:rsid w:val="000B1DDB"/>
    <w:rsid w:val="000B2278"/>
    <w:rsid w:val="000B26F8"/>
    <w:rsid w:val="000B3AF9"/>
    <w:rsid w:val="000B3CDE"/>
    <w:rsid w:val="000B43AC"/>
    <w:rsid w:val="000B5538"/>
    <w:rsid w:val="000B5B5A"/>
    <w:rsid w:val="000B5DE3"/>
    <w:rsid w:val="000B5F3E"/>
    <w:rsid w:val="000B6175"/>
    <w:rsid w:val="000B6858"/>
    <w:rsid w:val="000B69DE"/>
    <w:rsid w:val="000B6A2C"/>
    <w:rsid w:val="000B763B"/>
    <w:rsid w:val="000B78B2"/>
    <w:rsid w:val="000B79A9"/>
    <w:rsid w:val="000B7F0F"/>
    <w:rsid w:val="000C019B"/>
    <w:rsid w:val="000C022F"/>
    <w:rsid w:val="000C09E5"/>
    <w:rsid w:val="000C0BB2"/>
    <w:rsid w:val="000C0D87"/>
    <w:rsid w:val="000C0E98"/>
    <w:rsid w:val="000C1181"/>
    <w:rsid w:val="000C19AE"/>
    <w:rsid w:val="000C19B4"/>
    <w:rsid w:val="000C1A4E"/>
    <w:rsid w:val="000C1FA9"/>
    <w:rsid w:val="000C2158"/>
    <w:rsid w:val="000C21E8"/>
    <w:rsid w:val="000C285C"/>
    <w:rsid w:val="000C2F46"/>
    <w:rsid w:val="000C3373"/>
    <w:rsid w:val="000C3478"/>
    <w:rsid w:val="000C3EA7"/>
    <w:rsid w:val="000C4083"/>
    <w:rsid w:val="000C4455"/>
    <w:rsid w:val="000C4561"/>
    <w:rsid w:val="000C4739"/>
    <w:rsid w:val="000C4D91"/>
    <w:rsid w:val="000C51D4"/>
    <w:rsid w:val="000C5C42"/>
    <w:rsid w:val="000C6906"/>
    <w:rsid w:val="000C6B3E"/>
    <w:rsid w:val="000C6B70"/>
    <w:rsid w:val="000C7B5B"/>
    <w:rsid w:val="000C7B87"/>
    <w:rsid w:val="000D026D"/>
    <w:rsid w:val="000D05B5"/>
    <w:rsid w:val="000D07A7"/>
    <w:rsid w:val="000D08B3"/>
    <w:rsid w:val="000D0ADC"/>
    <w:rsid w:val="000D0C2C"/>
    <w:rsid w:val="000D0CE0"/>
    <w:rsid w:val="000D158F"/>
    <w:rsid w:val="000D1631"/>
    <w:rsid w:val="000D1CEA"/>
    <w:rsid w:val="000D1FEF"/>
    <w:rsid w:val="000D2385"/>
    <w:rsid w:val="000D2750"/>
    <w:rsid w:val="000D277B"/>
    <w:rsid w:val="000D2B57"/>
    <w:rsid w:val="000D2C64"/>
    <w:rsid w:val="000D2F62"/>
    <w:rsid w:val="000D30D3"/>
    <w:rsid w:val="000D35A7"/>
    <w:rsid w:val="000D35E0"/>
    <w:rsid w:val="000D36D3"/>
    <w:rsid w:val="000D43F5"/>
    <w:rsid w:val="000D4524"/>
    <w:rsid w:val="000D4E47"/>
    <w:rsid w:val="000D4FF3"/>
    <w:rsid w:val="000D50F9"/>
    <w:rsid w:val="000D52E9"/>
    <w:rsid w:val="000D61EE"/>
    <w:rsid w:val="000D6610"/>
    <w:rsid w:val="000D6891"/>
    <w:rsid w:val="000D6AE7"/>
    <w:rsid w:val="000D6C67"/>
    <w:rsid w:val="000D6ED6"/>
    <w:rsid w:val="000D74E3"/>
    <w:rsid w:val="000D7ECE"/>
    <w:rsid w:val="000E0408"/>
    <w:rsid w:val="000E0746"/>
    <w:rsid w:val="000E0D4C"/>
    <w:rsid w:val="000E11E2"/>
    <w:rsid w:val="000E124B"/>
    <w:rsid w:val="000E138A"/>
    <w:rsid w:val="000E14C3"/>
    <w:rsid w:val="000E1DE2"/>
    <w:rsid w:val="000E20BB"/>
    <w:rsid w:val="000E20E3"/>
    <w:rsid w:val="000E21F1"/>
    <w:rsid w:val="000E22EF"/>
    <w:rsid w:val="000E2A43"/>
    <w:rsid w:val="000E2F71"/>
    <w:rsid w:val="000E3248"/>
    <w:rsid w:val="000E3B54"/>
    <w:rsid w:val="000E3F9F"/>
    <w:rsid w:val="000E3FC4"/>
    <w:rsid w:val="000E4161"/>
    <w:rsid w:val="000E4182"/>
    <w:rsid w:val="000E454A"/>
    <w:rsid w:val="000E4600"/>
    <w:rsid w:val="000E4F0B"/>
    <w:rsid w:val="000E50B2"/>
    <w:rsid w:val="000E5165"/>
    <w:rsid w:val="000E5630"/>
    <w:rsid w:val="000E582F"/>
    <w:rsid w:val="000E5BE6"/>
    <w:rsid w:val="000E5C71"/>
    <w:rsid w:val="000E607D"/>
    <w:rsid w:val="000E61C3"/>
    <w:rsid w:val="000E6529"/>
    <w:rsid w:val="000E6E28"/>
    <w:rsid w:val="000E7CAD"/>
    <w:rsid w:val="000F01CC"/>
    <w:rsid w:val="000F03A0"/>
    <w:rsid w:val="000F0599"/>
    <w:rsid w:val="000F0980"/>
    <w:rsid w:val="000F1440"/>
    <w:rsid w:val="000F174D"/>
    <w:rsid w:val="000F1B49"/>
    <w:rsid w:val="000F21E3"/>
    <w:rsid w:val="000F26EA"/>
    <w:rsid w:val="000F2743"/>
    <w:rsid w:val="000F2773"/>
    <w:rsid w:val="000F28AF"/>
    <w:rsid w:val="000F2A54"/>
    <w:rsid w:val="000F2DB6"/>
    <w:rsid w:val="000F2DD9"/>
    <w:rsid w:val="000F2F7A"/>
    <w:rsid w:val="000F3689"/>
    <w:rsid w:val="000F40FC"/>
    <w:rsid w:val="000F4668"/>
    <w:rsid w:val="000F4927"/>
    <w:rsid w:val="000F495B"/>
    <w:rsid w:val="000F4B54"/>
    <w:rsid w:val="000F55DE"/>
    <w:rsid w:val="000F5F38"/>
    <w:rsid w:val="000F65CA"/>
    <w:rsid w:val="000F664B"/>
    <w:rsid w:val="000F6765"/>
    <w:rsid w:val="000F698F"/>
    <w:rsid w:val="000F6C79"/>
    <w:rsid w:val="000F7842"/>
    <w:rsid w:val="000F7927"/>
    <w:rsid w:val="001000D3"/>
    <w:rsid w:val="0010019B"/>
    <w:rsid w:val="001002FB"/>
    <w:rsid w:val="0010031E"/>
    <w:rsid w:val="001008CC"/>
    <w:rsid w:val="001009A7"/>
    <w:rsid w:val="001009B8"/>
    <w:rsid w:val="001011B4"/>
    <w:rsid w:val="00101354"/>
    <w:rsid w:val="001015EB"/>
    <w:rsid w:val="00101757"/>
    <w:rsid w:val="00101758"/>
    <w:rsid w:val="001017C0"/>
    <w:rsid w:val="00101E6C"/>
    <w:rsid w:val="0010217A"/>
    <w:rsid w:val="001022AD"/>
    <w:rsid w:val="0010231C"/>
    <w:rsid w:val="0010247F"/>
    <w:rsid w:val="00102C42"/>
    <w:rsid w:val="00102C4A"/>
    <w:rsid w:val="00102E5D"/>
    <w:rsid w:val="00103293"/>
    <w:rsid w:val="0010335E"/>
    <w:rsid w:val="0010395B"/>
    <w:rsid w:val="00103AB2"/>
    <w:rsid w:val="00103C10"/>
    <w:rsid w:val="00103EE5"/>
    <w:rsid w:val="00103F6D"/>
    <w:rsid w:val="001042A5"/>
    <w:rsid w:val="00104573"/>
    <w:rsid w:val="00104906"/>
    <w:rsid w:val="001049F6"/>
    <w:rsid w:val="00104D25"/>
    <w:rsid w:val="00104E39"/>
    <w:rsid w:val="001057FD"/>
    <w:rsid w:val="00105B97"/>
    <w:rsid w:val="00105D98"/>
    <w:rsid w:val="00105F98"/>
    <w:rsid w:val="00106D0B"/>
    <w:rsid w:val="0010712D"/>
    <w:rsid w:val="001075AA"/>
    <w:rsid w:val="00107A38"/>
    <w:rsid w:val="00107E04"/>
    <w:rsid w:val="001102AA"/>
    <w:rsid w:val="00110556"/>
    <w:rsid w:val="00110A94"/>
    <w:rsid w:val="00110D5A"/>
    <w:rsid w:val="0011108B"/>
    <w:rsid w:val="00112010"/>
    <w:rsid w:val="00112E13"/>
    <w:rsid w:val="00113101"/>
    <w:rsid w:val="00113DDA"/>
    <w:rsid w:val="001145AE"/>
    <w:rsid w:val="00114632"/>
    <w:rsid w:val="00114812"/>
    <w:rsid w:val="00115EBD"/>
    <w:rsid w:val="0011643A"/>
    <w:rsid w:val="0012067C"/>
    <w:rsid w:val="00120B52"/>
    <w:rsid w:val="001211FC"/>
    <w:rsid w:val="001212CE"/>
    <w:rsid w:val="001215E7"/>
    <w:rsid w:val="00121AD3"/>
    <w:rsid w:val="00121BBD"/>
    <w:rsid w:val="00121DCE"/>
    <w:rsid w:val="0012224E"/>
    <w:rsid w:val="001230C7"/>
    <w:rsid w:val="001235A0"/>
    <w:rsid w:val="00123733"/>
    <w:rsid w:val="00123871"/>
    <w:rsid w:val="0012389A"/>
    <w:rsid w:val="001238F8"/>
    <w:rsid w:val="00123910"/>
    <w:rsid w:val="00123CA5"/>
    <w:rsid w:val="00123DA5"/>
    <w:rsid w:val="00124508"/>
    <w:rsid w:val="001248CE"/>
    <w:rsid w:val="00124A76"/>
    <w:rsid w:val="00124EA0"/>
    <w:rsid w:val="00125155"/>
    <w:rsid w:val="00125613"/>
    <w:rsid w:val="00125742"/>
    <w:rsid w:val="001257BC"/>
    <w:rsid w:val="00125D14"/>
    <w:rsid w:val="00125E17"/>
    <w:rsid w:val="0012631D"/>
    <w:rsid w:val="001264DD"/>
    <w:rsid w:val="00126799"/>
    <w:rsid w:val="00126DA3"/>
    <w:rsid w:val="00130020"/>
    <w:rsid w:val="00131893"/>
    <w:rsid w:val="001318A4"/>
    <w:rsid w:val="001319AD"/>
    <w:rsid w:val="001326D6"/>
    <w:rsid w:val="0013299B"/>
    <w:rsid w:val="00132EA0"/>
    <w:rsid w:val="001337A8"/>
    <w:rsid w:val="00133CE4"/>
    <w:rsid w:val="00134207"/>
    <w:rsid w:val="00134265"/>
    <w:rsid w:val="0013446A"/>
    <w:rsid w:val="00134D71"/>
    <w:rsid w:val="0013634C"/>
    <w:rsid w:val="001364E7"/>
    <w:rsid w:val="00136522"/>
    <w:rsid w:val="00136F32"/>
    <w:rsid w:val="001373F4"/>
    <w:rsid w:val="00137922"/>
    <w:rsid w:val="00137ABA"/>
    <w:rsid w:val="00137C07"/>
    <w:rsid w:val="0014059C"/>
    <w:rsid w:val="00140ADD"/>
    <w:rsid w:val="00141225"/>
    <w:rsid w:val="00141721"/>
    <w:rsid w:val="00141F7B"/>
    <w:rsid w:val="0014209C"/>
    <w:rsid w:val="0014220D"/>
    <w:rsid w:val="001433B7"/>
    <w:rsid w:val="00143681"/>
    <w:rsid w:val="00143ED2"/>
    <w:rsid w:val="001440F1"/>
    <w:rsid w:val="0014414C"/>
    <w:rsid w:val="0014490D"/>
    <w:rsid w:val="00144AA3"/>
    <w:rsid w:val="00144E27"/>
    <w:rsid w:val="00145334"/>
    <w:rsid w:val="001453EA"/>
    <w:rsid w:val="0014545B"/>
    <w:rsid w:val="00145BB1"/>
    <w:rsid w:val="00146777"/>
    <w:rsid w:val="00146811"/>
    <w:rsid w:val="00146AB4"/>
    <w:rsid w:val="0014708A"/>
    <w:rsid w:val="001471F7"/>
    <w:rsid w:val="00147490"/>
    <w:rsid w:val="00150218"/>
    <w:rsid w:val="001509EB"/>
    <w:rsid w:val="001510D1"/>
    <w:rsid w:val="001510EE"/>
    <w:rsid w:val="00151589"/>
    <w:rsid w:val="00151786"/>
    <w:rsid w:val="001519CE"/>
    <w:rsid w:val="00151F80"/>
    <w:rsid w:val="001523B4"/>
    <w:rsid w:val="00152778"/>
    <w:rsid w:val="001527B8"/>
    <w:rsid w:val="001527D7"/>
    <w:rsid w:val="00152C02"/>
    <w:rsid w:val="00153DBF"/>
    <w:rsid w:val="00154260"/>
    <w:rsid w:val="00154C93"/>
    <w:rsid w:val="00154DA7"/>
    <w:rsid w:val="00154EBC"/>
    <w:rsid w:val="0015549A"/>
    <w:rsid w:val="00155BEF"/>
    <w:rsid w:val="00155E39"/>
    <w:rsid w:val="00156C99"/>
    <w:rsid w:val="00156DAB"/>
    <w:rsid w:val="001572CC"/>
    <w:rsid w:val="00157E05"/>
    <w:rsid w:val="0016028E"/>
    <w:rsid w:val="001604B4"/>
    <w:rsid w:val="001615E0"/>
    <w:rsid w:val="00161CB3"/>
    <w:rsid w:val="00162689"/>
    <w:rsid w:val="00162955"/>
    <w:rsid w:val="00162A34"/>
    <w:rsid w:val="00162C68"/>
    <w:rsid w:val="00163048"/>
    <w:rsid w:val="00163161"/>
    <w:rsid w:val="00163430"/>
    <w:rsid w:val="001635F9"/>
    <w:rsid w:val="00163795"/>
    <w:rsid w:val="00163A92"/>
    <w:rsid w:val="00164A30"/>
    <w:rsid w:val="00164C0A"/>
    <w:rsid w:val="00165378"/>
    <w:rsid w:val="00166168"/>
    <w:rsid w:val="00166196"/>
    <w:rsid w:val="0016676B"/>
    <w:rsid w:val="001674B1"/>
    <w:rsid w:val="00167AA5"/>
    <w:rsid w:val="00167F10"/>
    <w:rsid w:val="0017003D"/>
    <w:rsid w:val="00170337"/>
    <w:rsid w:val="00170A24"/>
    <w:rsid w:val="00170FB5"/>
    <w:rsid w:val="00171713"/>
    <w:rsid w:val="00171B95"/>
    <w:rsid w:val="00171C15"/>
    <w:rsid w:val="00171FB8"/>
    <w:rsid w:val="00172212"/>
    <w:rsid w:val="0017248D"/>
    <w:rsid w:val="00172726"/>
    <w:rsid w:val="00172A27"/>
    <w:rsid w:val="001730DD"/>
    <w:rsid w:val="00173154"/>
    <w:rsid w:val="00173A6A"/>
    <w:rsid w:val="00173A94"/>
    <w:rsid w:val="00173CC0"/>
    <w:rsid w:val="0017415E"/>
    <w:rsid w:val="001742B5"/>
    <w:rsid w:val="00174A8B"/>
    <w:rsid w:val="00174C64"/>
    <w:rsid w:val="00174CC3"/>
    <w:rsid w:val="001752C8"/>
    <w:rsid w:val="001758F8"/>
    <w:rsid w:val="00175F4C"/>
    <w:rsid w:val="0017634A"/>
    <w:rsid w:val="001764BD"/>
    <w:rsid w:val="00176A73"/>
    <w:rsid w:val="00176FD0"/>
    <w:rsid w:val="00177738"/>
    <w:rsid w:val="001804B7"/>
    <w:rsid w:val="00180808"/>
    <w:rsid w:val="0018107A"/>
    <w:rsid w:val="00181822"/>
    <w:rsid w:val="00181A4A"/>
    <w:rsid w:val="00181B8E"/>
    <w:rsid w:val="00182640"/>
    <w:rsid w:val="00182982"/>
    <w:rsid w:val="00182BBD"/>
    <w:rsid w:val="00182CD2"/>
    <w:rsid w:val="00182F4F"/>
    <w:rsid w:val="00182FC7"/>
    <w:rsid w:val="001830B4"/>
    <w:rsid w:val="00183288"/>
    <w:rsid w:val="00183588"/>
    <w:rsid w:val="00183925"/>
    <w:rsid w:val="001839D3"/>
    <w:rsid w:val="00184282"/>
    <w:rsid w:val="001844AB"/>
    <w:rsid w:val="00184B06"/>
    <w:rsid w:val="001852E1"/>
    <w:rsid w:val="00185760"/>
    <w:rsid w:val="00185B61"/>
    <w:rsid w:val="00185DC6"/>
    <w:rsid w:val="00185F2E"/>
    <w:rsid w:val="0018665C"/>
    <w:rsid w:val="001868FA"/>
    <w:rsid w:val="00186987"/>
    <w:rsid w:val="001869B4"/>
    <w:rsid w:val="00186B06"/>
    <w:rsid w:val="00186F2B"/>
    <w:rsid w:val="00187C59"/>
    <w:rsid w:val="00187DCD"/>
    <w:rsid w:val="0019095C"/>
    <w:rsid w:val="00191012"/>
    <w:rsid w:val="00191849"/>
    <w:rsid w:val="001919AB"/>
    <w:rsid w:val="001926A1"/>
    <w:rsid w:val="001926DB"/>
    <w:rsid w:val="001929F3"/>
    <w:rsid w:val="00192E37"/>
    <w:rsid w:val="001930D0"/>
    <w:rsid w:val="00193339"/>
    <w:rsid w:val="0019344B"/>
    <w:rsid w:val="00193A98"/>
    <w:rsid w:val="00193ACE"/>
    <w:rsid w:val="00194309"/>
    <w:rsid w:val="00194399"/>
    <w:rsid w:val="00194497"/>
    <w:rsid w:val="001945FA"/>
    <w:rsid w:val="00194CEE"/>
    <w:rsid w:val="00195064"/>
    <w:rsid w:val="00195CAF"/>
    <w:rsid w:val="00195E05"/>
    <w:rsid w:val="00196043"/>
    <w:rsid w:val="0019608F"/>
    <w:rsid w:val="00196A25"/>
    <w:rsid w:val="0019740F"/>
    <w:rsid w:val="00197614"/>
    <w:rsid w:val="00197905"/>
    <w:rsid w:val="00197A74"/>
    <w:rsid w:val="00197E59"/>
    <w:rsid w:val="00197EE5"/>
    <w:rsid w:val="001A02FB"/>
    <w:rsid w:val="001A0865"/>
    <w:rsid w:val="001A08CE"/>
    <w:rsid w:val="001A090E"/>
    <w:rsid w:val="001A0BDD"/>
    <w:rsid w:val="001A1192"/>
    <w:rsid w:val="001A1655"/>
    <w:rsid w:val="001A18F8"/>
    <w:rsid w:val="001A1C5C"/>
    <w:rsid w:val="001A2017"/>
    <w:rsid w:val="001A2246"/>
    <w:rsid w:val="001A2A66"/>
    <w:rsid w:val="001A3083"/>
    <w:rsid w:val="001A3486"/>
    <w:rsid w:val="001A3DD7"/>
    <w:rsid w:val="001A3EC8"/>
    <w:rsid w:val="001A4294"/>
    <w:rsid w:val="001A440B"/>
    <w:rsid w:val="001A49A2"/>
    <w:rsid w:val="001A4D6E"/>
    <w:rsid w:val="001A4F45"/>
    <w:rsid w:val="001A5682"/>
    <w:rsid w:val="001A5765"/>
    <w:rsid w:val="001A5C3E"/>
    <w:rsid w:val="001A5DEA"/>
    <w:rsid w:val="001A5F9E"/>
    <w:rsid w:val="001A617A"/>
    <w:rsid w:val="001A6233"/>
    <w:rsid w:val="001A6A14"/>
    <w:rsid w:val="001A73B5"/>
    <w:rsid w:val="001A76EF"/>
    <w:rsid w:val="001A790B"/>
    <w:rsid w:val="001A7A2D"/>
    <w:rsid w:val="001A7B8F"/>
    <w:rsid w:val="001B080F"/>
    <w:rsid w:val="001B1096"/>
    <w:rsid w:val="001B1458"/>
    <w:rsid w:val="001B145C"/>
    <w:rsid w:val="001B16A2"/>
    <w:rsid w:val="001B1732"/>
    <w:rsid w:val="001B1CD2"/>
    <w:rsid w:val="001B2C6A"/>
    <w:rsid w:val="001B3B89"/>
    <w:rsid w:val="001B4283"/>
    <w:rsid w:val="001B4A4F"/>
    <w:rsid w:val="001B4B1D"/>
    <w:rsid w:val="001B4BCC"/>
    <w:rsid w:val="001B4D55"/>
    <w:rsid w:val="001B5B48"/>
    <w:rsid w:val="001B5D49"/>
    <w:rsid w:val="001B5D93"/>
    <w:rsid w:val="001B5E64"/>
    <w:rsid w:val="001B5F81"/>
    <w:rsid w:val="001B5FD7"/>
    <w:rsid w:val="001B652F"/>
    <w:rsid w:val="001B6F32"/>
    <w:rsid w:val="001C00F2"/>
    <w:rsid w:val="001C0186"/>
    <w:rsid w:val="001C0C1B"/>
    <w:rsid w:val="001C114E"/>
    <w:rsid w:val="001C1981"/>
    <w:rsid w:val="001C19A8"/>
    <w:rsid w:val="001C1D66"/>
    <w:rsid w:val="001C1DBF"/>
    <w:rsid w:val="001C203B"/>
    <w:rsid w:val="001C2342"/>
    <w:rsid w:val="001C2851"/>
    <w:rsid w:val="001C294A"/>
    <w:rsid w:val="001C2A82"/>
    <w:rsid w:val="001C32D4"/>
    <w:rsid w:val="001C3305"/>
    <w:rsid w:val="001C3451"/>
    <w:rsid w:val="001C3CCF"/>
    <w:rsid w:val="001C4F09"/>
    <w:rsid w:val="001C58BE"/>
    <w:rsid w:val="001C58C9"/>
    <w:rsid w:val="001C5C12"/>
    <w:rsid w:val="001C5FC5"/>
    <w:rsid w:val="001C6936"/>
    <w:rsid w:val="001C6FAE"/>
    <w:rsid w:val="001C7CF3"/>
    <w:rsid w:val="001C7EE9"/>
    <w:rsid w:val="001C7F27"/>
    <w:rsid w:val="001D0D67"/>
    <w:rsid w:val="001D126E"/>
    <w:rsid w:val="001D14E2"/>
    <w:rsid w:val="001D18E5"/>
    <w:rsid w:val="001D1965"/>
    <w:rsid w:val="001D19EC"/>
    <w:rsid w:val="001D1E61"/>
    <w:rsid w:val="001D2055"/>
    <w:rsid w:val="001D2365"/>
    <w:rsid w:val="001D2837"/>
    <w:rsid w:val="001D3221"/>
    <w:rsid w:val="001D3315"/>
    <w:rsid w:val="001D434C"/>
    <w:rsid w:val="001D43D7"/>
    <w:rsid w:val="001D4409"/>
    <w:rsid w:val="001D4ADD"/>
    <w:rsid w:val="001D4D5D"/>
    <w:rsid w:val="001D4FDB"/>
    <w:rsid w:val="001D5D2C"/>
    <w:rsid w:val="001D5E55"/>
    <w:rsid w:val="001D5F05"/>
    <w:rsid w:val="001D6124"/>
    <w:rsid w:val="001D6444"/>
    <w:rsid w:val="001D65F1"/>
    <w:rsid w:val="001D6CEF"/>
    <w:rsid w:val="001D6D36"/>
    <w:rsid w:val="001D708C"/>
    <w:rsid w:val="001D7146"/>
    <w:rsid w:val="001D7954"/>
    <w:rsid w:val="001D7A13"/>
    <w:rsid w:val="001D7EFE"/>
    <w:rsid w:val="001E10B4"/>
    <w:rsid w:val="001E1140"/>
    <w:rsid w:val="001E1884"/>
    <w:rsid w:val="001E26E8"/>
    <w:rsid w:val="001E2FE6"/>
    <w:rsid w:val="001E3479"/>
    <w:rsid w:val="001E3BD5"/>
    <w:rsid w:val="001E3E65"/>
    <w:rsid w:val="001E4887"/>
    <w:rsid w:val="001E4A29"/>
    <w:rsid w:val="001E4FCA"/>
    <w:rsid w:val="001E5932"/>
    <w:rsid w:val="001E5B73"/>
    <w:rsid w:val="001E64E4"/>
    <w:rsid w:val="001E67EA"/>
    <w:rsid w:val="001E6905"/>
    <w:rsid w:val="001E6F56"/>
    <w:rsid w:val="001E78AA"/>
    <w:rsid w:val="001F0080"/>
    <w:rsid w:val="001F04FF"/>
    <w:rsid w:val="001F05F9"/>
    <w:rsid w:val="001F09C4"/>
    <w:rsid w:val="001F0D9A"/>
    <w:rsid w:val="001F124C"/>
    <w:rsid w:val="001F2A99"/>
    <w:rsid w:val="001F2B54"/>
    <w:rsid w:val="001F30EB"/>
    <w:rsid w:val="001F316D"/>
    <w:rsid w:val="001F32B2"/>
    <w:rsid w:val="001F3701"/>
    <w:rsid w:val="001F3DAE"/>
    <w:rsid w:val="001F4286"/>
    <w:rsid w:val="001F4695"/>
    <w:rsid w:val="001F4779"/>
    <w:rsid w:val="001F4F01"/>
    <w:rsid w:val="001F556E"/>
    <w:rsid w:val="001F5B99"/>
    <w:rsid w:val="001F60A1"/>
    <w:rsid w:val="001F6190"/>
    <w:rsid w:val="001F66B7"/>
    <w:rsid w:val="001F67F4"/>
    <w:rsid w:val="001F6894"/>
    <w:rsid w:val="001F6927"/>
    <w:rsid w:val="001F7113"/>
    <w:rsid w:val="001F7274"/>
    <w:rsid w:val="001F7C3F"/>
    <w:rsid w:val="001F7DCE"/>
    <w:rsid w:val="00200103"/>
    <w:rsid w:val="00200DCD"/>
    <w:rsid w:val="002017D7"/>
    <w:rsid w:val="00201B8C"/>
    <w:rsid w:val="00202489"/>
    <w:rsid w:val="002025CA"/>
    <w:rsid w:val="00202898"/>
    <w:rsid w:val="002034F7"/>
    <w:rsid w:val="0020396D"/>
    <w:rsid w:val="00203A07"/>
    <w:rsid w:val="00203F79"/>
    <w:rsid w:val="00204133"/>
    <w:rsid w:val="0020434F"/>
    <w:rsid w:val="002043A9"/>
    <w:rsid w:val="00204EBB"/>
    <w:rsid w:val="00204FF5"/>
    <w:rsid w:val="00205338"/>
    <w:rsid w:val="00205CC8"/>
    <w:rsid w:val="002070A1"/>
    <w:rsid w:val="002072F7"/>
    <w:rsid w:val="002073DA"/>
    <w:rsid w:val="002077A0"/>
    <w:rsid w:val="00207A83"/>
    <w:rsid w:val="00207DBE"/>
    <w:rsid w:val="00210477"/>
    <w:rsid w:val="00210B7D"/>
    <w:rsid w:val="0021162F"/>
    <w:rsid w:val="00211969"/>
    <w:rsid w:val="00211B24"/>
    <w:rsid w:val="002120CA"/>
    <w:rsid w:val="002121A4"/>
    <w:rsid w:val="00212C64"/>
    <w:rsid w:val="00212D31"/>
    <w:rsid w:val="002134D4"/>
    <w:rsid w:val="002135AC"/>
    <w:rsid w:val="002139F8"/>
    <w:rsid w:val="00214A5D"/>
    <w:rsid w:val="00215193"/>
    <w:rsid w:val="002152CB"/>
    <w:rsid w:val="00215C58"/>
    <w:rsid w:val="00215D65"/>
    <w:rsid w:val="00215DF0"/>
    <w:rsid w:val="00215F4D"/>
    <w:rsid w:val="00216376"/>
    <w:rsid w:val="00216C88"/>
    <w:rsid w:val="00216D2E"/>
    <w:rsid w:val="00216EF0"/>
    <w:rsid w:val="0021762C"/>
    <w:rsid w:val="00217E65"/>
    <w:rsid w:val="0022081A"/>
    <w:rsid w:val="00221D09"/>
    <w:rsid w:val="00221E8B"/>
    <w:rsid w:val="00221F12"/>
    <w:rsid w:val="002224E1"/>
    <w:rsid w:val="0022256E"/>
    <w:rsid w:val="00222A15"/>
    <w:rsid w:val="00222D68"/>
    <w:rsid w:val="00223430"/>
    <w:rsid w:val="002235F9"/>
    <w:rsid w:val="0022378A"/>
    <w:rsid w:val="00223D37"/>
    <w:rsid w:val="00223E0B"/>
    <w:rsid w:val="0022414A"/>
    <w:rsid w:val="002241C8"/>
    <w:rsid w:val="0022420C"/>
    <w:rsid w:val="00224A3C"/>
    <w:rsid w:val="00224C05"/>
    <w:rsid w:val="00224C6E"/>
    <w:rsid w:val="00224C85"/>
    <w:rsid w:val="00224DA3"/>
    <w:rsid w:val="00224EB4"/>
    <w:rsid w:val="0022571B"/>
    <w:rsid w:val="00225DDD"/>
    <w:rsid w:val="00225ECC"/>
    <w:rsid w:val="00225F7F"/>
    <w:rsid w:val="00226942"/>
    <w:rsid w:val="00226DDF"/>
    <w:rsid w:val="00226FCB"/>
    <w:rsid w:val="002272D4"/>
    <w:rsid w:val="002272F4"/>
    <w:rsid w:val="00227D01"/>
    <w:rsid w:val="00230294"/>
    <w:rsid w:val="002302F9"/>
    <w:rsid w:val="00230602"/>
    <w:rsid w:val="0023180B"/>
    <w:rsid w:val="0023198F"/>
    <w:rsid w:val="002320AD"/>
    <w:rsid w:val="002320BF"/>
    <w:rsid w:val="00232190"/>
    <w:rsid w:val="00233437"/>
    <w:rsid w:val="00233D32"/>
    <w:rsid w:val="0023419F"/>
    <w:rsid w:val="002346A9"/>
    <w:rsid w:val="00234961"/>
    <w:rsid w:val="00234CAB"/>
    <w:rsid w:val="00234CCD"/>
    <w:rsid w:val="00234D51"/>
    <w:rsid w:val="0023514C"/>
    <w:rsid w:val="0023528F"/>
    <w:rsid w:val="002359D6"/>
    <w:rsid w:val="00235BF2"/>
    <w:rsid w:val="00235F64"/>
    <w:rsid w:val="002363CB"/>
    <w:rsid w:val="002365EA"/>
    <w:rsid w:val="00236C44"/>
    <w:rsid w:val="00236EC2"/>
    <w:rsid w:val="00236EC9"/>
    <w:rsid w:val="00236F9A"/>
    <w:rsid w:val="00237357"/>
    <w:rsid w:val="0023739F"/>
    <w:rsid w:val="00237663"/>
    <w:rsid w:val="0024023F"/>
    <w:rsid w:val="002405EF"/>
    <w:rsid w:val="002409AD"/>
    <w:rsid w:val="00240BD4"/>
    <w:rsid w:val="0024180B"/>
    <w:rsid w:val="00241990"/>
    <w:rsid w:val="00241A1C"/>
    <w:rsid w:val="00241A8F"/>
    <w:rsid w:val="00241B97"/>
    <w:rsid w:val="00241EFC"/>
    <w:rsid w:val="00243008"/>
    <w:rsid w:val="00243A69"/>
    <w:rsid w:val="00244260"/>
    <w:rsid w:val="0024453E"/>
    <w:rsid w:val="0024465B"/>
    <w:rsid w:val="002449C8"/>
    <w:rsid w:val="002449CF"/>
    <w:rsid w:val="00244C8A"/>
    <w:rsid w:val="002452A6"/>
    <w:rsid w:val="002456CF"/>
    <w:rsid w:val="002457DE"/>
    <w:rsid w:val="0024596F"/>
    <w:rsid w:val="002459A5"/>
    <w:rsid w:val="00245FA9"/>
    <w:rsid w:val="002465D7"/>
    <w:rsid w:val="002468E6"/>
    <w:rsid w:val="00246906"/>
    <w:rsid w:val="00246F2F"/>
    <w:rsid w:val="00246FEB"/>
    <w:rsid w:val="0024707A"/>
    <w:rsid w:val="002470C7"/>
    <w:rsid w:val="002474E2"/>
    <w:rsid w:val="0024772C"/>
    <w:rsid w:val="0024788C"/>
    <w:rsid w:val="00247FA7"/>
    <w:rsid w:val="00250177"/>
    <w:rsid w:val="00250397"/>
    <w:rsid w:val="002507C6"/>
    <w:rsid w:val="00250D34"/>
    <w:rsid w:val="002511F1"/>
    <w:rsid w:val="002514C2"/>
    <w:rsid w:val="00251AB8"/>
    <w:rsid w:val="002520FF"/>
    <w:rsid w:val="002521D4"/>
    <w:rsid w:val="00252288"/>
    <w:rsid w:val="002524F8"/>
    <w:rsid w:val="00252632"/>
    <w:rsid w:val="00252BBD"/>
    <w:rsid w:val="002531D5"/>
    <w:rsid w:val="002532A9"/>
    <w:rsid w:val="002532FF"/>
    <w:rsid w:val="00253371"/>
    <w:rsid w:val="002536DE"/>
    <w:rsid w:val="002537F7"/>
    <w:rsid w:val="0025428D"/>
    <w:rsid w:val="002547D7"/>
    <w:rsid w:val="002552D8"/>
    <w:rsid w:val="0025532F"/>
    <w:rsid w:val="002553B6"/>
    <w:rsid w:val="0025578E"/>
    <w:rsid w:val="002559BB"/>
    <w:rsid w:val="00256597"/>
    <w:rsid w:val="0025666D"/>
    <w:rsid w:val="0025681A"/>
    <w:rsid w:val="00256908"/>
    <w:rsid w:val="00256EE0"/>
    <w:rsid w:val="0025779F"/>
    <w:rsid w:val="00257805"/>
    <w:rsid w:val="002578F3"/>
    <w:rsid w:val="0026007A"/>
    <w:rsid w:val="00260278"/>
    <w:rsid w:val="00260A38"/>
    <w:rsid w:val="00260DC2"/>
    <w:rsid w:val="00260E29"/>
    <w:rsid w:val="002611EA"/>
    <w:rsid w:val="0026178F"/>
    <w:rsid w:val="00261D59"/>
    <w:rsid w:val="00261DB1"/>
    <w:rsid w:val="00261EE6"/>
    <w:rsid w:val="00262015"/>
    <w:rsid w:val="002625A4"/>
    <w:rsid w:val="00262815"/>
    <w:rsid w:val="00262A9F"/>
    <w:rsid w:val="00262C1C"/>
    <w:rsid w:val="00262FAA"/>
    <w:rsid w:val="00262FED"/>
    <w:rsid w:val="002631F9"/>
    <w:rsid w:val="0026346A"/>
    <w:rsid w:val="0026353F"/>
    <w:rsid w:val="00263832"/>
    <w:rsid w:val="00263AE3"/>
    <w:rsid w:val="00263EDF"/>
    <w:rsid w:val="00264FB8"/>
    <w:rsid w:val="00265295"/>
    <w:rsid w:val="0026541D"/>
    <w:rsid w:val="0026678F"/>
    <w:rsid w:val="0026682E"/>
    <w:rsid w:val="0026688E"/>
    <w:rsid w:val="00266B65"/>
    <w:rsid w:val="00266B96"/>
    <w:rsid w:val="00266CE6"/>
    <w:rsid w:val="00267345"/>
    <w:rsid w:val="002679D8"/>
    <w:rsid w:val="00270638"/>
    <w:rsid w:val="002707D5"/>
    <w:rsid w:val="00270AB8"/>
    <w:rsid w:val="0027122A"/>
    <w:rsid w:val="00271386"/>
    <w:rsid w:val="00271861"/>
    <w:rsid w:val="00271AC0"/>
    <w:rsid w:val="00272AD9"/>
    <w:rsid w:val="00272C03"/>
    <w:rsid w:val="00273221"/>
    <w:rsid w:val="0027329A"/>
    <w:rsid w:val="00273613"/>
    <w:rsid w:val="002739F2"/>
    <w:rsid w:val="00273B96"/>
    <w:rsid w:val="00273BD1"/>
    <w:rsid w:val="00273C81"/>
    <w:rsid w:val="002742E6"/>
    <w:rsid w:val="0027510C"/>
    <w:rsid w:val="0027555D"/>
    <w:rsid w:val="00275F97"/>
    <w:rsid w:val="0027668B"/>
    <w:rsid w:val="002766F1"/>
    <w:rsid w:val="00276B6B"/>
    <w:rsid w:val="00276F30"/>
    <w:rsid w:val="00276FDD"/>
    <w:rsid w:val="00277054"/>
    <w:rsid w:val="0027723D"/>
    <w:rsid w:val="002772C2"/>
    <w:rsid w:val="00277331"/>
    <w:rsid w:val="00277C97"/>
    <w:rsid w:val="00277F45"/>
    <w:rsid w:val="00280670"/>
    <w:rsid w:val="00280C26"/>
    <w:rsid w:val="00280C70"/>
    <w:rsid w:val="00280C9A"/>
    <w:rsid w:val="00281303"/>
    <w:rsid w:val="00282008"/>
    <w:rsid w:val="002826CD"/>
    <w:rsid w:val="00282946"/>
    <w:rsid w:val="00282BA7"/>
    <w:rsid w:val="0028326D"/>
    <w:rsid w:val="0028335D"/>
    <w:rsid w:val="00283816"/>
    <w:rsid w:val="00283C52"/>
    <w:rsid w:val="00283FF7"/>
    <w:rsid w:val="00284407"/>
    <w:rsid w:val="00284744"/>
    <w:rsid w:val="00284C5D"/>
    <w:rsid w:val="00284E0B"/>
    <w:rsid w:val="00284FB9"/>
    <w:rsid w:val="002851CE"/>
    <w:rsid w:val="002853A3"/>
    <w:rsid w:val="00285437"/>
    <w:rsid w:val="00285600"/>
    <w:rsid w:val="00285D23"/>
    <w:rsid w:val="002865DA"/>
    <w:rsid w:val="00286814"/>
    <w:rsid w:val="00286DB4"/>
    <w:rsid w:val="0028710A"/>
    <w:rsid w:val="0028718F"/>
    <w:rsid w:val="002900B8"/>
    <w:rsid w:val="00290127"/>
    <w:rsid w:val="002906DB"/>
    <w:rsid w:val="00290D63"/>
    <w:rsid w:val="002916C2"/>
    <w:rsid w:val="0029191D"/>
    <w:rsid w:val="002919DF"/>
    <w:rsid w:val="0029200F"/>
    <w:rsid w:val="002926C7"/>
    <w:rsid w:val="00292C53"/>
    <w:rsid w:val="00292D66"/>
    <w:rsid w:val="00292EEE"/>
    <w:rsid w:val="0029314A"/>
    <w:rsid w:val="002931F5"/>
    <w:rsid w:val="00293247"/>
    <w:rsid w:val="002939F5"/>
    <w:rsid w:val="002943B7"/>
    <w:rsid w:val="00294A28"/>
    <w:rsid w:val="0029539B"/>
    <w:rsid w:val="002954E4"/>
    <w:rsid w:val="002956EC"/>
    <w:rsid w:val="00296340"/>
    <w:rsid w:val="00296378"/>
    <w:rsid w:val="002965EB"/>
    <w:rsid w:val="00296958"/>
    <w:rsid w:val="00296BD3"/>
    <w:rsid w:val="00296E8C"/>
    <w:rsid w:val="00297586"/>
    <w:rsid w:val="00297A0F"/>
    <w:rsid w:val="00297A8B"/>
    <w:rsid w:val="00297A8D"/>
    <w:rsid w:val="00297B8F"/>
    <w:rsid w:val="002A18CA"/>
    <w:rsid w:val="002A193F"/>
    <w:rsid w:val="002A1FC0"/>
    <w:rsid w:val="002A298F"/>
    <w:rsid w:val="002A29AB"/>
    <w:rsid w:val="002A29C1"/>
    <w:rsid w:val="002A38A2"/>
    <w:rsid w:val="002A3EAF"/>
    <w:rsid w:val="002A4180"/>
    <w:rsid w:val="002A4215"/>
    <w:rsid w:val="002A4458"/>
    <w:rsid w:val="002A473C"/>
    <w:rsid w:val="002A4914"/>
    <w:rsid w:val="002A4B58"/>
    <w:rsid w:val="002A508B"/>
    <w:rsid w:val="002A5111"/>
    <w:rsid w:val="002A52F1"/>
    <w:rsid w:val="002A54D4"/>
    <w:rsid w:val="002A5CCF"/>
    <w:rsid w:val="002A611C"/>
    <w:rsid w:val="002A6C4B"/>
    <w:rsid w:val="002A6E8D"/>
    <w:rsid w:val="002A6F04"/>
    <w:rsid w:val="002A7029"/>
    <w:rsid w:val="002A730A"/>
    <w:rsid w:val="002B0837"/>
    <w:rsid w:val="002B0BA4"/>
    <w:rsid w:val="002B0BBB"/>
    <w:rsid w:val="002B0F45"/>
    <w:rsid w:val="002B1204"/>
    <w:rsid w:val="002B145E"/>
    <w:rsid w:val="002B154F"/>
    <w:rsid w:val="002B1567"/>
    <w:rsid w:val="002B1BCB"/>
    <w:rsid w:val="002B1E34"/>
    <w:rsid w:val="002B24FC"/>
    <w:rsid w:val="002B268B"/>
    <w:rsid w:val="002B2873"/>
    <w:rsid w:val="002B2AF6"/>
    <w:rsid w:val="002B2CAF"/>
    <w:rsid w:val="002B2E2A"/>
    <w:rsid w:val="002B2F5B"/>
    <w:rsid w:val="002B30CC"/>
    <w:rsid w:val="002B32C4"/>
    <w:rsid w:val="002B3686"/>
    <w:rsid w:val="002B36CE"/>
    <w:rsid w:val="002B3751"/>
    <w:rsid w:val="002B3959"/>
    <w:rsid w:val="002B408A"/>
    <w:rsid w:val="002B4661"/>
    <w:rsid w:val="002B4C53"/>
    <w:rsid w:val="002B4CE0"/>
    <w:rsid w:val="002B4D33"/>
    <w:rsid w:val="002B4E0C"/>
    <w:rsid w:val="002B4E1B"/>
    <w:rsid w:val="002B5168"/>
    <w:rsid w:val="002B581C"/>
    <w:rsid w:val="002B5A10"/>
    <w:rsid w:val="002B5ACB"/>
    <w:rsid w:val="002B5CA4"/>
    <w:rsid w:val="002B60AC"/>
    <w:rsid w:val="002B623D"/>
    <w:rsid w:val="002B64D8"/>
    <w:rsid w:val="002B67C3"/>
    <w:rsid w:val="002B6995"/>
    <w:rsid w:val="002B6A48"/>
    <w:rsid w:val="002B6A50"/>
    <w:rsid w:val="002B733B"/>
    <w:rsid w:val="002B766E"/>
    <w:rsid w:val="002B7C9F"/>
    <w:rsid w:val="002C0289"/>
    <w:rsid w:val="002C0320"/>
    <w:rsid w:val="002C046A"/>
    <w:rsid w:val="002C0487"/>
    <w:rsid w:val="002C0EE6"/>
    <w:rsid w:val="002C0FA5"/>
    <w:rsid w:val="002C1053"/>
    <w:rsid w:val="002C163C"/>
    <w:rsid w:val="002C22BA"/>
    <w:rsid w:val="002C23EC"/>
    <w:rsid w:val="002C255C"/>
    <w:rsid w:val="002C2BBB"/>
    <w:rsid w:val="002C30E3"/>
    <w:rsid w:val="002C325E"/>
    <w:rsid w:val="002C34DA"/>
    <w:rsid w:val="002C38CA"/>
    <w:rsid w:val="002C3C77"/>
    <w:rsid w:val="002C3D37"/>
    <w:rsid w:val="002C3E9F"/>
    <w:rsid w:val="002C42B3"/>
    <w:rsid w:val="002C4410"/>
    <w:rsid w:val="002C488A"/>
    <w:rsid w:val="002C4CBC"/>
    <w:rsid w:val="002C4F83"/>
    <w:rsid w:val="002C5654"/>
    <w:rsid w:val="002C5924"/>
    <w:rsid w:val="002C5952"/>
    <w:rsid w:val="002C5C94"/>
    <w:rsid w:val="002C5DC1"/>
    <w:rsid w:val="002C6200"/>
    <w:rsid w:val="002C6327"/>
    <w:rsid w:val="002C63A9"/>
    <w:rsid w:val="002C6864"/>
    <w:rsid w:val="002C6D31"/>
    <w:rsid w:val="002C6F4A"/>
    <w:rsid w:val="002C7271"/>
    <w:rsid w:val="002C76B0"/>
    <w:rsid w:val="002C7A99"/>
    <w:rsid w:val="002C7B0B"/>
    <w:rsid w:val="002C7B3E"/>
    <w:rsid w:val="002C7B9D"/>
    <w:rsid w:val="002C7C74"/>
    <w:rsid w:val="002D01C5"/>
    <w:rsid w:val="002D04B5"/>
    <w:rsid w:val="002D1026"/>
    <w:rsid w:val="002D1201"/>
    <w:rsid w:val="002D1C26"/>
    <w:rsid w:val="002D2070"/>
    <w:rsid w:val="002D209C"/>
    <w:rsid w:val="002D2541"/>
    <w:rsid w:val="002D2582"/>
    <w:rsid w:val="002D2B58"/>
    <w:rsid w:val="002D2C09"/>
    <w:rsid w:val="002D2F24"/>
    <w:rsid w:val="002D347F"/>
    <w:rsid w:val="002D3B87"/>
    <w:rsid w:val="002D492C"/>
    <w:rsid w:val="002D4FAC"/>
    <w:rsid w:val="002D504B"/>
    <w:rsid w:val="002D5173"/>
    <w:rsid w:val="002D5372"/>
    <w:rsid w:val="002D596C"/>
    <w:rsid w:val="002D6164"/>
    <w:rsid w:val="002D61FD"/>
    <w:rsid w:val="002D66F6"/>
    <w:rsid w:val="002D6DDA"/>
    <w:rsid w:val="002D747A"/>
    <w:rsid w:val="002D76FC"/>
    <w:rsid w:val="002D7DDD"/>
    <w:rsid w:val="002D7EBC"/>
    <w:rsid w:val="002E10A7"/>
    <w:rsid w:val="002E11F8"/>
    <w:rsid w:val="002E131E"/>
    <w:rsid w:val="002E1623"/>
    <w:rsid w:val="002E179F"/>
    <w:rsid w:val="002E1FEF"/>
    <w:rsid w:val="002E24F8"/>
    <w:rsid w:val="002E2614"/>
    <w:rsid w:val="002E2F9C"/>
    <w:rsid w:val="002E34AA"/>
    <w:rsid w:val="002E3974"/>
    <w:rsid w:val="002E3DBB"/>
    <w:rsid w:val="002E4029"/>
    <w:rsid w:val="002E4935"/>
    <w:rsid w:val="002E4F9A"/>
    <w:rsid w:val="002E51AD"/>
    <w:rsid w:val="002E6166"/>
    <w:rsid w:val="002E67A0"/>
    <w:rsid w:val="002E6B05"/>
    <w:rsid w:val="002E6D4B"/>
    <w:rsid w:val="002E6EB5"/>
    <w:rsid w:val="002E6ED5"/>
    <w:rsid w:val="002E6F9C"/>
    <w:rsid w:val="002E7122"/>
    <w:rsid w:val="002E7A29"/>
    <w:rsid w:val="002E7A5F"/>
    <w:rsid w:val="002F04BB"/>
    <w:rsid w:val="002F091C"/>
    <w:rsid w:val="002F0B3C"/>
    <w:rsid w:val="002F0C47"/>
    <w:rsid w:val="002F237B"/>
    <w:rsid w:val="002F26FE"/>
    <w:rsid w:val="002F2B24"/>
    <w:rsid w:val="002F2F61"/>
    <w:rsid w:val="002F3652"/>
    <w:rsid w:val="002F3976"/>
    <w:rsid w:val="002F408C"/>
    <w:rsid w:val="002F4AAD"/>
    <w:rsid w:val="002F4C82"/>
    <w:rsid w:val="002F4ED5"/>
    <w:rsid w:val="002F4FF6"/>
    <w:rsid w:val="002F5508"/>
    <w:rsid w:val="002F563E"/>
    <w:rsid w:val="002F582D"/>
    <w:rsid w:val="002F5ADE"/>
    <w:rsid w:val="002F5AE7"/>
    <w:rsid w:val="002F6472"/>
    <w:rsid w:val="002F6A81"/>
    <w:rsid w:val="002F6C4C"/>
    <w:rsid w:val="002F6D62"/>
    <w:rsid w:val="002F6E83"/>
    <w:rsid w:val="002F7122"/>
    <w:rsid w:val="002F74F6"/>
    <w:rsid w:val="002F79AC"/>
    <w:rsid w:val="002F7A53"/>
    <w:rsid w:val="002F7C4B"/>
    <w:rsid w:val="002F7EE4"/>
    <w:rsid w:val="00300EB0"/>
    <w:rsid w:val="003012F0"/>
    <w:rsid w:val="00301407"/>
    <w:rsid w:val="00301450"/>
    <w:rsid w:val="00301725"/>
    <w:rsid w:val="0030176D"/>
    <w:rsid w:val="00301829"/>
    <w:rsid w:val="0030186D"/>
    <w:rsid w:val="00301E6E"/>
    <w:rsid w:val="003022AE"/>
    <w:rsid w:val="00302BED"/>
    <w:rsid w:val="00302E1E"/>
    <w:rsid w:val="00302FEB"/>
    <w:rsid w:val="00303C54"/>
    <w:rsid w:val="003040D3"/>
    <w:rsid w:val="00304362"/>
    <w:rsid w:val="003048B2"/>
    <w:rsid w:val="00304C82"/>
    <w:rsid w:val="00305006"/>
    <w:rsid w:val="003050B5"/>
    <w:rsid w:val="0030563F"/>
    <w:rsid w:val="0030569F"/>
    <w:rsid w:val="003056DF"/>
    <w:rsid w:val="0030579C"/>
    <w:rsid w:val="003057DB"/>
    <w:rsid w:val="0030592C"/>
    <w:rsid w:val="00305B47"/>
    <w:rsid w:val="00305DA6"/>
    <w:rsid w:val="00305E73"/>
    <w:rsid w:val="00306234"/>
    <w:rsid w:val="0030625C"/>
    <w:rsid w:val="0030641E"/>
    <w:rsid w:val="003066E5"/>
    <w:rsid w:val="00306BDE"/>
    <w:rsid w:val="00306F18"/>
    <w:rsid w:val="00306F74"/>
    <w:rsid w:val="003071FC"/>
    <w:rsid w:val="00307331"/>
    <w:rsid w:val="00307B8C"/>
    <w:rsid w:val="00307E23"/>
    <w:rsid w:val="00310570"/>
    <w:rsid w:val="0031059B"/>
    <w:rsid w:val="003113F1"/>
    <w:rsid w:val="00311845"/>
    <w:rsid w:val="00311B79"/>
    <w:rsid w:val="00311E6C"/>
    <w:rsid w:val="00312484"/>
    <w:rsid w:val="003125A4"/>
    <w:rsid w:val="00312BAA"/>
    <w:rsid w:val="00312D22"/>
    <w:rsid w:val="00313133"/>
    <w:rsid w:val="003133D0"/>
    <w:rsid w:val="00313559"/>
    <w:rsid w:val="00313DD5"/>
    <w:rsid w:val="00313E66"/>
    <w:rsid w:val="00313F95"/>
    <w:rsid w:val="003142C0"/>
    <w:rsid w:val="003145EC"/>
    <w:rsid w:val="003147EF"/>
    <w:rsid w:val="00314B74"/>
    <w:rsid w:val="00314BDD"/>
    <w:rsid w:val="00314DE8"/>
    <w:rsid w:val="00314E0D"/>
    <w:rsid w:val="0031583B"/>
    <w:rsid w:val="003158F3"/>
    <w:rsid w:val="00315A20"/>
    <w:rsid w:val="00315EC8"/>
    <w:rsid w:val="003163A3"/>
    <w:rsid w:val="003166FC"/>
    <w:rsid w:val="003168EC"/>
    <w:rsid w:val="00316AA1"/>
    <w:rsid w:val="00316AC0"/>
    <w:rsid w:val="00316CCE"/>
    <w:rsid w:val="0031719D"/>
    <w:rsid w:val="00320483"/>
    <w:rsid w:val="003209CB"/>
    <w:rsid w:val="00320DA6"/>
    <w:rsid w:val="00320DFD"/>
    <w:rsid w:val="00320F58"/>
    <w:rsid w:val="0032130F"/>
    <w:rsid w:val="00321C2C"/>
    <w:rsid w:val="003228AA"/>
    <w:rsid w:val="0032349B"/>
    <w:rsid w:val="003236FD"/>
    <w:rsid w:val="00323892"/>
    <w:rsid w:val="00324012"/>
    <w:rsid w:val="003240A7"/>
    <w:rsid w:val="0032423D"/>
    <w:rsid w:val="00324A05"/>
    <w:rsid w:val="003255C5"/>
    <w:rsid w:val="003265FC"/>
    <w:rsid w:val="00326EDE"/>
    <w:rsid w:val="00327163"/>
    <w:rsid w:val="00327199"/>
    <w:rsid w:val="00327255"/>
    <w:rsid w:val="0032725E"/>
    <w:rsid w:val="00330071"/>
    <w:rsid w:val="00330466"/>
    <w:rsid w:val="0033053E"/>
    <w:rsid w:val="00330691"/>
    <w:rsid w:val="003306C9"/>
    <w:rsid w:val="0033087F"/>
    <w:rsid w:val="00330992"/>
    <w:rsid w:val="00330DA6"/>
    <w:rsid w:val="00331240"/>
    <w:rsid w:val="00331DEE"/>
    <w:rsid w:val="00331DFF"/>
    <w:rsid w:val="00332C53"/>
    <w:rsid w:val="003336AC"/>
    <w:rsid w:val="00333959"/>
    <w:rsid w:val="00333988"/>
    <w:rsid w:val="00333E50"/>
    <w:rsid w:val="003344D1"/>
    <w:rsid w:val="00334F9B"/>
    <w:rsid w:val="00335B12"/>
    <w:rsid w:val="00335F9E"/>
    <w:rsid w:val="00336079"/>
    <w:rsid w:val="003366C3"/>
    <w:rsid w:val="00336DA8"/>
    <w:rsid w:val="00336F7B"/>
    <w:rsid w:val="003371DD"/>
    <w:rsid w:val="00337621"/>
    <w:rsid w:val="00337764"/>
    <w:rsid w:val="00340054"/>
    <w:rsid w:val="00340701"/>
    <w:rsid w:val="00340AFD"/>
    <w:rsid w:val="003415DF"/>
    <w:rsid w:val="0034185C"/>
    <w:rsid w:val="00341DF8"/>
    <w:rsid w:val="003422A3"/>
    <w:rsid w:val="003422F3"/>
    <w:rsid w:val="003423F3"/>
    <w:rsid w:val="003428FF"/>
    <w:rsid w:val="00342922"/>
    <w:rsid w:val="00342ECF"/>
    <w:rsid w:val="003430AB"/>
    <w:rsid w:val="00343AB8"/>
    <w:rsid w:val="00344064"/>
    <w:rsid w:val="003445DE"/>
    <w:rsid w:val="00344B8D"/>
    <w:rsid w:val="00344BD2"/>
    <w:rsid w:val="003453DE"/>
    <w:rsid w:val="00345814"/>
    <w:rsid w:val="003459EC"/>
    <w:rsid w:val="00345D4F"/>
    <w:rsid w:val="00346225"/>
    <w:rsid w:val="003475DD"/>
    <w:rsid w:val="003479AE"/>
    <w:rsid w:val="00347DE2"/>
    <w:rsid w:val="00350099"/>
    <w:rsid w:val="00350C61"/>
    <w:rsid w:val="0035117C"/>
    <w:rsid w:val="00351464"/>
    <w:rsid w:val="00351B60"/>
    <w:rsid w:val="00351CF0"/>
    <w:rsid w:val="00352169"/>
    <w:rsid w:val="00352467"/>
    <w:rsid w:val="00352825"/>
    <w:rsid w:val="0035297E"/>
    <w:rsid w:val="003529F3"/>
    <w:rsid w:val="00352B27"/>
    <w:rsid w:val="00352BA4"/>
    <w:rsid w:val="0035302E"/>
    <w:rsid w:val="0035342D"/>
    <w:rsid w:val="00353A94"/>
    <w:rsid w:val="00353BA7"/>
    <w:rsid w:val="00353F51"/>
    <w:rsid w:val="00354302"/>
    <w:rsid w:val="003544E8"/>
    <w:rsid w:val="003547DA"/>
    <w:rsid w:val="00354E15"/>
    <w:rsid w:val="00354E8F"/>
    <w:rsid w:val="0035527F"/>
    <w:rsid w:val="00355972"/>
    <w:rsid w:val="00355F0D"/>
    <w:rsid w:val="003562F6"/>
    <w:rsid w:val="003564E3"/>
    <w:rsid w:val="00356B77"/>
    <w:rsid w:val="00356DAA"/>
    <w:rsid w:val="00356FB9"/>
    <w:rsid w:val="003577FD"/>
    <w:rsid w:val="00357C6C"/>
    <w:rsid w:val="00360162"/>
    <w:rsid w:val="00360BC8"/>
    <w:rsid w:val="00360E93"/>
    <w:rsid w:val="00361052"/>
    <w:rsid w:val="00361403"/>
    <w:rsid w:val="00361DCA"/>
    <w:rsid w:val="00362200"/>
    <w:rsid w:val="003622C4"/>
    <w:rsid w:val="0036262A"/>
    <w:rsid w:val="003626A2"/>
    <w:rsid w:val="00362C62"/>
    <w:rsid w:val="00363174"/>
    <w:rsid w:val="003633C3"/>
    <w:rsid w:val="0036371A"/>
    <w:rsid w:val="0036397E"/>
    <w:rsid w:val="00363CDA"/>
    <w:rsid w:val="00364505"/>
    <w:rsid w:val="00364743"/>
    <w:rsid w:val="003650E8"/>
    <w:rsid w:val="003657A6"/>
    <w:rsid w:val="00366037"/>
    <w:rsid w:val="0036636A"/>
    <w:rsid w:val="003665E0"/>
    <w:rsid w:val="00366682"/>
    <w:rsid w:val="00366C48"/>
    <w:rsid w:val="00367178"/>
    <w:rsid w:val="00367984"/>
    <w:rsid w:val="00367AE4"/>
    <w:rsid w:val="00367BE4"/>
    <w:rsid w:val="00367C30"/>
    <w:rsid w:val="00370456"/>
    <w:rsid w:val="00370605"/>
    <w:rsid w:val="00370FCD"/>
    <w:rsid w:val="00370FD9"/>
    <w:rsid w:val="003711CD"/>
    <w:rsid w:val="003713EB"/>
    <w:rsid w:val="00371676"/>
    <w:rsid w:val="0037182D"/>
    <w:rsid w:val="00371F93"/>
    <w:rsid w:val="00371FDC"/>
    <w:rsid w:val="0037204A"/>
    <w:rsid w:val="003728A8"/>
    <w:rsid w:val="003728A9"/>
    <w:rsid w:val="003729BA"/>
    <w:rsid w:val="00373663"/>
    <w:rsid w:val="00373724"/>
    <w:rsid w:val="003739A4"/>
    <w:rsid w:val="00373A99"/>
    <w:rsid w:val="0037425A"/>
    <w:rsid w:val="00374755"/>
    <w:rsid w:val="00374988"/>
    <w:rsid w:val="00374C04"/>
    <w:rsid w:val="00375D98"/>
    <w:rsid w:val="00375F4B"/>
    <w:rsid w:val="00376586"/>
    <w:rsid w:val="00376774"/>
    <w:rsid w:val="00376B3C"/>
    <w:rsid w:val="003775B2"/>
    <w:rsid w:val="00377BBB"/>
    <w:rsid w:val="00377EA7"/>
    <w:rsid w:val="00380142"/>
    <w:rsid w:val="0038021C"/>
    <w:rsid w:val="003809DB"/>
    <w:rsid w:val="003811E8"/>
    <w:rsid w:val="003816F5"/>
    <w:rsid w:val="00381B61"/>
    <w:rsid w:val="00381FEA"/>
    <w:rsid w:val="00382116"/>
    <w:rsid w:val="00382B46"/>
    <w:rsid w:val="00382CC0"/>
    <w:rsid w:val="00382EBA"/>
    <w:rsid w:val="003833E7"/>
    <w:rsid w:val="00383567"/>
    <w:rsid w:val="003838AD"/>
    <w:rsid w:val="00383BB7"/>
    <w:rsid w:val="00384628"/>
    <w:rsid w:val="003848A6"/>
    <w:rsid w:val="00384ED1"/>
    <w:rsid w:val="003851C4"/>
    <w:rsid w:val="00385462"/>
    <w:rsid w:val="00385884"/>
    <w:rsid w:val="00385A20"/>
    <w:rsid w:val="003860D3"/>
    <w:rsid w:val="003860E4"/>
    <w:rsid w:val="00386428"/>
    <w:rsid w:val="003865E9"/>
    <w:rsid w:val="003866DF"/>
    <w:rsid w:val="00386877"/>
    <w:rsid w:val="00386DF0"/>
    <w:rsid w:val="0038795D"/>
    <w:rsid w:val="00387FAB"/>
    <w:rsid w:val="00387FB9"/>
    <w:rsid w:val="0039042F"/>
    <w:rsid w:val="00390749"/>
    <w:rsid w:val="00390BDF"/>
    <w:rsid w:val="003913B5"/>
    <w:rsid w:val="00392186"/>
    <w:rsid w:val="003922C1"/>
    <w:rsid w:val="003922E5"/>
    <w:rsid w:val="00392436"/>
    <w:rsid w:val="00392E73"/>
    <w:rsid w:val="0039352B"/>
    <w:rsid w:val="00393580"/>
    <w:rsid w:val="003941C0"/>
    <w:rsid w:val="00394548"/>
    <w:rsid w:val="00394561"/>
    <w:rsid w:val="00394CDC"/>
    <w:rsid w:val="00394EBB"/>
    <w:rsid w:val="003951F9"/>
    <w:rsid w:val="0039554A"/>
    <w:rsid w:val="00395687"/>
    <w:rsid w:val="00395881"/>
    <w:rsid w:val="003960AA"/>
    <w:rsid w:val="00396147"/>
    <w:rsid w:val="00396755"/>
    <w:rsid w:val="003967D2"/>
    <w:rsid w:val="00396A60"/>
    <w:rsid w:val="00396AE1"/>
    <w:rsid w:val="00396E57"/>
    <w:rsid w:val="00396E94"/>
    <w:rsid w:val="0039707A"/>
    <w:rsid w:val="003A00DC"/>
    <w:rsid w:val="003A0B2E"/>
    <w:rsid w:val="003A0C1B"/>
    <w:rsid w:val="003A10B9"/>
    <w:rsid w:val="003A14C6"/>
    <w:rsid w:val="003A17C0"/>
    <w:rsid w:val="003A1E39"/>
    <w:rsid w:val="003A1ED4"/>
    <w:rsid w:val="003A23F1"/>
    <w:rsid w:val="003A2410"/>
    <w:rsid w:val="003A258C"/>
    <w:rsid w:val="003A260E"/>
    <w:rsid w:val="003A2EB4"/>
    <w:rsid w:val="003A38A6"/>
    <w:rsid w:val="003A3905"/>
    <w:rsid w:val="003A3B7F"/>
    <w:rsid w:val="003A3CA7"/>
    <w:rsid w:val="003A3E19"/>
    <w:rsid w:val="003A3F47"/>
    <w:rsid w:val="003A4D28"/>
    <w:rsid w:val="003A4E7D"/>
    <w:rsid w:val="003A501B"/>
    <w:rsid w:val="003A5DC5"/>
    <w:rsid w:val="003A63E4"/>
    <w:rsid w:val="003A65A0"/>
    <w:rsid w:val="003A6804"/>
    <w:rsid w:val="003A6B3E"/>
    <w:rsid w:val="003A6E4E"/>
    <w:rsid w:val="003A72DA"/>
    <w:rsid w:val="003A72ED"/>
    <w:rsid w:val="003A7B72"/>
    <w:rsid w:val="003A7CEF"/>
    <w:rsid w:val="003B0715"/>
    <w:rsid w:val="003B0BF3"/>
    <w:rsid w:val="003B0CE7"/>
    <w:rsid w:val="003B15AE"/>
    <w:rsid w:val="003B192E"/>
    <w:rsid w:val="003B1DCE"/>
    <w:rsid w:val="003B2BEA"/>
    <w:rsid w:val="003B30C1"/>
    <w:rsid w:val="003B3277"/>
    <w:rsid w:val="003B4A15"/>
    <w:rsid w:val="003B4F34"/>
    <w:rsid w:val="003B4F3D"/>
    <w:rsid w:val="003B51B9"/>
    <w:rsid w:val="003B55EE"/>
    <w:rsid w:val="003B5801"/>
    <w:rsid w:val="003B5BED"/>
    <w:rsid w:val="003B5CF7"/>
    <w:rsid w:val="003B60E6"/>
    <w:rsid w:val="003B6666"/>
    <w:rsid w:val="003B6BB8"/>
    <w:rsid w:val="003B6CD9"/>
    <w:rsid w:val="003B6F42"/>
    <w:rsid w:val="003B74DD"/>
    <w:rsid w:val="003B7617"/>
    <w:rsid w:val="003B7814"/>
    <w:rsid w:val="003C11F3"/>
    <w:rsid w:val="003C12BC"/>
    <w:rsid w:val="003C163F"/>
    <w:rsid w:val="003C1754"/>
    <w:rsid w:val="003C1CA9"/>
    <w:rsid w:val="003C1DE5"/>
    <w:rsid w:val="003C2A1D"/>
    <w:rsid w:val="003C2B62"/>
    <w:rsid w:val="003C2CF5"/>
    <w:rsid w:val="003C2F4A"/>
    <w:rsid w:val="003C2FE5"/>
    <w:rsid w:val="003C3B51"/>
    <w:rsid w:val="003C3DDA"/>
    <w:rsid w:val="003C4071"/>
    <w:rsid w:val="003C4097"/>
    <w:rsid w:val="003C473D"/>
    <w:rsid w:val="003C48E5"/>
    <w:rsid w:val="003C49C0"/>
    <w:rsid w:val="003C4C6A"/>
    <w:rsid w:val="003C4EE7"/>
    <w:rsid w:val="003C5262"/>
    <w:rsid w:val="003C5466"/>
    <w:rsid w:val="003C54AA"/>
    <w:rsid w:val="003C562D"/>
    <w:rsid w:val="003C5C13"/>
    <w:rsid w:val="003C60DF"/>
    <w:rsid w:val="003C620A"/>
    <w:rsid w:val="003C68BA"/>
    <w:rsid w:val="003C68CB"/>
    <w:rsid w:val="003C69EA"/>
    <w:rsid w:val="003C6F47"/>
    <w:rsid w:val="003C7282"/>
    <w:rsid w:val="003C7AC9"/>
    <w:rsid w:val="003D0178"/>
    <w:rsid w:val="003D017C"/>
    <w:rsid w:val="003D04E2"/>
    <w:rsid w:val="003D05C4"/>
    <w:rsid w:val="003D0A0F"/>
    <w:rsid w:val="003D11C9"/>
    <w:rsid w:val="003D13BC"/>
    <w:rsid w:val="003D2A9B"/>
    <w:rsid w:val="003D2CE7"/>
    <w:rsid w:val="003D3788"/>
    <w:rsid w:val="003D3A26"/>
    <w:rsid w:val="003D3B0D"/>
    <w:rsid w:val="003D3EC9"/>
    <w:rsid w:val="003D4521"/>
    <w:rsid w:val="003D56C2"/>
    <w:rsid w:val="003D5A08"/>
    <w:rsid w:val="003D5B2E"/>
    <w:rsid w:val="003D5BEF"/>
    <w:rsid w:val="003D625F"/>
    <w:rsid w:val="003D6351"/>
    <w:rsid w:val="003D65E4"/>
    <w:rsid w:val="003D67F2"/>
    <w:rsid w:val="003D6BA9"/>
    <w:rsid w:val="003D6DE8"/>
    <w:rsid w:val="003D7459"/>
    <w:rsid w:val="003D7724"/>
    <w:rsid w:val="003D773E"/>
    <w:rsid w:val="003D7811"/>
    <w:rsid w:val="003D79BC"/>
    <w:rsid w:val="003D7B46"/>
    <w:rsid w:val="003D7E00"/>
    <w:rsid w:val="003E006C"/>
    <w:rsid w:val="003E055F"/>
    <w:rsid w:val="003E0887"/>
    <w:rsid w:val="003E1C22"/>
    <w:rsid w:val="003E1E4A"/>
    <w:rsid w:val="003E20E7"/>
    <w:rsid w:val="003E21E3"/>
    <w:rsid w:val="003E21F2"/>
    <w:rsid w:val="003E2775"/>
    <w:rsid w:val="003E32AC"/>
    <w:rsid w:val="003E33F0"/>
    <w:rsid w:val="003E3C3B"/>
    <w:rsid w:val="003E40FF"/>
    <w:rsid w:val="003E4AED"/>
    <w:rsid w:val="003E4F5A"/>
    <w:rsid w:val="003E51AA"/>
    <w:rsid w:val="003E5A5A"/>
    <w:rsid w:val="003E61C9"/>
    <w:rsid w:val="003E69D7"/>
    <w:rsid w:val="003F01E7"/>
    <w:rsid w:val="003F02D4"/>
    <w:rsid w:val="003F0B42"/>
    <w:rsid w:val="003F0C43"/>
    <w:rsid w:val="003F0EB5"/>
    <w:rsid w:val="003F1399"/>
    <w:rsid w:val="003F1BCE"/>
    <w:rsid w:val="003F1D26"/>
    <w:rsid w:val="003F1DFB"/>
    <w:rsid w:val="003F2104"/>
    <w:rsid w:val="003F21A2"/>
    <w:rsid w:val="003F23A7"/>
    <w:rsid w:val="003F34B6"/>
    <w:rsid w:val="003F381C"/>
    <w:rsid w:val="003F3B11"/>
    <w:rsid w:val="003F41D2"/>
    <w:rsid w:val="003F434D"/>
    <w:rsid w:val="003F439E"/>
    <w:rsid w:val="003F440C"/>
    <w:rsid w:val="003F4489"/>
    <w:rsid w:val="003F4B03"/>
    <w:rsid w:val="003F4DF2"/>
    <w:rsid w:val="003F541B"/>
    <w:rsid w:val="003F549F"/>
    <w:rsid w:val="003F588A"/>
    <w:rsid w:val="003F5891"/>
    <w:rsid w:val="003F5C0F"/>
    <w:rsid w:val="003F60B6"/>
    <w:rsid w:val="003F688A"/>
    <w:rsid w:val="003F70EA"/>
    <w:rsid w:val="003F7166"/>
    <w:rsid w:val="003F742F"/>
    <w:rsid w:val="003F7567"/>
    <w:rsid w:val="003F7838"/>
    <w:rsid w:val="003F7934"/>
    <w:rsid w:val="003F7A10"/>
    <w:rsid w:val="003F7B76"/>
    <w:rsid w:val="003F7BB2"/>
    <w:rsid w:val="003F7CD2"/>
    <w:rsid w:val="00400701"/>
    <w:rsid w:val="00401157"/>
    <w:rsid w:val="0040122F"/>
    <w:rsid w:val="004013FB"/>
    <w:rsid w:val="0040162C"/>
    <w:rsid w:val="00401697"/>
    <w:rsid w:val="00401BB1"/>
    <w:rsid w:val="00401DB8"/>
    <w:rsid w:val="00402066"/>
    <w:rsid w:val="0040222D"/>
    <w:rsid w:val="004022CC"/>
    <w:rsid w:val="004027A4"/>
    <w:rsid w:val="0040290E"/>
    <w:rsid w:val="00402F75"/>
    <w:rsid w:val="004036F3"/>
    <w:rsid w:val="00404229"/>
    <w:rsid w:val="004045C1"/>
    <w:rsid w:val="0040534B"/>
    <w:rsid w:val="004054F0"/>
    <w:rsid w:val="0040570B"/>
    <w:rsid w:val="00405890"/>
    <w:rsid w:val="00405B70"/>
    <w:rsid w:val="004060BE"/>
    <w:rsid w:val="0040670B"/>
    <w:rsid w:val="004076BD"/>
    <w:rsid w:val="004077C8"/>
    <w:rsid w:val="00407B9F"/>
    <w:rsid w:val="00407D23"/>
    <w:rsid w:val="0041017D"/>
    <w:rsid w:val="0041024D"/>
    <w:rsid w:val="00410E23"/>
    <w:rsid w:val="00410F8F"/>
    <w:rsid w:val="00411206"/>
    <w:rsid w:val="004113FF"/>
    <w:rsid w:val="00412065"/>
    <w:rsid w:val="00412318"/>
    <w:rsid w:val="00412498"/>
    <w:rsid w:val="00412843"/>
    <w:rsid w:val="0041292E"/>
    <w:rsid w:val="00412996"/>
    <w:rsid w:val="004131F4"/>
    <w:rsid w:val="004133B2"/>
    <w:rsid w:val="00413695"/>
    <w:rsid w:val="00413FB6"/>
    <w:rsid w:val="00414101"/>
    <w:rsid w:val="0041466E"/>
    <w:rsid w:val="004146E7"/>
    <w:rsid w:val="00414929"/>
    <w:rsid w:val="00415110"/>
    <w:rsid w:val="00415CE3"/>
    <w:rsid w:val="0041632B"/>
    <w:rsid w:val="00416765"/>
    <w:rsid w:val="004168DE"/>
    <w:rsid w:val="0041697A"/>
    <w:rsid w:val="00416A64"/>
    <w:rsid w:val="00416AB7"/>
    <w:rsid w:val="00416D35"/>
    <w:rsid w:val="00417057"/>
    <w:rsid w:val="0041740D"/>
    <w:rsid w:val="0041758E"/>
    <w:rsid w:val="00417728"/>
    <w:rsid w:val="00417E61"/>
    <w:rsid w:val="00420050"/>
    <w:rsid w:val="004204FF"/>
    <w:rsid w:val="004205F5"/>
    <w:rsid w:val="00420D81"/>
    <w:rsid w:val="004210FF"/>
    <w:rsid w:val="00421505"/>
    <w:rsid w:val="00421954"/>
    <w:rsid w:val="004219FD"/>
    <w:rsid w:val="00421A9B"/>
    <w:rsid w:val="00421BD5"/>
    <w:rsid w:val="00421D8E"/>
    <w:rsid w:val="0042210E"/>
    <w:rsid w:val="004222AC"/>
    <w:rsid w:val="00422727"/>
    <w:rsid w:val="004227F3"/>
    <w:rsid w:val="00423766"/>
    <w:rsid w:val="004237A5"/>
    <w:rsid w:val="0042387B"/>
    <w:rsid w:val="00423BE3"/>
    <w:rsid w:val="00423D4A"/>
    <w:rsid w:val="004248B4"/>
    <w:rsid w:val="00424961"/>
    <w:rsid w:val="00424B41"/>
    <w:rsid w:val="0042506F"/>
    <w:rsid w:val="00425276"/>
    <w:rsid w:val="004256CA"/>
    <w:rsid w:val="00425735"/>
    <w:rsid w:val="00425774"/>
    <w:rsid w:val="00425BD0"/>
    <w:rsid w:val="00425EEC"/>
    <w:rsid w:val="00426121"/>
    <w:rsid w:val="00426809"/>
    <w:rsid w:val="004269E0"/>
    <w:rsid w:val="004277E5"/>
    <w:rsid w:val="00427E15"/>
    <w:rsid w:val="00430110"/>
    <w:rsid w:val="0043091C"/>
    <w:rsid w:val="00430B77"/>
    <w:rsid w:val="00430CB8"/>
    <w:rsid w:val="0043105E"/>
    <w:rsid w:val="004317F0"/>
    <w:rsid w:val="004321E1"/>
    <w:rsid w:val="004325DF"/>
    <w:rsid w:val="004326DD"/>
    <w:rsid w:val="00432A18"/>
    <w:rsid w:val="00433025"/>
    <w:rsid w:val="004332FE"/>
    <w:rsid w:val="00433F4A"/>
    <w:rsid w:val="00434485"/>
    <w:rsid w:val="00434B85"/>
    <w:rsid w:val="00434CD8"/>
    <w:rsid w:val="00435168"/>
    <w:rsid w:val="004355FE"/>
    <w:rsid w:val="004356A3"/>
    <w:rsid w:val="00435AB3"/>
    <w:rsid w:val="00435B28"/>
    <w:rsid w:val="00436379"/>
    <w:rsid w:val="00436D15"/>
    <w:rsid w:val="00437234"/>
    <w:rsid w:val="00437559"/>
    <w:rsid w:val="004377C6"/>
    <w:rsid w:val="00437AE3"/>
    <w:rsid w:val="0044026F"/>
    <w:rsid w:val="004409DC"/>
    <w:rsid w:val="00440A3C"/>
    <w:rsid w:val="00440B9F"/>
    <w:rsid w:val="0044107D"/>
    <w:rsid w:val="00441A4B"/>
    <w:rsid w:val="00441A4C"/>
    <w:rsid w:val="00441FB4"/>
    <w:rsid w:val="004423E5"/>
    <w:rsid w:val="00442CC6"/>
    <w:rsid w:val="00442D69"/>
    <w:rsid w:val="00442D8C"/>
    <w:rsid w:val="00443442"/>
    <w:rsid w:val="00443B1D"/>
    <w:rsid w:val="00444666"/>
    <w:rsid w:val="004448F7"/>
    <w:rsid w:val="00444A13"/>
    <w:rsid w:val="00444D0C"/>
    <w:rsid w:val="00444DA2"/>
    <w:rsid w:val="0044503D"/>
    <w:rsid w:val="00445069"/>
    <w:rsid w:val="004450F1"/>
    <w:rsid w:val="00445DA7"/>
    <w:rsid w:val="00445EF6"/>
    <w:rsid w:val="00445FBC"/>
    <w:rsid w:val="0044611E"/>
    <w:rsid w:val="00446530"/>
    <w:rsid w:val="004469A8"/>
    <w:rsid w:val="00446C28"/>
    <w:rsid w:val="00447266"/>
    <w:rsid w:val="00447429"/>
    <w:rsid w:val="00450002"/>
    <w:rsid w:val="004502FF"/>
    <w:rsid w:val="00450808"/>
    <w:rsid w:val="004509C5"/>
    <w:rsid w:val="00451274"/>
    <w:rsid w:val="004519B4"/>
    <w:rsid w:val="00451E80"/>
    <w:rsid w:val="00451F00"/>
    <w:rsid w:val="0045207F"/>
    <w:rsid w:val="0045241F"/>
    <w:rsid w:val="004525E1"/>
    <w:rsid w:val="0045274D"/>
    <w:rsid w:val="00452832"/>
    <w:rsid w:val="00452A91"/>
    <w:rsid w:val="00452B46"/>
    <w:rsid w:val="00452F0E"/>
    <w:rsid w:val="004535A9"/>
    <w:rsid w:val="004538F4"/>
    <w:rsid w:val="00453985"/>
    <w:rsid w:val="00453D49"/>
    <w:rsid w:val="00454485"/>
    <w:rsid w:val="00454A48"/>
    <w:rsid w:val="00454A7A"/>
    <w:rsid w:val="00454EED"/>
    <w:rsid w:val="00455D0D"/>
    <w:rsid w:val="004563CF"/>
    <w:rsid w:val="00456953"/>
    <w:rsid w:val="00456D28"/>
    <w:rsid w:val="00457B77"/>
    <w:rsid w:val="004600D5"/>
    <w:rsid w:val="0046046D"/>
    <w:rsid w:val="004604D7"/>
    <w:rsid w:val="004605E0"/>
    <w:rsid w:val="00460950"/>
    <w:rsid w:val="004609EC"/>
    <w:rsid w:val="00460E38"/>
    <w:rsid w:val="004613B8"/>
    <w:rsid w:val="0046167A"/>
    <w:rsid w:val="00462065"/>
    <w:rsid w:val="00462242"/>
    <w:rsid w:val="00463286"/>
    <w:rsid w:val="00463429"/>
    <w:rsid w:val="00463C1B"/>
    <w:rsid w:val="00463D64"/>
    <w:rsid w:val="00463F19"/>
    <w:rsid w:val="004641AB"/>
    <w:rsid w:val="00464470"/>
    <w:rsid w:val="004646CA"/>
    <w:rsid w:val="00464CED"/>
    <w:rsid w:val="004651E3"/>
    <w:rsid w:val="00465599"/>
    <w:rsid w:val="004656E2"/>
    <w:rsid w:val="00465EF4"/>
    <w:rsid w:val="0046620A"/>
    <w:rsid w:val="004662C5"/>
    <w:rsid w:val="00466333"/>
    <w:rsid w:val="00466341"/>
    <w:rsid w:val="00466E0A"/>
    <w:rsid w:val="00466E10"/>
    <w:rsid w:val="00467255"/>
    <w:rsid w:val="00467428"/>
    <w:rsid w:val="00467679"/>
    <w:rsid w:val="0046790B"/>
    <w:rsid w:val="00467FAF"/>
    <w:rsid w:val="0047000B"/>
    <w:rsid w:val="0047010B"/>
    <w:rsid w:val="004705F9"/>
    <w:rsid w:val="00470781"/>
    <w:rsid w:val="00470C15"/>
    <w:rsid w:val="00470F5F"/>
    <w:rsid w:val="00471BBF"/>
    <w:rsid w:val="004722A6"/>
    <w:rsid w:val="004722B5"/>
    <w:rsid w:val="0047266B"/>
    <w:rsid w:val="00472F2D"/>
    <w:rsid w:val="00473041"/>
    <w:rsid w:val="004731F1"/>
    <w:rsid w:val="004738D8"/>
    <w:rsid w:val="00473CB8"/>
    <w:rsid w:val="00474567"/>
    <w:rsid w:val="00474817"/>
    <w:rsid w:val="00474827"/>
    <w:rsid w:val="00474AA6"/>
    <w:rsid w:val="00474DD1"/>
    <w:rsid w:val="00474F21"/>
    <w:rsid w:val="00475353"/>
    <w:rsid w:val="0047558F"/>
    <w:rsid w:val="004758B7"/>
    <w:rsid w:val="00475D1C"/>
    <w:rsid w:val="00475E7C"/>
    <w:rsid w:val="00475F00"/>
    <w:rsid w:val="00476382"/>
    <w:rsid w:val="00476ABD"/>
    <w:rsid w:val="0047737A"/>
    <w:rsid w:val="00477D76"/>
    <w:rsid w:val="00477E95"/>
    <w:rsid w:val="00477F0B"/>
    <w:rsid w:val="00480266"/>
    <w:rsid w:val="0048099E"/>
    <w:rsid w:val="00480AA6"/>
    <w:rsid w:val="00480AD7"/>
    <w:rsid w:val="00481A3E"/>
    <w:rsid w:val="00481C16"/>
    <w:rsid w:val="00481D3F"/>
    <w:rsid w:val="00481DD9"/>
    <w:rsid w:val="0048261F"/>
    <w:rsid w:val="00482BBE"/>
    <w:rsid w:val="00482CFF"/>
    <w:rsid w:val="00482DF7"/>
    <w:rsid w:val="0048328C"/>
    <w:rsid w:val="004836C4"/>
    <w:rsid w:val="00483CE6"/>
    <w:rsid w:val="004840BE"/>
    <w:rsid w:val="00484320"/>
    <w:rsid w:val="004848D8"/>
    <w:rsid w:val="00484D62"/>
    <w:rsid w:val="0048534D"/>
    <w:rsid w:val="00485BC4"/>
    <w:rsid w:val="00485F6B"/>
    <w:rsid w:val="004860DA"/>
    <w:rsid w:val="00486128"/>
    <w:rsid w:val="004862D0"/>
    <w:rsid w:val="00486838"/>
    <w:rsid w:val="00486E67"/>
    <w:rsid w:val="0048715E"/>
    <w:rsid w:val="00490123"/>
    <w:rsid w:val="00490886"/>
    <w:rsid w:val="00490C8C"/>
    <w:rsid w:val="004912D5"/>
    <w:rsid w:val="0049136C"/>
    <w:rsid w:val="00491850"/>
    <w:rsid w:val="00491AF6"/>
    <w:rsid w:val="00491FB3"/>
    <w:rsid w:val="00492280"/>
    <w:rsid w:val="00492BD6"/>
    <w:rsid w:val="00494013"/>
    <w:rsid w:val="004940D3"/>
    <w:rsid w:val="004949A3"/>
    <w:rsid w:val="00494CB0"/>
    <w:rsid w:val="00495639"/>
    <w:rsid w:val="0049577E"/>
    <w:rsid w:val="00495965"/>
    <w:rsid w:val="00495C1B"/>
    <w:rsid w:val="00495DCE"/>
    <w:rsid w:val="00496042"/>
    <w:rsid w:val="00496C81"/>
    <w:rsid w:val="00496F2F"/>
    <w:rsid w:val="00497372"/>
    <w:rsid w:val="00497459"/>
    <w:rsid w:val="00497580"/>
    <w:rsid w:val="00497769"/>
    <w:rsid w:val="004A1098"/>
    <w:rsid w:val="004A10B8"/>
    <w:rsid w:val="004A1365"/>
    <w:rsid w:val="004A1506"/>
    <w:rsid w:val="004A23DC"/>
    <w:rsid w:val="004A25B0"/>
    <w:rsid w:val="004A28A0"/>
    <w:rsid w:val="004A2995"/>
    <w:rsid w:val="004A2C5E"/>
    <w:rsid w:val="004A2DFD"/>
    <w:rsid w:val="004A3708"/>
    <w:rsid w:val="004A3B3B"/>
    <w:rsid w:val="004A44A2"/>
    <w:rsid w:val="004A50B6"/>
    <w:rsid w:val="004A55EF"/>
    <w:rsid w:val="004A564D"/>
    <w:rsid w:val="004A5668"/>
    <w:rsid w:val="004A5770"/>
    <w:rsid w:val="004A5890"/>
    <w:rsid w:val="004A5AC6"/>
    <w:rsid w:val="004A5BD5"/>
    <w:rsid w:val="004A5EBA"/>
    <w:rsid w:val="004A604D"/>
    <w:rsid w:val="004A6130"/>
    <w:rsid w:val="004A67CB"/>
    <w:rsid w:val="004A6A6B"/>
    <w:rsid w:val="004A6BCC"/>
    <w:rsid w:val="004A6F1F"/>
    <w:rsid w:val="004A706A"/>
    <w:rsid w:val="004A70F1"/>
    <w:rsid w:val="004A7FB2"/>
    <w:rsid w:val="004B039B"/>
    <w:rsid w:val="004B04EE"/>
    <w:rsid w:val="004B061D"/>
    <w:rsid w:val="004B090C"/>
    <w:rsid w:val="004B0D3B"/>
    <w:rsid w:val="004B1FC4"/>
    <w:rsid w:val="004B2129"/>
    <w:rsid w:val="004B218B"/>
    <w:rsid w:val="004B28C5"/>
    <w:rsid w:val="004B2914"/>
    <w:rsid w:val="004B29D0"/>
    <w:rsid w:val="004B2D32"/>
    <w:rsid w:val="004B3734"/>
    <w:rsid w:val="004B3A7D"/>
    <w:rsid w:val="004B3A88"/>
    <w:rsid w:val="004B3EA3"/>
    <w:rsid w:val="004B40F5"/>
    <w:rsid w:val="004B46D3"/>
    <w:rsid w:val="004B4A0E"/>
    <w:rsid w:val="004B4A25"/>
    <w:rsid w:val="004B4CE8"/>
    <w:rsid w:val="004B50B2"/>
    <w:rsid w:val="004B5246"/>
    <w:rsid w:val="004B6472"/>
    <w:rsid w:val="004B6A7A"/>
    <w:rsid w:val="004B7429"/>
    <w:rsid w:val="004B7611"/>
    <w:rsid w:val="004B7F3A"/>
    <w:rsid w:val="004C034E"/>
    <w:rsid w:val="004C037A"/>
    <w:rsid w:val="004C044E"/>
    <w:rsid w:val="004C098E"/>
    <w:rsid w:val="004C0B43"/>
    <w:rsid w:val="004C0E0B"/>
    <w:rsid w:val="004C0E4E"/>
    <w:rsid w:val="004C1191"/>
    <w:rsid w:val="004C14AF"/>
    <w:rsid w:val="004C1885"/>
    <w:rsid w:val="004C1B0A"/>
    <w:rsid w:val="004C1D09"/>
    <w:rsid w:val="004C1E79"/>
    <w:rsid w:val="004C20D5"/>
    <w:rsid w:val="004C2143"/>
    <w:rsid w:val="004C2431"/>
    <w:rsid w:val="004C2D60"/>
    <w:rsid w:val="004C2D69"/>
    <w:rsid w:val="004C3882"/>
    <w:rsid w:val="004C3C3B"/>
    <w:rsid w:val="004C490E"/>
    <w:rsid w:val="004C49B0"/>
    <w:rsid w:val="004C516C"/>
    <w:rsid w:val="004C537A"/>
    <w:rsid w:val="004C5AFD"/>
    <w:rsid w:val="004C5C8F"/>
    <w:rsid w:val="004C5EB6"/>
    <w:rsid w:val="004C64AA"/>
    <w:rsid w:val="004C658C"/>
    <w:rsid w:val="004C68C9"/>
    <w:rsid w:val="004C6E19"/>
    <w:rsid w:val="004C6EBE"/>
    <w:rsid w:val="004C72F7"/>
    <w:rsid w:val="004C7443"/>
    <w:rsid w:val="004C7614"/>
    <w:rsid w:val="004C77A1"/>
    <w:rsid w:val="004C7830"/>
    <w:rsid w:val="004C7E75"/>
    <w:rsid w:val="004D0726"/>
    <w:rsid w:val="004D0EF8"/>
    <w:rsid w:val="004D11FA"/>
    <w:rsid w:val="004D1417"/>
    <w:rsid w:val="004D1573"/>
    <w:rsid w:val="004D1E41"/>
    <w:rsid w:val="004D29D3"/>
    <w:rsid w:val="004D2C34"/>
    <w:rsid w:val="004D3880"/>
    <w:rsid w:val="004D3986"/>
    <w:rsid w:val="004D3B6E"/>
    <w:rsid w:val="004D44B3"/>
    <w:rsid w:val="004D45F5"/>
    <w:rsid w:val="004D492D"/>
    <w:rsid w:val="004D4969"/>
    <w:rsid w:val="004D563F"/>
    <w:rsid w:val="004D590B"/>
    <w:rsid w:val="004D5988"/>
    <w:rsid w:val="004D63F1"/>
    <w:rsid w:val="004D646C"/>
    <w:rsid w:val="004E0447"/>
    <w:rsid w:val="004E0ACA"/>
    <w:rsid w:val="004E0EE2"/>
    <w:rsid w:val="004E14A7"/>
    <w:rsid w:val="004E1AB5"/>
    <w:rsid w:val="004E1C08"/>
    <w:rsid w:val="004E258C"/>
    <w:rsid w:val="004E2B43"/>
    <w:rsid w:val="004E2C6D"/>
    <w:rsid w:val="004E2C83"/>
    <w:rsid w:val="004E2DAA"/>
    <w:rsid w:val="004E2F9F"/>
    <w:rsid w:val="004E32A0"/>
    <w:rsid w:val="004E32C8"/>
    <w:rsid w:val="004E341D"/>
    <w:rsid w:val="004E3756"/>
    <w:rsid w:val="004E3949"/>
    <w:rsid w:val="004E39A9"/>
    <w:rsid w:val="004E42CB"/>
    <w:rsid w:val="004E434D"/>
    <w:rsid w:val="004E4602"/>
    <w:rsid w:val="004E4896"/>
    <w:rsid w:val="004E52D5"/>
    <w:rsid w:val="004E56CC"/>
    <w:rsid w:val="004E58A4"/>
    <w:rsid w:val="004E6085"/>
    <w:rsid w:val="004E640F"/>
    <w:rsid w:val="004E657B"/>
    <w:rsid w:val="004E6620"/>
    <w:rsid w:val="004E6757"/>
    <w:rsid w:val="004E67F1"/>
    <w:rsid w:val="004E67FD"/>
    <w:rsid w:val="004E71D4"/>
    <w:rsid w:val="004E71F9"/>
    <w:rsid w:val="004F0258"/>
    <w:rsid w:val="004F057D"/>
    <w:rsid w:val="004F05DC"/>
    <w:rsid w:val="004F0C89"/>
    <w:rsid w:val="004F0D1A"/>
    <w:rsid w:val="004F0F3A"/>
    <w:rsid w:val="004F1147"/>
    <w:rsid w:val="004F1807"/>
    <w:rsid w:val="004F1C6C"/>
    <w:rsid w:val="004F22F8"/>
    <w:rsid w:val="004F23FA"/>
    <w:rsid w:val="004F2E08"/>
    <w:rsid w:val="004F38A0"/>
    <w:rsid w:val="004F3B96"/>
    <w:rsid w:val="004F3E5B"/>
    <w:rsid w:val="004F47FC"/>
    <w:rsid w:val="004F4922"/>
    <w:rsid w:val="004F4F41"/>
    <w:rsid w:val="004F502E"/>
    <w:rsid w:val="004F5414"/>
    <w:rsid w:val="004F6840"/>
    <w:rsid w:val="004F687F"/>
    <w:rsid w:val="004F6962"/>
    <w:rsid w:val="004F69F6"/>
    <w:rsid w:val="004F6C1F"/>
    <w:rsid w:val="004F6C83"/>
    <w:rsid w:val="004F6D52"/>
    <w:rsid w:val="004F7583"/>
    <w:rsid w:val="004F75D9"/>
    <w:rsid w:val="004F7E52"/>
    <w:rsid w:val="005008B4"/>
    <w:rsid w:val="005009A9"/>
    <w:rsid w:val="005010E9"/>
    <w:rsid w:val="00501FFD"/>
    <w:rsid w:val="00502ACD"/>
    <w:rsid w:val="00502AFA"/>
    <w:rsid w:val="005034E5"/>
    <w:rsid w:val="00503B94"/>
    <w:rsid w:val="00503FCF"/>
    <w:rsid w:val="00504A48"/>
    <w:rsid w:val="00504FC7"/>
    <w:rsid w:val="00505C8C"/>
    <w:rsid w:val="00506147"/>
    <w:rsid w:val="00506274"/>
    <w:rsid w:val="00506677"/>
    <w:rsid w:val="00506968"/>
    <w:rsid w:val="00506B41"/>
    <w:rsid w:val="00506CF8"/>
    <w:rsid w:val="00506D53"/>
    <w:rsid w:val="00506F3C"/>
    <w:rsid w:val="005075C3"/>
    <w:rsid w:val="005079ED"/>
    <w:rsid w:val="00507BE8"/>
    <w:rsid w:val="00507C26"/>
    <w:rsid w:val="00507E61"/>
    <w:rsid w:val="005100FA"/>
    <w:rsid w:val="005104A9"/>
    <w:rsid w:val="005104EC"/>
    <w:rsid w:val="0051056D"/>
    <w:rsid w:val="00510673"/>
    <w:rsid w:val="00511264"/>
    <w:rsid w:val="0051132B"/>
    <w:rsid w:val="00511457"/>
    <w:rsid w:val="0051184B"/>
    <w:rsid w:val="00511B39"/>
    <w:rsid w:val="00511F77"/>
    <w:rsid w:val="00512270"/>
    <w:rsid w:val="00512478"/>
    <w:rsid w:val="005126C2"/>
    <w:rsid w:val="005129EB"/>
    <w:rsid w:val="005129EF"/>
    <w:rsid w:val="0051339A"/>
    <w:rsid w:val="005138B5"/>
    <w:rsid w:val="00513953"/>
    <w:rsid w:val="00513C86"/>
    <w:rsid w:val="00513C98"/>
    <w:rsid w:val="00513D8A"/>
    <w:rsid w:val="00514194"/>
    <w:rsid w:val="005147E8"/>
    <w:rsid w:val="0051486E"/>
    <w:rsid w:val="00514AE9"/>
    <w:rsid w:val="00514AF7"/>
    <w:rsid w:val="005158BD"/>
    <w:rsid w:val="00515D71"/>
    <w:rsid w:val="00515E2C"/>
    <w:rsid w:val="0051635E"/>
    <w:rsid w:val="005165EE"/>
    <w:rsid w:val="005167E4"/>
    <w:rsid w:val="00516C66"/>
    <w:rsid w:val="00516C9A"/>
    <w:rsid w:val="00516F35"/>
    <w:rsid w:val="00517404"/>
    <w:rsid w:val="00517415"/>
    <w:rsid w:val="005177D3"/>
    <w:rsid w:val="00517A2D"/>
    <w:rsid w:val="00517D21"/>
    <w:rsid w:val="005203E3"/>
    <w:rsid w:val="0052056D"/>
    <w:rsid w:val="005209A3"/>
    <w:rsid w:val="00521B60"/>
    <w:rsid w:val="00522A52"/>
    <w:rsid w:val="005231A2"/>
    <w:rsid w:val="005234DD"/>
    <w:rsid w:val="005236F2"/>
    <w:rsid w:val="00523DD9"/>
    <w:rsid w:val="00523E1F"/>
    <w:rsid w:val="00524147"/>
    <w:rsid w:val="005244A7"/>
    <w:rsid w:val="005244DF"/>
    <w:rsid w:val="00524862"/>
    <w:rsid w:val="0052510A"/>
    <w:rsid w:val="0052693D"/>
    <w:rsid w:val="00527256"/>
    <w:rsid w:val="00527574"/>
    <w:rsid w:val="00527BDF"/>
    <w:rsid w:val="00527D7A"/>
    <w:rsid w:val="005302F4"/>
    <w:rsid w:val="00530550"/>
    <w:rsid w:val="005307BF"/>
    <w:rsid w:val="00530EA0"/>
    <w:rsid w:val="00530F8B"/>
    <w:rsid w:val="00531A23"/>
    <w:rsid w:val="00531AA5"/>
    <w:rsid w:val="00531B3D"/>
    <w:rsid w:val="00531C55"/>
    <w:rsid w:val="00531DEF"/>
    <w:rsid w:val="005323B8"/>
    <w:rsid w:val="00532B6D"/>
    <w:rsid w:val="00532F0E"/>
    <w:rsid w:val="005335A0"/>
    <w:rsid w:val="0053369B"/>
    <w:rsid w:val="00533BDC"/>
    <w:rsid w:val="00533E2D"/>
    <w:rsid w:val="00533EAE"/>
    <w:rsid w:val="005345D0"/>
    <w:rsid w:val="00534B36"/>
    <w:rsid w:val="00535368"/>
    <w:rsid w:val="00535588"/>
    <w:rsid w:val="005355A4"/>
    <w:rsid w:val="005355A9"/>
    <w:rsid w:val="00535632"/>
    <w:rsid w:val="00535862"/>
    <w:rsid w:val="0053675C"/>
    <w:rsid w:val="005367A9"/>
    <w:rsid w:val="00536A24"/>
    <w:rsid w:val="00536B4E"/>
    <w:rsid w:val="005370D8"/>
    <w:rsid w:val="0053778F"/>
    <w:rsid w:val="0053792C"/>
    <w:rsid w:val="00537A07"/>
    <w:rsid w:val="00537A11"/>
    <w:rsid w:val="00537A17"/>
    <w:rsid w:val="00537B22"/>
    <w:rsid w:val="005405FF"/>
    <w:rsid w:val="0054070C"/>
    <w:rsid w:val="00540886"/>
    <w:rsid w:val="00540F02"/>
    <w:rsid w:val="0054115D"/>
    <w:rsid w:val="005411DB"/>
    <w:rsid w:val="0054139D"/>
    <w:rsid w:val="005413C8"/>
    <w:rsid w:val="005414AE"/>
    <w:rsid w:val="005415D5"/>
    <w:rsid w:val="005416AA"/>
    <w:rsid w:val="005419EF"/>
    <w:rsid w:val="00542270"/>
    <w:rsid w:val="0054276D"/>
    <w:rsid w:val="00542A01"/>
    <w:rsid w:val="005435F5"/>
    <w:rsid w:val="00543ADE"/>
    <w:rsid w:val="00543D89"/>
    <w:rsid w:val="00543F44"/>
    <w:rsid w:val="00544A34"/>
    <w:rsid w:val="005450CB"/>
    <w:rsid w:val="00545704"/>
    <w:rsid w:val="005457D4"/>
    <w:rsid w:val="00546850"/>
    <w:rsid w:val="00546B68"/>
    <w:rsid w:val="00547509"/>
    <w:rsid w:val="005475A5"/>
    <w:rsid w:val="005475D3"/>
    <w:rsid w:val="00547675"/>
    <w:rsid w:val="005477F5"/>
    <w:rsid w:val="005478AA"/>
    <w:rsid w:val="00547A0B"/>
    <w:rsid w:val="00547B58"/>
    <w:rsid w:val="00547F80"/>
    <w:rsid w:val="00550478"/>
    <w:rsid w:val="005504CB"/>
    <w:rsid w:val="00550970"/>
    <w:rsid w:val="00550F7B"/>
    <w:rsid w:val="00551639"/>
    <w:rsid w:val="00551D05"/>
    <w:rsid w:val="00552177"/>
    <w:rsid w:val="005521A2"/>
    <w:rsid w:val="00552266"/>
    <w:rsid w:val="0055267B"/>
    <w:rsid w:val="0055274D"/>
    <w:rsid w:val="0055279C"/>
    <w:rsid w:val="00552AFC"/>
    <w:rsid w:val="00552B49"/>
    <w:rsid w:val="00552E15"/>
    <w:rsid w:val="00552EBE"/>
    <w:rsid w:val="00553EDC"/>
    <w:rsid w:val="00554063"/>
    <w:rsid w:val="00554085"/>
    <w:rsid w:val="00554775"/>
    <w:rsid w:val="00554B0A"/>
    <w:rsid w:val="00554E88"/>
    <w:rsid w:val="005551D8"/>
    <w:rsid w:val="005557D3"/>
    <w:rsid w:val="00555B40"/>
    <w:rsid w:val="00556F7E"/>
    <w:rsid w:val="00557524"/>
    <w:rsid w:val="00557585"/>
    <w:rsid w:val="0055796B"/>
    <w:rsid w:val="00557DFD"/>
    <w:rsid w:val="0056004A"/>
    <w:rsid w:val="00560272"/>
    <w:rsid w:val="005609D4"/>
    <w:rsid w:val="00560AEA"/>
    <w:rsid w:val="00561514"/>
    <w:rsid w:val="00561519"/>
    <w:rsid w:val="00561618"/>
    <w:rsid w:val="00561B3B"/>
    <w:rsid w:val="00561BA2"/>
    <w:rsid w:val="00562955"/>
    <w:rsid w:val="005629E5"/>
    <w:rsid w:val="00562B93"/>
    <w:rsid w:val="00562E31"/>
    <w:rsid w:val="0056337E"/>
    <w:rsid w:val="00563687"/>
    <w:rsid w:val="00563AA7"/>
    <w:rsid w:val="0056434F"/>
    <w:rsid w:val="00564970"/>
    <w:rsid w:val="00565906"/>
    <w:rsid w:val="00565BA4"/>
    <w:rsid w:val="00565C27"/>
    <w:rsid w:val="00565DF8"/>
    <w:rsid w:val="0056635C"/>
    <w:rsid w:val="005668E0"/>
    <w:rsid w:val="00566B11"/>
    <w:rsid w:val="00566D25"/>
    <w:rsid w:val="00567126"/>
    <w:rsid w:val="005675B0"/>
    <w:rsid w:val="00567D39"/>
    <w:rsid w:val="00567FC9"/>
    <w:rsid w:val="00570140"/>
    <w:rsid w:val="005701A7"/>
    <w:rsid w:val="0057121A"/>
    <w:rsid w:val="005714FE"/>
    <w:rsid w:val="0057153A"/>
    <w:rsid w:val="005719E7"/>
    <w:rsid w:val="00571B87"/>
    <w:rsid w:val="00571CAD"/>
    <w:rsid w:val="005723FE"/>
    <w:rsid w:val="00572654"/>
    <w:rsid w:val="0057306C"/>
    <w:rsid w:val="0057319C"/>
    <w:rsid w:val="00573326"/>
    <w:rsid w:val="005735CF"/>
    <w:rsid w:val="00573A3C"/>
    <w:rsid w:val="005741DF"/>
    <w:rsid w:val="0057457F"/>
    <w:rsid w:val="00574BB8"/>
    <w:rsid w:val="00575016"/>
    <w:rsid w:val="0057529C"/>
    <w:rsid w:val="005752E1"/>
    <w:rsid w:val="005753FD"/>
    <w:rsid w:val="00575414"/>
    <w:rsid w:val="0057603D"/>
    <w:rsid w:val="00576927"/>
    <w:rsid w:val="0057695F"/>
    <w:rsid w:val="00576EBE"/>
    <w:rsid w:val="00577419"/>
    <w:rsid w:val="00577C2B"/>
    <w:rsid w:val="00577EEF"/>
    <w:rsid w:val="00580752"/>
    <w:rsid w:val="0058113D"/>
    <w:rsid w:val="00581544"/>
    <w:rsid w:val="00581A37"/>
    <w:rsid w:val="00581B08"/>
    <w:rsid w:val="00581BFE"/>
    <w:rsid w:val="005821BC"/>
    <w:rsid w:val="005821CD"/>
    <w:rsid w:val="005828AA"/>
    <w:rsid w:val="00582B16"/>
    <w:rsid w:val="00583AD7"/>
    <w:rsid w:val="00584011"/>
    <w:rsid w:val="00584CFB"/>
    <w:rsid w:val="00584D29"/>
    <w:rsid w:val="00585027"/>
    <w:rsid w:val="00585086"/>
    <w:rsid w:val="0058554F"/>
    <w:rsid w:val="00585A16"/>
    <w:rsid w:val="00585A24"/>
    <w:rsid w:val="005863F5"/>
    <w:rsid w:val="005866BE"/>
    <w:rsid w:val="00586F87"/>
    <w:rsid w:val="005870CE"/>
    <w:rsid w:val="005875E8"/>
    <w:rsid w:val="00587892"/>
    <w:rsid w:val="005901C6"/>
    <w:rsid w:val="005903B8"/>
    <w:rsid w:val="00590B62"/>
    <w:rsid w:val="00590D08"/>
    <w:rsid w:val="00590FCE"/>
    <w:rsid w:val="005912D8"/>
    <w:rsid w:val="00591382"/>
    <w:rsid w:val="00591789"/>
    <w:rsid w:val="005919BF"/>
    <w:rsid w:val="00591B89"/>
    <w:rsid w:val="00591FC4"/>
    <w:rsid w:val="00592430"/>
    <w:rsid w:val="005924E7"/>
    <w:rsid w:val="00592ACA"/>
    <w:rsid w:val="00592DA2"/>
    <w:rsid w:val="00592E79"/>
    <w:rsid w:val="00592EEF"/>
    <w:rsid w:val="0059375D"/>
    <w:rsid w:val="00594204"/>
    <w:rsid w:val="00594383"/>
    <w:rsid w:val="005944CA"/>
    <w:rsid w:val="00594904"/>
    <w:rsid w:val="00597181"/>
    <w:rsid w:val="00597A75"/>
    <w:rsid w:val="00597C51"/>
    <w:rsid w:val="00597D50"/>
    <w:rsid w:val="00597EE3"/>
    <w:rsid w:val="005A0035"/>
    <w:rsid w:val="005A00E2"/>
    <w:rsid w:val="005A025C"/>
    <w:rsid w:val="005A033A"/>
    <w:rsid w:val="005A064D"/>
    <w:rsid w:val="005A06B9"/>
    <w:rsid w:val="005A06E2"/>
    <w:rsid w:val="005A1075"/>
    <w:rsid w:val="005A1666"/>
    <w:rsid w:val="005A1C5B"/>
    <w:rsid w:val="005A1C74"/>
    <w:rsid w:val="005A2B71"/>
    <w:rsid w:val="005A3536"/>
    <w:rsid w:val="005A35F5"/>
    <w:rsid w:val="005A3ED0"/>
    <w:rsid w:val="005A3F85"/>
    <w:rsid w:val="005A435D"/>
    <w:rsid w:val="005A4579"/>
    <w:rsid w:val="005A539E"/>
    <w:rsid w:val="005A5999"/>
    <w:rsid w:val="005A5C15"/>
    <w:rsid w:val="005A5ED1"/>
    <w:rsid w:val="005A6286"/>
    <w:rsid w:val="005A6311"/>
    <w:rsid w:val="005A6346"/>
    <w:rsid w:val="005A655E"/>
    <w:rsid w:val="005A666E"/>
    <w:rsid w:val="005A694D"/>
    <w:rsid w:val="005A6D2F"/>
    <w:rsid w:val="005A73EE"/>
    <w:rsid w:val="005A7997"/>
    <w:rsid w:val="005A7BBA"/>
    <w:rsid w:val="005B082B"/>
    <w:rsid w:val="005B09F5"/>
    <w:rsid w:val="005B17DD"/>
    <w:rsid w:val="005B17E8"/>
    <w:rsid w:val="005B1DD4"/>
    <w:rsid w:val="005B1E97"/>
    <w:rsid w:val="005B21DD"/>
    <w:rsid w:val="005B21FB"/>
    <w:rsid w:val="005B22E1"/>
    <w:rsid w:val="005B2589"/>
    <w:rsid w:val="005B28F5"/>
    <w:rsid w:val="005B29DA"/>
    <w:rsid w:val="005B30B2"/>
    <w:rsid w:val="005B30FC"/>
    <w:rsid w:val="005B343F"/>
    <w:rsid w:val="005B3962"/>
    <w:rsid w:val="005B3B5A"/>
    <w:rsid w:val="005B3B76"/>
    <w:rsid w:val="005B4329"/>
    <w:rsid w:val="005B4430"/>
    <w:rsid w:val="005B47BE"/>
    <w:rsid w:val="005B507F"/>
    <w:rsid w:val="005B5626"/>
    <w:rsid w:val="005B5A17"/>
    <w:rsid w:val="005B5BAC"/>
    <w:rsid w:val="005B5F94"/>
    <w:rsid w:val="005B5FE9"/>
    <w:rsid w:val="005B6056"/>
    <w:rsid w:val="005B63FE"/>
    <w:rsid w:val="005B699A"/>
    <w:rsid w:val="005B6E4B"/>
    <w:rsid w:val="005B72C9"/>
    <w:rsid w:val="005C0014"/>
    <w:rsid w:val="005C0424"/>
    <w:rsid w:val="005C0A90"/>
    <w:rsid w:val="005C0AFC"/>
    <w:rsid w:val="005C0C3B"/>
    <w:rsid w:val="005C0D75"/>
    <w:rsid w:val="005C15EB"/>
    <w:rsid w:val="005C164F"/>
    <w:rsid w:val="005C1AB2"/>
    <w:rsid w:val="005C1EF2"/>
    <w:rsid w:val="005C2234"/>
    <w:rsid w:val="005C2338"/>
    <w:rsid w:val="005C2676"/>
    <w:rsid w:val="005C296C"/>
    <w:rsid w:val="005C29FA"/>
    <w:rsid w:val="005C319D"/>
    <w:rsid w:val="005C31BC"/>
    <w:rsid w:val="005C371D"/>
    <w:rsid w:val="005C3F8A"/>
    <w:rsid w:val="005C413D"/>
    <w:rsid w:val="005C4156"/>
    <w:rsid w:val="005C417C"/>
    <w:rsid w:val="005C47FE"/>
    <w:rsid w:val="005C4CB0"/>
    <w:rsid w:val="005C4CF7"/>
    <w:rsid w:val="005C4EB4"/>
    <w:rsid w:val="005C4F32"/>
    <w:rsid w:val="005C4F9E"/>
    <w:rsid w:val="005C4FEC"/>
    <w:rsid w:val="005C50DE"/>
    <w:rsid w:val="005C512A"/>
    <w:rsid w:val="005C5669"/>
    <w:rsid w:val="005C57C6"/>
    <w:rsid w:val="005C59AA"/>
    <w:rsid w:val="005C5BB2"/>
    <w:rsid w:val="005C5E90"/>
    <w:rsid w:val="005C60E9"/>
    <w:rsid w:val="005C6473"/>
    <w:rsid w:val="005C6584"/>
    <w:rsid w:val="005C6713"/>
    <w:rsid w:val="005C6ABB"/>
    <w:rsid w:val="005C6AD7"/>
    <w:rsid w:val="005C6CCE"/>
    <w:rsid w:val="005C6DC0"/>
    <w:rsid w:val="005C71CC"/>
    <w:rsid w:val="005C78DD"/>
    <w:rsid w:val="005C7AC4"/>
    <w:rsid w:val="005C7B9A"/>
    <w:rsid w:val="005C7F6D"/>
    <w:rsid w:val="005D0197"/>
    <w:rsid w:val="005D04C8"/>
    <w:rsid w:val="005D08D8"/>
    <w:rsid w:val="005D115D"/>
    <w:rsid w:val="005D1179"/>
    <w:rsid w:val="005D12EB"/>
    <w:rsid w:val="005D1490"/>
    <w:rsid w:val="005D16E4"/>
    <w:rsid w:val="005D1B42"/>
    <w:rsid w:val="005D1D57"/>
    <w:rsid w:val="005D1DC7"/>
    <w:rsid w:val="005D221B"/>
    <w:rsid w:val="005D2875"/>
    <w:rsid w:val="005D2A41"/>
    <w:rsid w:val="005D30BA"/>
    <w:rsid w:val="005D349A"/>
    <w:rsid w:val="005D3986"/>
    <w:rsid w:val="005D40ED"/>
    <w:rsid w:val="005D42A8"/>
    <w:rsid w:val="005D5019"/>
    <w:rsid w:val="005D50F4"/>
    <w:rsid w:val="005D51DB"/>
    <w:rsid w:val="005D5327"/>
    <w:rsid w:val="005D53F6"/>
    <w:rsid w:val="005D58FD"/>
    <w:rsid w:val="005D5D94"/>
    <w:rsid w:val="005D6D00"/>
    <w:rsid w:val="005D6F4B"/>
    <w:rsid w:val="005D79C1"/>
    <w:rsid w:val="005D7C40"/>
    <w:rsid w:val="005E00BD"/>
    <w:rsid w:val="005E0147"/>
    <w:rsid w:val="005E0FC4"/>
    <w:rsid w:val="005E1EF3"/>
    <w:rsid w:val="005E21C1"/>
    <w:rsid w:val="005E26B3"/>
    <w:rsid w:val="005E27AA"/>
    <w:rsid w:val="005E288A"/>
    <w:rsid w:val="005E30A7"/>
    <w:rsid w:val="005E3739"/>
    <w:rsid w:val="005E3DA4"/>
    <w:rsid w:val="005E3DA6"/>
    <w:rsid w:val="005E3DB6"/>
    <w:rsid w:val="005E40E0"/>
    <w:rsid w:val="005E41BE"/>
    <w:rsid w:val="005E41C0"/>
    <w:rsid w:val="005E50D7"/>
    <w:rsid w:val="005E5426"/>
    <w:rsid w:val="005E555D"/>
    <w:rsid w:val="005E5DC4"/>
    <w:rsid w:val="005E65AC"/>
    <w:rsid w:val="005E6827"/>
    <w:rsid w:val="005E7188"/>
    <w:rsid w:val="005E7408"/>
    <w:rsid w:val="005E754D"/>
    <w:rsid w:val="005E7593"/>
    <w:rsid w:val="005E787B"/>
    <w:rsid w:val="005E7C73"/>
    <w:rsid w:val="005F0503"/>
    <w:rsid w:val="005F072C"/>
    <w:rsid w:val="005F0D0E"/>
    <w:rsid w:val="005F0DF7"/>
    <w:rsid w:val="005F149F"/>
    <w:rsid w:val="005F15B0"/>
    <w:rsid w:val="005F1879"/>
    <w:rsid w:val="005F1B5A"/>
    <w:rsid w:val="005F2089"/>
    <w:rsid w:val="005F22A7"/>
    <w:rsid w:val="005F25D7"/>
    <w:rsid w:val="005F2CBF"/>
    <w:rsid w:val="005F3012"/>
    <w:rsid w:val="005F3439"/>
    <w:rsid w:val="005F3E3A"/>
    <w:rsid w:val="005F3E51"/>
    <w:rsid w:val="005F4261"/>
    <w:rsid w:val="005F442F"/>
    <w:rsid w:val="005F4784"/>
    <w:rsid w:val="005F56AE"/>
    <w:rsid w:val="005F5F8F"/>
    <w:rsid w:val="005F77A6"/>
    <w:rsid w:val="005F781A"/>
    <w:rsid w:val="005F7CC5"/>
    <w:rsid w:val="006002D8"/>
    <w:rsid w:val="00600335"/>
    <w:rsid w:val="006003BA"/>
    <w:rsid w:val="00600A0C"/>
    <w:rsid w:val="00600B25"/>
    <w:rsid w:val="00600CB5"/>
    <w:rsid w:val="00600FAC"/>
    <w:rsid w:val="00601010"/>
    <w:rsid w:val="006011CF"/>
    <w:rsid w:val="006018F8"/>
    <w:rsid w:val="00601C2A"/>
    <w:rsid w:val="0060216E"/>
    <w:rsid w:val="00602E43"/>
    <w:rsid w:val="006034CA"/>
    <w:rsid w:val="00603749"/>
    <w:rsid w:val="00603C82"/>
    <w:rsid w:val="00604B22"/>
    <w:rsid w:val="00604B43"/>
    <w:rsid w:val="00604DEB"/>
    <w:rsid w:val="00605496"/>
    <w:rsid w:val="006058EC"/>
    <w:rsid w:val="0060625E"/>
    <w:rsid w:val="00606D58"/>
    <w:rsid w:val="00606D5C"/>
    <w:rsid w:val="00606DDA"/>
    <w:rsid w:val="00606FF4"/>
    <w:rsid w:val="006074E3"/>
    <w:rsid w:val="00607B49"/>
    <w:rsid w:val="0061026B"/>
    <w:rsid w:val="00610803"/>
    <w:rsid w:val="00610A1B"/>
    <w:rsid w:val="00611304"/>
    <w:rsid w:val="00611406"/>
    <w:rsid w:val="006115FD"/>
    <w:rsid w:val="0061219C"/>
    <w:rsid w:val="00612344"/>
    <w:rsid w:val="006123DF"/>
    <w:rsid w:val="00612AD8"/>
    <w:rsid w:val="00612C03"/>
    <w:rsid w:val="00612EA1"/>
    <w:rsid w:val="006130C1"/>
    <w:rsid w:val="006138D2"/>
    <w:rsid w:val="00613F66"/>
    <w:rsid w:val="00614183"/>
    <w:rsid w:val="006142C0"/>
    <w:rsid w:val="006147DC"/>
    <w:rsid w:val="006148C7"/>
    <w:rsid w:val="00614A20"/>
    <w:rsid w:val="006155E6"/>
    <w:rsid w:val="00615909"/>
    <w:rsid w:val="00615B68"/>
    <w:rsid w:val="00615DF7"/>
    <w:rsid w:val="0061673A"/>
    <w:rsid w:val="00616B1A"/>
    <w:rsid w:val="0061717F"/>
    <w:rsid w:val="0061725A"/>
    <w:rsid w:val="00617773"/>
    <w:rsid w:val="006178A4"/>
    <w:rsid w:val="006179A3"/>
    <w:rsid w:val="00617B79"/>
    <w:rsid w:val="00620746"/>
    <w:rsid w:val="00620BC8"/>
    <w:rsid w:val="00620DCD"/>
    <w:rsid w:val="00620EFE"/>
    <w:rsid w:val="0062102A"/>
    <w:rsid w:val="0062105C"/>
    <w:rsid w:val="00621410"/>
    <w:rsid w:val="00621FDB"/>
    <w:rsid w:val="0062265B"/>
    <w:rsid w:val="00622936"/>
    <w:rsid w:val="00622D66"/>
    <w:rsid w:val="00622FED"/>
    <w:rsid w:val="006237ED"/>
    <w:rsid w:val="0062385A"/>
    <w:rsid w:val="006238FB"/>
    <w:rsid w:val="00623CFD"/>
    <w:rsid w:val="0062411A"/>
    <w:rsid w:val="006243A5"/>
    <w:rsid w:val="00624915"/>
    <w:rsid w:val="00624D88"/>
    <w:rsid w:val="00624FCA"/>
    <w:rsid w:val="0062542B"/>
    <w:rsid w:val="00625DAA"/>
    <w:rsid w:val="00625E48"/>
    <w:rsid w:val="00626818"/>
    <w:rsid w:val="006271AA"/>
    <w:rsid w:val="006271CB"/>
    <w:rsid w:val="00627271"/>
    <w:rsid w:val="00627424"/>
    <w:rsid w:val="006278AF"/>
    <w:rsid w:val="0062790C"/>
    <w:rsid w:val="00627EBA"/>
    <w:rsid w:val="00630141"/>
    <w:rsid w:val="0063034D"/>
    <w:rsid w:val="0063038B"/>
    <w:rsid w:val="00630767"/>
    <w:rsid w:val="00630825"/>
    <w:rsid w:val="006309C9"/>
    <w:rsid w:val="00630A01"/>
    <w:rsid w:val="0063113E"/>
    <w:rsid w:val="0063175E"/>
    <w:rsid w:val="0063187B"/>
    <w:rsid w:val="0063197A"/>
    <w:rsid w:val="00632415"/>
    <w:rsid w:val="00632663"/>
    <w:rsid w:val="0063271C"/>
    <w:rsid w:val="00632CBF"/>
    <w:rsid w:val="00632D5B"/>
    <w:rsid w:val="00633471"/>
    <w:rsid w:val="00634494"/>
    <w:rsid w:val="006347E6"/>
    <w:rsid w:val="0063515C"/>
    <w:rsid w:val="0063526E"/>
    <w:rsid w:val="006355AB"/>
    <w:rsid w:val="00635642"/>
    <w:rsid w:val="00635BB0"/>
    <w:rsid w:val="00635BC1"/>
    <w:rsid w:val="00635D2D"/>
    <w:rsid w:val="00635FD1"/>
    <w:rsid w:val="006361DD"/>
    <w:rsid w:val="006363A4"/>
    <w:rsid w:val="00636C69"/>
    <w:rsid w:val="006371ED"/>
    <w:rsid w:val="00637640"/>
    <w:rsid w:val="00637E70"/>
    <w:rsid w:val="006405D7"/>
    <w:rsid w:val="006410C3"/>
    <w:rsid w:val="006411AE"/>
    <w:rsid w:val="006416C6"/>
    <w:rsid w:val="00641A94"/>
    <w:rsid w:val="00641DCC"/>
    <w:rsid w:val="0064228D"/>
    <w:rsid w:val="00642939"/>
    <w:rsid w:val="00642A4E"/>
    <w:rsid w:val="00642F0E"/>
    <w:rsid w:val="006430AC"/>
    <w:rsid w:val="0064373E"/>
    <w:rsid w:val="00643815"/>
    <w:rsid w:val="006439C0"/>
    <w:rsid w:val="00643E33"/>
    <w:rsid w:val="0064453D"/>
    <w:rsid w:val="00644DDE"/>
    <w:rsid w:val="00644FD3"/>
    <w:rsid w:val="00645453"/>
    <w:rsid w:val="00645A33"/>
    <w:rsid w:val="00645ECD"/>
    <w:rsid w:val="00645F33"/>
    <w:rsid w:val="00646792"/>
    <w:rsid w:val="00646946"/>
    <w:rsid w:val="006469BE"/>
    <w:rsid w:val="00646E33"/>
    <w:rsid w:val="00646E66"/>
    <w:rsid w:val="006473A7"/>
    <w:rsid w:val="0064789A"/>
    <w:rsid w:val="0064798E"/>
    <w:rsid w:val="00647B47"/>
    <w:rsid w:val="00647C0B"/>
    <w:rsid w:val="00647D02"/>
    <w:rsid w:val="006503A9"/>
    <w:rsid w:val="006504A8"/>
    <w:rsid w:val="00650514"/>
    <w:rsid w:val="006506F5"/>
    <w:rsid w:val="00650705"/>
    <w:rsid w:val="00650C48"/>
    <w:rsid w:val="00650E27"/>
    <w:rsid w:val="00651063"/>
    <w:rsid w:val="006518EF"/>
    <w:rsid w:val="00651D17"/>
    <w:rsid w:val="00652529"/>
    <w:rsid w:val="006525B9"/>
    <w:rsid w:val="006526A5"/>
    <w:rsid w:val="00652859"/>
    <w:rsid w:val="00652A2F"/>
    <w:rsid w:val="00652E00"/>
    <w:rsid w:val="00653A58"/>
    <w:rsid w:val="00653B56"/>
    <w:rsid w:val="00653E41"/>
    <w:rsid w:val="00653EC0"/>
    <w:rsid w:val="00654F5A"/>
    <w:rsid w:val="00655292"/>
    <w:rsid w:val="0065534F"/>
    <w:rsid w:val="00655C02"/>
    <w:rsid w:val="00655C06"/>
    <w:rsid w:val="00656287"/>
    <w:rsid w:val="00656393"/>
    <w:rsid w:val="006565C7"/>
    <w:rsid w:val="00657212"/>
    <w:rsid w:val="00657303"/>
    <w:rsid w:val="00657931"/>
    <w:rsid w:val="006579A6"/>
    <w:rsid w:val="0066055C"/>
    <w:rsid w:val="006613C8"/>
    <w:rsid w:val="00661415"/>
    <w:rsid w:val="006618E2"/>
    <w:rsid w:val="006619E4"/>
    <w:rsid w:val="00661E5C"/>
    <w:rsid w:val="006623C8"/>
    <w:rsid w:val="00662552"/>
    <w:rsid w:val="006626CC"/>
    <w:rsid w:val="006627AD"/>
    <w:rsid w:val="00662B0F"/>
    <w:rsid w:val="00663CD6"/>
    <w:rsid w:val="00663DBB"/>
    <w:rsid w:val="006641DB"/>
    <w:rsid w:val="00664D82"/>
    <w:rsid w:val="00664FAA"/>
    <w:rsid w:val="006656BD"/>
    <w:rsid w:val="00666472"/>
    <w:rsid w:val="006664F3"/>
    <w:rsid w:val="00666573"/>
    <w:rsid w:val="00666E74"/>
    <w:rsid w:val="00667571"/>
    <w:rsid w:val="0067033F"/>
    <w:rsid w:val="0067064E"/>
    <w:rsid w:val="0067109F"/>
    <w:rsid w:val="0067140F"/>
    <w:rsid w:val="00671498"/>
    <w:rsid w:val="00672649"/>
    <w:rsid w:val="00672BD6"/>
    <w:rsid w:val="00672CDF"/>
    <w:rsid w:val="00672F0E"/>
    <w:rsid w:val="0067314A"/>
    <w:rsid w:val="00673873"/>
    <w:rsid w:val="00673B23"/>
    <w:rsid w:val="0067419B"/>
    <w:rsid w:val="0067429D"/>
    <w:rsid w:val="0067458B"/>
    <w:rsid w:val="00674A88"/>
    <w:rsid w:val="00674D44"/>
    <w:rsid w:val="00675718"/>
    <w:rsid w:val="0067594C"/>
    <w:rsid w:val="00675C57"/>
    <w:rsid w:val="006762ED"/>
    <w:rsid w:val="0067630C"/>
    <w:rsid w:val="006765A5"/>
    <w:rsid w:val="00676B40"/>
    <w:rsid w:val="00676BDD"/>
    <w:rsid w:val="00676FE8"/>
    <w:rsid w:val="006770BF"/>
    <w:rsid w:val="006771C5"/>
    <w:rsid w:val="00677550"/>
    <w:rsid w:val="00677DDD"/>
    <w:rsid w:val="006806F0"/>
    <w:rsid w:val="00680BA5"/>
    <w:rsid w:val="00680F0D"/>
    <w:rsid w:val="006815DF"/>
    <w:rsid w:val="00681768"/>
    <w:rsid w:val="006818FE"/>
    <w:rsid w:val="00681B67"/>
    <w:rsid w:val="00682368"/>
    <w:rsid w:val="006835E7"/>
    <w:rsid w:val="0068388B"/>
    <w:rsid w:val="00683B1B"/>
    <w:rsid w:val="00683CFF"/>
    <w:rsid w:val="00683F03"/>
    <w:rsid w:val="00683FF5"/>
    <w:rsid w:val="00683FFB"/>
    <w:rsid w:val="00684ADC"/>
    <w:rsid w:val="0068548E"/>
    <w:rsid w:val="00685556"/>
    <w:rsid w:val="006855C4"/>
    <w:rsid w:val="00685D63"/>
    <w:rsid w:val="00686054"/>
    <w:rsid w:val="006865A3"/>
    <w:rsid w:val="006869EF"/>
    <w:rsid w:val="00686CDD"/>
    <w:rsid w:val="00686FD4"/>
    <w:rsid w:val="00687204"/>
    <w:rsid w:val="0068740F"/>
    <w:rsid w:val="006876A0"/>
    <w:rsid w:val="00687E8A"/>
    <w:rsid w:val="00687EEF"/>
    <w:rsid w:val="006901BC"/>
    <w:rsid w:val="00690CBB"/>
    <w:rsid w:val="00690F01"/>
    <w:rsid w:val="00691812"/>
    <w:rsid w:val="00691EA1"/>
    <w:rsid w:val="006923D4"/>
    <w:rsid w:val="006929C6"/>
    <w:rsid w:val="00692C22"/>
    <w:rsid w:val="00693104"/>
    <w:rsid w:val="00693130"/>
    <w:rsid w:val="00693613"/>
    <w:rsid w:val="00693634"/>
    <w:rsid w:val="0069495A"/>
    <w:rsid w:val="006954D3"/>
    <w:rsid w:val="00695653"/>
    <w:rsid w:val="00695C3B"/>
    <w:rsid w:val="00695DE0"/>
    <w:rsid w:val="00696061"/>
    <w:rsid w:val="00696413"/>
    <w:rsid w:val="006967E4"/>
    <w:rsid w:val="00696AF6"/>
    <w:rsid w:val="00697403"/>
    <w:rsid w:val="00697D76"/>
    <w:rsid w:val="006A0040"/>
    <w:rsid w:val="006A00BE"/>
    <w:rsid w:val="006A0312"/>
    <w:rsid w:val="006A099C"/>
    <w:rsid w:val="006A0CE4"/>
    <w:rsid w:val="006A0E1F"/>
    <w:rsid w:val="006A0EDB"/>
    <w:rsid w:val="006A0F32"/>
    <w:rsid w:val="006A10DE"/>
    <w:rsid w:val="006A12FD"/>
    <w:rsid w:val="006A1737"/>
    <w:rsid w:val="006A1B0A"/>
    <w:rsid w:val="006A1C83"/>
    <w:rsid w:val="006A294C"/>
    <w:rsid w:val="006A2977"/>
    <w:rsid w:val="006A2B3F"/>
    <w:rsid w:val="006A3740"/>
    <w:rsid w:val="006A37E7"/>
    <w:rsid w:val="006A40DE"/>
    <w:rsid w:val="006A482D"/>
    <w:rsid w:val="006A4AE8"/>
    <w:rsid w:val="006A4EA7"/>
    <w:rsid w:val="006A4FFF"/>
    <w:rsid w:val="006A516F"/>
    <w:rsid w:val="006A5E45"/>
    <w:rsid w:val="006A633E"/>
    <w:rsid w:val="006A6448"/>
    <w:rsid w:val="006A654A"/>
    <w:rsid w:val="006A6B81"/>
    <w:rsid w:val="006A6DB4"/>
    <w:rsid w:val="006A6DF0"/>
    <w:rsid w:val="006A7087"/>
    <w:rsid w:val="006A7251"/>
    <w:rsid w:val="006A72F1"/>
    <w:rsid w:val="006A737E"/>
    <w:rsid w:val="006A742C"/>
    <w:rsid w:val="006A76DA"/>
    <w:rsid w:val="006A7754"/>
    <w:rsid w:val="006A7AC5"/>
    <w:rsid w:val="006B02B7"/>
    <w:rsid w:val="006B078C"/>
    <w:rsid w:val="006B0CD3"/>
    <w:rsid w:val="006B108E"/>
    <w:rsid w:val="006B111C"/>
    <w:rsid w:val="006B124D"/>
    <w:rsid w:val="006B1480"/>
    <w:rsid w:val="006B17E1"/>
    <w:rsid w:val="006B19C0"/>
    <w:rsid w:val="006B1B6F"/>
    <w:rsid w:val="006B2719"/>
    <w:rsid w:val="006B29F7"/>
    <w:rsid w:val="006B3752"/>
    <w:rsid w:val="006B41C3"/>
    <w:rsid w:val="006B4326"/>
    <w:rsid w:val="006B4C44"/>
    <w:rsid w:val="006B4FDA"/>
    <w:rsid w:val="006B53A2"/>
    <w:rsid w:val="006B55F0"/>
    <w:rsid w:val="006B5D00"/>
    <w:rsid w:val="006B6087"/>
    <w:rsid w:val="006B66A4"/>
    <w:rsid w:val="006B6995"/>
    <w:rsid w:val="006B6A26"/>
    <w:rsid w:val="006B6D6E"/>
    <w:rsid w:val="006B71C5"/>
    <w:rsid w:val="006B7263"/>
    <w:rsid w:val="006B72BD"/>
    <w:rsid w:val="006C054B"/>
    <w:rsid w:val="006C05ED"/>
    <w:rsid w:val="006C07E9"/>
    <w:rsid w:val="006C120C"/>
    <w:rsid w:val="006C1258"/>
    <w:rsid w:val="006C146B"/>
    <w:rsid w:val="006C274B"/>
    <w:rsid w:val="006C295B"/>
    <w:rsid w:val="006C2960"/>
    <w:rsid w:val="006C2C32"/>
    <w:rsid w:val="006C2D06"/>
    <w:rsid w:val="006C2EFB"/>
    <w:rsid w:val="006C38D5"/>
    <w:rsid w:val="006C3A9E"/>
    <w:rsid w:val="006C3C0B"/>
    <w:rsid w:val="006C3D9A"/>
    <w:rsid w:val="006C3F5E"/>
    <w:rsid w:val="006C3FF6"/>
    <w:rsid w:val="006C415A"/>
    <w:rsid w:val="006C487C"/>
    <w:rsid w:val="006C48F3"/>
    <w:rsid w:val="006C4961"/>
    <w:rsid w:val="006C4CE9"/>
    <w:rsid w:val="006C4D81"/>
    <w:rsid w:val="006C52D7"/>
    <w:rsid w:val="006C552A"/>
    <w:rsid w:val="006C6516"/>
    <w:rsid w:val="006C65D7"/>
    <w:rsid w:val="006C667C"/>
    <w:rsid w:val="006C6687"/>
    <w:rsid w:val="006C694A"/>
    <w:rsid w:val="006C69D9"/>
    <w:rsid w:val="006C6EBB"/>
    <w:rsid w:val="006C6F82"/>
    <w:rsid w:val="006C7172"/>
    <w:rsid w:val="006C74A5"/>
    <w:rsid w:val="006D0767"/>
    <w:rsid w:val="006D0856"/>
    <w:rsid w:val="006D0F63"/>
    <w:rsid w:val="006D10A8"/>
    <w:rsid w:val="006D1219"/>
    <w:rsid w:val="006D1384"/>
    <w:rsid w:val="006D14B3"/>
    <w:rsid w:val="006D1557"/>
    <w:rsid w:val="006D160B"/>
    <w:rsid w:val="006D19CF"/>
    <w:rsid w:val="006D22B4"/>
    <w:rsid w:val="006D2E91"/>
    <w:rsid w:val="006D3086"/>
    <w:rsid w:val="006D31FA"/>
    <w:rsid w:val="006D3233"/>
    <w:rsid w:val="006D3B1D"/>
    <w:rsid w:val="006D3BFE"/>
    <w:rsid w:val="006D3DD1"/>
    <w:rsid w:val="006D4D50"/>
    <w:rsid w:val="006D54B2"/>
    <w:rsid w:val="006D5839"/>
    <w:rsid w:val="006D5941"/>
    <w:rsid w:val="006D5B73"/>
    <w:rsid w:val="006D5F59"/>
    <w:rsid w:val="006D6937"/>
    <w:rsid w:val="006D69A5"/>
    <w:rsid w:val="006D6AF1"/>
    <w:rsid w:val="006D6CAD"/>
    <w:rsid w:val="006D70CB"/>
    <w:rsid w:val="006D77B2"/>
    <w:rsid w:val="006D7C18"/>
    <w:rsid w:val="006E0049"/>
    <w:rsid w:val="006E0165"/>
    <w:rsid w:val="006E12EB"/>
    <w:rsid w:val="006E1F0E"/>
    <w:rsid w:val="006E1F85"/>
    <w:rsid w:val="006E25A0"/>
    <w:rsid w:val="006E3398"/>
    <w:rsid w:val="006E36C2"/>
    <w:rsid w:val="006E37B3"/>
    <w:rsid w:val="006E3D54"/>
    <w:rsid w:val="006E3DD6"/>
    <w:rsid w:val="006E4970"/>
    <w:rsid w:val="006E49EC"/>
    <w:rsid w:val="006E4D41"/>
    <w:rsid w:val="006E522C"/>
    <w:rsid w:val="006E5589"/>
    <w:rsid w:val="006E5D02"/>
    <w:rsid w:val="006E5DE4"/>
    <w:rsid w:val="006E65BD"/>
    <w:rsid w:val="006E692D"/>
    <w:rsid w:val="006E7038"/>
    <w:rsid w:val="006E72D6"/>
    <w:rsid w:val="006E782C"/>
    <w:rsid w:val="006E7961"/>
    <w:rsid w:val="006E7CE1"/>
    <w:rsid w:val="006E7DEB"/>
    <w:rsid w:val="006F052A"/>
    <w:rsid w:val="006F0655"/>
    <w:rsid w:val="006F0E09"/>
    <w:rsid w:val="006F1128"/>
    <w:rsid w:val="006F15B8"/>
    <w:rsid w:val="006F2464"/>
    <w:rsid w:val="006F27A4"/>
    <w:rsid w:val="006F3184"/>
    <w:rsid w:val="006F3D7A"/>
    <w:rsid w:val="006F4856"/>
    <w:rsid w:val="006F4958"/>
    <w:rsid w:val="006F5337"/>
    <w:rsid w:val="006F5746"/>
    <w:rsid w:val="006F5E2D"/>
    <w:rsid w:val="006F66AE"/>
    <w:rsid w:val="006F6919"/>
    <w:rsid w:val="006F6985"/>
    <w:rsid w:val="006F69ED"/>
    <w:rsid w:val="006F730B"/>
    <w:rsid w:val="006F7649"/>
    <w:rsid w:val="00700135"/>
    <w:rsid w:val="007002A7"/>
    <w:rsid w:val="007005B6"/>
    <w:rsid w:val="00700A09"/>
    <w:rsid w:val="00700F5E"/>
    <w:rsid w:val="00701050"/>
    <w:rsid w:val="00701FFC"/>
    <w:rsid w:val="00702203"/>
    <w:rsid w:val="0070220A"/>
    <w:rsid w:val="007028D7"/>
    <w:rsid w:val="00702F23"/>
    <w:rsid w:val="00703800"/>
    <w:rsid w:val="007044F6"/>
    <w:rsid w:val="00704A96"/>
    <w:rsid w:val="00704C1A"/>
    <w:rsid w:val="007050E6"/>
    <w:rsid w:val="00705E38"/>
    <w:rsid w:val="007061C5"/>
    <w:rsid w:val="007061DF"/>
    <w:rsid w:val="0070620B"/>
    <w:rsid w:val="0070644B"/>
    <w:rsid w:val="00706A36"/>
    <w:rsid w:val="00706AFB"/>
    <w:rsid w:val="00706B39"/>
    <w:rsid w:val="00707249"/>
    <w:rsid w:val="007075A5"/>
    <w:rsid w:val="007076D2"/>
    <w:rsid w:val="007078C9"/>
    <w:rsid w:val="007104D3"/>
    <w:rsid w:val="007106CA"/>
    <w:rsid w:val="007106D5"/>
    <w:rsid w:val="00710D8C"/>
    <w:rsid w:val="0071134F"/>
    <w:rsid w:val="00711851"/>
    <w:rsid w:val="00712040"/>
    <w:rsid w:val="007121EE"/>
    <w:rsid w:val="007126A0"/>
    <w:rsid w:val="0071305A"/>
    <w:rsid w:val="007135BA"/>
    <w:rsid w:val="00713D30"/>
    <w:rsid w:val="00714A00"/>
    <w:rsid w:val="00714C6B"/>
    <w:rsid w:val="0071501A"/>
    <w:rsid w:val="00715597"/>
    <w:rsid w:val="007164D9"/>
    <w:rsid w:val="007165B6"/>
    <w:rsid w:val="0071692A"/>
    <w:rsid w:val="00716B67"/>
    <w:rsid w:val="00716C40"/>
    <w:rsid w:val="00716DCF"/>
    <w:rsid w:val="00717250"/>
    <w:rsid w:val="007173ED"/>
    <w:rsid w:val="00717A3E"/>
    <w:rsid w:val="00717C82"/>
    <w:rsid w:val="0072010A"/>
    <w:rsid w:val="00720292"/>
    <w:rsid w:val="007204D6"/>
    <w:rsid w:val="0072084F"/>
    <w:rsid w:val="00720EC9"/>
    <w:rsid w:val="007211FC"/>
    <w:rsid w:val="0072142C"/>
    <w:rsid w:val="00721A50"/>
    <w:rsid w:val="00722080"/>
    <w:rsid w:val="00722505"/>
    <w:rsid w:val="00722577"/>
    <w:rsid w:val="007225D5"/>
    <w:rsid w:val="007225D6"/>
    <w:rsid w:val="00722618"/>
    <w:rsid w:val="00722C94"/>
    <w:rsid w:val="00723023"/>
    <w:rsid w:val="00723819"/>
    <w:rsid w:val="00723B45"/>
    <w:rsid w:val="00723E1F"/>
    <w:rsid w:val="00723F6B"/>
    <w:rsid w:val="00724669"/>
    <w:rsid w:val="007247D3"/>
    <w:rsid w:val="00724A88"/>
    <w:rsid w:val="00724CA1"/>
    <w:rsid w:val="00724CE4"/>
    <w:rsid w:val="00724E6C"/>
    <w:rsid w:val="0072525F"/>
    <w:rsid w:val="0072526F"/>
    <w:rsid w:val="007253BB"/>
    <w:rsid w:val="00725722"/>
    <w:rsid w:val="00725864"/>
    <w:rsid w:val="00725B1A"/>
    <w:rsid w:val="00725C35"/>
    <w:rsid w:val="007269A6"/>
    <w:rsid w:val="007270D2"/>
    <w:rsid w:val="007271E2"/>
    <w:rsid w:val="00727729"/>
    <w:rsid w:val="00727A97"/>
    <w:rsid w:val="00727BC8"/>
    <w:rsid w:val="00727DC5"/>
    <w:rsid w:val="00727ED8"/>
    <w:rsid w:val="007303EF"/>
    <w:rsid w:val="00730693"/>
    <w:rsid w:val="00730D80"/>
    <w:rsid w:val="0073154E"/>
    <w:rsid w:val="00731AAB"/>
    <w:rsid w:val="0073233E"/>
    <w:rsid w:val="0073294A"/>
    <w:rsid w:val="00732952"/>
    <w:rsid w:val="00732961"/>
    <w:rsid w:val="00732F00"/>
    <w:rsid w:val="00733102"/>
    <w:rsid w:val="00733200"/>
    <w:rsid w:val="007333C5"/>
    <w:rsid w:val="007336C4"/>
    <w:rsid w:val="007336DC"/>
    <w:rsid w:val="00734005"/>
    <w:rsid w:val="007340C4"/>
    <w:rsid w:val="007344FC"/>
    <w:rsid w:val="0073489B"/>
    <w:rsid w:val="007349EA"/>
    <w:rsid w:val="00734F94"/>
    <w:rsid w:val="007350E8"/>
    <w:rsid w:val="007354DF"/>
    <w:rsid w:val="00735929"/>
    <w:rsid w:val="00735962"/>
    <w:rsid w:val="0073648E"/>
    <w:rsid w:val="00736884"/>
    <w:rsid w:val="00736F2C"/>
    <w:rsid w:val="00736F7D"/>
    <w:rsid w:val="0073703A"/>
    <w:rsid w:val="0073719C"/>
    <w:rsid w:val="00737C43"/>
    <w:rsid w:val="007406CE"/>
    <w:rsid w:val="00740CA0"/>
    <w:rsid w:val="00741003"/>
    <w:rsid w:val="007410EF"/>
    <w:rsid w:val="007414C7"/>
    <w:rsid w:val="00742059"/>
    <w:rsid w:val="00742274"/>
    <w:rsid w:val="00742E7D"/>
    <w:rsid w:val="00742F9D"/>
    <w:rsid w:val="0074301E"/>
    <w:rsid w:val="00743764"/>
    <w:rsid w:val="007439CB"/>
    <w:rsid w:val="00743D8C"/>
    <w:rsid w:val="00743DE5"/>
    <w:rsid w:val="00743F00"/>
    <w:rsid w:val="00743F6E"/>
    <w:rsid w:val="0074438D"/>
    <w:rsid w:val="00744E38"/>
    <w:rsid w:val="00745019"/>
    <w:rsid w:val="00745094"/>
    <w:rsid w:val="00745233"/>
    <w:rsid w:val="00745528"/>
    <w:rsid w:val="007457FA"/>
    <w:rsid w:val="00745B11"/>
    <w:rsid w:val="00745BC4"/>
    <w:rsid w:val="00745BD7"/>
    <w:rsid w:val="007460FB"/>
    <w:rsid w:val="0074642E"/>
    <w:rsid w:val="00746A07"/>
    <w:rsid w:val="00746FB0"/>
    <w:rsid w:val="007475F5"/>
    <w:rsid w:val="007478CE"/>
    <w:rsid w:val="00747D46"/>
    <w:rsid w:val="00747FBA"/>
    <w:rsid w:val="00750284"/>
    <w:rsid w:val="00750AE9"/>
    <w:rsid w:val="007511BC"/>
    <w:rsid w:val="0075132D"/>
    <w:rsid w:val="0075141D"/>
    <w:rsid w:val="007519BB"/>
    <w:rsid w:val="0075211A"/>
    <w:rsid w:val="00752799"/>
    <w:rsid w:val="00752940"/>
    <w:rsid w:val="00752A33"/>
    <w:rsid w:val="00753128"/>
    <w:rsid w:val="007533D7"/>
    <w:rsid w:val="007534A2"/>
    <w:rsid w:val="007534AA"/>
    <w:rsid w:val="007534F0"/>
    <w:rsid w:val="00754597"/>
    <w:rsid w:val="00754AE4"/>
    <w:rsid w:val="00755450"/>
    <w:rsid w:val="00755726"/>
    <w:rsid w:val="0075580D"/>
    <w:rsid w:val="00755B29"/>
    <w:rsid w:val="007560D0"/>
    <w:rsid w:val="00756107"/>
    <w:rsid w:val="00756191"/>
    <w:rsid w:val="00756195"/>
    <w:rsid w:val="00756251"/>
    <w:rsid w:val="00757B40"/>
    <w:rsid w:val="00757C47"/>
    <w:rsid w:val="00757EB3"/>
    <w:rsid w:val="00757EFF"/>
    <w:rsid w:val="00760589"/>
    <w:rsid w:val="00760884"/>
    <w:rsid w:val="00760EAE"/>
    <w:rsid w:val="007611A3"/>
    <w:rsid w:val="0076133A"/>
    <w:rsid w:val="00761B8E"/>
    <w:rsid w:val="00761CDF"/>
    <w:rsid w:val="00762431"/>
    <w:rsid w:val="007627DB"/>
    <w:rsid w:val="0076285E"/>
    <w:rsid w:val="00762931"/>
    <w:rsid w:val="00762AD5"/>
    <w:rsid w:val="00763369"/>
    <w:rsid w:val="00763390"/>
    <w:rsid w:val="00763455"/>
    <w:rsid w:val="00763462"/>
    <w:rsid w:val="00763CBB"/>
    <w:rsid w:val="007643E3"/>
    <w:rsid w:val="00764784"/>
    <w:rsid w:val="007648E4"/>
    <w:rsid w:val="007651F5"/>
    <w:rsid w:val="0076569A"/>
    <w:rsid w:val="00765B15"/>
    <w:rsid w:val="00765BFA"/>
    <w:rsid w:val="00765E06"/>
    <w:rsid w:val="00765EAC"/>
    <w:rsid w:val="00765F2F"/>
    <w:rsid w:val="00765F65"/>
    <w:rsid w:val="00766054"/>
    <w:rsid w:val="00766937"/>
    <w:rsid w:val="00766DF1"/>
    <w:rsid w:val="0076748C"/>
    <w:rsid w:val="00767991"/>
    <w:rsid w:val="00770387"/>
    <w:rsid w:val="007705A0"/>
    <w:rsid w:val="00770A1A"/>
    <w:rsid w:val="00771177"/>
    <w:rsid w:val="007716F5"/>
    <w:rsid w:val="00771CA3"/>
    <w:rsid w:val="0077243B"/>
    <w:rsid w:val="00772459"/>
    <w:rsid w:val="00772751"/>
    <w:rsid w:val="00772B15"/>
    <w:rsid w:val="007730F5"/>
    <w:rsid w:val="0077325B"/>
    <w:rsid w:val="0077346C"/>
    <w:rsid w:val="00773ED4"/>
    <w:rsid w:val="00774648"/>
    <w:rsid w:val="007746C6"/>
    <w:rsid w:val="0077557E"/>
    <w:rsid w:val="0077559F"/>
    <w:rsid w:val="00775795"/>
    <w:rsid w:val="007758B5"/>
    <w:rsid w:val="0077701D"/>
    <w:rsid w:val="00777211"/>
    <w:rsid w:val="0077795C"/>
    <w:rsid w:val="00777A43"/>
    <w:rsid w:val="00777CCE"/>
    <w:rsid w:val="00777DF6"/>
    <w:rsid w:val="0078074A"/>
    <w:rsid w:val="00780A92"/>
    <w:rsid w:val="00781303"/>
    <w:rsid w:val="0078151C"/>
    <w:rsid w:val="00781584"/>
    <w:rsid w:val="0078210E"/>
    <w:rsid w:val="0078223E"/>
    <w:rsid w:val="0078228C"/>
    <w:rsid w:val="007825C7"/>
    <w:rsid w:val="007827EA"/>
    <w:rsid w:val="0078282B"/>
    <w:rsid w:val="00782927"/>
    <w:rsid w:val="00782C8B"/>
    <w:rsid w:val="007834B3"/>
    <w:rsid w:val="00783A91"/>
    <w:rsid w:val="007841EE"/>
    <w:rsid w:val="007844AD"/>
    <w:rsid w:val="007846D2"/>
    <w:rsid w:val="00784BE1"/>
    <w:rsid w:val="00785749"/>
    <w:rsid w:val="007859B0"/>
    <w:rsid w:val="00785B9F"/>
    <w:rsid w:val="00785D60"/>
    <w:rsid w:val="00785FE9"/>
    <w:rsid w:val="007863A2"/>
    <w:rsid w:val="0078667C"/>
    <w:rsid w:val="00786DE5"/>
    <w:rsid w:val="00787310"/>
    <w:rsid w:val="00787425"/>
    <w:rsid w:val="00787518"/>
    <w:rsid w:val="007875FC"/>
    <w:rsid w:val="00787883"/>
    <w:rsid w:val="00787A8B"/>
    <w:rsid w:val="00787F63"/>
    <w:rsid w:val="007905F9"/>
    <w:rsid w:val="00790CAC"/>
    <w:rsid w:val="00790E2F"/>
    <w:rsid w:val="007910F2"/>
    <w:rsid w:val="007918EB"/>
    <w:rsid w:val="00791E29"/>
    <w:rsid w:val="0079268E"/>
    <w:rsid w:val="007928B4"/>
    <w:rsid w:val="00792BB0"/>
    <w:rsid w:val="00792E10"/>
    <w:rsid w:val="007933D8"/>
    <w:rsid w:val="0079368F"/>
    <w:rsid w:val="007937EB"/>
    <w:rsid w:val="00793C77"/>
    <w:rsid w:val="00793EAD"/>
    <w:rsid w:val="007943C7"/>
    <w:rsid w:val="0079477A"/>
    <w:rsid w:val="00794ABA"/>
    <w:rsid w:val="00794C1B"/>
    <w:rsid w:val="0079571C"/>
    <w:rsid w:val="007959FE"/>
    <w:rsid w:val="00795E9F"/>
    <w:rsid w:val="007962AD"/>
    <w:rsid w:val="00796364"/>
    <w:rsid w:val="00796805"/>
    <w:rsid w:val="00796DA4"/>
    <w:rsid w:val="00796F0C"/>
    <w:rsid w:val="007978C9"/>
    <w:rsid w:val="007978FE"/>
    <w:rsid w:val="00797923"/>
    <w:rsid w:val="00797C43"/>
    <w:rsid w:val="007A08F1"/>
    <w:rsid w:val="007A0B81"/>
    <w:rsid w:val="007A0CE7"/>
    <w:rsid w:val="007A12A4"/>
    <w:rsid w:val="007A22C4"/>
    <w:rsid w:val="007A2435"/>
    <w:rsid w:val="007A2AC2"/>
    <w:rsid w:val="007A2BD4"/>
    <w:rsid w:val="007A2FB7"/>
    <w:rsid w:val="007A37EA"/>
    <w:rsid w:val="007A391A"/>
    <w:rsid w:val="007A3E90"/>
    <w:rsid w:val="007A3FC3"/>
    <w:rsid w:val="007A4C68"/>
    <w:rsid w:val="007A50AC"/>
    <w:rsid w:val="007A5224"/>
    <w:rsid w:val="007A533E"/>
    <w:rsid w:val="007A5533"/>
    <w:rsid w:val="007A5CB5"/>
    <w:rsid w:val="007A6318"/>
    <w:rsid w:val="007A6421"/>
    <w:rsid w:val="007A72F3"/>
    <w:rsid w:val="007A7897"/>
    <w:rsid w:val="007A79D6"/>
    <w:rsid w:val="007A7BB9"/>
    <w:rsid w:val="007A7F81"/>
    <w:rsid w:val="007A7F84"/>
    <w:rsid w:val="007A7FB1"/>
    <w:rsid w:val="007A7FD9"/>
    <w:rsid w:val="007B03FB"/>
    <w:rsid w:val="007B07DB"/>
    <w:rsid w:val="007B0CF0"/>
    <w:rsid w:val="007B1CD2"/>
    <w:rsid w:val="007B1D35"/>
    <w:rsid w:val="007B244A"/>
    <w:rsid w:val="007B339A"/>
    <w:rsid w:val="007B3C62"/>
    <w:rsid w:val="007B42B9"/>
    <w:rsid w:val="007B43DE"/>
    <w:rsid w:val="007B46D8"/>
    <w:rsid w:val="007B52B5"/>
    <w:rsid w:val="007B52C0"/>
    <w:rsid w:val="007B5E8D"/>
    <w:rsid w:val="007B5FAD"/>
    <w:rsid w:val="007B7011"/>
    <w:rsid w:val="007B71D0"/>
    <w:rsid w:val="007B71F5"/>
    <w:rsid w:val="007B74A8"/>
    <w:rsid w:val="007B76FC"/>
    <w:rsid w:val="007B7852"/>
    <w:rsid w:val="007C015B"/>
    <w:rsid w:val="007C016B"/>
    <w:rsid w:val="007C026A"/>
    <w:rsid w:val="007C0306"/>
    <w:rsid w:val="007C0434"/>
    <w:rsid w:val="007C0D69"/>
    <w:rsid w:val="007C0DC1"/>
    <w:rsid w:val="007C17FD"/>
    <w:rsid w:val="007C18FD"/>
    <w:rsid w:val="007C2003"/>
    <w:rsid w:val="007C2836"/>
    <w:rsid w:val="007C2950"/>
    <w:rsid w:val="007C2C40"/>
    <w:rsid w:val="007C2F11"/>
    <w:rsid w:val="007C3779"/>
    <w:rsid w:val="007C3A5A"/>
    <w:rsid w:val="007C3A87"/>
    <w:rsid w:val="007C43C5"/>
    <w:rsid w:val="007C448E"/>
    <w:rsid w:val="007C46F0"/>
    <w:rsid w:val="007C49C5"/>
    <w:rsid w:val="007C4F6D"/>
    <w:rsid w:val="007C57DC"/>
    <w:rsid w:val="007C5905"/>
    <w:rsid w:val="007C5E36"/>
    <w:rsid w:val="007C6F22"/>
    <w:rsid w:val="007C744E"/>
    <w:rsid w:val="007C7455"/>
    <w:rsid w:val="007C7515"/>
    <w:rsid w:val="007C7A16"/>
    <w:rsid w:val="007C7D68"/>
    <w:rsid w:val="007D04CF"/>
    <w:rsid w:val="007D0C2F"/>
    <w:rsid w:val="007D0D01"/>
    <w:rsid w:val="007D1295"/>
    <w:rsid w:val="007D1934"/>
    <w:rsid w:val="007D1D44"/>
    <w:rsid w:val="007D1EF0"/>
    <w:rsid w:val="007D2220"/>
    <w:rsid w:val="007D2460"/>
    <w:rsid w:val="007D24DC"/>
    <w:rsid w:val="007D3948"/>
    <w:rsid w:val="007D3B70"/>
    <w:rsid w:val="007D3D16"/>
    <w:rsid w:val="007D4AF0"/>
    <w:rsid w:val="007D527D"/>
    <w:rsid w:val="007D5587"/>
    <w:rsid w:val="007D580D"/>
    <w:rsid w:val="007D5D26"/>
    <w:rsid w:val="007D5FA8"/>
    <w:rsid w:val="007D6084"/>
    <w:rsid w:val="007D60C5"/>
    <w:rsid w:val="007D61BF"/>
    <w:rsid w:val="007D6694"/>
    <w:rsid w:val="007D6728"/>
    <w:rsid w:val="007D67B8"/>
    <w:rsid w:val="007D6940"/>
    <w:rsid w:val="007D7085"/>
    <w:rsid w:val="007D7A52"/>
    <w:rsid w:val="007E07E4"/>
    <w:rsid w:val="007E081B"/>
    <w:rsid w:val="007E0C09"/>
    <w:rsid w:val="007E0C54"/>
    <w:rsid w:val="007E0E19"/>
    <w:rsid w:val="007E113E"/>
    <w:rsid w:val="007E1217"/>
    <w:rsid w:val="007E1338"/>
    <w:rsid w:val="007E199C"/>
    <w:rsid w:val="007E19C2"/>
    <w:rsid w:val="007E1D61"/>
    <w:rsid w:val="007E2422"/>
    <w:rsid w:val="007E27C0"/>
    <w:rsid w:val="007E287D"/>
    <w:rsid w:val="007E2FDC"/>
    <w:rsid w:val="007E306E"/>
    <w:rsid w:val="007E3378"/>
    <w:rsid w:val="007E34FA"/>
    <w:rsid w:val="007E3618"/>
    <w:rsid w:val="007E38FA"/>
    <w:rsid w:val="007E3FC7"/>
    <w:rsid w:val="007E47B3"/>
    <w:rsid w:val="007E4B5D"/>
    <w:rsid w:val="007E4EFD"/>
    <w:rsid w:val="007E5100"/>
    <w:rsid w:val="007E5987"/>
    <w:rsid w:val="007E5E19"/>
    <w:rsid w:val="007E5FBF"/>
    <w:rsid w:val="007E65E4"/>
    <w:rsid w:val="007E728A"/>
    <w:rsid w:val="007E79E2"/>
    <w:rsid w:val="007E7CDF"/>
    <w:rsid w:val="007E7F7A"/>
    <w:rsid w:val="007F0504"/>
    <w:rsid w:val="007F080C"/>
    <w:rsid w:val="007F13B5"/>
    <w:rsid w:val="007F13BC"/>
    <w:rsid w:val="007F15C2"/>
    <w:rsid w:val="007F1969"/>
    <w:rsid w:val="007F1CD1"/>
    <w:rsid w:val="007F25A8"/>
    <w:rsid w:val="007F3776"/>
    <w:rsid w:val="007F3BBC"/>
    <w:rsid w:val="007F3E78"/>
    <w:rsid w:val="007F43A9"/>
    <w:rsid w:val="007F49ED"/>
    <w:rsid w:val="007F516E"/>
    <w:rsid w:val="007F5244"/>
    <w:rsid w:val="007F5F2F"/>
    <w:rsid w:val="007F6232"/>
    <w:rsid w:val="007F7386"/>
    <w:rsid w:val="007F7B7E"/>
    <w:rsid w:val="008003BB"/>
    <w:rsid w:val="00800D9E"/>
    <w:rsid w:val="00801902"/>
    <w:rsid w:val="00802155"/>
    <w:rsid w:val="008022EB"/>
    <w:rsid w:val="008022F0"/>
    <w:rsid w:val="008039C1"/>
    <w:rsid w:val="008039F6"/>
    <w:rsid w:val="00803B8B"/>
    <w:rsid w:val="00804002"/>
    <w:rsid w:val="008040D5"/>
    <w:rsid w:val="0080452D"/>
    <w:rsid w:val="0080489E"/>
    <w:rsid w:val="00804EBF"/>
    <w:rsid w:val="008050E9"/>
    <w:rsid w:val="0080547D"/>
    <w:rsid w:val="00805517"/>
    <w:rsid w:val="00805B41"/>
    <w:rsid w:val="00805FAA"/>
    <w:rsid w:val="008067FF"/>
    <w:rsid w:val="00806897"/>
    <w:rsid w:val="00806B15"/>
    <w:rsid w:val="00806BCF"/>
    <w:rsid w:val="0080706D"/>
    <w:rsid w:val="00807415"/>
    <w:rsid w:val="0080788D"/>
    <w:rsid w:val="008078D7"/>
    <w:rsid w:val="00807BA5"/>
    <w:rsid w:val="00807DCD"/>
    <w:rsid w:val="008102DA"/>
    <w:rsid w:val="008109A2"/>
    <w:rsid w:val="0081125F"/>
    <w:rsid w:val="00811712"/>
    <w:rsid w:val="0081238D"/>
    <w:rsid w:val="0081251C"/>
    <w:rsid w:val="00812741"/>
    <w:rsid w:val="008128C8"/>
    <w:rsid w:val="00812A03"/>
    <w:rsid w:val="0081326E"/>
    <w:rsid w:val="00813367"/>
    <w:rsid w:val="0081352D"/>
    <w:rsid w:val="00814514"/>
    <w:rsid w:val="00814DD7"/>
    <w:rsid w:val="00815FDC"/>
    <w:rsid w:val="008160CE"/>
    <w:rsid w:val="008161B8"/>
    <w:rsid w:val="008171BA"/>
    <w:rsid w:val="008174E5"/>
    <w:rsid w:val="00817738"/>
    <w:rsid w:val="008179D0"/>
    <w:rsid w:val="00817E7E"/>
    <w:rsid w:val="00820353"/>
    <w:rsid w:val="008203AC"/>
    <w:rsid w:val="008208C4"/>
    <w:rsid w:val="00821018"/>
    <w:rsid w:val="0082112F"/>
    <w:rsid w:val="00821A6F"/>
    <w:rsid w:val="00821BC6"/>
    <w:rsid w:val="008232CA"/>
    <w:rsid w:val="00823629"/>
    <w:rsid w:val="0082397E"/>
    <w:rsid w:val="00823F4E"/>
    <w:rsid w:val="0082401A"/>
    <w:rsid w:val="008242C2"/>
    <w:rsid w:val="008246C4"/>
    <w:rsid w:val="00824B5A"/>
    <w:rsid w:val="00825A71"/>
    <w:rsid w:val="00825B67"/>
    <w:rsid w:val="00825C56"/>
    <w:rsid w:val="00826021"/>
    <w:rsid w:val="008261C2"/>
    <w:rsid w:val="008262DE"/>
    <w:rsid w:val="008266DA"/>
    <w:rsid w:val="008268E2"/>
    <w:rsid w:val="00826A63"/>
    <w:rsid w:val="00826BD7"/>
    <w:rsid w:val="0082704A"/>
    <w:rsid w:val="00827407"/>
    <w:rsid w:val="00827E17"/>
    <w:rsid w:val="00827F3C"/>
    <w:rsid w:val="0083017F"/>
    <w:rsid w:val="008301B4"/>
    <w:rsid w:val="008305F9"/>
    <w:rsid w:val="00831A3D"/>
    <w:rsid w:val="00831BD6"/>
    <w:rsid w:val="008325F9"/>
    <w:rsid w:val="008330F9"/>
    <w:rsid w:val="0083336A"/>
    <w:rsid w:val="008337A7"/>
    <w:rsid w:val="0083410C"/>
    <w:rsid w:val="0083416F"/>
    <w:rsid w:val="00834182"/>
    <w:rsid w:val="0083463E"/>
    <w:rsid w:val="00834671"/>
    <w:rsid w:val="00834A58"/>
    <w:rsid w:val="00834AB9"/>
    <w:rsid w:val="00834C83"/>
    <w:rsid w:val="00834CBB"/>
    <w:rsid w:val="00835C0A"/>
    <w:rsid w:val="0083649A"/>
    <w:rsid w:val="0083685F"/>
    <w:rsid w:val="008371DE"/>
    <w:rsid w:val="0083721A"/>
    <w:rsid w:val="00837423"/>
    <w:rsid w:val="00837454"/>
    <w:rsid w:val="008376F1"/>
    <w:rsid w:val="00837759"/>
    <w:rsid w:val="008377F6"/>
    <w:rsid w:val="00837831"/>
    <w:rsid w:val="00837BFC"/>
    <w:rsid w:val="00840352"/>
    <w:rsid w:val="008407DB"/>
    <w:rsid w:val="00840D8A"/>
    <w:rsid w:val="0084161A"/>
    <w:rsid w:val="008419E1"/>
    <w:rsid w:val="0084200B"/>
    <w:rsid w:val="0084220B"/>
    <w:rsid w:val="0084227E"/>
    <w:rsid w:val="008428BB"/>
    <w:rsid w:val="008429F8"/>
    <w:rsid w:val="00842F1C"/>
    <w:rsid w:val="00842F37"/>
    <w:rsid w:val="00843975"/>
    <w:rsid w:val="00843C2E"/>
    <w:rsid w:val="00843C5A"/>
    <w:rsid w:val="00843CFF"/>
    <w:rsid w:val="00843D03"/>
    <w:rsid w:val="00844568"/>
    <w:rsid w:val="008447D0"/>
    <w:rsid w:val="00844820"/>
    <w:rsid w:val="00845742"/>
    <w:rsid w:val="00845BF0"/>
    <w:rsid w:val="00845E86"/>
    <w:rsid w:val="00847138"/>
    <w:rsid w:val="00847B4F"/>
    <w:rsid w:val="00847C46"/>
    <w:rsid w:val="00847C9C"/>
    <w:rsid w:val="008509A2"/>
    <w:rsid w:val="00850FE5"/>
    <w:rsid w:val="0085116D"/>
    <w:rsid w:val="00851278"/>
    <w:rsid w:val="00851932"/>
    <w:rsid w:val="00851B89"/>
    <w:rsid w:val="00851FCE"/>
    <w:rsid w:val="00852315"/>
    <w:rsid w:val="0085301F"/>
    <w:rsid w:val="0085309D"/>
    <w:rsid w:val="008534B9"/>
    <w:rsid w:val="00853711"/>
    <w:rsid w:val="0085374E"/>
    <w:rsid w:val="00853773"/>
    <w:rsid w:val="00853B9D"/>
    <w:rsid w:val="00853ED1"/>
    <w:rsid w:val="00854979"/>
    <w:rsid w:val="00854B0B"/>
    <w:rsid w:val="00854BB2"/>
    <w:rsid w:val="00854CB5"/>
    <w:rsid w:val="00854D51"/>
    <w:rsid w:val="00854F23"/>
    <w:rsid w:val="008550B1"/>
    <w:rsid w:val="00855171"/>
    <w:rsid w:val="00855394"/>
    <w:rsid w:val="00855779"/>
    <w:rsid w:val="0085595F"/>
    <w:rsid w:val="00856A42"/>
    <w:rsid w:val="00856DC5"/>
    <w:rsid w:val="008570E0"/>
    <w:rsid w:val="0086054C"/>
    <w:rsid w:val="00860977"/>
    <w:rsid w:val="00860CC1"/>
    <w:rsid w:val="00860FDA"/>
    <w:rsid w:val="008612A0"/>
    <w:rsid w:val="0086156E"/>
    <w:rsid w:val="00861820"/>
    <w:rsid w:val="00861BB3"/>
    <w:rsid w:val="0086219B"/>
    <w:rsid w:val="00862610"/>
    <w:rsid w:val="00862C49"/>
    <w:rsid w:val="008631DB"/>
    <w:rsid w:val="00863B29"/>
    <w:rsid w:val="00863CCE"/>
    <w:rsid w:val="00863D38"/>
    <w:rsid w:val="008645CB"/>
    <w:rsid w:val="00864C01"/>
    <w:rsid w:val="00864C0F"/>
    <w:rsid w:val="00864D9E"/>
    <w:rsid w:val="00864E12"/>
    <w:rsid w:val="00864F27"/>
    <w:rsid w:val="00865AFD"/>
    <w:rsid w:val="00865C8B"/>
    <w:rsid w:val="0086601C"/>
    <w:rsid w:val="00866473"/>
    <w:rsid w:val="0086677C"/>
    <w:rsid w:val="00866AED"/>
    <w:rsid w:val="00866F5E"/>
    <w:rsid w:val="00867387"/>
    <w:rsid w:val="008678EE"/>
    <w:rsid w:val="00867FD4"/>
    <w:rsid w:val="0087051A"/>
    <w:rsid w:val="00870BA2"/>
    <w:rsid w:val="00870BAE"/>
    <w:rsid w:val="00870FF5"/>
    <w:rsid w:val="0087154C"/>
    <w:rsid w:val="0087155D"/>
    <w:rsid w:val="0087184A"/>
    <w:rsid w:val="008718AB"/>
    <w:rsid w:val="00871E96"/>
    <w:rsid w:val="008721C5"/>
    <w:rsid w:val="008723F1"/>
    <w:rsid w:val="00872537"/>
    <w:rsid w:val="00873193"/>
    <w:rsid w:val="0087345F"/>
    <w:rsid w:val="00873FD2"/>
    <w:rsid w:val="00874286"/>
    <w:rsid w:val="00874593"/>
    <w:rsid w:val="0087467E"/>
    <w:rsid w:val="008747CE"/>
    <w:rsid w:val="008748E5"/>
    <w:rsid w:val="00874E62"/>
    <w:rsid w:val="00874EA9"/>
    <w:rsid w:val="00875B8D"/>
    <w:rsid w:val="008764C4"/>
    <w:rsid w:val="00876576"/>
    <w:rsid w:val="008765A9"/>
    <w:rsid w:val="008769AC"/>
    <w:rsid w:val="00876EFF"/>
    <w:rsid w:val="008773DD"/>
    <w:rsid w:val="008776FF"/>
    <w:rsid w:val="0088014A"/>
    <w:rsid w:val="00880557"/>
    <w:rsid w:val="00880592"/>
    <w:rsid w:val="00880DFD"/>
    <w:rsid w:val="00881584"/>
    <w:rsid w:val="00881974"/>
    <w:rsid w:val="00881BE1"/>
    <w:rsid w:val="00882710"/>
    <w:rsid w:val="00882C4C"/>
    <w:rsid w:val="008838DA"/>
    <w:rsid w:val="00883E46"/>
    <w:rsid w:val="00883FF3"/>
    <w:rsid w:val="008841FF"/>
    <w:rsid w:val="008849DF"/>
    <w:rsid w:val="00884E47"/>
    <w:rsid w:val="0088563C"/>
    <w:rsid w:val="00885AC2"/>
    <w:rsid w:val="0088607E"/>
    <w:rsid w:val="00886585"/>
    <w:rsid w:val="0088664D"/>
    <w:rsid w:val="008866E2"/>
    <w:rsid w:val="00886DED"/>
    <w:rsid w:val="00886F99"/>
    <w:rsid w:val="00887372"/>
    <w:rsid w:val="00887383"/>
    <w:rsid w:val="00887714"/>
    <w:rsid w:val="00887AA9"/>
    <w:rsid w:val="00887D76"/>
    <w:rsid w:val="00887FC4"/>
    <w:rsid w:val="00890448"/>
    <w:rsid w:val="00890826"/>
    <w:rsid w:val="00890AEE"/>
    <w:rsid w:val="00890B31"/>
    <w:rsid w:val="00890D89"/>
    <w:rsid w:val="00891003"/>
    <w:rsid w:val="00891582"/>
    <w:rsid w:val="00891682"/>
    <w:rsid w:val="00891B29"/>
    <w:rsid w:val="00891B4F"/>
    <w:rsid w:val="00891D85"/>
    <w:rsid w:val="00891E72"/>
    <w:rsid w:val="0089222E"/>
    <w:rsid w:val="008929BB"/>
    <w:rsid w:val="00892BD7"/>
    <w:rsid w:val="00892E8C"/>
    <w:rsid w:val="008939F1"/>
    <w:rsid w:val="00893F33"/>
    <w:rsid w:val="00893F5B"/>
    <w:rsid w:val="0089458E"/>
    <w:rsid w:val="00895313"/>
    <w:rsid w:val="008966DD"/>
    <w:rsid w:val="00896D36"/>
    <w:rsid w:val="00896E8B"/>
    <w:rsid w:val="008978FC"/>
    <w:rsid w:val="00897E80"/>
    <w:rsid w:val="00897FD0"/>
    <w:rsid w:val="008A0516"/>
    <w:rsid w:val="008A0E3B"/>
    <w:rsid w:val="008A1D62"/>
    <w:rsid w:val="008A1DE6"/>
    <w:rsid w:val="008A2422"/>
    <w:rsid w:val="008A2C0F"/>
    <w:rsid w:val="008A2C4F"/>
    <w:rsid w:val="008A2C73"/>
    <w:rsid w:val="008A2E3C"/>
    <w:rsid w:val="008A33EC"/>
    <w:rsid w:val="008A395E"/>
    <w:rsid w:val="008A3CE0"/>
    <w:rsid w:val="008A41EE"/>
    <w:rsid w:val="008A43C9"/>
    <w:rsid w:val="008A43E5"/>
    <w:rsid w:val="008A4579"/>
    <w:rsid w:val="008A45A3"/>
    <w:rsid w:val="008A4F7B"/>
    <w:rsid w:val="008A52D6"/>
    <w:rsid w:val="008A544E"/>
    <w:rsid w:val="008A5AF9"/>
    <w:rsid w:val="008A5DCB"/>
    <w:rsid w:val="008A5DE0"/>
    <w:rsid w:val="008A6B37"/>
    <w:rsid w:val="008A6CB0"/>
    <w:rsid w:val="008A6FDC"/>
    <w:rsid w:val="008A75C7"/>
    <w:rsid w:val="008A7811"/>
    <w:rsid w:val="008A7B79"/>
    <w:rsid w:val="008B0258"/>
    <w:rsid w:val="008B0317"/>
    <w:rsid w:val="008B040C"/>
    <w:rsid w:val="008B044A"/>
    <w:rsid w:val="008B04F2"/>
    <w:rsid w:val="008B10BD"/>
    <w:rsid w:val="008B11A0"/>
    <w:rsid w:val="008B12D6"/>
    <w:rsid w:val="008B1778"/>
    <w:rsid w:val="008B2355"/>
    <w:rsid w:val="008B249C"/>
    <w:rsid w:val="008B2DE8"/>
    <w:rsid w:val="008B2E8E"/>
    <w:rsid w:val="008B315D"/>
    <w:rsid w:val="008B34D5"/>
    <w:rsid w:val="008B3AA1"/>
    <w:rsid w:val="008B3FBB"/>
    <w:rsid w:val="008B4D87"/>
    <w:rsid w:val="008B5321"/>
    <w:rsid w:val="008B58FA"/>
    <w:rsid w:val="008B5DCC"/>
    <w:rsid w:val="008B5F88"/>
    <w:rsid w:val="008B6217"/>
    <w:rsid w:val="008B6241"/>
    <w:rsid w:val="008B67CB"/>
    <w:rsid w:val="008B7419"/>
    <w:rsid w:val="008B78E9"/>
    <w:rsid w:val="008B7F15"/>
    <w:rsid w:val="008C0456"/>
    <w:rsid w:val="008C08A8"/>
    <w:rsid w:val="008C0A46"/>
    <w:rsid w:val="008C0C1E"/>
    <w:rsid w:val="008C0F60"/>
    <w:rsid w:val="008C189F"/>
    <w:rsid w:val="008C18B9"/>
    <w:rsid w:val="008C1904"/>
    <w:rsid w:val="008C1AA4"/>
    <w:rsid w:val="008C1BED"/>
    <w:rsid w:val="008C1C9A"/>
    <w:rsid w:val="008C26E4"/>
    <w:rsid w:val="008C3766"/>
    <w:rsid w:val="008C3D36"/>
    <w:rsid w:val="008C3F7E"/>
    <w:rsid w:val="008C44E1"/>
    <w:rsid w:val="008C4D49"/>
    <w:rsid w:val="008C501A"/>
    <w:rsid w:val="008C55A1"/>
    <w:rsid w:val="008C6077"/>
    <w:rsid w:val="008C66D3"/>
    <w:rsid w:val="008C76F4"/>
    <w:rsid w:val="008D027D"/>
    <w:rsid w:val="008D041F"/>
    <w:rsid w:val="008D0454"/>
    <w:rsid w:val="008D0C39"/>
    <w:rsid w:val="008D0E9A"/>
    <w:rsid w:val="008D0FC1"/>
    <w:rsid w:val="008D1311"/>
    <w:rsid w:val="008D216C"/>
    <w:rsid w:val="008D21D9"/>
    <w:rsid w:val="008D2463"/>
    <w:rsid w:val="008D2F22"/>
    <w:rsid w:val="008D32B4"/>
    <w:rsid w:val="008D38BF"/>
    <w:rsid w:val="008D3AC2"/>
    <w:rsid w:val="008D434C"/>
    <w:rsid w:val="008D44FC"/>
    <w:rsid w:val="008D44FD"/>
    <w:rsid w:val="008D4737"/>
    <w:rsid w:val="008D50A6"/>
    <w:rsid w:val="008D534A"/>
    <w:rsid w:val="008D557C"/>
    <w:rsid w:val="008D5593"/>
    <w:rsid w:val="008D58B9"/>
    <w:rsid w:val="008D612D"/>
    <w:rsid w:val="008D65B6"/>
    <w:rsid w:val="008D65D9"/>
    <w:rsid w:val="008D68B2"/>
    <w:rsid w:val="008D6A0B"/>
    <w:rsid w:val="008D74C7"/>
    <w:rsid w:val="008D7801"/>
    <w:rsid w:val="008D7823"/>
    <w:rsid w:val="008D7D57"/>
    <w:rsid w:val="008E0E40"/>
    <w:rsid w:val="008E123E"/>
    <w:rsid w:val="008E13A0"/>
    <w:rsid w:val="008E1A30"/>
    <w:rsid w:val="008E1ECC"/>
    <w:rsid w:val="008E256D"/>
    <w:rsid w:val="008E258A"/>
    <w:rsid w:val="008E2A17"/>
    <w:rsid w:val="008E2B72"/>
    <w:rsid w:val="008E2F39"/>
    <w:rsid w:val="008E3609"/>
    <w:rsid w:val="008E3B41"/>
    <w:rsid w:val="008E4047"/>
    <w:rsid w:val="008E40BA"/>
    <w:rsid w:val="008E41C6"/>
    <w:rsid w:val="008E4355"/>
    <w:rsid w:val="008E4731"/>
    <w:rsid w:val="008E4B0C"/>
    <w:rsid w:val="008E4CB4"/>
    <w:rsid w:val="008E4DCD"/>
    <w:rsid w:val="008E616B"/>
    <w:rsid w:val="008E6410"/>
    <w:rsid w:val="008E648C"/>
    <w:rsid w:val="008E7477"/>
    <w:rsid w:val="008F019E"/>
    <w:rsid w:val="008F01AD"/>
    <w:rsid w:val="008F0648"/>
    <w:rsid w:val="008F0956"/>
    <w:rsid w:val="008F0CF9"/>
    <w:rsid w:val="008F11A8"/>
    <w:rsid w:val="008F1930"/>
    <w:rsid w:val="008F22AB"/>
    <w:rsid w:val="008F2680"/>
    <w:rsid w:val="008F2797"/>
    <w:rsid w:val="008F2849"/>
    <w:rsid w:val="008F28FE"/>
    <w:rsid w:val="008F29BE"/>
    <w:rsid w:val="008F2C2D"/>
    <w:rsid w:val="008F3063"/>
    <w:rsid w:val="008F31DB"/>
    <w:rsid w:val="008F335A"/>
    <w:rsid w:val="008F3D6C"/>
    <w:rsid w:val="008F3D96"/>
    <w:rsid w:val="008F42F7"/>
    <w:rsid w:val="008F456A"/>
    <w:rsid w:val="008F4668"/>
    <w:rsid w:val="008F50B4"/>
    <w:rsid w:val="008F5B28"/>
    <w:rsid w:val="008F5C0B"/>
    <w:rsid w:val="008F5E41"/>
    <w:rsid w:val="008F5E8D"/>
    <w:rsid w:val="008F615F"/>
    <w:rsid w:val="008F6322"/>
    <w:rsid w:val="008F6547"/>
    <w:rsid w:val="008F65A7"/>
    <w:rsid w:val="008F672F"/>
    <w:rsid w:val="008F6868"/>
    <w:rsid w:val="008F6C30"/>
    <w:rsid w:val="008F71BD"/>
    <w:rsid w:val="008F79F7"/>
    <w:rsid w:val="008F7D0F"/>
    <w:rsid w:val="008F7FB4"/>
    <w:rsid w:val="00900616"/>
    <w:rsid w:val="009010DF"/>
    <w:rsid w:val="00901103"/>
    <w:rsid w:val="009011AD"/>
    <w:rsid w:val="00901222"/>
    <w:rsid w:val="00901D76"/>
    <w:rsid w:val="00902024"/>
    <w:rsid w:val="0090245C"/>
    <w:rsid w:val="00902584"/>
    <w:rsid w:val="0090270C"/>
    <w:rsid w:val="00902725"/>
    <w:rsid w:val="00902848"/>
    <w:rsid w:val="00902986"/>
    <w:rsid w:val="009029EC"/>
    <w:rsid w:val="00902D57"/>
    <w:rsid w:val="009031F0"/>
    <w:rsid w:val="00903390"/>
    <w:rsid w:val="00903B9D"/>
    <w:rsid w:val="009040DF"/>
    <w:rsid w:val="009042B4"/>
    <w:rsid w:val="00904898"/>
    <w:rsid w:val="0090490D"/>
    <w:rsid w:val="00904A0B"/>
    <w:rsid w:val="00904F85"/>
    <w:rsid w:val="009051EE"/>
    <w:rsid w:val="00905918"/>
    <w:rsid w:val="00905BAE"/>
    <w:rsid w:val="00905D41"/>
    <w:rsid w:val="009061B6"/>
    <w:rsid w:val="009064A9"/>
    <w:rsid w:val="009064F8"/>
    <w:rsid w:val="00906B30"/>
    <w:rsid w:val="00907430"/>
    <w:rsid w:val="009074E7"/>
    <w:rsid w:val="0090783F"/>
    <w:rsid w:val="009078EA"/>
    <w:rsid w:val="00907A3A"/>
    <w:rsid w:val="00907B44"/>
    <w:rsid w:val="00907E44"/>
    <w:rsid w:val="00907E93"/>
    <w:rsid w:val="00907F6B"/>
    <w:rsid w:val="0091019E"/>
    <w:rsid w:val="009101E2"/>
    <w:rsid w:val="00910786"/>
    <w:rsid w:val="00910A92"/>
    <w:rsid w:val="00911ADA"/>
    <w:rsid w:val="00911B6C"/>
    <w:rsid w:val="0091209C"/>
    <w:rsid w:val="00912932"/>
    <w:rsid w:val="00912A2A"/>
    <w:rsid w:val="00912E8B"/>
    <w:rsid w:val="00913009"/>
    <w:rsid w:val="00913630"/>
    <w:rsid w:val="009136D5"/>
    <w:rsid w:val="00913DF7"/>
    <w:rsid w:val="00913F0E"/>
    <w:rsid w:val="0091427B"/>
    <w:rsid w:val="00914409"/>
    <w:rsid w:val="0091443F"/>
    <w:rsid w:val="0091481C"/>
    <w:rsid w:val="009149A5"/>
    <w:rsid w:val="00914CB7"/>
    <w:rsid w:val="00914EA8"/>
    <w:rsid w:val="00915065"/>
    <w:rsid w:val="0091536C"/>
    <w:rsid w:val="00915757"/>
    <w:rsid w:val="009167FE"/>
    <w:rsid w:val="009177A2"/>
    <w:rsid w:val="00917E2D"/>
    <w:rsid w:val="00917F2D"/>
    <w:rsid w:val="00917F36"/>
    <w:rsid w:val="00917F4D"/>
    <w:rsid w:val="009207CD"/>
    <w:rsid w:val="00920A06"/>
    <w:rsid w:val="00920A6E"/>
    <w:rsid w:val="00920E77"/>
    <w:rsid w:val="00920F6C"/>
    <w:rsid w:val="00921089"/>
    <w:rsid w:val="0092118D"/>
    <w:rsid w:val="009211EF"/>
    <w:rsid w:val="0092136C"/>
    <w:rsid w:val="0092188B"/>
    <w:rsid w:val="009218D8"/>
    <w:rsid w:val="00921D48"/>
    <w:rsid w:val="009225E1"/>
    <w:rsid w:val="00923129"/>
    <w:rsid w:val="009234F7"/>
    <w:rsid w:val="009236A1"/>
    <w:rsid w:val="00924A23"/>
    <w:rsid w:val="00924B20"/>
    <w:rsid w:val="00924BF6"/>
    <w:rsid w:val="00925177"/>
    <w:rsid w:val="00925787"/>
    <w:rsid w:val="00926094"/>
    <w:rsid w:val="009263B3"/>
    <w:rsid w:val="00926405"/>
    <w:rsid w:val="0092683C"/>
    <w:rsid w:val="00926FA6"/>
    <w:rsid w:val="00927409"/>
    <w:rsid w:val="009279DD"/>
    <w:rsid w:val="00927C72"/>
    <w:rsid w:val="00930327"/>
    <w:rsid w:val="00930360"/>
    <w:rsid w:val="0093037F"/>
    <w:rsid w:val="0093094A"/>
    <w:rsid w:val="00930D40"/>
    <w:rsid w:val="0093187D"/>
    <w:rsid w:val="00931A84"/>
    <w:rsid w:val="00932246"/>
    <w:rsid w:val="009323FF"/>
    <w:rsid w:val="009326FC"/>
    <w:rsid w:val="00933751"/>
    <w:rsid w:val="00933779"/>
    <w:rsid w:val="009338B6"/>
    <w:rsid w:val="00933917"/>
    <w:rsid w:val="00933A81"/>
    <w:rsid w:val="00933EC2"/>
    <w:rsid w:val="0093402C"/>
    <w:rsid w:val="00934345"/>
    <w:rsid w:val="009348B1"/>
    <w:rsid w:val="00935197"/>
    <w:rsid w:val="0093559A"/>
    <w:rsid w:val="00935B81"/>
    <w:rsid w:val="00935C2B"/>
    <w:rsid w:val="00936B6C"/>
    <w:rsid w:val="009377A4"/>
    <w:rsid w:val="00937A60"/>
    <w:rsid w:val="00937BD1"/>
    <w:rsid w:val="00937CB4"/>
    <w:rsid w:val="00937F59"/>
    <w:rsid w:val="00940134"/>
    <w:rsid w:val="009401BB"/>
    <w:rsid w:val="0094094E"/>
    <w:rsid w:val="00940CBA"/>
    <w:rsid w:val="009410DC"/>
    <w:rsid w:val="00941BBC"/>
    <w:rsid w:val="00941E1B"/>
    <w:rsid w:val="00941FB1"/>
    <w:rsid w:val="0094213F"/>
    <w:rsid w:val="00942273"/>
    <w:rsid w:val="009425FC"/>
    <w:rsid w:val="00942A61"/>
    <w:rsid w:val="009432C9"/>
    <w:rsid w:val="00943F93"/>
    <w:rsid w:val="00944337"/>
    <w:rsid w:val="00944CE5"/>
    <w:rsid w:val="009452FB"/>
    <w:rsid w:val="009454E8"/>
    <w:rsid w:val="00945854"/>
    <w:rsid w:val="00945B30"/>
    <w:rsid w:val="00945BF2"/>
    <w:rsid w:val="009462D0"/>
    <w:rsid w:val="0094667F"/>
    <w:rsid w:val="00946973"/>
    <w:rsid w:val="00946F86"/>
    <w:rsid w:val="00947001"/>
    <w:rsid w:val="009472F5"/>
    <w:rsid w:val="00947761"/>
    <w:rsid w:val="00947815"/>
    <w:rsid w:val="00947B47"/>
    <w:rsid w:val="00947B9C"/>
    <w:rsid w:val="00947BB4"/>
    <w:rsid w:val="00947BD1"/>
    <w:rsid w:val="009501B6"/>
    <w:rsid w:val="00950AA3"/>
    <w:rsid w:val="009513C3"/>
    <w:rsid w:val="009515B6"/>
    <w:rsid w:val="009519FF"/>
    <w:rsid w:val="00951C7C"/>
    <w:rsid w:val="00951D26"/>
    <w:rsid w:val="00951D3A"/>
    <w:rsid w:val="00951D3B"/>
    <w:rsid w:val="0095237B"/>
    <w:rsid w:val="00952754"/>
    <w:rsid w:val="00952BA2"/>
    <w:rsid w:val="009530DC"/>
    <w:rsid w:val="009530F0"/>
    <w:rsid w:val="009536A7"/>
    <w:rsid w:val="00953D59"/>
    <w:rsid w:val="00953FF5"/>
    <w:rsid w:val="009542E8"/>
    <w:rsid w:val="00954793"/>
    <w:rsid w:val="00954979"/>
    <w:rsid w:val="00954B61"/>
    <w:rsid w:val="00954EA6"/>
    <w:rsid w:val="00955423"/>
    <w:rsid w:val="00955748"/>
    <w:rsid w:val="00955974"/>
    <w:rsid w:val="00955A63"/>
    <w:rsid w:val="00955AF9"/>
    <w:rsid w:val="0095668F"/>
    <w:rsid w:val="009566F7"/>
    <w:rsid w:val="00956A4D"/>
    <w:rsid w:val="00956F77"/>
    <w:rsid w:val="00957324"/>
    <w:rsid w:val="009573E4"/>
    <w:rsid w:val="009574FE"/>
    <w:rsid w:val="009575E7"/>
    <w:rsid w:val="00957FC4"/>
    <w:rsid w:val="00957FC5"/>
    <w:rsid w:val="00960041"/>
    <w:rsid w:val="009606EE"/>
    <w:rsid w:val="0096077A"/>
    <w:rsid w:val="00960954"/>
    <w:rsid w:val="00960A87"/>
    <w:rsid w:val="0096152A"/>
    <w:rsid w:val="0096172D"/>
    <w:rsid w:val="009617C1"/>
    <w:rsid w:val="00961DF4"/>
    <w:rsid w:val="00961E17"/>
    <w:rsid w:val="00962343"/>
    <w:rsid w:val="00962443"/>
    <w:rsid w:val="0096262B"/>
    <w:rsid w:val="00962FD9"/>
    <w:rsid w:val="0096306A"/>
    <w:rsid w:val="009634EE"/>
    <w:rsid w:val="009636AA"/>
    <w:rsid w:val="00963C32"/>
    <w:rsid w:val="00964055"/>
    <w:rsid w:val="00964082"/>
    <w:rsid w:val="00964215"/>
    <w:rsid w:val="0096470D"/>
    <w:rsid w:val="00964E63"/>
    <w:rsid w:val="00964F37"/>
    <w:rsid w:val="0096580B"/>
    <w:rsid w:val="00965E3F"/>
    <w:rsid w:val="00965F43"/>
    <w:rsid w:val="00965F4D"/>
    <w:rsid w:val="00966346"/>
    <w:rsid w:val="00966B98"/>
    <w:rsid w:val="00966BE4"/>
    <w:rsid w:val="00967037"/>
    <w:rsid w:val="0096735B"/>
    <w:rsid w:val="00970199"/>
    <w:rsid w:val="009709F4"/>
    <w:rsid w:val="00970D5F"/>
    <w:rsid w:val="00970FA1"/>
    <w:rsid w:val="00971B29"/>
    <w:rsid w:val="00972F13"/>
    <w:rsid w:val="009735F3"/>
    <w:rsid w:val="00973641"/>
    <w:rsid w:val="00973705"/>
    <w:rsid w:val="0097379F"/>
    <w:rsid w:val="00974BE3"/>
    <w:rsid w:val="009753C7"/>
    <w:rsid w:val="009755AB"/>
    <w:rsid w:val="009758E7"/>
    <w:rsid w:val="00975E39"/>
    <w:rsid w:val="00976038"/>
    <w:rsid w:val="00976285"/>
    <w:rsid w:val="009766C3"/>
    <w:rsid w:val="009769A3"/>
    <w:rsid w:val="00976EEE"/>
    <w:rsid w:val="00976F0B"/>
    <w:rsid w:val="0097750C"/>
    <w:rsid w:val="00977590"/>
    <w:rsid w:val="009778D0"/>
    <w:rsid w:val="00977C1E"/>
    <w:rsid w:val="00980742"/>
    <w:rsid w:val="00980C72"/>
    <w:rsid w:val="00980E3A"/>
    <w:rsid w:val="009812A0"/>
    <w:rsid w:val="0098178A"/>
    <w:rsid w:val="00981986"/>
    <w:rsid w:val="009819B2"/>
    <w:rsid w:val="00981AEF"/>
    <w:rsid w:val="00981EA6"/>
    <w:rsid w:val="009824AA"/>
    <w:rsid w:val="0098282C"/>
    <w:rsid w:val="00982946"/>
    <w:rsid w:val="00982EC0"/>
    <w:rsid w:val="009839B0"/>
    <w:rsid w:val="00983D7B"/>
    <w:rsid w:val="00984348"/>
    <w:rsid w:val="009843B2"/>
    <w:rsid w:val="00984580"/>
    <w:rsid w:val="009846FE"/>
    <w:rsid w:val="00984E46"/>
    <w:rsid w:val="00984FC4"/>
    <w:rsid w:val="00984FFC"/>
    <w:rsid w:val="00985567"/>
    <w:rsid w:val="0098570E"/>
    <w:rsid w:val="00985897"/>
    <w:rsid w:val="00985D39"/>
    <w:rsid w:val="009863AD"/>
    <w:rsid w:val="00987368"/>
    <w:rsid w:val="0098761E"/>
    <w:rsid w:val="0098763D"/>
    <w:rsid w:val="00987697"/>
    <w:rsid w:val="009878FD"/>
    <w:rsid w:val="00990021"/>
    <w:rsid w:val="0099048A"/>
    <w:rsid w:val="009905FC"/>
    <w:rsid w:val="00990811"/>
    <w:rsid w:val="0099171B"/>
    <w:rsid w:val="00991828"/>
    <w:rsid w:val="00991AF5"/>
    <w:rsid w:val="00992514"/>
    <w:rsid w:val="00992573"/>
    <w:rsid w:val="00992B92"/>
    <w:rsid w:val="00992BDB"/>
    <w:rsid w:val="009931C3"/>
    <w:rsid w:val="0099330B"/>
    <w:rsid w:val="0099377B"/>
    <w:rsid w:val="00993847"/>
    <w:rsid w:val="00993D78"/>
    <w:rsid w:val="00993DC8"/>
    <w:rsid w:val="0099415D"/>
    <w:rsid w:val="009941C4"/>
    <w:rsid w:val="0099535C"/>
    <w:rsid w:val="0099554C"/>
    <w:rsid w:val="00995D09"/>
    <w:rsid w:val="00995D8D"/>
    <w:rsid w:val="009963EB"/>
    <w:rsid w:val="009965A4"/>
    <w:rsid w:val="00996FF0"/>
    <w:rsid w:val="00997258"/>
    <w:rsid w:val="009974D1"/>
    <w:rsid w:val="00997592"/>
    <w:rsid w:val="00997ACF"/>
    <w:rsid w:val="00997B02"/>
    <w:rsid w:val="00997E7B"/>
    <w:rsid w:val="00997E8C"/>
    <w:rsid w:val="009A01DE"/>
    <w:rsid w:val="009A05CF"/>
    <w:rsid w:val="009A0A1D"/>
    <w:rsid w:val="009A0AEA"/>
    <w:rsid w:val="009A0BF6"/>
    <w:rsid w:val="009A0EAF"/>
    <w:rsid w:val="009A0FD8"/>
    <w:rsid w:val="009A0FF5"/>
    <w:rsid w:val="009A10D4"/>
    <w:rsid w:val="009A1318"/>
    <w:rsid w:val="009A2037"/>
    <w:rsid w:val="009A20AD"/>
    <w:rsid w:val="009A2510"/>
    <w:rsid w:val="009A29F3"/>
    <w:rsid w:val="009A2CDF"/>
    <w:rsid w:val="009A303A"/>
    <w:rsid w:val="009A396D"/>
    <w:rsid w:val="009A3C39"/>
    <w:rsid w:val="009A3CCB"/>
    <w:rsid w:val="009A48AC"/>
    <w:rsid w:val="009A5BC9"/>
    <w:rsid w:val="009A624E"/>
    <w:rsid w:val="009A646B"/>
    <w:rsid w:val="009A65AE"/>
    <w:rsid w:val="009A67AF"/>
    <w:rsid w:val="009A7783"/>
    <w:rsid w:val="009A783E"/>
    <w:rsid w:val="009B05AE"/>
    <w:rsid w:val="009B1D27"/>
    <w:rsid w:val="009B1E6C"/>
    <w:rsid w:val="009B20A7"/>
    <w:rsid w:val="009B24C8"/>
    <w:rsid w:val="009B289B"/>
    <w:rsid w:val="009B2C2E"/>
    <w:rsid w:val="009B2C59"/>
    <w:rsid w:val="009B3347"/>
    <w:rsid w:val="009B3837"/>
    <w:rsid w:val="009B3AAD"/>
    <w:rsid w:val="009B3AB6"/>
    <w:rsid w:val="009B3B27"/>
    <w:rsid w:val="009B3BD2"/>
    <w:rsid w:val="009B40CA"/>
    <w:rsid w:val="009B466D"/>
    <w:rsid w:val="009B48F9"/>
    <w:rsid w:val="009B51AF"/>
    <w:rsid w:val="009B5289"/>
    <w:rsid w:val="009B5439"/>
    <w:rsid w:val="009B55A5"/>
    <w:rsid w:val="009B55E4"/>
    <w:rsid w:val="009B57C8"/>
    <w:rsid w:val="009B6027"/>
    <w:rsid w:val="009B64CC"/>
    <w:rsid w:val="009B69F1"/>
    <w:rsid w:val="009B6A10"/>
    <w:rsid w:val="009B775E"/>
    <w:rsid w:val="009B7791"/>
    <w:rsid w:val="009C0014"/>
    <w:rsid w:val="009C025B"/>
    <w:rsid w:val="009C087D"/>
    <w:rsid w:val="009C0DF5"/>
    <w:rsid w:val="009C1334"/>
    <w:rsid w:val="009C13DA"/>
    <w:rsid w:val="009C14FE"/>
    <w:rsid w:val="009C1B77"/>
    <w:rsid w:val="009C1E78"/>
    <w:rsid w:val="009C21D0"/>
    <w:rsid w:val="009C23CD"/>
    <w:rsid w:val="009C2730"/>
    <w:rsid w:val="009C2C62"/>
    <w:rsid w:val="009C3119"/>
    <w:rsid w:val="009C381A"/>
    <w:rsid w:val="009C3AD1"/>
    <w:rsid w:val="009C3F3C"/>
    <w:rsid w:val="009C3F57"/>
    <w:rsid w:val="009C4BBA"/>
    <w:rsid w:val="009C4C8A"/>
    <w:rsid w:val="009C4DF8"/>
    <w:rsid w:val="009C4E2C"/>
    <w:rsid w:val="009C4F06"/>
    <w:rsid w:val="009C4F8D"/>
    <w:rsid w:val="009C4FAA"/>
    <w:rsid w:val="009C5AA8"/>
    <w:rsid w:val="009C5C4C"/>
    <w:rsid w:val="009C5D87"/>
    <w:rsid w:val="009C606F"/>
    <w:rsid w:val="009C657C"/>
    <w:rsid w:val="009C69BA"/>
    <w:rsid w:val="009C6CE4"/>
    <w:rsid w:val="009C7012"/>
    <w:rsid w:val="009C7C0C"/>
    <w:rsid w:val="009C7EED"/>
    <w:rsid w:val="009D0205"/>
    <w:rsid w:val="009D030A"/>
    <w:rsid w:val="009D033A"/>
    <w:rsid w:val="009D0372"/>
    <w:rsid w:val="009D0425"/>
    <w:rsid w:val="009D09A3"/>
    <w:rsid w:val="009D0A04"/>
    <w:rsid w:val="009D0B58"/>
    <w:rsid w:val="009D0CD1"/>
    <w:rsid w:val="009D149C"/>
    <w:rsid w:val="009D177E"/>
    <w:rsid w:val="009D1EA4"/>
    <w:rsid w:val="009D2067"/>
    <w:rsid w:val="009D25ED"/>
    <w:rsid w:val="009D2B6E"/>
    <w:rsid w:val="009D4453"/>
    <w:rsid w:val="009D5743"/>
    <w:rsid w:val="009D5CCC"/>
    <w:rsid w:val="009D60D3"/>
    <w:rsid w:val="009D65AD"/>
    <w:rsid w:val="009D723D"/>
    <w:rsid w:val="009D73A1"/>
    <w:rsid w:val="009D73BF"/>
    <w:rsid w:val="009D775C"/>
    <w:rsid w:val="009D7C21"/>
    <w:rsid w:val="009D7FEF"/>
    <w:rsid w:val="009E02CC"/>
    <w:rsid w:val="009E0328"/>
    <w:rsid w:val="009E03D0"/>
    <w:rsid w:val="009E056F"/>
    <w:rsid w:val="009E065E"/>
    <w:rsid w:val="009E0EBA"/>
    <w:rsid w:val="009E12AE"/>
    <w:rsid w:val="009E12CA"/>
    <w:rsid w:val="009E1649"/>
    <w:rsid w:val="009E17FD"/>
    <w:rsid w:val="009E28A2"/>
    <w:rsid w:val="009E2C1A"/>
    <w:rsid w:val="009E300D"/>
    <w:rsid w:val="009E3271"/>
    <w:rsid w:val="009E3272"/>
    <w:rsid w:val="009E32BF"/>
    <w:rsid w:val="009E35FA"/>
    <w:rsid w:val="009E370E"/>
    <w:rsid w:val="009E38D3"/>
    <w:rsid w:val="009E3907"/>
    <w:rsid w:val="009E3D57"/>
    <w:rsid w:val="009E47A9"/>
    <w:rsid w:val="009E47B7"/>
    <w:rsid w:val="009E4A3A"/>
    <w:rsid w:val="009E4BF1"/>
    <w:rsid w:val="009E57BF"/>
    <w:rsid w:val="009E5D07"/>
    <w:rsid w:val="009E5FD3"/>
    <w:rsid w:val="009E5FE5"/>
    <w:rsid w:val="009E604C"/>
    <w:rsid w:val="009E60C6"/>
    <w:rsid w:val="009E6A2A"/>
    <w:rsid w:val="009E6BAC"/>
    <w:rsid w:val="009E6F4A"/>
    <w:rsid w:val="009E710A"/>
    <w:rsid w:val="009E723D"/>
    <w:rsid w:val="009E79CA"/>
    <w:rsid w:val="009E7A4E"/>
    <w:rsid w:val="009E7E65"/>
    <w:rsid w:val="009F073E"/>
    <w:rsid w:val="009F10E9"/>
    <w:rsid w:val="009F11F7"/>
    <w:rsid w:val="009F126D"/>
    <w:rsid w:val="009F1367"/>
    <w:rsid w:val="009F15F8"/>
    <w:rsid w:val="009F1E45"/>
    <w:rsid w:val="009F2198"/>
    <w:rsid w:val="009F22DC"/>
    <w:rsid w:val="009F27C3"/>
    <w:rsid w:val="009F2ACA"/>
    <w:rsid w:val="009F2AEB"/>
    <w:rsid w:val="009F2B85"/>
    <w:rsid w:val="009F2CDB"/>
    <w:rsid w:val="009F2E61"/>
    <w:rsid w:val="009F4009"/>
    <w:rsid w:val="009F41B9"/>
    <w:rsid w:val="009F4773"/>
    <w:rsid w:val="009F4791"/>
    <w:rsid w:val="009F5A39"/>
    <w:rsid w:val="009F5B39"/>
    <w:rsid w:val="009F5DD0"/>
    <w:rsid w:val="009F62C7"/>
    <w:rsid w:val="009F6518"/>
    <w:rsid w:val="009F7307"/>
    <w:rsid w:val="009F7710"/>
    <w:rsid w:val="009F7ABA"/>
    <w:rsid w:val="00A006B4"/>
    <w:rsid w:val="00A008B2"/>
    <w:rsid w:val="00A00BED"/>
    <w:rsid w:val="00A01F85"/>
    <w:rsid w:val="00A023D7"/>
    <w:rsid w:val="00A0243F"/>
    <w:rsid w:val="00A02844"/>
    <w:rsid w:val="00A03485"/>
    <w:rsid w:val="00A03616"/>
    <w:rsid w:val="00A039C9"/>
    <w:rsid w:val="00A04189"/>
    <w:rsid w:val="00A04241"/>
    <w:rsid w:val="00A04435"/>
    <w:rsid w:val="00A049A9"/>
    <w:rsid w:val="00A04B78"/>
    <w:rsid w:val="00A04D19"/>
    <w:rsid w:val="00A04DC1"/>
    <w:rsid w:val="00A052F7"/>
    <w:rsid w:val="00A05493"/>
    <w:rsid w:val="00A059C2"/>
    <w:rsid w:val="00A06425"/>
    <w:rsid w:val="00A07139"/>
    <w:rsid w:val="00A0732D"/>
    <w:rsid w:val="00A07C0F"/>
    <w:rsid w:val="00A10673"/>
    <w:rsid w:val="00A1109D"/>
    <w:rsid w:val="00A11132"/>
    <w:rsid w:val="00A1212D"/>
    <w:rsid w:val="00A12260"/>
    <w:rsid w:val="00A124C6"/>
    <w:rsid w:val="00A126B1"/>
    <w:rsid w:val="00A12D3A"/>
    <w:rsid w:val="00A12F20"/>
    <w:rsid w:val="00A13095"/>
    <w:rsid w:val="00A1314F"/>
    <w:rsid w:val="00A13B17"/>
    <w:rsid w:val="00A13BF0"/>
    <w:rsid w:val="00A13E9D"/>
    <w:rsid w:val="00A1421E"/>
    <w:rsid w:val="00A155CD"/>
    <w:rsid w:val="00A16CEB"/>
    <w:rsid w:val="00A17493"/>
    <w:rsid w:val="00A175EA"/>
    <w:rsid w:val="00A2016F"/>
    <w:rsid w:val="00A203D4"/>
    <w:rsid w:val="00A20592"/>
    <w:rsid w:val="00A20950"/>
    <w:rsid w:val="00A20B70"/>
    <w:rsid w:val="00A21987"/>
    <w:rsid w:val="00A21CE6"/>
    <w:rsid w:val="00A21D45"/>
    <w:rsid w:val="00A21DA8"/>
    <w:rsid w:val="00A21F78"/>
    <w:rsid w:val="00A225EC"/>
    <w:rsid w:val="00A2292A"/>
    <w:rsid w:val="00A22DA8"/>
    <w:rsid w:val="00A22F08"/>
    <w:rsid w:val="00A23642"/>
    <w:rsid w:val="00A23831"/>
    <w:rsid w:val="00A238E4"/>
    <w:rsid w:val="00A23913"/>
    <w:rsid w:val="00A23A29"/>
    <w:rsid w:val="00A23A96"/>
    <w:rsid w:val="00A23B5C"/>
    <w:rsid w:val="00A2435E"/>
    <w:rsid w:val="00A24372"/>
    <w:rsid w:val="00A24858"/>
    <w:rsid w:val="00A25055"/>
    <w:rsid w:val="00A25114"/>
    <w:rsid w:val="00A2557E"/>
    <w:rsid w:val="00A258CA"/>
    <w:rsid w:val="00A26448"/>
    <w:rsid w:val="00A268AE"/>
    <w:rsid w:val="00A26A57"/>
    <w:rsid w:val="00A26ACA"/>
    <w:rsid w:val="00A272D0"/>
    <w:rsid w:val="00A27BA8"/>
    <w:rsid w:val="00A27EB8"/>
    <w:rsid w:val="00A27F6E"/>
    <w:rsid w:val="00A305A8"/>
    <w:rsid w:val="00A30959"/>
    <w:rsid w:val="00A31391"/>
    <w:rsid w:val="00A3147A"/>
    <w:rsid w:val="00A3147F"/>
    <w:rsid w:val="00A31C14"/>
    <w:rsid w:val="00A31CBC"/>
    <w:rsid w:val="00A31E84"/>
    <w:rsid w:val="00A320DD"/>
    <w:rsid w:val="00A322B3"/>
    <w:rsid w:val="00A325FB"/>
    <w:rsid w:val="00A32697"/>
    <w:rsid w:val="00A32AC9"/>
    <w:rsid w:val="00A33134"/>
    <w:rsid w:val="00A3332F"/>
    <w:rsid w:val="00A33342"/>
    <w:rsid w:val="00A33872"/>
    <w:rsid w:val="00A33878"/>
    <w:rsid w:val="00A33BC3"/>
    <w:rsid w:val="00A343FA"/>
    <w:rsid w:val="00A345C0"/>
    <w:rsid w:val="00A345F1"/>
    <w:rsid w:val="00A34C48"/>
    <w:rsid w:val="00A34DA5"/>
    <w:rsid w:val="00A353F5"/>
    <w:rsid w:val="00A35713"/>
    <w:rsid w:val="00A35BF8"/>
    <w:rsid w:val="00A36CC5"/>
    <w:rsid w:val="00A37CFA"/>
    <w:rsid w:val="00A4049C"/>
    <w:rsid w:val="00A41411"/>
    <w:rsid w:val="00A4169A"/>
    <w:rsid w:val="00A4174A"/>
    <w:rsid w:val="00A42039"/>
    <w:rsid w:val="00A423B3"/>
    <w:rsid w:val="00A42944"/>
    <w:rsid w:val="00A431F9"/>
    <w:rsid w:val="00A436C7"/>
    <w:rsid w:val="00A43914"/>
    <w:rsid w:val="00A439AF"/>
    <w:rsid w:val="00A44224"/>
    <w:rsid w:val="00A45024"/>
    <w:rsid w:val="00A450DF"/>
    <w:rsid w:val="00A452AC"/>
    <w:rsid w:val="00A455E3"/>
    <w:rsid w:val="00A4578A"/>
    <w:rsid w:val="00A45A16"/>
    <w:rsid w:val="00A45AC3"/>
    <w:rsid w:val="00A4616D"/>
    <w:rsid w:val="00A465B5"/>
    <w:rsid w:val="00A46913"/>
    <w:rsid w:val="00A47763"/>
    <w:rsid w:val="00A47891"/>
    <w:rsid w:val="00A47A3D"/>
    <w:rsid w:val="00A50058"/>
    <w:rsid w:val="00A503B6"/>
    <w:rsid w:val="00A51796"/>
    <w:rsid w:val="00A520F6"/>
    <w:rsid w:val="00A5298C"/>
    <w:rsid w:val="00A52AA2"/>
    <w:rsid w:val="00A52DBA"/>
    <w:rsid w:val="00A5310B"/>
    <w:rsid w:val="00A53BDA"/>
    <w:rsid w:val="00A53C45"/>
    <w:rsid w:val="00A53E29"/>
    <w:rsid w:val="00A53F7B"/>
    <w:rsid w:val="00A540E2"/>
    <w:rsid w:val="00A544E9"/>
    <w:rsid w:val="00A545CC"/>
    <w:rsid w:val="00A555A7"/>
    <w:rsid w:val="00A55645"/>
    <w:rsid w:val="00A55682"/>
    <w:rsid w:val="00A5568D"/>
    <w:rsid w:val="00A55996"/>
    <w:rsid w:val="00A562AA"/>
    <w:rsid w:val="00A56B99"/>
    <w:rsid w:val="00A56D07"/>
    <w:rsid w:val="00A56E00"/>
    <w:rsid w:val="00A60906"/>
    <w:rsid w:val="00A60BDB"/>
    <w:rsid w:val="00A60CEC"/>
    <w:rsid w:val="00A60FFD"/>
    <w:rsid w:val="00A6153A"/>
    <w:rsid w:val="00A62123"/>
    <w:rsid w:val="00A62244"/>
    <w:rsid w:val="00A62393"/>
    <w:rsid w:val="00A62A71"/>
    <w:rsid w:val="00A62AFC"/>
    <w:rsid w:val="00A62D8A"/>
    <w:rsid w:val="00A62F62"/>
    <w:rsid w:val="00A62FBC"/>
    <w:rsid w:val="00A63473"/>
    <w:rsid w:val="00A638C0"/>
    <w:rsid w:val="00A639B7"/>
    <w:rsid w:val="00A63FD1"/>
    <w:rsid w:val="00A643D8"/>
    <w:rsid w:val="00A645B4"/>
    <w:rsid w:val="00A64878"/>
    <w:rsid w:val="00A64A30"/>
    <w:rsid w:val="00A65766"/>
    <w:rsid w:val="00A65775"/>
    <w:rsid w:val="00A66131"/>
    <w:rsid w:val="00A666B8"/>
    <w:rsid w:val="00A668A2"/>
    <w:rsid w:val="00A66BAD"/>
    <w:rsid w:val="00A67DE1"/>
    <w:rsid w:val="00A70549"/>
    <w:rsid w:val="00A709F6"/>
    <w:rsid w:val="00A7117A"/>
    <w:rsid w:val="00A717D7"/>
    <w:rsid w:val="00A718E3"/>
    <w:rsid w:val="00A71A79"/>
    <w:rsid w:val="00A71C19"/>
    <w:rsid w:val="00A71D6E"/>
    <w:rsid w:val="00A72032"/>
    <w:rsid w:val="00A7265B"/>
    <w:rsid w:val="00A72A86"/>
    <w:rsid w:val="00A72F71"/>
    <w:rsid w:val="00A72FD0"/>
    <w:rsid w:val="00A734C1"/>
    <w:rsid w:val="00A7353E"/>
    <w:rsid w:val="00A73E75"/>
    <w:rsid w:val="00A73FA2"/>
    <w:rsid w:val="00A747B4"/>
    <w:rsid w:val="00A7499E"/>
    <w:rsid w:val="00A74A70"/>
    <w:rsid w:val="00A74ED0"/>
    <w:rsid w:val="00A751DF"/>
    <w:rsid w:val="00A75929"/>
    <w:rsid w:val="00A75933"/>
    <w:rsid w:val="00A75D68"/>
    <w:rsid w:val="00A76467"/>
    <w:rsid w:val="00A76F2F"/>
    <w:rsid w:val="00A77211"/>
    <w:rsid w:val="00A77651"/>
    <w:rsid w:val="00A777E9"/>
    <w:rsid w:val="00A778E5"/>
    <w:rsid w:val="00A77964"/>
    <w:rsid w:val="00A77C29"/>
    <w:rsid w:val="00A77C72"/>
    <w:rsid w:val="00A77DD5"/>
    <w:rsid w:val="00A77DE6"/>
    <w:rsid w:val="00A8014A"/>
    <w:rsid w:val="00A80266"/>
    <w:rsid w:val="00A8034E"/>
    <w:rsid w:val="00A80622"/>
    <w:rsid w:val="00A80780"/>
    <w:rsid w:val="00A811BF"/>
    <w:rsid w:val="00A81E32"/>
    <w:rsid w:val="00A82089"/>
    <w:rsid w:val="00A822F3"/>
    <w:rsid w:val="00A828DD"/>
    <w:rsid w:val="00A8297A"/>
    <w:rsid w:val="00A83169"/>
    <w:rsid w:val="00A83454"/>
    <w:rsid w:val="00A835C6"/>
    <w:rsid w:val="00A8364E"/>
    <w:rsid w:val="00A83700"/>
    <w:rsid w:val="00A83953"/>
    <w:rsid w:val="00A839E1"/>
    <w:rsid w:val="00A83E9B"/>
    <w:rsid w:val="00A83FE6"/>
    <w:rsid w:val="00A840F1"/>
    <w:rsid w:val="00A8461A"/>
    <w:rsid w:val="00A84ACC"/>
    <w:rsid w:val="00A84B08"/>
    <w:rsid w:val="00A851AF"/>
    <w:rsid w:val="00A85474"/>
    <w:rsid w:val="00A85E23"/>
    <w:rsid w:val="00A8644F"/>
    <w:rsid w:val="00A865A2"/>
    <w:rsid w:val="00A866B6"/>
    <w:rsid w:val="00A86B8A"/>
    <w:rsid w:val="00A86BE7"/>
    <w:rsid w:val="00A86E47"/>
    <w:rsid w:val="00A86F26"/>
    <w:rsid w:val="00A86F8A"/>
    <w:rsid w:val="00A874C5"/>
    <w:rsid w:val="00A87671"/>
    <w:rsid w:val="00A876FA"/>
    <w:rsid w:val="00A90573"/>
    <w:rsid w:val="00A90F5E"/>
    <w:rsid w:val="00A913A5"/>
    <w:rsid w:val="00A91432"/>
    <w:rsid w:val="00A9176A"/>
    <w:rsid w:val="00A91BF7"/>
    <w:rsid w:val="00A92695"/>
    <w:rsid w:val="00A926AE"/>
    <w:rsid w:val="00A92B05"/>
    <w:rsid w:val="00A92E1F"/>
    <w:rsid w:val="00A92F77"/>
    <w:rsid w:val="00A933D9"/>
    <w:rsid w:val="00A934EB"/>
    <w:rsid w:val="00A93612"/>
    <w:rsid w:val="00A93DD8"/>
    <w:rsid w:val="00A9437A"/>
    <w:rsid w:val="00A94415"/>
    <w:rsid w:val="00A94947"/>
    <w:rsid w:val="00A94964"/>
    <w:rsid w:val="00A9535E"/>
    <w:rsid w:val="00A95E82"/>
    <w:rsid w:val="00A9605C"/>
    <w:rsid w:val="00A9695C"/>
    <w:rsid w:val="00A9791E"/>
    <w:rsid w:val="00A97BF4"/>
    <w:rsid w:val="00AA094E"/>
    <w:rsid w:val="00AA0AFE"/>
    <w:rsid w:val="00AA0C1F"/>
    <w:rsid w:val="00AA1164"/>
    <w:rsid w:val="00AA145F"/>
    <w:rsid w:val="00AA1680"/>
    <w:rsid w:val="00AA1739"/>
    <w:rsid w:val="00AA26A4"/>
    <w:rsid w:val="00AA26CD"/>
    <w:rsid w:val="00AA32F0"/>
    <w:rsid w:val="00AA3463"/>
    <w:rsid w:val="00AA3DA8"/>
    <w:rsid w:val="00AA48A4"/>
    <w:rsid w:val="00AA498E"/>
    <w:rsid w:val="00AA4E40"/>
    <w:rsid w:val="00AA51EC"/>
    <w:rsid w:val="00AA52A8"/>
    <w:rsid w:val="00AA5404"/>
    <w:rsid w:val="00AA5A56"/>
    <w:rsid w:val="00AA5C03"/>
    <w:rsid w:val="00AA5F58"/>
    <w:rsid w:val="00AA5FF2"/>
    <w:rsid w:val="00AA61AC"/>
    <w:rsid w:val="00AA6212"/>
    <w:rsid w:val="00AA63C8"/>
    <w:rsid w:val="00AA66D6"/>
    <w:rsid w:val="00AB01A7"/>
    <w:rsid w:val="00AB0850"/>
    <w:rsid w:val="00AB086E"/>
    <w:rsid w:val="00AB0946"/>
    <w:rsid w:val="00AB1047"/>
    <w:rsid w:val="00AB12EC"/>
    <w:rsid w:val="00AB2751"/>
    <w:rsid w:val="00AB2B8E"/>
    <w:rsid w:val="00AB2C91"/>
    <w:rsid w:val="00AB32A9"/>
    <w:rsid w:val="00AB33A1"/>
    <w:rsid w:val="00AB3D93"/>
    <w:rsid w:val="00AB4133"/>
    <w:rsid w:val="00AB4971"/>
    <w:rsid w:val="00AB49A6"/>
    <w:rsid w:val="00AB55C7"/>
    <w:rsid w:val="00AB5CFB"/>
    <w:rsid w:val="00AB5F22"/>
    <w:rsid w:val="00AB60B8"/>
    <w:rsid w:val="00AB6C62"/>
    <w:rsid w:val="00AB76FC"/>
    <w:rsid w:val="00AB7845"/>
    <w:rsid w:val="00AB7AA8"/>
    <w:rsid w:val="00AC05F7"/>
    <w:rsid w:val="00AC148D"/>
    <w:rsid w:val="00AC1E3B"/>
    <w:rsid w:val="00AC2470"/>
    <w:rsid w:val="00AC2813"/>
    <w:rsid w:val="00AC2B3A"/>
    <w:rsid w:val="00AC2D8F"/>
    <w:rsid w:val="00AC312D"/>
    <w:rsid w:val="00AC3734"/>
    <w:rsid w:val="00AC384C"/>
    <w:rsid w:val="00AC3EEF"/>
    <w:rsid w:val="00AC3FDF"/>
    <w:rsid w:val="00AC44EC"/>
    <w:rsid w:val="00AC4A75"/>
    <w:rsid w:val="00AC4F79"/>
    <w:rsid w:val="00AC5001"/>
    <w:rsid w:val="00AC51C1"/>
    <w:rsid w:val="00AC5337"/>
    <w:rsid w:val="00AC5437"/>
    <w:rsid w:val="00AC5B3F"/>
    <w:rsid w:val="00AC5DE8"/>
    <w:rsid w:val="00AC5F36"/>
    <w:rsid w:val="00AC65C6"/>
    <w:rsid w:val="00AC6783"/>
    <w:rsid w:val="00AC714B"/>
    <w:rsid w:val="00AC71AE"/>
    <w:rsid w:val="00AC7258"/>
    <w:rsid w:val="00AC7ACE"/>
    <w:rsid w:val="00AC7AF7"/>
    <w:rsid w:val="00AC7EB6"/>
    <w:rsid w:val="00AD06FF"/>
    <w:rsid w:val="00AD09D1"/>
    <w:rsid w:val="00AD18DF"/>
    <w:rsid w:val="00AD19B0"/>
    <w:rsid w:val="00AD20EE"/>
    <w:rsid w:val="00AD21D2"/>
    <w:rsid w:val="00AD241A"/>
    <w:rsid w:val="00AD350D"/>
    <w:rsid w:val="00AD3981"/>
    <w:rsid w:val="00AD3A84"/>
    <w:rsid w:val="00AD4539"/>
    <w:rsid w:val="00AD4BB3"/>
    <w:rsid w:val="00AD5589"/>
    <w:rsid w:val="00AD5D29"/>
    <w:rsid w:val="00AD5D35"/>
    <w:rsid w:val="00AD7062"/>
    <w:rsid w:val="00AD70AA"/>
    <w:rsid w:val="00AD7896"/>
    <w:rsid w:val="00AD78EF"/>
    <w:rsid w:val="00AE10C8"/>
    <w:rsid w:val="00AE18F6"/>
    <w:rsid w:val="00AE2095"/>
    <w:rsid w:val="00AE23EE"/>
    <w:rsid w:val="00AE245F"/>
    <w:rsid w:val="00AE2768"/>
    <w:rsid w:val="00AE2AE3"/>
    <w:rsid w:val="00AE2E62"/>
    <w:rsid w:val="00AE31D4"/>
    <w:rsid w:val="00AE31DC"/>
    <w:rsid w:val="00AE3505"/>
    <w:rsid w:val="00AE3D60"/>
    <w:rsid w:val="00AE4A81"/>
    <w:rsid w:val="00AE4D38"/>
    <w:rsid w:val="00AE4D50"/>
    <w:rsid w:val="00AE4DF1"/>
    <w:rsid w:val="00AE4F14"/>
    <w:rsid w:val="00AE542A"/>
    <w:rsid w:val="00AE55A9"/>
    <w:rsid w:val="00AE589D"/>
    <w:rsid w:val="00AE602E"/>
    <w:rsid w:val="00AE6096"/>
    <w:rsid w:val="00AE6252"/>
    <w:rsid w:val="00AE661A"/>
    <w:rsid w:val="00AE72CB"/>
    <w:rsid w:val="00AF0493"/>
    <w:rsid w:val="00AF04F3"/>
    <w:rsid w:val="00AF07AD"/>
    <w:rsid w:val="00AF0990"/>
    <w:rsid w:val="00AF1011"/>
    <w:rsid w:val="00AF11D7"/>
    <w:rsid w:val="00AF1473"/>
    <w:rsid w:val="00AF164A"/>
    <w:rsid w:val="00AF19BA"/>
    <w:rsid w:val="00AF1C02"/>
    <w:rsid w:val="00AF24B8"/>
    <w:rsid w:val="00AF2B25"/>
    <w:rsid w:val="00AF31D7"/>
    <w:rsid w:val="00AF37D1"/>
    <w:rsid w:val="00AF390F"/>
    <w:rsid w:val="00AF395B"/>
    <w:rsid w:val="00AF3CFD"/>
    <w:rsid w:val="00AF4057"/>
    <w:rsid w:val="00AF42B5"/>
    <w:rsid w:val="00AF45B3"/>
    <w:rsid w:val="00AF4AA6"/>
    <w:rsid w:val="00AF517C"/>
    <w:rsid w:val="00AF570C"/>
    <w:rsid w:val="00AF5906"/>
    <w:rsid w:val="00AF61F1"/>
    <w:rsid w:val="00AF6247"/>
    <w:rsid w:val="00AF63B6"/>
    <w:rsid w:val="00AF6473"/>
    <w:rsid w:val="00AF6915"/>
    <w:rsid w:val="00AF69D2"/>
    <w:rsid w:val="00B002B4"/>
    <w:rsid w:val="00B00848"/>
    <w:rsid w:val="00B018C6"/>
    <w:rsid w:val="00B01B56"/>
    <w:rsid w:val="00B01C26"/>
    <w:rsid w:val="00B01FDC"/>
    <w:rsid w:val="00B0219A"/>
    <w:rsid w:val="00B0253B"/>
    <w:rsid w:val="00B02F9B"/>
    <w:rsid w:val="00B035CC"/>
    <w:rsid w:val="00B039DD"/>
    <w:rsid w:val="00B0421D"/>
    <w:rsid w:val="00B04ED9"/>
    <w:rsid w:val="00B064F7"/>
    <w:rsid w:val="00B067DF"/>
    <w:rsid w:val="00B06880"/>
    <w:rsid w:val="00B06921"/>
    <w:rsid w:val="00B070CF"/>
    <w:rsid w:val="00B10023"/>
    <w:rsid w:val="00B10184"/>
    <w:rsid w:val="00B10229"/>
    <w:rsid w:val="00B10294"/>
    <w:rsid w:val="00B104A2"/>
    <w:rsid w:val="00B1088E"/>
    <w:rsid w:val="00B10BE2"/>
    <w:rsid w:val="00B10C94"/>
    <w:rsid w:val="00B10CA7"/>
    <w:rsid w:val="00B10D22"/>
    <w:rsid w:val="00B10EF8"/>
    <w:rsid w:val="00B114C0"/>
    <w:rsid w:val="00B1153F"/>
    <w:rsid w:val="00B1179C"/>
    <w:rsid w:val="00B11E2A"/>
    <w:rsid w:val="00B12174"/>
    <w:rsid w:val="00B12941"/>
    <w:rsid w:val="00B13721"/>
    <w:rsid w:val="00B1396C"/>
    <w:rsid w:val="00B13A6E"/>
    <w:rsid w:val="00B13DF6"/>
    <w:rsid w:val="00B13EC2"/>
    <w:rsid w:val="00B1425F"/>
    <w:rsid w:val="00B14408"/>
    <w:rsid w:val="00B1458B"/>
    <w:rsid w:val="00B14908"/>
    <w:rsid w:val="00B14B61"/>
    <w:rsid w:val="00B14B6B"/>
    <w:rsid w:val="00B15384"/>
    <w:rsid w:val="00B156A4"/>
    <w:rsid w:val="00B161B3"/>
    <w:rsid w:val="00B1652F"/>
    <w:rsid w:val="00B165E3"/>
    <w:rsid w:val="00B16AE9"/>
    <w:rsid w:val="00B16B96"/>
    <w:rsid w:val="00B16F6F"/>
    <w:rsid w:val="00B1743E"/>
    <w:rsid w:val="00B1745D"/>
    <w:rsid w:val="00B178A8"/>
    <w:rsid w:val="00B17AF7"/>
    <w:rsid w:val="00B17ECE"/>
    <w:rsid w:val="00B203E3"/>
    <w:rsid w:val="00B2082C"/>
    <w:rsid w:val="00B208C9"/>
    <w:rsid w:val="00B20D52"/>
    <w:rsid w:val="00B21662"/>
    <w:rsid w:val="00B21F56"/>
    <w:rsid w:val="00B21FBB"/>
    <w:rsid w:val="00B22386"/>
    <w:rsid w:val="00B22865"/>
    <w:rsid w:val="00B228FB"/>
    <w:rsid w:val="00B22CB7"/>
    <w:rsid w:val="00B22D99"/>
    <w:rsid w:val="00B23362"/>
    <w:rsid w:val="00B23C86"/>
    <w:rsid w:val="00B23CD2"/>
    <w:rsid w:val="00B23E06"/>
    <w:rsid w:val="00B23E19"/>
    <w:rsid w:val="00B23F97"/>
    <w:rsid w:val="00B248CB"/>
    <w:rsid w:val="00B24911"/>
    <w:rsid w:val="00B24DCB"/>
    <w:rsid w:val="00B256F6"/>
    <w:rsid w:val="00B2598D"/>
    <w:rsid w:val="00B25C36"/>
    <w:rsid w:val="00B25C45"/>
    <w:rsid w:val="00B25CD7"/>
    <w:rsid w:val="00B26BC5"/>
    <w:rsid w:val="00B275D7"/>
    <w:rsid w:val="00B27C71"/>
    <w:rsid w:val="00B27E92"/>
    <w:rsid w:val="00B27E97"/>
    <w:rsid w:val="00B27FC8"/>
    <w:rsid w:val="00B30366"/>
    <w:rsid w:val="00B31011"/>
    <w:rsid w:val="00B311E9"/>
    <w:rsid w:val="00B3154C"/>
    <w:rsid w:val="00B31D26"/>
    <w:rsid w:val="00B31FB2"/>
    <w:rsid w:val="00B334CC"/>
    <w:rsid w:val="00B33A58"/>
    <w:rsid w:val="00B33C7B"/>
    <w:rsid w:val="00B33DA7"/>
    <w:rsid w:val="00B3404C"/>
    <w:rsid w:val="00B3438A"/>
    <w:rsid w:val="00B346B1"/>
    <w:rsid w:val="00B3485E"/>
    <w:rsid w:val="00B348DC"/>
    <w:rsid w:val="00B349B6"/>
    <w:rsid w:val="00B350E2"/>
    <w:rsid w:val="00B35793"/>
    <w:rsid w:val="00B35F75"/>
    <w:rsid w:val="00B364F7"/>
    <w:rsid w:val="00B366AA"/>
    <w:rsid w:val="00B36826"/>
    <w:rsid w:val="00B36ACF"/>
    <w:rsid w:val="00B36EE1"/>
    <w:rsid w:val="00B36F2D"/>
    <w:rsid w:val="00B36FDC"/>
    <w:rsid w:val="00B371C1"/>
    <w:rsid w:val="00B37865"/>
    <w:rsid w:val="00B37925"/>
    <w:rsid w:val="00B37926"/>
    <w:rsid w:val="00B37EC0"/>
    <w:rsid w:val="00B40C61"/>
    <w:rsid w:val="00B40F71"/>
    <w:rsid w:val="00B4119A"/>
    <w:rsid w:val="00B41248"/>
    <w:rsid w:val="00B41943"/>
    <w:rsid w:val="00B41A46"/>
    <w:rsid w:val="00B41FA6"/>
    <w:rsid w:val="00B42399"/>
    <w:rsid w:val="00B42472"/>
    <w:rsid w:val="00B429E8"/>
    <w:rsid w:val="00B42A87"/>
    <w:rsid w:val="00B42DB1"/>
    <w:rsid w:val="00B43634"/>
    <w:rsid w:val="00B43CF7"/>
    <w:rsid w:val="00B4544D"/>
    <w:rsid w:val="00B4545D"/>
    <w:rsid w:val="00B456C8"/>
    <w:rsid w:val="00B46231"/>
    <w:rsid w:val="00B4630F"/>
    <w:rsid w:val="00B46610"/>
    <w:rsid w:val="00B4670F"/>
    <w:rsid w:val="00B46724"/>
    <w:rsid w:val="00B4672B"/>
    <w:rsid w:val="00B46CE2"/>
    <w:rsid w:val="00B46F45"/>
    <w:rsid w:val="00B474AA"/>
    <w:rsid w:val="00B47E7C"/>
    <w:rsid w:val="00B501A7"/>
    <w:rsid w:val="00B50446"/>
    <w:rsid w:val="00B50762"/>
    <w:rsid w:val="00B509AF"/>
    <w:rsid w:val="00B50F32"/>
    <w:rsid w:val="00B5103E"/>
    <w:rsid w:val="00B510FD"/>
    <w:rsid w:val="00B513C7"/>
    <w:rsid w:val="00B51AD5"/>
    <w:rsid w:val="00B51AE0"/>
    <w:rsid w:val="00B51C68"/>
    <w:rsid w:val="00B51F5D"/>
    <w:rsid w:val="00B52520"/>
    <w:rsid w:val="00B52A9D"/>
    <w:rsid w:val="00B52F19"/>
    <w:rsid w:val="00B53038"/>
    <w:rsid w:val="00B534B7"/>
    <w:rsid w:val="00B53540"/>
    <w:rsid w:val="00B537C4"/>
    <w:rsid w:val="00B5380B"/>
    <w:rsid w:val="00B5386E"/>
    <w:rsid w:val="00B53914"/>
    <w:rsid w:val="00B53B4A"/>
    <w:rsid w:val="00B53D8B"/>
    <w:rsid w:val="00B53FA6"/>
    <w:rsid w:val="00B54148"/>
    <w:rsid w:val="00B5416D"/>
    <w:rsid w:val="00B54191"/>
    <w:rsid w:val="00B551E7"/>
    <w:rsid w:val="00B55943"/>
    <w:rsid w:val="00B55B31"/>
    <w:rsid w:val="00B55C60"/>
    <w:rsid w:val="00B55D04"/>
    <w:rsid w:val="00B55E26"/>
    <w:rsid w:val="00B56CA6"/>
    <w:rsid w:val="00B56D62"/>
    <w:rsid w:val="00B56EAF"/>
    <w:rsid w:val="00B573BA"/>
    <w:rsid w:val="00B57BEE"/>
    <w:rsid w:val="00B57D7A"/>
    <w:rsid w:val="00B605B5"/>
    <w:rsid w:val="00B60B65"/>
    <w:rsid w:val="00B6138F"/>
    <w:rsid w:val="00B6158B"/>
    <w:rsid w:val="00B61DF6"/>
    <w:rsid w:val="00B62086"/>
    <w:rsid w:val="00B62214"/>
    <w:rsid w:val="00B623A0"/>
    <w:rsid w:val="00B62D82"/>
    <w:rsid w:val="00B62DCE"/>
    <w:rsid w:val="00B62F60"/>
    <w:rsid w:val="00B6366B"/>
    <w:rsid w:val="00B6371A"/>
    <w:rsid w:val="00B639C4"/>
    <w:rsid w:val="00B6404C"/>
    <w:rsid w:val="00B6436F"/>
    <w:rsid w:val="00B64B47"/>
    <w:rsid w:val="00B6583A"/>
    <w:rsid w:val="00B663CA"/>
    <w:rsid w:val="00B663D9"/>
    <w:rsid w:val="00B6667F"/>
    <w:rsid w:val="00B666B9"/>
    <w:rsid w:val="00B66CEB"/>
    <w:rsid w:val="00B6732E"/>
    <w:rsid w:val="00B7036C"/>
    <w:rsid w:val="00B70410"/>
    <w:rsid w:val="00B70433"/>
    <w:rsid w:val="00B70956"/>
    <w:rsid w:val="00B70DCB"/>
    <w:rsid w:val="00B71038"/>
    <w:rsid w:val="00B7146A"/>
    <w:rsid w:val="00B71A9C"/>
    <w:rsid w:val="00B71B55"/>
    <w:rsid w:val="00B71E4B"/>
    <w:rsid w:val="00B72208"/>
    <w:rsid w:val="00B7283B"/>
    <w:rsid w:val="00B72943"/>
    <w:rsid w:val="00B72F5A"/>
    <w:rsid w:val="00B7315A"/>
    <w:rsid w:val="00B73698"/>
    <w:rsid w:val="00B7390E"/>
    <w:rsid w:val="00B74069"/>
    <w:rsid w:val="00B74641"/>
    <w:rsid w:val="00B746B7"/>
    <w:rsid w:val="00B75124"/>
    <w:rsid w:val="00B754D2"/>
    <w:rsid w:val="00B75611"/>
    <w:rsid w:val="00B75C48"/>
    <w:rsid w:val="00B7666E"/>
    <w:rsid w:val="00B7667F"/>
    <w:rsid w:val="00B7670C"/>
    <w:rsid w:val="00B7678A"/>
    <w:rsid w:val="00B769C1"/>
    <w:rsid w:val="00B76F56"/>
    <w:rsid w:val="00B771AC"/>
    <w:rsid w:val="00B77312"/>
    <w:rsid w:val="00B7731E"/>
    <w:rsid w:val="00B7745C"/>
    <w:rsid w:val="00B7798C"/>
    <w:rsid w:val="00B779B6"/>
    <w:rsid w:val="00B804B3"/>
    <w:rsid w:val="00B80EEB"/>
    <w:rsid w:val="00B80FE9"/>
    <w:rsid w:val="00B81077"/>
    <w:rsid w:val="00B816CB"/>
    <w:rsid w:val="00B81981"/>
    <w:rsid w:val="00B81D7A"/>
    <w:rsid w:val="00B81F9A"/>
    <w:rsid w:val="00B82004"/>
    <w:rsid w:val="00B8231D"/>
    <w:rsid w:val="00B828A9"/>
    <w:rsid w:val="00B829B5"/>
    <w:rsid w:val="00B83178"/>
    <w:rsid w:val="00B83227"/>
    <w:rsid w:val="00B833AF"/>
    <w:rsid w:val="00B836C7"/>
    <w:rsid w:val="00B837CC"/>
    <w:rsid w:val="00B848EF"/>
    <w:rsid w:val="00B84AC4"/>
    <w:rsid w:val="00B84D64"/>
    <w:rsid w:val="00B84E7B"/>
    <w:rsid w:val="00B84FD8"/>
    <w:rsid w:val="00B8500B"/>
    <w:rsid w:val="00B850D8"/>
    <w:rsid w:val="00B85A6A"/>
    <w:rsid w:val="00B85CE0"/>
    <w:rsid w:val="00B86612"/>
    <w:rsid w:val="00B86B2A"/>
    <w:rsid w:val="00B86BC2"/>
    <w:rsid w:val="00B86F40"/>
    <w:rsid w:val="00B875EF"/>
    <w:rsid w:val="00B87B5F"/>
    <w:rsid w:val="00B87B66"/>
    <w:rsid w:val="00B900CD"/>
    <w:rsid w:val="00B90417"/>
    <w:rsid w:val="00B90896"/>
    <w:rsid w:val="00B90F09"/>
    <w:rsid w:val="00B911E0"/>
    <w:rsid w:val="00B913B5"/>
    <w:rsid w:val="00B915AD"/>
    <w:rsid w:val="00B91B41"/>
    <w:rsid w:val="00B91D9C"/>
    <w:rsid w:val="00B91E0A"/>
    <w:rsid w:val="00B92339"/>
    <w:rsid w:val="00B92400"/>
    <w:rsid w:val="00B93171"/>
    <w:rsid w:val="00B935D0"/>
    <w:rsid w:val="00B93EF9"/>
    <w:rsid w:val="00B940B6"/>
    <w:rsid w:val="00B94DF0"/>
    <w:rsid w:val="00B9522B"/>
    <w:rsid w:val="00B9578C"/>
    <w:rsid w:val="00B9590C"/>
    <w:rsid w:val="00B95A93"/>
    <w:rsid w:val="00B95F51"/>
    <w:rsid w:val="00B96956"/>
    <w:rsid w:val="00B979A5"/>
    <w:rsid w:val="00B97BD4"/>
    <w:rsid w:val="00B97EDA"/>
    <w:rsid w:val="00BA022A"/>
    <w:rsid w:val="00BA04CF"/>
    <w:rsid w:val="00BA0F57"/>
    <w:rsid w:val="00BA0F7A"/>
    <w:rsid w:val="00BA10F3"/>
    <w:rsid w:val="00BA12EE"/>
    <w:rsid w:val="00BA1AE2"/>
    <w:rsid w:val="00BA1D53"/>
    <w:rsid w:val="00BA2F13"/>
    <w:rsid w:val="00BA4074"/>
    <w:rsid w:val="00BA479E"/>
    <w:rsid w:val="00BA4909"/>
    <w:rsid w:val="00BA4E7D"/>
    <w:rsid w:val="00BA4F11"/>
    <w:rsid w:val="00BA50DF"/>
    <w:rsid w:val="00BA539B"/>
    <w:rsid w:val="00BA5911"/>
    <w:rsid w:val="00BA5A5A"/>
    <w:rsid w:val="00BA5F76"/>
    <w:rsid w:val="00BA73B6"/>
    <w:rsid w:val="00BA7C0A"/>
    <w:rsid w:val="00BA7FF9"/>
    <w:rsid w:val="00BB00B8"/>
    <w:rsid w:val="00BB0578"/>
    <w:rsid w:val="00BB0621"/>
    <w:rsid w:val="00BB07D7"/>
    <w:rsid w:val="00BB0878"/>
    <w:rsid w:val="00BB0986"/>
    <w:rsid w:val="00BB0AC1"/>
    <w:rsid w:val="00BB0D3A"/>
    <w:rsid w:val="00BB12BD"/>
    <w:rsid w:val="00BB198B"/>
    <w:rsid w:val="00BB1BB3"/>
    <w:rsid w:val="00BB2153"/>
    <w:rsid w:val="00BB2177"/>
    <w:rsid w:val="00BB2777"/>
    <w:rsid w:val="00BB27A3"/>
    <w:rsid w:val="00BB3FA9"/>
    <w:rsid w:val="00BB3FE3"/>
    <w:rsid w:val="00BB423B"/>
    <w:rsid w:val="00BB437B"/>
    <w:rsid w:val="00BB5114"/>
    <w:rsid w:val="00BB5841"/>
    <w:rsid w:val="00BB5EA7"/>
    <w:rsid w:val="00BB6297"/>
    <w:rsid w:val="00BB65A6"/>
    <w:rsid w:val="00BB65EF"/>
    <w:rsid w:val="00BB69D7"/>
    <w:rsid w:val="00BB6A31"/>
    <w:rsid w:val="00BB6F2A"/>
    <w:rsid w:val="00BB76EB"/>
    <w:rsid w:val="00BB780E"/>
    <w:rsid w:val="00BB7C0C"/>
    <w:rsid w:val="00BC0829"/>
    <w:rsid w:val="00BC10BB"/>
    <w:rsid w:val="00BC1194"/>
    <w:rsid w:val="00BC12CB"/>
    <w:rsid w:val="00BC1BD1"/>
    <w:rsid w:val="00BC247C"/>
    <w:rsid w:val="00BC2725"/>
    <w:rsid w:val="00BC2BE3"/>
    <w:rsid w:val="00BC2CB6"/>
    <w:rsid w:val="00BC2E4E"/>
    <w:rsid w:val="00BC30AE"/>
    <w:rsid w:val="00BC32A4"/>
    <w:rsid w:val="00BC4542"/>
    <w:rsid w:val="00BC5C7F"/>
    <w:rsid w:val="00BC6038"/>
    <w:rsid w:val="00BC6109"/>
    <w:rsid w:val="00BC6674"/>
    <w:rsid w:val="00BC6795"/>
    <w:rsid w:val="00BC6B71"/>
    <w:rsid w:val="00BC6E7C"/>
    <w:rsid w:val="00BC7611"/>
    <w:rsid w:val="00BC79EB"/>
    <w:rsid w:val="00BC7A89"/>
    <w:rsid w:val="00BD0417"/>
    <w:rsid w:val="00BD0C45"/>
    <w:rsid w:val="00BD0F1C"/>
    <w:rsid w:val="00BD169C"/>
    <w:rsid w:val="00BD1851"/>
    <w:rsid w:val="00BD19CC"/>
    <w:rsid w:val="00BD1C34"/>
    <w:rsid w:val="00BD1F1E"/>
    <w:rsid w:val="00BD1F71"/>
    <w:rsid w:val="00BD2073"/>
    <w:rsid w:val="00BD21BD"/>
    <w:rsid w:val="00BD2D0B"/>
    <w:rsid w:val="00BD3460"/>
    <w:rsid w:val="00BD3E9F"/>
    <w:rsid w:val="00BD43DC"/>
    <w:rsid w:val="00BD43E9"/>
    <w:rsid w:val="00BD445E"/>
    <w:rsid w:val="00BD4920"/>
    <w:rsid w:val="00BD523F"/>
    <w:rsid w:val="00BD536A"/>
    <w:rsid w:val="00BD55FF"/>
    <w:rsid w:val="00BD57D1"/>
    <w:rsid w:val="00BD663F"/>
    <w:rsid w:val="00BD72E7"/>
    <w:rsid w:val="00BD7529"/>
    <w:rsid w:val="00BD7683"/>
    <w:rsid w:val="00BD783A"/>
    <w:rsid w:val="00BD794A"/>
    <w:rsid w:val="00BD7B4F"/>
    <w:rsid w:val="00BD7D30"/>
    <w:rsid w:val="00BD7FCE"/>
    <w:rsid w:val="00BE0081"/>
    <w:rsid w:val="00BE0236"/>
    <w:rsid w:val="00BE0287"/>
    <w:rsid w:val="00BE0931"/>
    <w:rsid w:val="00BE0BBF"/>
    <w:rsid w:val="00BE1098"/>
    <w:rsid w:val="00BE1263"/>
    <w:rsid w:val="00BE19C8"/>
    <w:rsid w:val="00BE1AC7"/>
    <w:rsid w:val="00BE1D2A"/>
    <w:rsid w:val="00BE1FBA"/>
    <w:rsid w:val="00BE22C8"/>
    <w:rsid w:val="00BE289D"/>
    <w:rsid w:val="00BE2AC5"/>
    <w:rsid w:val="00BE30D6"/>
    <w:rsid w:val="00BE3C07"/>
    <w:rsid w:val="00BE433E"/>
    <w:rsid w:val="00BE43D1"/>
    <w:rsid w:val="00BE477A"/>
    <w:rsid w:val="00BE4BF7"/>
    <w:rsid w:val="00BE4C92"/>
    <w:rsid w:val="00BE50D2"/>
    <w:rsid w:val="00BE52C2"/>
    <w:rsid w:val="00BE53A2"/>
    <w:rsid w:val="00BE6217"/>
    <w:rsid w:val="00BE6361"/>
    <w:rsid w:val="00BE6AD5"/>
    <w:rsid w:val="00BE7214"/>
    <w:rsid w:val="00BE735E"/>
    <w:rsid w:val="00BE76A9"/>
    <w:rsid w:val="00BE7AF6"/>
    <w:rsid w:val="00BE7E84"/>
    <w:rsid w:val="00BF00D7"/>
    <w:rsid w:val="00BF0172"/>
    <w:rsid w:val="00BF01B6"/>
    <w:rsid w:val="00BF0599"/>
    <w:rsid w:val="00BF0855"/>
    <w:rsid w:val="00BF0CF2"/>
    <w:rsid w:val="00BF0DD3"/>
    <w:rsid w:val="00BF157F"/>
    <w:rsid w:val="00BF1648"/>
    <w:rsid w:val="00BF1E08"/>
    <w:rsid w:val="00BF1F9C"/>
    <w:rsid w:val="00BF20C0"/>
    <w:rsid w:val="00BF29E8"/>
    <w:rsid w:val="00BF2B49"/>
    <w:rsid w:val="00BF2B63"/>
    <w:rsid w:val="00BF2EC9"/>
    <w:rsid w:val="00BF34D3"/>
    <w:rsid w:val="00BF378A"/>
    <w:rsid w:val="00BF4099"/>
    <w:rsid w:val="00BF49FE"/>
    <w:rsid w:val="00BF4DE4"/>
    <w:rsid w:val="00BF4E51"/>
    <w:rsid w:val="00BF52BA"/>
    <w:rsid w:val="00BF56A0"/>
    <w:rsid w:val="00BF60F0"/>
    <w:rsid w:val="00BF640C"/>
    <w:rsid w:val="00BF6705"/>
    <w:rsid w:val="00BF6BE9"/>
    <w:rsid w:val="00BF780E"/>
    <w:rsid w:val="00BF7A59"/>
    <w:rsid w:val="00BF7C59"/>
    <w:rsid w:val="00BF7E18"/>
    <w:rsid w:val="00BF7F0D"/>
    <w:rsid w:val="00C00125"/>
    <w:rsid w:val="00C007F5"/>
    <w:rsid w:val="00C00A28"/>
    <w:rsid w:val="00C00C0B"/>
    <w:rsid w:val="00C00E59"/>
    <w:rsid w:val="00C00FAA"/>
    <w:rsid w:val="00C013B5"/>
    <w:rsid w:val="00C013EB"/>
    <w:rsid w:val="00C01791"/>
    <w:rsid w:val="00C018F8"/>
    <w:rsid w:val="00C01A36"/>
    <w:rsid w:val="00C02D16"/>
    <w:rsid w:val="00C02E16"/>
    <w:rsid w:val="00C03508"/>
    <w:rsid w:val="00C035CC"/>
    <w:rsid w:val="00C039B6"/>
    <w:rsid w:val="00C03A9B"/>
    <w:rsid w:val="00C03F76"/>
    <w:rsid w:val="00C041A3"/>
    <w:rsid w:val="00C04D46"/>
    <w:rsid w:val="00C04ED4"/>
    <w:rsid w:val="00C05290"/>
    <w:rsid w:val="00C0532A"/>
    <w:rsid w:val="00C0566F"/>
    <w:rsid w:val="00C05D72"/>
    <w:rsid w:val="00C065D3"/>
    <w:rsid w:val="00C069D5"/>
    <w:rsid w:val="00C06AFA"/>
    <w:rsid w:val="00C06C47"/>
    <w:rsid w:val="00C07F39"/>
    <w:rsid w:val="00C100F9"/>
    <w:rsid w:val="00C101E1"/>
    <w:rsid w:val="00C107CA"/>
    <w:rsid w:val="00C10C88"/>
    <w:rsid w:val="00C1148A"/>
    <w:rsid w:val="00C11CE3"/>
    <w:rsid w:val="00C1221B"/>
    <w:rsid w:val="00C123D7"/>
    <w:rsid w:val="00C12727"/>
    <w:rsid w:val="00C13344"/>
    <w:rsid w:val="00C13ACE"/>
    <w:rsid w:val="00C13DDE"/>
    <w:rsid w:val="00C13FA0"/>
    <w:rsid w:val="00C14AE6"/>
    <w:rsid w:val="00C14C5E"/>
    <w:rsid w:val="00C14F31"/>
    <w:rsid w:val="00C1551F"/>
    <w:rsid w:val="00C16588"/>
    <w:rsid w:val="00C165EA"/>
    <w:rsid w:val="00C16DAB"/>
    <w:rsid w:val="00C170DC"/>
    <w:rsid w:val="00C17D77"/>
    <w:rsid w:val="00C17DF4"/>
    <w:rsid w:val="00C20385"/>
    <w:rsid w:val="00C20397"/>
    <w:rsid w:val="00C203FB"/>
    <w:rsid w:val="00C208E1"/>
    <w:rsid w:val="00C209FE"/>
    <w:rsid w:val="00C21697"/>
    <w:rsid w:val="00C2180F"/>
    <w:rsid w:val="00C21BDE"/>
    <w:rsid w:val="00C22714"/>
    <w:rsid w:val="00C22CF9"/>
    <w:rsid w:val="00C22FEE"/>
    <w:rsid w:val="00C23178"/>
    <w:rsid w:val="00C23A16"/>
    <w:rsid w:val="00C23A3B"/>
    <w:rsid w:val="00C23A94"/>
    <w:rsid w:val="00C23C2C"/>
    <w:rsid w:val="00C23DF1"/>
    <w:rsid w:val="00C240AC"/>
    <w:rsid w:val="00C2428E"/>
    <w:rsid w:val="00C24421"/>
    <w:rsid w:val="00C2446C"/>
    <w:rsid w:val="00C245C8"/>
    <w:rsid w:val="00C246E2"/>
    <w:rsid w:val="00C24836"/>
    <w:rsid w:val="00C250F5"/>
    <w:rsid w:val="00C258BC"/>
    <w:rsid w:val="00C25B45"/>
    <w:rsid w:val="00C26577"/>
    <w:rsid w:val="00C26612"/>
    <w:rsid w:val="00C26869"/>
    <w:rsid w:val="00C26A20"/>
    <w:rsid w:val="00C26CDB"/>
    <w:rsid w:val="00C271F8"/>
    <w:rsid w:val="00C2767A"/>
    <w:rsid w:val="00C277D1"/>
    <w:rsid w:val="00C279AD"/>
    <w:rsid w:val="00C27CDF"/>
    <w:rsid w:val="00C27E3D"/>
    <w:rsid w:val="00C27F38"/>
    <w:rsid w:val="00C30180"/>
    <w:rsid w:val="00C301E4"/>
    <w:rsid w:val="00C301EA"/>
    <w:rsid w:val="00C30CE2"/>
    <w:rsid w:val="00C30F41"/>
    <w:rsid w:val="00C31251"/>
    <w:rsid w:val="00C31419"/>
    <w:rsid w:val="00C32809"/>
    <w:rsid w:val="00C32903"/>
    <w:rsid w:val="00C32FF5"/>
    <w:rsid w:val="00C3309E"/>
    <w:rsid w:val="00C335D6"/>
    <w:rsid w:val="00C337D8"/>
    <w:rsid w:val="00C33D7B"/>
    <w:rsid w:val="00C34223"/>
    <w:rsid w:val="00C34597"/>
    <w:rsid w:val="00C346B6"/>
    <w:rsid w:val="00C34AB3"/>
    <w:rsid w:val="00C35215"/>
    <w:rsid w:val="00C35E7E"/>
    <w:rsid w:val="00C35F7B"/>
    <w:rsid w:val="00C3633C"/>
    <w:rsid w:val="00C3647B"/>
    <w:rsid w:val="00C366E3"/>
    <w:rsid w:val="00C36C6C"/>
    <w:rsid w:val="00C36F57"/>
    <w:rsid w:val="00C371E2"/>
    <w:rsid w:val="00C3793E"/>
    <w:rsid w:val="00C37A1E"/>
    <w:rsid w:val="00C37B34"/>
    <w:rsid w:val="00C37D06"/>
    <w:rsid w:val="00C37D80"/>
    <w:rsid w:val="00C37FEF"/>
    <w:rsid w:val="00C401CE"/>
    <w:rsid w:val="00C40B55"/>
    <w:rsid w:val="00C41D3A"/>
    <w:rsid w:val="00C41ED6"/>
    <w:rsid w:val="00C41EF3"/>
    <w:rsid w:val="00C42407"/>
    <w:rsid w:val="00C42B17"/>
    <w:rsid w:val="00C42B54"/>
    <w:rsid w:val="00C42C66"/>
    <w:rsid w:val="00C42D17"/>
    <w:rsid w:val="00C43291"/>
    <w:rsid w:val="00C434B0"/>
    <w:rsid w:val="00C44455"/>
    <w:rsid w:val="00C4466C"/>
    <w:rsid w:val="00C448D4"/>
    <w:rsid w:val="00C44944"/>
    <w:rsid w:val="00C44A78"/>
    <w:rsid w:val="00C44A84"/>
    <w:rsid w:val="00C44BEA"/>
    <w:rsid w:val="00C45A18"/>
    <w:rsid w:val="00C46258"/>
    <w:rsid w:val="00C46677"/>
    <w:rsid w:val="00C4675F"/>
    <w:rsid w:val="00C46851"/>
    <w:rsid w:val="00C46A70"/>
    <w:rsid w:val="00C46BA5"/>
    <w:rsid w:val="00C471FB"/>
    <w:rsid w:val="00C47766"/>
    <w:rsid w:val="00C47F22"/>
    <w:rsid w:val="00C501DB"/>
    <w:rsid w:val="00C501E3"/>
    <w:rsid w:val="00C5022C"/>
    <w:rsid w:val="00C505DF"/>
    <w:rsid w:val="00C508D1"/>
    <w:rsid w:val="00C50A05"/>
    <w:rsid w:val="00C50AB0"/>
    <w:rsid w:val="00C50CD2"/>
    <w:rsid w:val="00C518A9"/>
    <w:rsid w:val="00C51946"/>
    <w:rsid w:val="00C51AB1"/>
    <w:rsid w:val="00C51E7E"/>
    <w:rsid w:val="00C52222"/>
    <w:rsid w:val="00C528D4"/>
    <w:rsid w:val="00C52969"/>
    <w:rsid w:val="00C529A5"/>
    <w:rsid w:val="00C52BB3"/>
    <w:rsid w:val="00C53040"/>
    <w:rsid w:val="00C536BE"/>
    <w:rsid w:val="00C5377D"/>
    <w:rsid w:val="00C53F3F"/>
    <w:rsid w:val="00C543FE"/>
    <w:rsid w:val="00C545C3"/>
    <w:rsid w:val="00C548D0"/>
    <w:rsid w:val="00C54A5B"/>
    <w:rsid w:val="00C55294"/>
    <w:rsid w:val="00C552DE"/>
    <w:rsid w:val="00C55699"/>
    <w:rsid w:val="00C556A7"/>
    <w:rsid w:val="00C55D93"/>
    <w:rsid w:val="00C55F83"/>
    <w:rsid w:val="00C561F1"/>
    <w:rsid w:val="00C5637A"/>
    <w:rsid w:val="00C565F5"/>
    <w:rsid w:val="00C56BB8"/>
    <w:rsid w:val="00C56D1C"/>
    <w:rsid w:val="00C5748E"/>
    <w:rsid w:val="00C57D82"/>
    <w:rsid w:val="00C60746"/>
    <w:rsid w:val="00C607FC"/>
    <w:rsid w:val="00C608A7"/>
    <w:rsid w:val="00C60CAF"/>
    <w:rsid w:val="00C61365"/>
    <w:rsid w:val="00C61B52"/>
    <w:rsid w:val="00C61F31"/>
    <w:rsid w:val="00C625B3"/>
    <w:rsid w:val="00C62A2E"/>
    <w:rsid w:val="00C6319D"/>
    <w:rsid w:val="00C63282"/>
    <w:rsid w:val="00C633F7"/>
    <w:rsid w:val="00C63548"/>
    <w:rsid w:val="00C638E6"/>
    <w:rsid w:val="00C63A08"/>
    <w:rsid w:val="00C63EE9"/>
    <w:rsid w:val="00C6433D"/>
    <w:rsid w:val="00C6493A"/>
    <w:rsid w:val="00C64AF0"/>
    <w:rsid w:val="00C64CFB"/>
    <w:rsid w:val="00C65753"/>
    <w:rsid w:val="00C657A4"/>
    <w:rsid w:val="00C667FE"/>
    <w:rsid w:val="00C66810"/>
    <w:rsid w:val="00C66818"/>
    <w:rsid w:val="00C66AC2"/>
    <w:rsid w:val="00C6702E"/>
    <w:rsid w:val="00C67609"/>
    <w:rsid w:val="00C678A0"/>
    <w:rsid w:val="00C702B4"/>
    <w:rsid w:val="00C702F5"/>
    <w:rsid w:val="00C70873"/>
    <w:rsid w:val="00C718A5"/>
    <w:rsid w:val="00C71987"/>
    <w:rsid w:val="00C719BC"/>
    <w:rsid w:val="00C71D7B"/>
    <w:rsid w:val="00C71F67"/>
    <w:rsid w:val="00C72130"/>
    <w:rsid w:val="00C721F2"/>
    <w:rsid w:val="00C726F0"/>
    <w:rsid w:val="00C729DB"/>
    <w:rsid w:val="00C72FC8"/>
    <w:rsid w:val="00C735CA"/>
    <w:rsid w:val="00C73911"/>
    <w:rsid w:val="00C7466D"/>
    <w:rsid w:val="00C74694"/>
    <w:rsid w:val="00C7486C"/>
    <w:rsid w:val="00C74897"/>
    <w:rsid w:val="00C74C5C"/>
    <w:rsid w:val="00C75023"/>
    <w:rsid w:val="00C75522"/>
    <w:rsid w:val="00C75567"/>
    <w:rsid w:val="00C75DB6"/>
    <w:rsid w:val="00C762F3"/>
    <w:rsid w:val="00C76376"/>
    <w:rsid w:val="00C76751"/>
    <w:rsid w:val="00C768E8"/>
    <w:rsid w:val="00C76A11"/>
    <w:rsid w:val="00C76C64"/>
    <w:rsid w:val="00C77039"/>
    <w:rsid w:val="00C776AB"/>
    <w:rsid w:val="00C80525"/>
    <w:rsid w:val="00C806FD"/>
    <w:rsid w:val="00C80A0B"/>
    <w:rsid w:val="00C81105"/>
    <w:rsid w:val="00C82281"/>
    <w:rsid w:val="00C8272C"/>
    <w:rsid w:val="00C82B0B"/>
    <w:rsid w:val="00C83340"/>
    <w:rsid w:val="00C834A3"/>
    <w:rsid w:val="00C835F7"/>
    <w:rsid w:val="00C8388F"/>
    <w:rsid w:val="00C838B5"/>
    <w:rsid w:val="00C838F3"/>
    <w:rsid w:val="00C83B86"/>
    <w:rsid w:val="00C83D8B"/>
    <w:rsid w:val="00C84422"/>
    <w:rsid w:val="00C8497D"/>
    <w:rsid w:val="00C84AD4"/>
    <w:rsid w:val="00C84D4F"/>
    <w:rsid w:val="00C85459"/>
    <w:rsid w:val="00C85A99"/>
    <w:rsid w:val="00C85BD4"/>
    <w:rsid w:val="00C8640B"/>
    <w:rsid w:val="00C86F11"/>
    <w:rsid w:val="00C86F62"/>
    <w:rsid w:val="00C8707A"/>
    <w:rsid w:val="00C8718C"/>
    <w:rsid w:val="00C87325"/>
    <w:rsid w:val="00C876B2"/>
    <w:rsid w:val="00C8776F"/>
    <w:rsid w:val="00C87A11"/>
    <w:rsid w:val="00C87EF5"/>
    <w:rsid w:val="00C87FB5"/>
    <w:rsid w:val="00C901D9"/>
    <w:rsid w:val="00C9128C"/>
    <w:rsid w:val="00C91943"/>
    <w:rsid w:val="00C91FE9"/>
    <w:rsid w:val="00C9203A"/>
    <w:rsid w:val="00C92159"/>
    <w:rsid w:val="00C92A6B"/>
    <w:rsid w:val="00C92A74"/>
    <w:rsid w:val="00C930EA"/>
    <w:rsid w:val="00C932F2"/>
    <w:rsid w:val="00C9467A"/>
    <w:rsid w:val="00C953CA"/>
    <w:rsid w:val="00C959AC"/>
    <w:rsid w:val="00C95D23"/>
    <w:rsid w:val="00C95E7B"/>
    <w:rsid w:val="00C96143"/>
    <w:rsid w:val="00C969A3"/>
    <w:rsid w:val="00C97212"/>
    <w:rsid w:val="00C97B9D"/>
    <w:rsid w:val="00C97FD2"/>
    <w:rsid w:val="00CA0309"/>
    <w:rsid w:val="00CA061F"/>
    <w:rsid w:val="00CA0690"/>
    <w:rsid w:val="00CA073F"/>
    <w:rsid w:val="00CA0DD8"/>
    <w:rsid w:val="00CA1352"/>
    <w:rsid w:val="00CA1415"/>
    <w:rsid w:val="00CA1A2A"/>
    <w:rsid w:val="00CA23F7"/>
    <w:rsid w:val="00CA2A9D"/>
    <w:rsid w:val="00CA2C1C"/>
    <w:rsid w:val="00CA365B"/>
    <w:rsid w:val="00CA38DE"/>
    <w:rsid w:val="00CA417D"/>
    <w:rsid w:val="00CA41B9"/>
    <w:rsid w:val="00CA42A3"/>
    <w:rsid w:val="00CA483E"/>
    <w:rsid w:val="00CA4941"/>
    <w:rsid w:val="00CA5B08"/>
    <w:rsid w:val="00CA635E"/>
    <w:rsid w:val="00CA6C1B"/>
    <w:rsid w:val="00CA6CA4"/>
    <w:rsid w:val="00CA7786"/>
    <w:rsid w:val="00CB06FD"/>
    <w:rsid w:val="00CB084E"/>
    <w:rsid w:val="00CB091E"/>
    <w:rsid w:val="00CB09BF"/>
    <w:rsid w:val="00CB0A5B"/>
    <w:rsid w:val="00CB0C41"/>
    <w:rsid w:val="00CB0F2F"/>
    <w:rsid w:val="00CB11A2"/>
    <w:rsid w:val="00CB1941"/>
    <w:rsid w:val="00CB1A50"/>
    <w:rsid w:val="00CB1E29"/>
    <w:rsid w:val="00CB1F12"/>
    <w:rsid w:val="00CB2190"/>
    <w:rsid w:val="00CB2683"/>
    <w:rsid w:val="00CB2A95"/>
    <w:rsid w:val="00CB2E32"/>
    <w:rsid w:val="00CB31EC"/>
    <w:rsid w:val="00CB35C6"/>
    <w:rsid w:val="00CB3775"/>
    <w:rsid w:val="00CB3805"/>
    <w:rsid w:val="00CB3DA7"/>
    <w:rsid w:val="00CB4044"/>
    <w:rsid w:val="00CB42E1"/>
    <w:rsid w:val="00CB447E"/>
    <w:rsid w:val="00CB455D"/>
    <w:rsid w:val="00CB56BF"/>
    <w:rsid w:val="00CB59D0"/>
    <w:rsid w:val="00CB60A8"/>
    <w:rsid w:val="00CB6476"/>
    <w:rsid w:val="00CB664C"/>
    <w:rsid w:val="00CB693B"/>
    <w:rsid w:val="00CB6EB1"/>
    <w:rsid w:val="00CB7108"/>
    <w:rsid w:val="00CC047A"/>
    <w:rsid w:val="00CC0867"/>
    <w:rsid w:val="00CC101B"/>
    <w:rsid w:val="00CC114C"/>
    <w:rsid w:val="00CC153A"/>
    <w:rsid w:val="00CC1CC5"/>
    <w:rsid w:val="00CC22A3"/>
    <w:rsid w:val="00CC305A"/>
    <w:rsid w:val="00CC33F4"/>
    <w:rsid w:val="00CC3578"/>
    <w:rsid w:val="00CC3C4A"/>
    <w:rsid w:val="00CC3E0F"/>
    <w:rsid w:val="00CC3FAB"/>
    <w:rsid w:val="00CC4872"/>
    <w:rsid w:val="00CC48E8"/>
    <w:rsid w:val="00CC48F6"/>
    <w:rsid w:val="00CC4B77"/>
    <w:rsid w:val="00CC5AFC"/>
    <w:rsid w:val="00CC5F7C"/>
    <w:rsid w:val="00CC614C"/>
    <w:rsid w:val="00CC615E"/>
    <w:rsid w:val="00CC647E"/>
    <w:rsid w:val="00CC64AF"/>
    <w:rsid w:val="00CC66D9"/>
    <w:rsid w:val="00CC69A4"/>
    <w:rsid w:val="00CC6A61"/>
    <w:rsid w:val="00CC6D46"/>
    <w:rsid w:val="00CC73EC"/>
    <w:rsid w:val="00CC792E"/>
    <w:rsid w:val="00CC7DBF"/>
    <w:rsid w:val="00CD0661"/>
    <w:rsid w:val="00CD0C58"/>
    <w:rsid w:val="00CD13BF"/>
    <w:rsid w:val="00CD1977"/>
    <w:rsid w:val="00CD1CAF"/>
    <w:rsid w:val="00CD2405"/>
    <w:rsid w:val="00CD26B0"/>
    <w:rsid w:val="00CD348C"/>
    <w:rsid w:val="00CD3518"/>
    <w:rsid w:val="00CD351B"/>
    <w:rsid w:val="00CD352C"/>
    <w:rsid w:val="00CD3615"/>
    <w:rsid w:val="00CD3B3B"/>
    <w:rsid w:val="00CD445E"/>
    <w:rsid w:val="00CD46DB"/>
    <w:rsid w:val="00CD49D9"/>
    <w:rsid w:val="00CD4B4C"/>
    <w:rsid w:val="00CD4EF6"/>
    <w:rsid w:val="00CD54DF"/>
    <w:rsid w:val="00CD5702"/>
    <w:rsid w:val="00CD5848"/>
    <w:rsid w:val="00CD58A5"/>
    <w:rsid w:val="00CD5BC7"/>
    <w:rsid w:val="00CD5E43"/>
    <w:rsid w:val="00CD60E7"/>
    <w:rsid w:val="00CD6666"/>
    <w:rsid w:val="00CD670E"/>
    <w:rsid w:val="00CD67EA"/>
    <w:rsid w:val="00CD68A7"/>
    <w:rsid w:val="00CD6B5E"/>
    <w:rsid w:val="00CD6EE5"/>
    <w:rsid w:val="00CD6F28"/>
    <w:rsid w:val="00CD7295"/>
    <w:rsid w:val="00CD7499"/>
    <w:rsid w:val="00CD772B"/>
    <w:rsid w:val="00CD7892"/>
    <w:rsid w:val="00CD7F20"/>
    <w:rsid w:val="00CE0447"/>
    <w:rsid w:val="00CE062F"/>
    <w:rsid w:val="00CE0B03"/>
    <w:rsid w:val="00CE1AC0"/>
    <w:rsid w:val="00CE286D"/>
    <w:rsid w:val="00CE3556"/>
    <w:rsid w:val="00CE3865"/>
    <w:rsid w:val="00CE3B41"/>
    <w:rsid w:val="00CE3DE2"/>
    <w:rsid w:val="00CE3E86"/>
    <w:rsid w:val="00CE43EF"/>
    <w:rsid w:val="00CE4901"/>
    <w:rsid w:val="00CE5233"/>
    <w:rsid w:val="00CE577B"/>
    <w:rsid w:val="00CE60C9"/>
    <w:rsid w:val="00CE650A"/>
    <w:rsid w:val="00CE65EB"/>
    <w:rsid w:val="00CE6862"/>
    <w:rsid w:val="00CE6A91"/>
    <w:rsid w:val="00CE6CB0"/>
    <w:rsid w:val="00CE76E7"/>
    <w:rsid w:val="00CE7F2B"/>
    <w:rsid w:val="00CF0687"/>
    <w:rsid w:val="00CF07F2"/>
    <w:rsid w:val="00CF0A05"/>
    <w:rsid w:val="00CF11E0"/>
    <w:rsid w:val="00CF25D4"/>
    <w:rsid w:val="00CF3302"/>
    <w:rsid w:val="00CF338B"/>
    <w:rsid w:val="00CF349F"/>
    <w:rsid w:val="00CF37B6"/>
    <w:rsid w:val="00CF3D6F"/>
    <w:rsid w:val="00CF4F7E"/>
    <w:rsid w:val="00CF58ED"/>
    <w:rsid w:val="00CF61C5"/>
    <w:rsid w:val="00CF67BD"/>
    <w:rsid w:val="00CF785A"/>
    <w:rsid w:val="00CF7D0A"/>
    <w:rsid w:val="00D0019A"/>
    <w:rsid w:val="00D002A2"/>
    <w:rsid w:val="00D00638"/>
    <w:rsid w:val="00D00863"/>
    <w:rsid w:val="00D00A2A"/>
    <w:rsid w:val="00D012C5"/>
    <w:rsid w:val="00D019FB"/>
    <w:rsid w:val="00D01C8E"/>
    <w:rsid w:val="00D01CBA"/>
    <w:rsid w:val="00D01D65"/>
    <w:rsid w:val="00D01E01"/>
    <w:rsid w:val="00D0219C"/>
    <w:rsid w:val="00D022BF"/>
    <w:rsid w:val="00D02BA9"/>
    <w:rsid w:val="00D02FBF"/>
    <w:rsid w:val="00D0308E"/>
    <w:rsid w:val="00D031C3"/>
    <w:rsid w:val="00D0337C"/>
    <w:rsid w:val="00D03641"/>
    <w:rsid w:val="00D03701"/>
    <w:rsid w:val="00D03879"/>
    <w:rsid w:val="00D03BB3"/>
    <w:rsid w:val="00D044A6"/>
    <w:rsid w:val="00D045C0"/>
    <w:rsid w:val="00D0483E"/>
    <w:rsid w:val="00D04A64"/>
    <w:rsid w:val="00D04E40"/>
    <w:rsid w:val="00D04EFB"/>
    <w:rsid w:val="00D058CA"/>
    <w:rsid w:val="00D05AC2"/>
    <w:rsid w:val="00D05AD3"/>
    <w:rsid w:val="00D05FC5"/>
    <w:rsid w:val="00D05FC6"/>
    <w:rsid w:val="00D068B9"/>
    <w:rsid w:val="00D06AED"/>
    <w:rsid w:val="00D06C58"/>
    <w:rsid w:val="00D07059"/>
    <w:rsid w:val="00D072E0"/>
    <w:rsid w:val="00D077AE"/>
    <w:rsid w:val="00D10040"/>
    <w:rsid w:val="00D10604"/>
    <w:rsid w:val="00D106C3"/>
    <w:rsid w:val="00D10BAE"/>
    <w:rsid w:val="00D11981"/>
    <w:rsid w:val="00D11DE8"/>
    <w:rsid w:val="00D1226D"/>
    <w:rsid w:val="00D12311"/>
    <w:rsid w:val="00D127B3"/>
    <w:rsid w:val="00D128C4"/>
    <w:rsid w:val="00D12CD8"/>
    <w:rsid w:val="00D12CF6"/>
    <w:rsid w:val="00D13B8D"/>
    <w:rsid w:val="00D13F2A"/>
    <w:rsid w:val="00D13FAF"/>
    <w:rsid w:val="00D143BD"/>
    <w:rsid w:val="00D14578"/>
    <w:rsid w:val="00D15A77"/>
    <w:rsid w:val="00D15BA3"/>
    <w:rsid w:val="00D164F1"/>
    <w:rsid w:val="00D1683B"/>
    <w:rsid w:val="00D16961"/>
    <w:rsid w:val="00D16EE6"/>
    <w:rsid w:val="00D1737C"/>
    <w:rsid w:val="00D17A8E"/>
    <w:rsid w:val="00D17ACF"/>
    <w:rsid w:val="00D202A4"/>
    <w:rsid w:val="00D20626"/>
    <w:rsid w:val="00D20775"/>
    <w:rsid w:val="00D20A53"/>
    <w:rsid w:val="00D20FCA"/>
    <w:rsid w:val="00D217C7"/>
    <w:rsid w:val="00D21880"/>
    <w:rsid w:val="00D21BE7"/>
    <w:rsid w:val="00D21D89"/>
    <w:rsid w:val="00D21F1B"/>
    <w:rsid w:val="00D22356"/>
    <w:rsid w:val="00D22A8C"/>
    <w:rsid w:val="00D231E7"/>
    <w:rsid w:val="00D23557"/>
    <w:rsid w:val="00D23AE3"/>
    <w:rsid w:val="00D23B50"/>
    <w:rsid w:val="00D23F66"/>
    <w:rsid w:val="00D24BA2"/>
    <w:rsid w:val="00D25061"/>
    <w:rsid w:val="00D25941"/>
    <w:rsid w:val="00D2696F"/>
    <w:rsid w:val="00D26977"/>
    <w:rsid w:val="00D26FF6"/>
    <w:rsid w:val="00D27227"/>
    <w:rsid w:val="00D27948"/>
    <w:rsid w:val="00D27BC5"/>
    <w:rsid w:val="00D308FF"/>
    <w:rsid w:val="00D30A75"/>
    <w:rsid w:val="00D30AED"/>
    <w:rsid w:val="00D30DF6"/>
    <w:rsid w:val="00D30F0B"/>
    <w:rsid w:val="00D3103E"/>
    <w:rsid w:val="00D3107C"/>
    <w:rsid w:val="00D3113C"/>
    <w:rsid w:val="00D31146"/>
    <w:rsid w:val="00D31235"/>
    <w:rsid w:val="00D31438"/>
    <w:rsid w:val="00D31498"/>
    <w:rsid w:val="00D31A47"/>
    <w:rsid w:val="00D32A9E"/>
    <w:rsid w:val="00D32CD1"/>
    <w:rsid w:val="00D337CA"/>
    <w:rsid w:val="00D33D73"/>
    <w:rsid w:val="00D340E6"/>
    <w:rsid w:val="00D3417B"/>
    <w:rsid w:val="00D341C2"/>
    <w:rsid w:val="00D349BC"/>
    <w:rsid w:val="00D34A5D"/>
    <w:rsid w:val="00D34C59"/>
    <w:rsid w:val="00D351AE"/>
    <w:rsid w:val="00D352AB"/>
    <w:rsid w:val="00D35594"/>
    <w:rsid w:val="00D356F9"/>
    <w:rsid w:val="00D35EB1"/>
    <w:rsid w:val="00D363C1"/>
    <w:rsid w:val="00D36B0F"/>
    <w:rsid w:val="00D36BF3"/>
    <w:rsid w:val="00D371BB"/>
    <w:rsid w:val="00D374BD"/>
    <w:rsid w:val="00D37579"/>
    <w:rsid w:val="00D4058D"/>
    <w:rsid w:val="00D406D3"/>
    <w:rsid w:val="00D40C52"/>
    <w:rsid w:val="00D4132E"/>
    <w:rsid w:val="00D4137E"/>
    <w:rsid w:val="00D413A7"/>
    <w:rsid w:val="00D4210E"/>
    <w:rsid w:val="00D42A75"/>
    <w:rsid w:val="00D42B28"/>
    <w:rsid w:val="00D43455"/>
    <w:rsid w:val="00D43649"/>
    <w:rsid w:val="00D43D5B"/>
    <w:rsid w:val="00D43E29"/>
    <w:rsid w:val="00D43E2D"/>
    <w:rsid w:val="00D43F3D"/>
    <w:rsid w:val="00D43FAA"/>
    <w:rsid w:val="00D446EA"/>
    <w:rsid w:val="00D447FF"/>
    <w:rsid w:val="00D44988"/>
    <w:rsid w:val="00D44C6C"/>
    <w:rsid w:val="00D452B5"/>
    <w:rsid w:val="00D4533C"/>
    <w:rsid w:val="00D458F2"/>
    <w:rsid w:val="00D46C85"/>
    <w:rsid w:val="00D475BE"/>
    <w:rsid w:val="00D50410"/>
    <w:rsid w:val="00D507AE"/>
    <w:rsid w:val="00D507EA"/>
    <w:rsid w:val="00D5080F"/>
    <w:rsid w:val="00D5081A"/>
    <w:rsid w:val="00D508E8"/>
    <w:rsid w:val="00D50E7D"/>
    <w:rsid w:val="00D514CE"/>
    <w:rsid w:val="00D5154F"/>
    <w:rsid w:val="00D515BF"/>
    <w:rsid w:val="00D516D0"/>
    <w:rsid w:val="00D518F4"/>
    <w:rsid w:val="00D51B52"/>
    <w:rsid w:val="00D51BBC"/>
    <w:rsid w:val="00D51FD8"/>
    <w:rsid w:val="00D52121"/>
    <w:rsid w:val="00D521CD"/>
    <w:rsid w:val="00D52F40"/>
    <w:rsid w:val="00D53047"/>
    <w:rsid w:val="00D530E2"/>
    <w:rsid w:val="00D53A82"/>
    <w:rsid w:val="00D542E3"/>
    <w:rsid w:val="00D54788"/>
    <w:rsid w:val="00D55426"/>
    <w:rsid w:val="00D559B3"/>
    <w:rsid w:val="00D560B9"/>
    <w:rsid w:val="00D56551"/>
    <w:rsid w:val="00D56677"/>
    <w:rsid w:val="00D5670B"/>
    <w:rsid w:val="00D56AA9"/>
    <w:rsid w:val="00D56B52"/>
    <w:rsid w:val="00D56EC6"/>
    <w:rsid w:val="00D5748E"/>
    <w:rsid w:val="00D57664"/>
    <w:rsid w:val="00D57A0D"/>
    <w:rsid w:val="00D57C80"/>
    <w:rsid w:val="00D603B0"/>
    <w:rsid w:val="00D60746"/>
    <w:rsid w:val="00D60EA6"/>
    <w:rsid w:val="00D614BE"/>
    <w:rsid w:val="00D61EDA"/>
    <w:rsid w:val="00D6222F"/>
    <w:rsid w:val="00D6289B"/>
    <w:rsid w:val="00D62C0A"/>
    <w:rsid w:val="00D63F48"/>
    <w:rsid w:val="00D64064"/>
    <w:rsid w:val="00D64093"/>
    <w:rsid w:val="00D644BC"/>
    <w:rsid w:val="00D6453A"/>
    <w:rsid w:val="00D6456F"/>
    <w:rsid w:val="00D64700"/>
    <w:rsid w:val="00D64752"/>
    <w:rsid w:val="00D64D13"/>
    <w:rsid w:val="00D652F5"/>
    <w:rsid w:val="00D65B8F"/>
    <w:rsid w:val="00D67382"/>
    <w:rsid w:val="00D6761C"/>
    <w:rsid w:val="00D706D0"/>
    <w:rsid w:val="00D708F2"/>
    <w:rsid w:val="00D71143"/>
    <w:rsid w:val="00D715C0"/>
    <w:rsid w:val="00D718C6"/>
    <w:rsid w:val="00D71EB9"/>
    <w:rsid w:val="00D71FED"/>
    <w:rsid w:val="00D728D2"/>
    <w:rsid w:val="00D729A9"/>
    <w:rsid w:val="00D72CBB"/>
    <w:rsid w:val="00D72EB3"/>
    <w:rsid w:val="00D730C7"/>
    <w:rsid w:val="00D7323A"/>
    <w:rsid w:val="00D732A6"/>
    <w:rsid w:val="00D73AB1"/>
    <w:rsid w:val="00D74611"/>
    <w:rsid w:val="00D74999"/>
    <w:rsid w:val="00D74B0A"/>
    <w:rsid w:val="00D74D21"/>
    <w:rsid w:val="00D75291"/>
    <w:rsid w:val="00D7686C"/>
    <w:rsid w:val="00D76BD7"/>
    <w:rsid w:val="00D76D4B"/>
    <w:rsid w:val="00D77228"/>
    <w:rsid w:val="00D80321"/>
    <w:rsid w:val="00D81386"/>
    <w:rsid w:val="00D814F3"/>
    <w:rsid w:val="00D81C8D"/>
    <w:rsid w:val="00D82157"/>
    <w:rsid w:val="00D82636"/>
    <w:rsid w:val="00D82EF3"/>
    <w:rsid w:val="00D82FC3"/>
    <w:rsid w:val="00D8351C"/>
    <w:rsid w:val="00D83630"/>
    <w:rsid w:val="00D8390A"/>
    <w:rsid w:val="00D83FAA"/>
    <w:rsid w:val="00D842AA"/>
    <w:rsid w:val="00D842E7"/>
    <w:rsid w:val="00D846D6"/>
    <w:rsid w:val="00D84ACA"/>
    <w:rsid w:val="00D84C83"/>
    <w:rsid w:val="00D85453"/>
    <w:rsid w:val="00D857E7"/>
    <w:rsid w:val="00D85C0C"/>
    <w:rsid w:val="00D85DCE"/>
    <w:rsid w:val="00D85EE2"/>
    <w:rsid w:val="00D86B6E"/>
    <w:rsid w:val="00D86DAF"/>
    <w:rsid w:val="00D8703B"/>
    <w:rsid w:val="00D87165"/>
    <w:rsid w:val="00D879C8"/>
    <w:rsid w:val="00D909AF"/>
    <w:rsid w:val="00D90BBE"/>
    <w:rsid w:val="00D90CE5"/>
    <w:rsid w:val="00D912CF"/>
    <w:rsid w:val="00D91528"/>
    <w:rsid w:val="00D91B26"/>
    <w:rsid w:val="00D92215"/>
    <w:rsid w:val="00D929AD"/>
    <w:rsid w:val="00D92CD2"/>
    <w:rsid w:val="00D93117"/>
    <w:rsid w:val="00D933CE"/>
    <w:rsid w:val="00D933DA"/>
    <w:rsid w:val="00D936BF"/>
    <w:rsid w:val="00D93FB7"/>
    <w:rsid w:val="00D940B9"/>
    <w:rsid w:val="00D94302"/>
    <w:rsid w:val="00D9462F"/>
    <w:rsid w:val="00D949DC"/>
    <w:rsid w:val="00D94BB2"/>
    <w:rsid w:val="00D95073"/>
    <w:rsid w:val="00D95D70"/>
    <w:rsid w:val="00D9644F"/>
    <w:rsid w:val="00D96664"/>
    <w:rsid w:val="00D96F3C"/>
    <w:rsid w:val="00D9704B"/>
    <w:rsid w:val="00D97C54"/>
    <w:rsid w:val="00D97D80"/>
    <w:rsid w:val="00D97F70"/>
    <w:rsid w:val="00D97FBA"/>
    <w:rsid w:val="00DA0276"/>
    <w:rsid w:val="00DA02D1"/>
    <w:rsid w:val="00DA077A"/>
    <w:rsid w:val="00DA097F"/>
    <w:rsid w:val="00DA0E5F"/>
    <w:rsid w:val="00DA1023"/>
    <w:rsid w:val="00DA1BEF"/>
    <w:rsid w:val="00DA1E73"/>
    <w:rsid w:val="00DA1EA4"/>
    <w:rsid w:val="00DA1FD4"/>
    <w:rsid w:val="00DA246D"/>
    <w:rsid w:val="00DA251F"/>
    <w:rsid w:val="00DA27B6"/>
    <w:rsid w:val="00DA2E12"/>
    <w:rsid w:val="00DA3469"/>
    <w:rsid w:val="00DA34B0"/>
    <w:rsid w:val="00DA3700"/>
    <w:rsid w:val="00DA3C18"/>
    <w:rsid w:val="00DA41D3"/>
    <w:rsid w:val="00DA462C"/>
    <w:rsid w:val="00DA4801"/>
    <w:rsid w:val="00DA4A0D"/>
    <w:rsid w:val="00DA4C47"/>
    <w:rsid w:val="00DA4D02"/>
    <w:rsid w:val="00DA4E01"/>
    <w:rsid w:val="00DA5C82"/>
    <w:rsid w:val="00DA60C2"/>
    <w:rsid w:val="00DA78AE"/>
    <w:rsid w:val="00DA7C57"/>
    <w:rsid w:val="00DA7D85"/>
    <w:rsid w:val="00DA7E60"/>
    <w:rsid w:val="00DA7F6B"/>
    <w:rsid w:val="00DB01E6"/>
    <w:rsid w:val="00DB05B5"/>
    <w:rsid w:val="00DB0672"/>
    <w:rsid w:val="00DB08CE"/>
    <w:rsid w:val="00DB0BBE"/>
    <w:rsid w:val="00DB0E0B"/>
    <w:rsid w:val="00DB10C9"/>
    <w:rsid w:val="00DB1583"/>
    <w:rsid w:val="00DB1E53"/>
    <w:rsid w:val="00DB2111"/>
    <w:rsid w:val="00DB249A"/>
    <w:rsid w:val="00DB27D3"/>
    <w:rsid w:val="00DB2F5C"/>
    <w:rsid w:val="00DB3296"/>
    <w:rsid w:val="00DB3379"/>
    <w:rsid w:val="00DB34F7"/>
    <w:rsid w:val="00DB3608"/>
    <w:rsid w:val="00DB385F"/>
    <w:rsid w:val="00DB3869"/>
    <w:rsid w:val="00DB3D92"/>
    <w:rsid w:val="00DB3ED2"/>
    <w:rsid w:val="00DB466C"/>
    <w:rsid w:val="00DB468E"/>
    <w:rsid w:val="00DB46BD"/>
    <w:rsid w:val="00DB5120"/>
    <w:rsid w:val="00DB538B"/>
    <w:rsid w:val="00DB540C"/>
    <w:rsid w:val="00DB57B8"/>
    <w:rsid w:val="00DB5B09"/>
    <w:rsid w:val="00DB6B36"/>
    <w:rsid w:val="00DB769D"/>
    <w:rsid w:val="00DB776E"/>
    <w:rsid w:val="00DB77EE"/>
    <w:rsid w:val="00DC029B"/>
    <w:rsid w:val="00DC0A08"/>
    <w:rsid w:val="00DC0F09"/>
    <w:rsid w:val="00DC1126"/>
    <w:rsid w:val="00DC1B6E"/>
    <w:rsid w:val="00DC1B86"/>
    <w:rsid w:val="00DC1C65"/>
    <w:rsid w:val="00DC215E"/>
    <w:rsid w:val="00DC2161"/>
    <w:rsid w:val="00DC244B"/>
    <w:rsid w:val="00DC24B7"/>
    <w:rsid w:val="00DC2617"/>
    <w:rsid w:val="00DC26F7"/>
    <w:rsid w:val="00DC289B"/>
    <w:rsid w:val="00DC28DD"/>
    <w:rsid w:val="00DC3661"/>
    <w:rsid w:val="00DC3710"/>
    <w:rsid w:val="00DC38B7"/>
    <w:rsid w:val="00DC3B39"/>
    <w:rsid w:val="00DC3B5D"/>
    <w:rsid w:val="00DC3B67"/>
    <w:rsid w:val="00DC3CDB"/>
    <w:rsid w:val="00DC4BCE"/>
    <w:rsid w:val="00DC4D15"/>
    <w:rsid w:val="00DC53FB"/>
    <w:rsid w:val="00DC5769"/>
    <w:rsid w:val="00DC5B13"/>
    <w:rsid w:val="00DC5D65"/>
    <w:rsid w:val="00DC60F4"/>
    <w:rsid w:val="00DC63AF"/>
    <w:rsid w:val="00DC7745"/>
    <w:rsid w:val="00DC7A7D"/>
    <w:rsid w:val="00DC7AF1"/>
    <w:rsid w:val="00DC7AF6"/>
    <w:rsid w:val="00DC7B24"/>
    <w:rsid w:val="00DD01B0"/>
    <w:rsid w:val="00DD0394"/>
    <w:rsid w:val="00DD1471"/>
    <w:rsid w:val="00DD14AF"/>
    <w:rsid w:val="00DD1D02"/>
    <w:rsid w:val="00DD23A0"/>
    <w:rsid w:val="00DD288A"/>
    <w:rsid w:val="00DD2D1D"/>
    <w:rsid w:val="00DD39F4"/>
    <w:rsid w:val="00DD3B4B"/>
    <w:rsid w:val="00DD3EF4"/>
    <w:rsid w:val="00DD402D"/>
    <w:rsid w:val="00DD45AC"/>
    <w:rsid w:val="00DD4FE0"/>
    <w:rsid w:val="00DD51D5"/>
    <w:rsid w:val="00DD540E"/>
    <w:rsid w:val="00DD591B"/>
    <w:rsid w:val="00DD5ED3"/>
    <w:rsid w:val="00DD63CB"/>
    <w:rsid w:val="00DD6895"/>
    <w:rsid w:val="00DD692D"/>
    <w:rsid w:val="00DD707C"/>
    <w:rsid w:val="00DD70F3"/>
    <w:rsid w:val="00DD772B"/>
    <w:rsid w:val="00DE01EB"/>
    <w:rsid w:val="00DE04C9"/>
    <w:rsid w:val="00DE05C5"/>
    <w:rsid w:val="00DE066B"/>
    <w:rsid w:val="00DE08A0"/>
    <w:rsid w:val="00DE173A"/>
    <w:rsid w:val="00DE1769"/>
    <w:rsid w:val="00DE2124"/>
    <w:rsid w:val="00DE22A6"/>
    <w:rsid w:val="00DE2588"/>
    <w:rsid w:val="00DE259F"/>
    <w:rsid w:val="00DE2B80"/>
    <w:rsid w:val="00DE2F89"/>
    <w:rsid w:val="00DE2FE2"/>
    <w:rsid w:val="00DE33D5"/>
    <w:rsid w:val="00DE39A9"/>
    <w:rsid w:val="00DE3F99"/>
    <w:rsid w:val="00DE3FE5"/>
    <w:rsid w:val="00DE4847"/>
    <w:rsid w:val="00DE4BE5"/>
    <w:rsid w:val="00DE4E2E"/>
    <w:rsid w:val="00DE5D50"/>
    <w:rsid w:val="00DE5D79"/>
    <w:rsid w:val="00DE6156"/>
    <w:rsid w:val="00DE61D8"/>
    <w:rsid w:val="00DE63B3"/>
    <w:rsid w:val="00DE652E"/>
    <w:rsid w:val="00DE6642"/>
    <w:rsid w:val="00DE67F4"/>
    <w:rsid w:val="00DE698E"/>
    <w:rsid w:val="00DE6F0A"/>
    <w:rsid w:val="00DE77B1"/>
    <w:rsid w:val="00DE7E6A"/>
    <w:rsid w:val="00DF02DE"/>
    <w:rsid w:val="00DF064C"/>
    <w:rsid w:val="00DF0B6F"/>
    <w:rsid w:val="00DF1163"/>
    <w:rsid w:val="00DF11B1"/>
    <w:rsid w:val="00DF1AD8"/>
    <w:rsid w:val="00DF1B37"/>
    <w:rsid w:val="00DF1BC8"/>
    <w:rsid w:val="00DF2098"/>
    <w:rsid w:val="00DF20BD"/>
    <w:rsid w:val="00DF2B67"/>
    <w:rsid w:val="00DF2C2C"/>
    <w:rsid w:val="00DF3CE6"/>
    <w:rsid w:val="00DF3D53"/>
    <w:rsid w:val="00DF4102"/>
    <w:rsid w:val="00DF42F2"/>
    <w:rsid w:val="00DF4E71"/>
    <w:rsid w:val="00DF4EB5"/>
    <w:rsid w:val="00DF4F92"/>
    <w:rsid w:val="00DF5CE8"/>
    <w:rsid w:val="00DF5E03"/>
    <w:rsid w:val="00DF5F72"/>
    <w:rsid w:val="00DF66CB"/>
    <w:rsid w:val="00DF6775"/>
    <w:rsid w:val="00DF6890"/>
    <w:rsid w:val="00DF6D18"/>
    <w:rsid w:val="00DF6FC2"/>
    <w:rsid w:val="00DF725B"/>
    <w:rsid w:val="00DF7580"/>
    <w:rsid w:val="00DF77FE"/>
    <w:rsid w:val="00E003CC"/>
    <w:rsid w:val="00E00495"/>
    <w:rsid w:val="00E00E18"/>
    <w:rsid w:val="00E00E3C"/>
    <w:rsid w:val="00E00F14"/>
    <w:rsid w:val="00E014ED"/>
    <w:rsid w:val="00E0172C"/>
    <w:rsid w:val="00E0194E"/>
    <w:rsid w:val="00E02113"/>
    <w:rsid w:val="00E0229E"/>
    <w:rsid w:val="00E0235D"/>
    <w:rsid w:val="00E02824"/>
    <w:rsid w:val="00E02A62"/>
    <w:rsid w:val="00E02D5D"/>
    <w:rsid w:val="00E033EE"/>
    <w:rsid w:val="00E03721"/>
    <w:rsid w:val="00E037B5"/>
    <w:rsid w:val="00E03FC5"/>
    <w:rsid w:val="00E0486F"/>
    <w:rsid w:val="00E04B3D"/>
    <w:rsid w:val="00E0567E"/>
    <w:rsid w:val="00E05B95"/>
    <w:rsid w:val="00E05EAC"/>
    <w:rsid w:val="00E0641D"/>
    <w:rsid w:val="00E06607"/>
    <w:rsid w:val="00E06689"/>
    <w:rsid w:val="00E0668F"/>
    <w:rsid w:val="00E06ABD"/>
    <w:rsid w:val="00E06B3F"/>
    <w:rsid w:val="00E07184"/>
    <w:rsid w:val="00E0734E"/>
    <w:rsid w:val="00E076CB"/>
    <w:rsid w:val="00E10526"/>
    <w:rsid w:val="00E106E7"/>
    <w:rsid w:val="00E10887"/>
    <w:rsid w:val="00E109B7"/>
    <w:rsid w:val="00E10A8F"/>
    <w:rsid w:val="00E10D7A"/>
    <w:rsid w:val="00E10F90"/>
    <w:rsid w:val="00E1103C"/>
    <w:rsid w:val="00E11410"/>
    <w:rsid w:val="00E11491"/>
    <w:rsid w:val="00E11BA8"/>
    <w:rsid w:val="00E12134"/>
    <w:rsid w:val="00E126F4"/>
    <w:rsid w:val="00E12739"/>
    <w:rsid w:val="00E1296E"/>
    <w:rsid w:val="00E12CE9"/>
    <w:rsid w:val="00E13072"/>
    <w:rsid w:val="00E137A5"/>
    <w:rsid w:val="00E139D6"/>
    <w:rsid w:val="00E14CCB"/>
    <w:rsid w:val="00E153FA"/>
    <w:rsid w:val="00E156A0"/>
    <w:rsid w:val="00E15A51"/>
    <w:rsid w:val="00E1698F"/>
    <w:rsid w:val="00E16C0C"/>
    <w:rsid w:val="00E16D9F"/>
    <w:rsid w:val="00E17202"/>
    <w:rsid w:val="00E17424"/>
    <w:rsid w:val="00E17806"/>
    <w:rsid w:val="00E17D82"/>
    <w:rsid w:val="00E17FC5"/>
    <w:rsid w:val="00E201DC"/>
    <w:rsid w:val="00E2036A"/>
    <w:rsid w:val="00E20A3A"/>
    <w:rsid w:val="00E20AF1"/>
    <w:rsid w:val="00E20B88"/>
    <w:rsid w:val="00E210AF"/>
    <w:rsid w:val="00E211CC"/>
    <w:rsid w:val="00E213C7"/>
    <w:rsid w:val="00E22697"/>
    <w:rsid w:val="00E230F2"/>
    <w:rsid w:val="00E23FB4"/>
    <w:rsid w:val="00E24070"/>
    <w:rsid w:val="00E24443"/>
    <w:rsid w:val="00E24498"/>
    <w:rsid w:val="00E244B4"/>
    <w:rsid w:val="00E24801"/>
    <w:rsid w:val="00E24F7F"/>
    <w:rsid w:val="00E2509C"/>
    <w:rsid w:val="00E25888"/>
    <w:rsid w:val="00E25E91"/>
    <w:rsid w:val="00E25FAC"/>
    <w:rsid w:val="00E26D01"/>
    <w:rsid w:val="00E26F69"/>
    <w:rsid w:val="00E30673"/>
    <w:rsid w:val="00E309CF"/>
    <w:rsid w:val="00E30D63"/>
    <w:rsid w:val="00E30F5E"/>
    <w:rsid w:val="00E31018"/>
    <w:rsid w:val="00E31587"/>
    <w:rsid w:val="00E3178F"/>
    <w:rsid w:val="00E31B8C"/>
    <w:rsid w:val="00E31EDD"/>
    <w:rsid w:val="00E324C7"/>
    <w:rsid w:val="00E324E6"/>
    <w:rsid w:val="00E32BAE"/>
    <w:rsid w:val="00E32DD8"/>
    <w:rsid w:val="00E32E02"/>
    <w:rsid w:val="00E32ED5"/>
    <w:rsid w:val="00E333F9"/>
    <w:rsid w:val="00E3344E"/>
    <w:rsid w:val="00E33B62"/>
    <w:rsid w:val="00E33F28"/>
    <w:rsid w:val="00E34013"/>
    <w:rsid w:val="00E34233"/>
    <w:rsid w:val="00E34BD4"/>
    <w:rsid w:val="00E34D62"/>
    <w:rsid w:val="00E35D04"/>
    <w:rsid w:val="00E35D6F"/>
    <w:rsid w:val="00E36723"/>
    <w:rsid w:val="00E373C0"/>
    <w:rsid w:val="00E3758B"/>
    <w:rsid w:val="00E3772D"/>
    <w:rsid w:val="00E37850"/>
    <w:rsid w:val="00E37AB0"/>
    <w:rsid w:val="00E37EAB"/>
    <w:rsid w:val="00E400EA"/>
    <w:rsid w:val="00E408C6"/>
    <w:rsid w:val="00E4093B"/>
    <w:rsid w:val="00E40E02"/>
    <w:rsid w:val="00E4100D"/>
    <w:rsid w:val="00E41548"/>
    <w:rsid w:val="00E418F1"/>
    <w:rsid w:val="00E41F2D"/>
    <w:rsid w:val="00E42114"/>
    <w:rsid w:val="00E43274"/>
    <w:rsid w:val="00E432F8"/>
    <w:rsid w:val="00E43982"/>
    <w:rsid w:val="00E4436B"/>
    <w:rsid w:val="00E44EAD"/>
    <w:rsid w:val="00E44FE2"/>
    <w:rsid w:val="00E45974"/>
    <w:rsid w:val="00E45BD9"/>
    <w:rsid w:val="00E4686E"/>
    <w:rsid w:val="00E46F66"/>
    <w:rsid w:val="00E47020"/>
    <w:rsid w:val="00E470E3"/>
    <w:rsid w:val="00E47951"/>
    <w:rsid w:val="00E4797D"/>
    <w:rsid w:val="00E47B6C"/>
    <w:rsid w:val="00E501BC"/>
    <w:rsid w:val="00E5097F"/>
    <w:rsid w:val="00E50B40"/>
    <w:rsid w:val="00E50DB3"/>
    <w:rsid w:val="00E50E05"/>
    <w:rsid w:val="00E51A87"/>
    <w:rsid w:val="00E5209D"/>
    <w:rsid w:val="00E524A4"/>
    <w:rsid w:val="00E546FB"/>
    <w:rsid w:val="00E54787"/>
    <w:rsid w:val="00E549ED"/>
    <w:rsid w:val="00E555CE"/>
    <w:rsid w:val="00E55CE6"/>
    <w:rsid w:val="00E55EF2"/>
    <w:rsid w:val="00E56472"/>
    <w:rsid w:val="00E56A26"/>
    <w:rsid w:val="00E56BFF"/>
    <w:rsid w:val="00E56DB7"/>
    <w:rsid w:val="00E56DCA"/>
    <w:rsid w:val="00E56FA0"/>
    <w:rsid w:val="00E570D5"/>
    <w:rsid w:val="00E571EC"/>
    <w:rsid w:val="00E57668"/>
    <w:rsid w:val="00E6070A"/>
    <w:rsid w:val="00E60756"/>
    <w:rsid w:val="00E60860"/>
    <w:rsid w:val="00E60C14"/>
    <w:rsid w:val="00E60C1A"/>
    <w:rsid w:val="00E61018"/>
    <w:rsid w:val="00E611D2"/>
    <w:rsid w:val="00E6122A"/>
    <w:rsid w:val="00E61426"/>
    <w:rsid w:val="00E61F3E"/>
    <w:rsid w:val="00E628B6"/>
    <w:rsid w:val="00E62A82"/>
    <w:rsid w:val="00E62B29"/>
    <w:rsid w:val="00E6329E"/>
    <w:rsid w:val="00E633F9"/>
    <w:rsid w:val="00E6364A"/>
    <w:rsid w:val="00E637D2"/>
    <w:rsid w:val="00E64007"/>
    <w:rsid w:val="00E64045"/>
    <w:rsid w:val="00E64204"/>
    <w:rsid w:val="00E6426A"/>
    <w:rsid w:val="00E642C0"/>
    <w:rsid w:val="00E64343"/>
    <w:rsid w:val="00E6457D"/>
    <w:rsid w:val="00E646E2"/>
    <w:rsid w:val="00E64A52"/>
    <w:rsid w:val="00E64C6F"/>
    <w:rsid w:val="00E64E92"/>
    <w:rsid w:val="00E64F17"/>
    <w:rsid w:val="00E64FB8"/>
    <w:rsid w:val="00E6526A"/>
    <w:rsid w:val="00E655CB"/>
    <w:rsid w:val="00E65FB8"/>
    <w:rsid w:val="00E66183"/>
    <w:rsid w:val="00E66731"/>
    <w:rsid w:val="00E66E9E"/>
    <w:rsid w:val="00E702CC"/>
    <w:rsid w:val="00E7036F"/>
    <w:rsid w:val="00E70615"/>
    <w:rsid w:val="00E70929"/>
    <w:rsid w:val="00E70ACD"/>
    <w:rsid w:val="00E70E86"/>
    <w:rsid w:val="00E71833"/>
    <w:rsid w:val="00E71B8F"/>
    <w:rsid w:val="00E72001"/>
    <w:rsid w:val="00E7207E"/>
    <w:rsid w:val="00E72A93"/>
    <w:rsid w:val="00E73AD0"/>
    <w:rsid w:val="00E74354"/>
    <w:rsid w:val="00E7440A"/>
    <w:rsid w:val="00E74B55"/>
    <w:rsid w:val="00E74B6B"/>
    <w:rsid w:val="00E74DEE"/>
    <w:rsid w:val="00E7588A"/>
    <w:rsid w:val="00E75CB0"/>
    <w:rsid w:val="00E75E21"/>
    <w:rsid w:val="00E76282"/>
    <w:rsid w:val="00E763CB"/>
    <w:rsid w:val="00E76588"/>
    <w:rsid w:val="00E768AF"/>
    <w:rsid w:val="00E76FC8"/>
    <w:rsid w:val="00E77251"/>
    <w:rsid w:val="00E772C4"/>
    <w:rsid w:val="00E77502"/>
    <w:rsid w:val="00E77B60"/>
    <w:rsid w:val="00E77FDC"/>
    <w:rsid w:val="00E80AFC"/>
    <w:rsid w:val="00E80B8E"/>
    <w:rsid w:val="00E80CE7"/>
    <w:rsid w:val="00E8149F"/>
    <w:rsid w:val="00E81726"/>
    <w:rsid w:val="00E81A72"/>
    <w:rsid w:val="00E81F1D"/>
    <w:rsid w:val="00E823AD"/>
    <w:rsid w:val="00E823B7"/>
    <w:rsid w:val="00E82AD9"/>
    <w:rsid w:val="00E830C1"/>
    <w:rsid w:val="00E83428"/>
    <w:rsid w:val="00E8359B"/>
    <w:rsid w:val="00E8397C"/>
    <w:rsid w:val="00E8399D"/>
    <w:rsid w:val="00E8462C"/>
    <w:rsid w:val="00E84E66"/>
    <w:rsid w:val="00E84F71"/>
    <w:rsid w:val="00E8526D"/>
    <w:rsid w:val="00E85529"/>
    <w:rsid w:val="00E85A63"/>
    <w:rsid w:val="00E85AEC"/>
    <w:rsid w:val="00E85CEE"/>
    <w:rsid w:val="00E85EC0"/>
    <w:rsid w:val="00E862F3"/>
    <w:rsid w:val="00E86308"/>
    <w:rsid w:val="00E863AA"/>
    <w:rsid w:val="00E866D3"/>
    <w:rsid w:val="00E868D0"/>
    <w:rsid w:val="00E877F6"/>
    <w:rsid w:val="00E87922"/>
    <w:rsid w:val="00E87E86"/>
    <w:rsid w:val="00E900E9"/>
    <w:rsid w:val="00E900F9"/>
    <w:rsid w:val="00E905F6"/>
    <w:rsid w:val="00E90D14"/>
    <w:rsid w:val="00E91740"/>
    <w:rsid w:val="00E917B0"/>
    <w:rsid w:val="00E91AC4"/>
    <w:rsid w:val="00E91D2F"/>
    <w:rsid w:val="00E9277D"/>
    <w:rsid w:val="00E929B8"/>
    <w:rsid w:val="00E92D52"/>
    <w:rsid w:val="00E935DC"/>
    <w:rsid w:val="00E93684"/>
    <w:rsid w:val="00E93D8C"/>
    <w:rsid w:val="00E942E1"/>
    <w:rsid w:val="00E94DFD"/>
    <w:rsid w:val="00E952A1"/>
    <w:rsid w:val="00E9671D"/>
    <w:rsid w:val="00E97167"/>
    <w:rsid w:val="00E9738B"/>
    <w:rsid w:val="00E97661"/>
    <w:rsid w:val="00E977E8"/>
    <w:rsid w:val="00E97971"/>
    <w:rsid w:val="00E97AA4"/>
    <w:rsid w:val="00EA0587"/>
    <w:rsid w:val="00EA0603"/>
    <w:rsid w:val="00EA0D51"/>
    <w:rsid w:val="00EA1091"/>
    <w:rsid w:val="00EA1302"/>
    <w:rsid w:val="00EA17DE"/>
    <w:rsid w:val="00EA191F"/>
    <w:rsid w:val="00EA1C67"/>
    <w:rsid w:val="00EA209F"/>
    <w:rsid w:val="00EA2320"/>
    <w:rsid w:val="00EA2C74"/>
    <w:rsid w:val="00EA3595"/>
    <w:rsid w:val="00EA3F7E"/>
    <w:rsid w:val="00EA4CE4"/>
    <w:rsid w:val="00EA4CF1"/>
    <w:rsid w:val="00EA4D6C"/>
    <w:rsid w:val="00EA4DC9"/>
    <w:rsid w:val="00EA52A2"/>
    <w:rsid w:val="00EA589A"/>
    <w:rsid w:val="00EA5905"/>
    <w:rsid w:val="00EA60BA"/>
    <w:rsid w:val="00EA6115"/>
    <w:rsid w:val="00EA6298"/>
    <w:rsid w:val="00EA6429"/>
    <w:rsid w:val="00EA67BF"/>
    <w:rsid w:val="00EA6DDB"/>
    <w:rsid w:val="00EA6E5A"/>
    <w:rsid w:val="00EA72CD"/>
    <w:rsid w:val="00EA7A71"/>
    <w:rsid w:val="00EB0578"/>
    <w:rsid w:val="00EB067F"/>
    <w:rsid w:val="00EB0885"/>
    <w:rsid w:val="00EB08E9"/>
    <w:rsid w:val="00EB09A5"/>
    <w:rsid w:val="00EB1098"/>
    <w:rsid w:val="00EB2353"/>
    <w:rsid w:val="00EB2D05"/>
    <w:rsid w:val="00EB31A8"/>
    <w:rsid w:val="00EB33D8"/>
    <w:rsid w:val="00EB3CAF"/>
    <w:rsid w:val="00EB42A5"/>
    <w:rsid w:val="00EB42F7"/>
    <w:rsid w:val="00EB4335"/>
    <w:rsid w:val="00EB4577"/>
    <w:rsid w:val="00EB4B46"/>
    <w:rsid w:val="00EB4C85"/>
    <w:rsid w:val="00EB4E38"/>
    <w:rsid w:val="00EB52B2"/>
    <w:rsid w:val="00EB568C"/>
    <w:rsid w:val="00EB573D"/>
    <w:rsid w:val="00EB5AAF"/>
    <w:rsid w:val="00EB5F23"/>
    <w:rsid w:val="00EB6143"/>
    <w:rsid w:val="00EB656E"/>
    <w:rsid w:val="00EB69CC"/>
    <w:rsid w:val="00EB6A94"/>
    <w:rsid w:val="00EB7A4C"/>
    <w:rsid w:val="00EC043A"/>
    <w:rsid w:val="00EC0554"/>
    <w:rsid w:val="00EC1044"/>
    <w:rsid w:val="00EC104F"/>
    <w:rsid w:val="00EC1616"/>
    <w:rsid w:val="00EC16A4"/>
    <w:rsid w:val="00EC1785"/>
    <w:rsid w:val="00EC1E89"/>
    <w:rsid w:val="00EC203B"/>
    <w:rsid w:val="00EC2109"/>
    <w:rsid w:val="00EC215D"/>
    <w:rsid w:val="00EC263A"/>
    <w:rsid w:val="00EC2EA2"/>
    <w:rsid w:val="00EC3010"/>
    <w:rsid w:val="00EC3900"/>
    <w:rsid w:val="00EC3B9E"/>
    <w:rsid w:val="00EC441E"/>
    <w:rsid w:val="00EC486D"/>
    <w:rsid w:val="00EC49C1"/>
    <w:rsid w:val="00EC4A3A"/>
    <w:rsid w:val="00EC4BFE"/>
    <w:rsid w:val="00EC500D"/>
    <w:rsid w:val="00EC5583"/>
    <w:rsid w:val="00EC55C2"/>
    <w:rsid w:val="00EC5AD3"/>
    <w:rsid w:val="00EC5DF1"/>
    <w:rsid w:val="00EC5F17"/>
    <w:rsid w:val="00EC619A"/>
    <w:rsid w:val="00EC62AF"/>
    <w:rsid w:val="00EC63A2"/>
    <w:rsid w:val="00EC67B7"/>
    <w:rsid w:val="00EC67C5"/>
    <w:rsid w:val="00EC69B9"/>
    <w:rsid w:val="00EC6C55"/>
    <w:rsid w:val="00EC6D56"/>
    <w:rsid w:val="00EC7C64"/>
    <w:rsid w:val="00EC7F21"/>
    <w:rsid w:val="00ED0488"/>
    <w:rsid w:val="00ED0590"/>
    <w:rsid w:val="00ED0B67"/>
    <w:rsid w:val="00ED0CAA"/>
    <w:rsid w:val="00ED1631"/>
    <w:rsid w:val="00ED195C"/>
    <w:rsid w:val="00ED1C2A"/>
    <w:rsid w:val="00ED2049"/>
    <w:rsid w:val="00ED2509"/>
    <w:rsid w:val="00ED38E1"/>
    <w:rsid w:val="00ED4BA0"/>
    <w:rsid w:val="00ED526A"/>
    <w:rsid w:val="00ED548C"/>
    <w:rsid w:val="00ED54CD"/>
    <w:rsid w:val="00ED5A52"/>
    <w:rsid w:val="00ED5DF6"/>
    <w:rsid w:val="00ED6368"/>
    <w:rsid w:val="00ED663B"/>
    <w:rsid w:val="00ED6765"/>
    <w:rsid w:val="00ED6AEE"/>
    <w:rsid w:val="00ED6E16"/>
    <w:rsid w:val="00ED7772"/>
    <w:rsid w:val="00ED7971"/>
    <w:rsid w:val="00EE042D"/>
    <w:rsid w:val="00EE0437"/>
    <w:rsid w:val="00EE08C1"/>
    <w:rsid w:val="00EE0DD6"/>
    <w:rsid w:val="00EE1412"/>
    <w:rsid w:val="00EE181F"/>
    <w:rsid w:val="00EE1FD1"/>
    <w:rsid w:val="00EE26AC"/>
    <w:rsid w:val="00EE3997"/>
    <w:rsid w:val="00EE3C4E"/>
    <w:rsid w:val="00EE4083"/>
    <w:rsid w:val="00EE4A75"/>
    <w:rsid w:val="00EE4DBA"/>
    <w:rsid w:val="00EE4EDE"/>
    <w:rsid w:val="00EE4FBC"/>
    <w:rsid w:val="00EE5006"/>
    <w:rsid w:val="00EE51D2"/>
    <w:rsid w:val="00EE530C"/>
    <w:rsid w:val="00EE56A5"/>
    <w:rsid w:val="00EE5807"/>
    <w:rsid w:val="00EE5B5A"/>
    <w:rsid w:val="00EE5F4D"/>
    <w:rsid w:val="00EE6A4B"/>
    <w:rsid w:val="00EE6C2A"/>
    <w:rsid w:val="00EE7060"/>
    <w:rsid w:val="00EE764E"/>
    <w:rsid w:val="00EE7CB0"/>
    <w:rsid w:val="00EE7D0A"/>
    <w:rsid w:val="00EF0336"/>
    <w:rsid w:val="00EF0976"/>
    <w:rsid w:val="00EF0A9B"/>
    <w:rsid w:val="00EF0B6A"/>
    <w:rsid w:val="00EF0CF1"/>
    <w:rsid w:val="00EF0DCD"/>
    <w:rsid w:val="00EF1218"/>
    <w:rsid w:val="00EF1633"/>
    <w:rsid w:val="00EF1CF7"/>
    <w:rsid w:val="00EF225B"/>
    <w:rsid w:val="00EF27C0"/>
    <w:rsid w:val="00EF2AAC"/>
    <w:rsid w:val="00EF2C5A"/>
    <w:rsid w:val="00EF2F1E"/>
    <w:rsid w:val="00EF313A"/>
    <w:rsid w:val="00EF32A8"/>
    <w:rsid w:val="00EF3565"/>
    <w:rsid w:val="00EF3BD4"/>
    <w:rsid w:val="00EF4595"/>
    <w:rsid w:val="00EF465C"/>
    <w:rsid w:val="00EF475C"/>
    <w:rsid w:val="00EF4A0C"/>
    <w:rsid w:val="00EF4B88"/>
    <w:rsid w:val="00EF4D11"/>
    <w:rsid w:val="00EF5AFB"/>
    <w:rsid w:val="00EF5C00"/>
    <w:rsid w:val="00EF5D63"/>
    <w:rsid w:val="00EF6DDE"/>
    <w:rsid w:val="00EF6EFD"/>
    <w:rsid w:val="00EF6FB9"/>
    <w:rsid w:val="00EF7242"/>
    <w:rsid w:val="00EF74C5"/>
    <w:rsid w:val="00EF7805"/>
    <w:rsid w:val="00EF78EC"/>
    <w:rsid w:val="00EF7D8A"/>
    <w:rsid w:val="00F00140"/>
    <w:rsid w:val="00F0046C"/>
    <w:rsid w:val="00F00EAC"/>
    <w:rsid w:val="00F0120A"/>
    <w:rsid w:val="00F01432"/>
    <w:rsid w:val="00F01570"/>
    <w:rsid w:val="00F01B64"/>
    <w:rsid w:val="00F01B91"/>
    <w:rsid w:val="00F01CE7"/>
    <w:rsid w:val="00F02C11"/>
    <w:rsid w:val="00F02F28"/>
    <w:rsid w:val="00F0321D"/>
    <w:rsid w:val="00F0325A"/>
    <w:rsid w:val="00F0335C"/>
    <w:rsid w:val="00F03B55"/>
    <w:rsid w:val="00F04069"/>
    <w:rsid w:val="00F0424C"/>
    <w:rsid w:val="00F04B8A"/>
    <w:rsid w:val="00F04D4A"/>
    <w:rsid w:val="00F04DB1"/>
    <w:rsid w:val="00F04FAB"/>
    <w:rsid w:val="00F0564E"/>
    <w:rsid w:val="00F06148"/>
    <w:rsid w:val="00F06241"/>
    <w:rsid w:val="00F06E83"/>
    <w:rsid w:val="00F071E9"/>
    <w:rsid w:val="00F07540"/>
    <w:rsid w:val="00F077DA"/>
    <w:rsid w:val="00F078FB"/>
    <w:rsid w:val="00F07E04"/>
    <w:rsid w:val="00F07E61"/>
    <w:rsid w:val="00F1011D"/>
    <w:rsid w:val="00F1029B"/>
    <w:rsid w:val="00F105AE"/>
    <w:rsid w:val="00F10DC7"/>
    <w:rsid w:val="00F10F08"/>
    <w:rsid w:val="00F11063"/>
    <w:rsid w:val="00F1109C"/>
    <w:rsid w:val="00F11481"/>
    <w:rsid w:val="00F118C1"/>
    <w:rsid w:val="00F11E5F"/>
    <w:rsid w:val="00F11E80"/>
    <w:rsid w:val="00F11F4B"/>
    <w:rsid w:val="00F1209B"/>
    <w:rsid w:val="00F124CC"/>
    <w:rsid w:val="00F12E09"/>
    <w:rsid w:val="00F1304A"/>
    <w:rsid w:val="00F134CA"/>
    <w:rsid w:val="00F13B3C"/>
    <w:rsid w:val="00F13E73"/>
    <w:rsid w:val="00F151F9"/>
    <w:rsid w:val="00F154A1"/>
    <w:rsid w:val="00F159F1"/>
    <w:rsid w:val="00F15BFD"/>
    <w:rsid w:val="00F16529"/>
    <w:rsid w:val="00F165F9"/>
    <w:rsid w:val="00F166BD"/>
    <w:rsid w:val="00F16A39"/>
    <w:rsid w:val="00F1726A"/>
    <w:rsid w:val="00F172C0"/>
    <w:rsid w:val="00F17D12"/>
    <w:rsid w:val="00F17D35"/>
    <w:rsid w:val="00F17F0B"/>
    <w:rsid w:val="00F216EC"/>
    <w:rsid w:val="00F21D5A"/>
    <w:rsid w:val="00F221AE"/>
    <w:rsid w:val="00F22903"/>
    <w:rsid w:val="00F234B9"/>
    <w:rsid w:val="00F2353D"/>
    <w:rsid w:val="00F23842"/>
    <w:rsid w:val="00F23C93"/>
    <w:rsid w:val="00F25339"/>
    <w:rsid w:val="00F25375"/>
    <w:rsid w:val="00F25CBF"/>
    <w:rsid w:val="00F2666B"/>
    <w:rsid w:val="00F26A52"/>
    <w:rsid w:val="00F26A8A"/>
    <w:rsid w:val="00F26B7F"/>
    <w:rsid w:val="00F274F8"/>
    <w:rsid w:val="00F279EF"/>
    <w:rsid w:val="00F27C24"/>
    <w:rsid w:val="00F27C31"/>
    <w:rsid w:val="00F27E0D"/>
    <w:rsid w:val="00F306D4"/>
    <w:rsid w:val="00F30886"/>
    <w:rsid w:val="00F30BEC"/>
    <w:rsid w:val="00F31038"/>
    <w:rsid w:val="00F31B05"/>
    <w:rsid w:val="00F32287"/>
    <w:rsid w:val="00F322AD"/>
    <w:rsid w:val="00F324A7"/>
    <w:rsid w:val="00F329AC"/>
    <w:rsid w:val="00F32A8A"/>
    <w:rsid w:val="00F32BFF"/>
    <w:rsid w:val="00F32F91"/>
    <w:rsid w:val="00F33574"/>
    <w:rsid w:val="00F336FA"/>
    <w:rsid w:val="00F33C1A"/>
    <w:rsid w:val="00F33D67"/>
    <w:rsid w:val="00F33F68"/>
    <w:rsid w:val="00F3409F"/>
    <w:rsid w:val="00F3520F"/>
    <w:rsid w:val="00F35C25"/>
    <w:rsid w:val="00F3640B"/>
    <w:rsid w:val="00F36B05"/>
    <w:rsid w:val="00F36C3C"/>
    <w:rsid w:val="00F36CFC"/>
    <w:rsid w:val="00F3774A"/>
    <w:rsid w:val="00F37957"/>
    <w:rsid w:val="00F37A07"/>
    <w:rsid w:val="00F37D45"/>
    <w:rsid w:val="00F37FA7"/>
    <w:rsid w:val="00F40091"/>
    <w:rsid w:val="00F4011C"/>
    <w:rsid w:val="00F4053F"/>
    <w:rsid w:val="00F407B0"/>
    <w:rsid w:val="00F40A92"/>
    <w:rsid w:val="00F4116F"/>
    <w:rsid w:val="00F411DE"/>
    <w:rsid w:val="00F4128F"/>
    <w:rsid w:val="00F419AD"/>
    <w:rsid w:val="00F41CB5"/>
    <w:rsid w:val="00F421A0"/>
    <w:rsid w:val="00F428F2"/>
    <w:rsid w:val="00F42A20"/>
    <w:rsid w:val="00F42D51"/>
    <w:rsid w:val="00F43225"/>
    <w:rsid w:val="00F43A92"/>
    <w:rsid w:val="00F43C3C"/>
    <w:rsid w:val="00F43E4E"/>
    <w:rsid w:val="00F4429C"/>
    <w:rsid w:val="00F44477"/>
    <w:rsid w:val="00F444DF"/>
    <w:rsid w:val="00F444E8"/>
    <w:rsid w:val="00F445B5"/>
    <w:rsid w:val="00F44701"/>
    <w:rsid w:val="00F44723"/>
    <w:rsid w:val="00F45093"/>
    <w:rsid w:val="00F45487"/>
    <w:rsid w:val="00F459A6"/>
    <w:rsid w:val="00F45B68"/>
    <w:rsid w:val="00F46457"/>
    <w:rsid w:val="00F46C7D"/>
    <w:rsid w:val="00F47233"/>
    <w:rsid w:val="00F47393"/>
    <w:rsid w:val="00F473CA"/>
    <w:rsid w:val="00F479BC"/>
    <w:rsid w:val="00F501C1"/>
    <w:rsid w:val="00F502F8"/>
    <w:rsid w:val="00F5046F"/>
    <w:rsid w:val="00F51004"/>
    <w:rsid w:val="00F513AE"/>
    <w:rsid w:val="00F519F6"/>
    <w:rsid w:val="00F52604"/>
    <w:rsid w:val="00F526E1"/>
    <w:rsid w:val="00F52C4A"/>
    <w:rsid w:val="00F52D44"/>
    <w:rsid w:val="00F53802"/>
    <w:rsid w:val="00F54777"/>
    <w:rsid w:val="00F54FD2"/>
    <w:rsid w:val="00F5503F"/>
    <w:rsid w:val="00F55107"/>
    <w:rsid w:val="00F55635"/>
    <w:rsid w:val="00F556D9"/>
    <w:rsid w:val="00F558CB"/>
    <w:rsid w:val="00F55B37"/>
    <w:rsid w:val="00F55E6F"/>
    <w:rsid w:val="00F564EB"/>
    <w:rsid w:val="00F56C0B"/>
    <w:rsid w:val="00F56C88"/>
    <w:rsid w:val="00F56C9D"/>
    <w:rsid w:val="00F56EA2"/>
    <w:rsid w:val="00F57483"/>
    <w:rsid w:val="00F576F0"/>
    <w:rsid w:val="00F57907"/>
    <w:rsid w:val="00F60470"/>
    <w:rsid w:val="00F60956"/>
    <w:rsid w:val="00F60A4E"/>
    <w:rsid w:val="00F60AF3"/>
    <w:rsid w:val="00F60CA9"/>
    <w:rsid w:val="00F60F83"/>
    <w:rsid w:val="00F60FBC"/>
    <w:rsid w:val="00F6143D"/>
    <w:rsid w:val="00F6154B"/>
    <w:rsid w:val="00F61EA7"/>
    <w:rsid w:val="00F628DA"/>
    <w:rsid w:val="00F62C1A"/>
    <w:rsid w:val="00F62C85"/>
    <w:rsid w:val="00F641EA"/>
    <w:rsid w:val="00F64BCA"/>
    <w:rsid w:val="00F65111"/>
    <w:rsid w:val="00F654F6"/>
    <w:rsid w:val="00F65642"/>
    <w:rsid w:val="00F65D97"/>
    <w:rsid w:val="00F6604C"/>
    <w:rsid w:val="00F66325"/>
    <w:rsid w:val="00F6635B"/>
    <w:rsid w:val="00F664FC"/>
    <w:rsid w:val="00F6690A"/>
    <w:rsid w:val="00F66990"/>
    <w:rsid w:val="00F66D1F"/>
    <w:rsid w:val="00F66DDB"/>
    <w:rsid w:val="00F66E82"/>
    <w:rsid w:val="00F67E19"/>
    <w:rsid w:val="00F7026C"/>
    <w:rsid w:val="00F7039E"/>
    <w:rsid w:val="00F70ADD"/>
    <w:rsid w:val="00F70F7F"/>
    <w:rsid w:val="00F711C9"/>
    <w:rsid w:val="00F71E2C"/>
    <w:rsid w:val="00F72122"/>
    <w:rsid w:val="00F72352"/>
    <w:rsid w:val="00F72402"/>
    <w:rsid w:val="00F72435"/>
    <w:rsid w:val="00F72ABC"/>
    <w:rsid w:val="00F72D60"/>
    <w:rsid w:val="00F72FD1"/>
    <w:rsid w:val="00F73109"/>
    <w:rsid w:val="00F73894"/>
    <w:rsid w:val="00F738A2"/>
    <w:rsid w:val="00F73ACC"/>
    <w:rsid w:val="00F73FEF"/>
    <w:rsid w:val="00F74700"/>
    <w:rsid w:val="00F74DCF"/>
    <w:rsid w:val="00F74E72"/>
    <w:rsid w:val="00F75B21"/>
    <w:rsid w:val="00F75DD2"/>
    <w:rsid w:val="00F7613A"/>
    <w:rsid w:val="00F763BB"/>
    <w:rsid w:val="00F7647C"/>
    <w:rsid w:val="00F766FD"/>
    <w:rsid w:val="00F76906"/>
    <w:rsid w:val="00F76CF1"/>
    <w:rsid w:val="00F774D0"/>
    <w:rsid w:val="00F7785D"/>
    <w:rsid w:val="00F80104"/>
    <w:rsid w:val="00F80F76"/>
    <w:rsid w:val="00F81219"/>
    <w:rsid w:val="00F81372"/>
    <w:rsid w:val="00F813D2"/>
    <w:rsid w:val="00F818C7"/>
    <w:rsid w:val="00F81C1D"/>
    <w:rsid w:val="00F827E8"/>
    <w:rsid w:val="00F82B5F"/>
    <w:rsid w:val="00F82BEA"/>
    <w:rsid w:val="00F831D8"/>
    <w:rsid w:val="00F831E0"/>
    <w:rsid w:val="00F8323B"/>
    <w:rsid w:val="00F83891"/>
    <w:rsid w:val="00F8399C"/>
    <w:rsid w:val="00F83C61"/>
    <w:rsid w:val="00F83CD1"/>
    <w:rsid w:val="00F844DE"/>
    <w:rsid w:val="00F84600"/>
    <w:rsid w:val="00F846A6"/>
    <w:rsid w:val="00F8473C"/>
    <w:rsid w:val="00F84903"/>
    <w:rsid w:val="00F855DC"/>
    <w:rsid w:val="00F857A8"/>
    <w:rsid w:val="00F857F0"/>
    <w:rsid w:val="00F8590F"/>
    <w:rsid w:val="00F85DAA"/>
    <w:rsid w:val="00F8601E"/>
    <w:rsid w:val="00F86541"/>
    <w:rsid w:val="00F8659B"/>
    <w:rsid w:val="00F86ACA"/>
    <w:rsid w:val="00F87409"/>
    <w:rsid w:val="00F8753F"/>
    <w:rsid w:val="00F87563"/>
    <w:rsid w:val="00F87FCB"/>
    <w:rsid w:val="00F90238"/>
    <w:rsid w:val="00F902AA"/>
    <w:rsid w:val="00F908AB"/>
    <w:rsid w:val="00F90DD0"/>
    <w:rsid w:val="00F90E25"/>
    <w:rsid w:val="00F90E8A"/>
    <w:rsid w:val="00F90F54"/>
    <w:rsid w:val="00F91592"/>
    <w:rsid w:val="00F91D89"/>
    <w:rsid w:val="00F92240"/>
    <w:rsid w:val="00F92286"/>
    <w:rsid w:val="00F929D4"/>
    <w:rsid w:val="00F92B73"/>
    <w:rsid w:val="00F92FA4"/>
    <w:rsid w:val="00F92FAF"/>
    <w:rsid w:val="00F93D16"/>
    <w:rsid w:val="00F93ED4"/>
    <w:rsid w:val="00F9518C"/>
    <w:rsid w:val="00F9532D"/>
    <w:rsid w:val="00F953F6"/>
    <w:rsid w:val="00F956DC"/>
    <w:rsid w:val="00F95958"/>
    <w:rsid w:val="00F95C12"/>
    <w:rsid w:val="00F964F4"/>
    <w:rsid w:val="00F96B01"/>
    <w:rsid w:val="00F96D79"/>
    <w:rsid w:val="00F96F40"/>
    <w:rsid w:val="00F96F75"/>
    <w:rsid w:val="00F97242"/>
    <w:rsid w:val="00F97F26"/>
    <w:rsid w:val="00FA0E1D"/>
    <w:rsid w:val="00FA16EF"/>
    <w:rsid w:val="00FA1A49"/>
    <w:rsid w:val="00FA218E"/>
    <w:rsid w:val="00FA2238"/>
    <w:rsid w:val="00FA263F"/>
    <w:rsid w:val="00FA266E"/>
    <w:rsid w:val="00FA2A95"/>
    <w:rsid w:val="00FA3138"/>
    <w:rsid w:val="00FA337C"/>
    <w:rsid w:val="00FA3598"/>
    <w:rsid w:val="00FA370B"/>
    <w:rsid w:val="00FA3AFB"/>
    <w:rsid w:val="00FA3B77"/>
    <w:rsid w:val="00FA3BC1"/>
    <w:rsid w:val="00FA3FA1"/>
    <w:rsid w:val="00FA44CB"/>
    <w:rsid w:val="00FA523B"/>
    <w:rsid w:val="00FA52DD"/>
    <w:rsid w:val="00FA563E"/>
    <w:rsid w:val="00FA5A81"/>
    <w:rsid w:val="00FA5D9A"/>
    <w:rsid w:val="00FA65AB"/>
    <w:rsid w:val="00FA6737"/>
    <w:rsid w:val="00FA685A"/>
    <w:rsid w:val="00FA69E8"/>
    <w:rsid w:val="00FA6AA9"/>
    <w:rsid w:val="00FA6B2E"/>
    <w:rsid w:val="00FA6D0A"/>
    <w:rsid w:val="00FA7610"/>
    <w:rsid w:val="00FA7688"/>
    <w:rsid w:val="00FA7827"/>
    <w:rsid w:val="00FB0A15"/>
    <w:rsid w:val="00FB1160"/>
    <w:rsid w:val="00FB11A0"/>
    <w:rsid w:val="00FB128E"/>
    <w:rsid w:val="00FB1321"/>
    <w:rsid w:val="00FB14BC"/>
    <w:rsid w:val="00FB1544"/>
    <w:rsid w:val="00FB1815"/>
    <w:rsid w:val="00FB1F15"/>
    <w:rsid w:val="00FB29C2"/>
    <w:rsid w:val="00FB2AFF"/>
    <w:rsid w:val="00FB31C3"/>
    <w:rsid w:val="00FB3226"/>
    <w:rsid w:val="00FB33D4"/>
    <w:rsid w:val="00FB35AD"/>
    <w:rsid w:val="00FB396B"/>
    <w:rsid w:val="00FB4097"/>
    <w:rsid w:val="00FB4136"/>
    <w:rsid w:val="00FB44AE"/>
    <w:rsid w:val="00FB48AB"/>
    <w:rsid w:val="00FB4D78"/>
    <w:rsid w:val="00FB4D9B"/>
    <w:rsid w:val="00FB4FE2"/>
    <w:rsid w:val="00FB5182"/>
    <w:rsid w:val="00FB5498"/>
    <w:rsid w:val="00FB5667"/>
    <w:rsid w:val="00FB571F"/>
    <w:rsid w:val="00FB586B"/>
    <w:rsid w:val="00FB5993"/>
    <w:rsid w:val="00FB5D68"/>
    <w:rsid w:val="00FB60E2"/>
    <w:rsid w:val="00FB69B7"/>
    <w:rsid w:val="00FB6AAC"/>
    <w:rsid w:val="00FB74F4"/>
    <w:rsid w:val="00FB7DB2"/>
    <w:rsid w:val="00FC0267"/>
    <w:rsid w:val="00FC0DBF"/>
    <w:rsid w:val="00FC19E7"/>
    <w:rsid w:val="00FC2137"/>
    <w:rsid w:val="00FC3072"/>
    <w:rsid w:val="00FC3438"/>
    <w:rsid w:val="00FC374F"/>
    <w:rsid w:val="00FC3799"/>
    <w:rsid w:val="00FC3B38"/>
    <w:rsid w:val="00FC495F"/>
    <w:rsid w:val="00FC4C03"/>
    <w:rsid w:val="00FC4C04"/>
    <w:rsid w:val="00FC539B"/>
    <w:rsid w:val="00FC5A01"/>
    <w:rsid w:val="00FC5AA3"/>
    <w:rsid w:val="00FC5BD0"/>
    <w:rsid w:val="00FC6262"/>
    <w:rsid w:val="00FC693C"/>
    <w:rsid w:val="00FC6AEE"/>
    <w:rsid w:val="00FC6CA3"/>
    <w:rsid w:val="00FC6D9F"/>
    <w:rsid w:val="00FC6E0E"/>
    <w:rsid w:val="00FC7689"/>
    <w:rsid w:val="00FC7EC1"/>
    <w:rsid w:val="00FD0648"/>
    <w:rsid w:val="00FD06D1"/>
    <w:rsid w:val="00FD0719"/>
    <w:rsid w:val="00FD0A26"/>
    <w:rsid w:val="00FD0A4F"/>
    <w:rsid w:val="00FD0B9A"/>
    <w:rsid w:val="00FD12D5"/>
    <w:rsid w:val="00FD1AAF"/>
    <w:rsid w:val="00FD1E4D"/>
    <w:rsid w:val="00FD20D6"/>
    <w:rsid w:val="00FD23EF"/>
    <w:rsid w:val="00FD24FE"/>
    <w:rsid w:val="00FD29E4"/>
    <w:rsid w:val="00FD2A10"/>
    <w:rsid w:val="00FD2A22"/>
    <w:rsid w:val="00FD30E9"/>
    <w:rsid w:val="00FD3178"/>
    <w:rsid w:val="00FD3426"/>
    <w:rsid w:val="00FD34B4"/>
    <w:rsid w:val="00FD3548"/>
    <w:rsid w:val="00FD37CD"/>
    <w:rsid w:val="00FD3B7C"/>
    <w:rsid w:val="00FD3E0B"/>
    <w:rsid w:val="00FD406A"/>
    <w:rsid w:val="00FD4722"/>
    <w:rsid w:val="00FD51C4"/>
    <w:rsid w:val="00FD5287"/>
    <w:rsid w:val="00FD542E"/>
    <w:rsid w:val="00FD584C"/>
    <w:rsid w:val="00FD5D94"/>
    <w:rsid w:val="00FD5E9B"/>
    <w:rsid w:val="00FD63AE"/>
    <w:rsid w:val="00FD6630"/>
    <w:rsid w:val="00FD687B"/>
    <w:rsid w:val="00FD6D0F"/>
    <w:rsid w:val="00FD7338"/>
    <w:rsid w:val="00FE02A8"/>
    <w:rsid w:val="00FE03A8"/>
    <w:rsid w:val="00FE08C3"/>
    <w:rsid w:val="00FE128B"/>
    <w:rsid w:val="00FE1694"/>
    <w:rsid w:val="00FE18DD"/>
    <w:rsid w:val="00FE1917"/>
    <w:rsid w:val="00FE1D00"/>
    <w:rsid w:val="00FE1DBB"/>
    <w:rsid w:val="00FE26B5"/>
    <w:rsid w:val="00FE2FDF"/>
    <w:rsid w:val="00FE3902"/>
    <w:rsid w:val="00FE3E97"/>
    <w:rsid w:val="00FE4072"/>
    <w:rsid w:val="00FE41D6"/>
    <w:rsid w:val="00FE4DD8"/>
    <w:rsid w:val="00FE4EDD"/>
    <w:rsid w:val="00FE5035"/>
    <w:rsid w:val="00FE53A2"/>
    <w:rsid w:val="00FE54D0"/>
    <w:rsid w:val="00FE55EA"/>
    <w:rsid w:val="00FE5C87"/>
    <w:rsid w:val="00FE5F0A"/>
    <w:rsid w:val="00FE5F87"/>
    <w:rsid w:val="00FE640C"/>
    <w:rsid w:val="00FE6798"/>
    <w:rsid w:val="00FE6B89"/>
    <w:rsid w:val="00FE6CE1"/>
    <w:rsid w:val="00FE6E5A"/>
    <w:rsid w:val="00FE751B"/>
    <w:rsid w:val="00FE77B8"/>
    <w:rsid w:val="00FE79D5"/>
    <w:rsid w:val="00FE7CF0"/>
    <w:rsid w:val="00FE7EB3"/>
    <w:rsid w:val="00FE7EC2"/>
    <w:rsid w:val="00FF07C3"/>
    <w:rsid w:val="00FF116B"/>
    <w:rsid w:val="00FF1FB7"/>
    <w:rsid w:val="00FF2243"/>
    <w:rsid w:val="00FF251E"/>
    <w:rsid w:val="00FF2706"/>
    <w:rsid w:val="00FF2D6D"/>
    <w:rsid w:val="00FF2E3D"/>
    <w:rsid w:val="00FF3537"/>
    <w:rsid w:val="00FF3734"/>
    <w:rsid w:val="00FF3BA8"/>
    <w:rsid w:val="00FF400F"/>
    <w:rsid w:val="00FF434E"/>
    <w:rsid w:val="00FF44A5"/>
    <w:rsid w:val="00FF4640"/>
    <w:rsid w:val="00FF4895"/>
    <w:rsid w:val="00FF5154"/>
    <w:rsid w:val="00FF5506"/>
    <w:rsid w:val="00FF5686"/>
    <w:rsid w:val="00FF5E7C"/>
    <w:rsid w:val="00FF5EBD"/>
    <w:rsid w:val="00FF610E"/>
    <w:rsid w:val="00FF6515"/>
    <w:rsid w:val="00FF6921"/>
    <w:rsid w:val="00FF6C9B"/>
    <w:rsid w:val="00FF745A"/>
    <w:rsid w:val="00FF75A8"/>
    <w:rsid w:val="00FF7B91"/>
    <w:rsid w:val="01E11C3A"/>
    <w:rsid w:val="02243951"/>
    <w:rsid w:val="02BB2E31"/>
    <w:rsid w:val="02C67B7D"/>
    <w:rsid w:val="032558AB"/>
    <w:rsid w:val="03F36308"/>
    <w:rsid w:val="04C36291"/>
    <w:rsid w:val="059E36F3"/>
    <w:rsid w:val="067D77AC"/>
    <w:rsid w:val="06930D7E"/>
    <w:rsid w:val="07456ED5"/>
    <w:rsid w:val="08345FF5"/>
    <w:rsid w:val="083A51B0"/>
    <w:rsid w:val="08A77585"/>
    <w:rsid w:val="09A1314D"/>
    <w:rsid w:val="09FB7366"/>
    <w:rsid w:val="0A04221C"/>
    <w:rsid w:val="0A3A3F77"/>
    <w:rsid w:val="0A560D2F"/>
    <w:rsid w:val="0A571E72"/>
    <w:rsid w:val="0AB363EF"/>
    <w:rsid w:val="0B867103"/>
    <w:rsid w:val="0B875353"/>
    <w:rsid w:val="0BA56A04"/>
    <w:rsid w:val="0BC1638D"/>
    <w:rsid w:val="0D6D128A"/>
    <w:rsid w:val="0DC43991"/>
    <w:rsid w:val="0FBD6FC9"/>
    <w:rsid w:val="100729BD"/>
    <w:rsid w:val="10192EC5"/>
    <w:rsid w:val="10B1077E"/>
    <w:rsid w:val="12777691"/>
    <w:rsid w:val="127E6D86"/>
    <w:rsid w:val="13FA2F85"/>
    <w:rsid w:val="14162529"/>
    <w:rsid w:val="145E0C1D"/>
    <w:rsid w:val="14995C41"/>
    <w:rsid w:val="14BE346A"/>
    <w:rsid w:val="14C33176"/>
    <w:rsid w:val="151C5656"/>
    <w:rsid w:val="152359C3"/>
    <w:rsid w:val="15916DD0"/>
    <w:rsid w:val="15EF1193"/>
    <w:rsid w:val="16445BF1"/>
    <w:rsid w:val="165322D8"/>
    <w:rsid w:val="16545A4F"/>
    <w:rsid w:val="170C344F"/>
    <w:rsid w:val="178070FD"/>
    <w:rsid w:val="17F11DA8"/>
    <w:rsid w:val="19B01D21"/>
    <w:rsid w:val="1A5477D9"/>
    <w:rsid w:val="1AE968D2"/>
    <w:rsid w:val="1B2014BF"/>
    <w:rsid w:val="1BB13FD0"/>
    <w:rsid w:val="1C811B0F"/>
    <w:rsid w:val="1CA522C0"/>
    <w:rsid w:val="1CDB1E2E"/>
    <w:rsid w:val="1D7D1214"/>
    <w:rsid w:val="1D8D218F"/>
    <w:rsid w:val="1DCC5F20"/>
    <w:rsid w:val="1F43141F"/>
    <w:rsid w:val="20244E58"/>
    <w:rsid w:val="20D342AA"/>
    <w:rsid w:val="22B831B5"/>
    <w:rsid w:val="237920D6"/>
    <w:rsid w:val="24600885"/>
    <w:rsid w:val="24730DB4"/>
    <w:rsid w:val="24774765"/>
    <w:rsid w:val="24786F1A"/>
    <w:rsid w:val="25E825DB"/>
    <w:rsid w:val="27E47234"/>
    <w:rsid w:val="28013942"/>
    <w:rsid w:val="28A30E9D"/>
    <w:rsid w:val="28D64DCE"/>
    <w:rsid w:val="290B77F3"/>
    <w:rsid w:val="291458F7"/>
    <w:rsid w:val="291A4434"/>
    <w:rsid w:val="291A7D1A"/>
    <w:rsid w:val="29DD3332"/>
    <w:rsid w:val="2A0D657B"/>
    <w:rsid w:val="2A5A37DD"/>
    <w:rsid w:val="2B1517CD"/>
    <w:rsid w:val="2B276439"/>
    <w:rsid w:val="2B6F18D5"/>
    <w:rsid w:val="2BBE5228"/>
    <w:rsid w:val="2BDD7930"/>
    <w:rsid w:val="2BF51305"/>
    <w:rsid w:val="2BFF5D1B"/>
    <w:rsid w:val="2CFE2B46"/>
    <w:rsid w:val="2D7D3FBE"/>
    <w:rsid w:val="2E3436CC"/>
    <w:rsid w:val="2E3C7AF8"/>
    <w:rsid w:val="2E516A26"/>
    <w:rsid w:val="2ECD4F05"/>
    <w:rsid w:val="2EE97857"/>
    <w:rsid w:val="2EFD03CC"/>
    <w:rsid w:val="2F2A6C72"/>
    <w:rsid w:val="302A5A00"/>
    <w:rsid w:val="30C27F73"/>
    <w:rsid w:val="30C31F80"/>
    <w:rsid w:val="30CF0188"/>
    <w:rsid w:val="315417A8"/>
    <w:rsid w:val="31692CF6"/>
    <w:rsid w:val="3183186B"/>
    <w:rsid w:val="32340DB8"/>
    <w:rsid w:val="32D81743"/>
    <w:rsid w:val="33982716"/>
    <w:rsid w:val="349C48BF"/>
    <w:rsid w:val="350A761F"/>
    <w:rsid w:val="353F1F4D"/>
    <w:rsid w:val="35EC6E10"/>
    <w:rsid w:val="361051BB"/>
    <w:rsid w:val="36F23DEC"/>
    <w:rsid w:val="379E46E5"/>
    <w:rsid w:val="37FA617F"/>
    <w:rsid w:val="38A30A45"/>
    <w:rsid w:val="392C4AB5"/>
    <w:rsid w:val="39CC42E8"/>
    <w:rsid w:val="3A337E96"/>
    <w:rsid w:val="3B042080"/>
    <w:rsid w:val="3B1F2605"/>
    <w:rsid w:val="3B331C0C"/>
    <w:rsid w:val="3B6A39B8"/>
    <w:rsid w:val="3C5207B8"/>
    <w:rsid w:val="3C6F3118"/>
    <w:rsid w:val="3C8367E4"/>
    <w:rsid w:val="3D2D7451"/>
    <w:rsid w:val="3DCB1735"/>
    <w:rsid w:val="3E2E677D"/>
    <w:rsid w:val="3EAD487E"/>
    <w:rsid w:val="3F567F50"/>
    <w:rsid w:val="401B184F"/>
    <w:rsid w:val="40A6476D"/>
    <w:rsid w:val="40C15F0C"/>
    <w:rsid w:val="41036525"/>
    <w:rsid w:val="41200C5E"/>
    <w:rsid w:val="424879BD"/>
    <w:rsid w:val="42512046"/>
    <w:rsid w:val="427261A5"/>
    <w:rsid w:val="42B43694"/>
    <w:rsid w:val="435B61A4"/>
    <w:rsid w:val="43EF4B3E"/>
    <w:rsid w:val="45632313"/>
    <w:rsid w:val="45DE5BB4"/>
    <w:rsid w:val="4629258A"/>
    <w:rsid w:val="465143D8"/>
    <w:rsid w:val="466940EE"/>
    <w:rsid w:val="467D28D5"/>
    <w:rsid w:val="46F52E39"/>
    <w:rsid w:val="47846478"/>
    <w:rsid w:val="47947ED7"/>
    <w:rsid w:val="47BE388F"/>
    <w:rsid w:val="482F688A"/>
    <w:rsid w:val="48D35B97"/>
    <w:rsid w:val="49227764"/>
    <w:rsid w:val="49380D36"/>
    <w:rsid w:val="496F6480"/>
    <w:rsid w:val="49E705D6"/>
    <w:rsid w:val="49F7474D"/>
    <w:rsid w:val="4A3B0ADD"/>
    <w:rsid w:val="4A7C1F5E"/>
    <w:rsid w:val="4AF54CB9"/>
    <w:rsid w:val="4B4E06F9"/>
    <w:rsid w:val="4B687F5B"/>
    <w:rsid w:val="4CD34FFD"/>
    <w:rsid w:val="4D23359C"/>
    <w:rsid w:val="4D8E03AE"/>
    <w:rsid w:val="4DBB394A"/>
    <w:rsid w:val="4DEA6AA2"/>
    <w:rsid w:val="4E8938D8"/>
    <w:rsid w:val="50311835"/>
    <w:rsid w:val="51C85281"/>
    <w:rsid w:val="522C72C3"/>
    <w:rsid w:val="522D01E0"/>
    <w:rsid w:val="528E426D"/>
    <w:rsid w:val="531401FE"/>
    <w:rsid w:val="539B25ED"/>
    <w:rsid w:val="53BC2C8F"/>
    <w:rsid w:val="54112C0C"/>
    <w:rsid w:val="54285EBF"/>
    <w:rsid w:val="54B90739"/>
    <w:rsid w:val="54C76671"/>
    <w:rsid w:val="550270C7"/>
    <w:rsid w:val="560E03C2"/>
    <w:rsid w:val="570003CC"/>
    <w:rsid w:val="58BD5BDC"/>
    <w:rsid w:val="59A70BCF"/>
    <w:rsid w:val="5A3265A1"/>
    <w:rsid w:val="5A3D3D89"/>
    <w:rsid w:val="5B4F58A4"/>
    <w:rsid w:val="5BE96A18"/>
    <w:rsid w:val="5CE458CA"/>
    <w:rsid w:val="5CEE7E81"/>
    <w:rsid w:val="5D752101"/>
    <w:rsid w:val="5DDD54D0"/>
    <w:rsid w:val="5E3C1C92"/>
    <w:rsid w:val="5F132D32"/>
    <w:rsid w:val="5FFB68ED"/>
    <w:rsid w:val="607D4933"/>
    <w:rsid w:val="60A0417B"/>
    <w:rsid w:val="60E60B56"/>
    <w:rsid w:val="612D1C31"/>
    <w:rsid w:val="6166248C"/>
    <w:rsid w:val="61D92C5E"/>
    <w:rsid w:val="636D06F5"/>
    <w:rsid w:val="63790315"/>
    <w:rsid w:val="63A848C4"/>
    <w:rsid w:val="641F4158"/>
    <w:rsid w:val="6437144D"/>
    <w:rsid w:val="646B26B9"/>
    <w:rsid w:val="64A60B9F"/>
    <w:rsid w:val="64A97E58"/>
    <w:rsid w:val="65470D3C"/>
    <w:rsid w:val="658832E0"/>
    <w:rsid w:val="65EC10C6"/>
    <w:rsid w:val="65F91B21"/>
    <w:rsid w:val="66213C5D"/>
    <w:rsid w:val="66AC6F67"/>
    <w:rsid w:val="66B655CD"/>
    <w:rsid w:val="67944AE4"/>
    <w:rsid w:val="67A11B51"/>
    <w:rsid w:val="67CB3038"/>
    <w:rsid w:val="68232E85"/>
    <w:rsid w:val="682A79D5"/>
    <w:rsid w:val="683D1CDF"/>
    <w:rsid w:val="692C3B2F"/>
    <w:rsid w:val="696F474E"/>
    <w:rsid w:val="699B4C9D"/>
    <w:rsid w:val="6A0665BA"/>
    <w:rsid w:val="6A0D45D1"/>
    <w:rsid w:val="6A5E68E0"/>
    <w:rsid w:val="6A8E62F4"/>
    <w:rsid w:val="6AE723D6"/>
    <w:rsid w:val="6AF458A9"/>
    <w:rsid w:val="6B1031B7"/>
    <w:rsid w:val="6BAE7BA3"/>
    <w:rsid w:val="6C3D64DF"/>
    <w:rsid w:val="6C676C46"/>
    <w:rsid w:val="6CE46DB3"/>
    <w:rsid w:val="6D360FD1"/>
    <w:rsid w:val="6D6A5AEC"/>
    <w:rsid w:val="6E213A2A"/>
    <w:rsid w:val="6E24061B"/>
    <w:rsid w:val="6E9F158A"/>
    <w:rsid w:val="6EEC6AC2"/>
    <w:rsid w:val="6F241583"/>
    <w:rsid w:val="6F8C7562"/>
    <w:rsid w:val="6F97125C"/>
    <w:rsid w:val="7046527E"/>
    <w:rsid w:val="70553DF8"/>
    <w:rsid w:val="706A53C9"/>
    <w:rsid w:val="706E6C67"/>
    <w:rsid w:val="70825BF9"/>
    <w:rsid w:val="70E705BA"/>
    <w:rsid w:val="70F745F5"/>
    <w:rsid w:val="712F289B"/>
    <w:rsid w:val="71EC253A"/>
    <w:rsid w:val="721C4A9F"/>
    <w:rsid w:val="73595954"/>
    <w:rsid w:val="740551C4"/>
    <w:rsid w:val="740F250F"/>
    <w:rsid w:val="743369B7"/>
    <w:rsid w:val="744C3F3F"/>
    <w:rsid w:val="74F0120D"/>
    <w:rsid w:val="74F3461E"/>
    <w:rsid w:val="754E01BC"/>
    <w:rsid w:val="75F20A95"/>
    <w:rsid w:val="769F1702"/>
    <w:rsid w:val="76B92C06"/>
    <w:rsid w:val="76BD3590"/>
    <w:rsid w:val="76F61765"/>
    <w:rsid w:val="784441FF"/>
    <w:rsid w:val="78C30E55"/>
    <w:rsid w:val="79224DC2"/>
    <w:rsid w:val="79843D42"/>
    <w:rsid w:val="79C66DEF"/>
    <w:rsid w:val="79CB1296"/>
    <w:rsid w:val="79DF4732"/>
    <w:rsid w:val="7A00361B"/>
    <w:rsid w:val="7A0667FB"/>
    <w:rsid w:val="7B036E36"/>
    <w:rsid w:val="7B1D1075"/>
    <w:rsid w:val="7BC42557"/>
    <w:rsid w:val="7DDF11A4"/>
    <w:rsid w:val="7DE03890"/>
    <w:rsid w:val="7DE525EE"/>
    <w:rsid w:val="7E1F5A45"/>
    <w:rsid w:val="7E706900"/>
    <w:rsid w:val="7E8D30E5"/>
    <w:rsid w:val="7F0030C0"/>
    <w:rsid w:val="7F1A7B5A"/>
    <w:rsid w:val="7F272E03"/>
    <w:rsid w:val="7F9D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link w:val="49"/>
    <w:qFormat/>
    <w:uiPriority w:val="0"/>
    <w:pPr>
      <w:keepNext/>
      <w:keepLines/>
      <w:spacing w:before="120" w:beforeLines="50" w:after="120" w:afterLines="50"/>
      <w:ind w:left="864" w:hanging="864"/>
      <w:jc w:val="left"/>
      <w:outlineLvl w:val="3"/>
    </w:pPr>
    <w:rPr>
      <w:rFonts w:ascii="黑体" w:hAnsi="黑体" w:eastAsia="黑体"/>
      <w:b/>
      <w:bCs/>
      <w:sz w:val="24"/>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qFormat/>
    <w:uiPriority w:val="0"/>
    <w:pPr>
      <w:keepNext/>
      <w:keepLines/>
      <w:numPr>
        <w:ilvl w:val="8"/>
        <w:numId w:val="1"/>
      </w:numPr>
      <w:spacing w:before="240" w:after="64" w:line="320" w:lineRule="auto"/>
      <w:outlineLvl w:val="8"/>
    </w:pPr>
    <w:rPr>
      <w:rFonts w:ascii="Arial" w:hAnsi="Arial" w:eastAsia="黑体"/>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index 8"/>
    <w:basedOn w:val="1"/>
    <w:next w:val="1"/>
    <w:qFormat/>
    <w:uiPriority w:val="0"/>
    <w:pPr>
      <w:ind w:left="2940"/>
    </w:pPr>
  </w:style>
  <w:style w:type="paragraph" w:styleId="13">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semiHidden/>
    <w:qFormat/>
    <w:uiPriority w:val="0"/>
    <w:pPr>
      <w:shd w:val="clear" w:color="auto" w:fill="000080"/>
    </w:pPr>
  </w:style>
  <w:style w:type="paragraph" w:styleId="16">
    <w:name w:val="annotation text"/>
    <w:basedOn w:val="1"/>
    <w:qFormat/>
    <w:uiPriority w:val="0"/>
    <w:pPr>
      <w:jc w:val="left"/>
    </w:pPr>
  </w:style>
  <w:style w:type="paragraph" w:styleId="17">
    <w:name w:val="Body Text 3"/>
    <w:basedOn w:val="1"/>
    <w:qFormat/>
    <w:uiPriority w:val="0"/>
    <w:pPr>
      <w:spacing w:line="500" w:lineRule="exact"/>
    </w:pPr>
    <w:rPr>
      <w:b/>
      <w:bCs/>
      <w:sz w:val="24"/>
    </w:rPr>
  </w:style>
  <w:style w:type="paragraph" w:styleId="18">
    <w:name w:val="Body Text"/>
    <w:basedOn w:val="1"/>
    <w:next w:val="1"/>
    <w:link w:val="51"/>
    <w:qFormat/>
    <w:uiPriority w:val="0"/>
    <w:pPr>
      <w:spacing w:line="380" w:lineRule="exact"/>
    </w:pPr>
    <w:rPr>
      <w:sz w:val="24"/>
    </w:rPr>
  </w:style>
  <w:style w:type="paragraph" w:styleId="19">
    <w:name w:val="Body Text Indent"/>
    <w:basedOn w:val="1"/>
    <w:link w:val="52"/>
    <w:qFormat/>
    <w:uiPriority w:val="0"/>
    <w:pPr>
      <w:ind w:firstLine="830" w:firstLineChars="352"/>
    </w:pPr>
    <w:rPr>
      <w:rFonts w:ascii="仿宋_GB2312" w:eastAsia="仿宋_GB2312"/>
      <w:sz w:val="32"/>
      <w:szCs w:val="20"/>
    </w:rPr>
  </w:style>
  <w:style w:type="paragraph" w:styleId="20">
    <w:name w:val="List Number 3"/>
    <w:basedOn w:val="1"/>
    <w:qFormat/>
    <w:uiPriority w:val="0"/>
    <w:pPr>
      <w:numPr>
        <w:ilvl w:val="0"/>
        <w:numId w:val="1"/>
      </w:numPr>
      <w:tabs>
        <w:tab w:val="left" w:pos="1200"/>
        <w:tab w:val="clear" w:pos="360"/>
      </w:tabs>
    </w:pPr>
  </w:style>
  <w:style w:type="paragraph" w:styleId="21">
    <w:name w:val="List 2"/>
    <w:basedOn w:val="1"/>
    <w:qFormat/>
    <w:uiPriority w:val="0"/>
    <w:pPr>
      <w:ind w:left="100" w:leftChars="200" w:hanging="200" w:hangingChars="200"/>
    </w:pPr>
    <w:rPr>
      <w:sz w:val="28"/>
    </w:rPr>
  </w:style>
  <w:style w:type="paragraph" w:styleId="22">
    <w:name w:val="List Bullet 2"/>
    <w:basedOn w:val="1"/>
    <w:next w:val="23"/>
    <w:qFormat/>
    <w:uiPriority w:val="0"/>
    <w:pPr>
      <w:numPr>
        <w:ilvl w:val="0"/>
        <w:numId w:val="2"/>
      </w:numPr>
    </w:pPr>
  </w:style>
  <w:style w:type="paragraph" w:customStyle="1" w:styleId="23">
    <w:name w:val="正文1"/>
    <w:basedOn w:val="24"/>
    <w:next w:val="19"/>
    <w:qFormat/>
    <w:uiPriority w:val="0"/>
    <w:pPr>
      <w:tabs>
        <w:tab w:val="right" w:leader="dot" w:pos="8268"/>
      </w:tabs>
      <w:ind w:left="0" w:leftChars="0" w:firstLine="480" w:firstLineChars="200"/>
    </w:pPr>
    <w:rPr>
      <w:rFonts w:ascii="仿宋_GB2312" w:hAnsi="Courier New" w:eastAsia="仿宋_GB2312"/>
      <w:kern w:val="28"/>
      <w:sz w:val="24"/>
    </w:rPr>
  </w:style>
  <w:style w:type="paragraph" w:styleId="24">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25">
    <w:name w:val="Plain Text"/>
    <w:basedOn w:val="1"/>
    <w:link w:val="53"/>
    <w:qFormat/>
    <w:uiPriority w:val="0"/>
    <w:rPr>
      <w:rFonts w:ascii="宋体" w:hAnsi="Courier New" w:cs="Courier New"/>
      <w:szCs w:val="21"/>
    </w:rPr>
  </w:style>
  <w:style w:type="paragraph" w:styleId="26">
    <w:name w:val="Date"/>
    <w:basedOn w:val="1"/>
    <w:next w:val="1"/>
    <w:qFormat/>
    <w:uiPriority w:val="0"/>
    <w:pPr>
      <w:ind w:left="100" w:leftChars="2500"/>
    </w:pPr>
    <w:rPr>
      <w:rFonts w:ascii="宋体" w:hAnsi="Courier New" w:cs="Courier New"/>
      <w:szCs w:val="21"/>
    </w:rPr>
  </w:style>
  <w:style w:type="paragraph" w:styleId="27">
    <w:name w:val="Body Text Indent 2"/>
    <w:basedOn w:val="1"/>
    <w:link w:val="54"/>
    <w:qFormat/>
    <w:uiPriority w:val="0"/>
    <w:pPr>
      <w:ind w:firstLine="630"/>
    </w:pPr>
    <w:rPr>
      <w:sz w:val="32"/>
      <w:szCs w:val="20"/>
    </w:rPr>
  </w:style>
  <w:style w:type="paragraph" w:styleId="28">
    <w:name w:val="Balloon Text"/>
    <w:basedOn w:val="1"/>
    <w:semiHidden/>
    <w:qFormat/>
    <w:uiPriority w:val="0"/>
    <w:rPr>
      <w:sz w:val="18"/>
      <w:szCs w:val="18"/>
    </w:rPr>
  </w:style>
  <w:style w:type="paragraph" w:styleId="29">
    <w:name w:val="footer"/>
    <w:basedOn w:val="1"/>
    <w:link w:val="55"/>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List"/>
    <w:basedOn w:val="1"/>
    <w:qFormat/>
    <w:uiPriority w:val="0"/>
    <w:pPr>
      <w:ind w:left="200" w:hanging="200" w:hangingChars="200"/>
    </w:pPr>
    <w:rPr>
      <w:sz w:val="28"/>
    </w:rPr>
  </w:style>
  <w:style w:type="paragraph" w:styleId="33">
    <w:name w:val="Body Text Indent 3"/>
    <w:basedOn w:val="1"/>
    <w:qFormat/>
    <w:uiPriority w:val="0"/>
    <w:pPr>
      <w:spacing w:after="120"/>
      <w:ind w:left="420" w:leftChars="200"/>
    </w:pPr>
    <w:rPr>
      <w:sz w:val="16"/>
      <w:szCs w:val="16"/>
    </w:rPr>
  </w:style>
  <w:style w:type="paragraph" w:styleId="34">
    <w:name w:val="toc 2"/>
    <w:basedOn w:val="1"/>
    <w:next w:val="1"/>
    <w:qFormat/>
    <w:uiPriority w:val="39"/>
    <w:pPr>
      <w:tabs>
        <w:tab w:val="right" w:leader="dot" w:pos="9360"/>
      </w:tabs>
      <w:ind w:left="420" w:leftChars="200"/>
    </w:pPr>
  </w:style>
  <w:style w:type="paragraph" w:styleId="35">
    <w:name w:val="Body Text 2"/>
    <w:basedOn w:val="1"/>
    <w:qFormat/>
    <w:uiPriority w:val="0"/>
    <w:pPr>
      <w:spacing w:after="120" w:line="480" w:lineRule="auto"/>
    </w:pPr>
  </w:style>
  <w:style w:type="paragraph" w:styleId="36">
    <w:name w:val="Normal (Web)"/>
    <w:basedOn w:val="1"/>
    <w:qFormat/>
    <w:uiPriority w:val="0"/>
    <w:pPr>
      <w:widowControl/>
      <w:spacing w:before="100" w:beforeAutospacing="1" w:after="100" w:afterAutospacing="1"/>
      <w:jc w:val="left"/>
    </w:pPr>
    <w:rPr>
      <w:rFonts w:ascii="宋体" w:hAnsi="宋体"/>
      <w:kern w:val="0"/>
      <w:sz w:val="24"/>
    </w:rPr>
  </w:style>
  <w:style w:type="paragraph" w:styleId="37">
    <w:name w:val="index 1"/>
    <w:basedOn w:val="1"/>
    <w:next w:val="1"/>
    <w:semiHidden/>
    <w:qFormat/>
    <w:uiPriority w:val="0"/>
    <w:pPr>
      <w:spacing w:line="400" w:lineRule="exact"/>
      <w:ind w:firstLine="420" w:firstLineChars="200"/>
    </w:pPr>
    <w:rPr>
      <w:rFonts w:ascii="宋体" w:hAnsi="Courier New"/>
      <w:b/>
      <w:szCs w:val="20"/>
    </w:rPr>
  </w:style>
  <w:style w:type="paragraph" w:styleId="38">
    <w:name w:val="Body Text First Indent"/>
    <w:basedOn w:val="18"/>
    <w:link w:val="56"/>
    <w:qFormat/>
    <w:uiPriority w:val="0"/>
    <w:pPr>
      <w:spacing w:after="120" w:line="240" w:lineRule="auto"/>
      <w:ind w:firstLine="420" w:firstLineChars="100"/>
    </w:pPr>
    <w:rPr>
      <w:sz w:val="21"/>
    </w:rPr>
  </w:style>
  <w:style w:type="paragraph" w:styleId="39">
    <w:name w:val="Body Text First Indent 2"/>
    <w:basedOn w:val="19"/>
    <w:link w:val="57"/>
    <w:qFormat/>
    <w:uiPriority w:val="0"/>
    <w:pPr>
      <w:spacing w:after="120"/>
      <w:ind w:left="420" w:leftChars="200" w:firstLine="420" w:firstLineChars="200"/>
    </w:pPr>
    <w:rPr>
      <w:sz w:val="21"/>
      <w:szCs w:val="24"/>
    </w:rPr>
  </w:style>
  <w:style w:type="table" w:styleId="41">
    <w:name w:val="Table Grid"/>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b/>
      <w:bCs/>
    </w:rPr>
  </w:style>
  <w:style w:type="character" w:styleId="44">
    <w:name w:val="page number"/>
    <w:qFormat/>
    <w:uiPriority w:val="0"/>
  </w:style>
  <w:style w:type="character" w:styleId="45">
    <w:name w:val="Hyperlink"/>
    <w:qFormat/>
    <w:uiPriority w:val="99"/>
    <w:rPr>
      <w:color w:val="0000FF"/>
      <w:u w:val="single"/>
    </w:rPr>
  </w:style>
  <w:style w:type="character" w:customStyle="1" w:styleId="46">
    <w:name w:val="标题 1 Char"/>
    <w:link w:val="2"/>
    <w:qFormat/>
    <w:uiPriority w:val="0"/>
    <w:rPr>
      <w:rFonts w:eastAsia="宋体"/>
      <w:b/>
      <w:bCs/>
      <w:kern w:val="44"/>
      <w:sz w:val="44"/>
      <w:szCs w:val="44"/>
      <w:lang w:val="en-US" w:eastAsia="zh-CN" w:bidi="ar-SA"/>
    </w:rPr>
  </w:style>
  <w:style w:type="character" w:customStyle="1" w:styleId="47">
    <w:name w:val="标题 2 Char"/>
    <w:link w:val="3"/>
    <w:qFormat/>
    <w:uiPriority w:val="9"/>
    <w:rPr>
      <w:rFonts w:ascii="Arial" w:hAnsi="Arial" w:eastAsia="黑体"/>
      <w:b/>
      <w:bCs/>
      <w:kern w:val="2"/>
      <w:sz w:val="32"/>
      <w:szCs w:val="32"/>
    </w:rPr>
  </w:style>
  <w:style w:type="character" w:customStyle="1" w:styleId="48">
    <w:name w:val="标题 3 Char"/>
    <w:link w:val="4"/>
    <w:qFormat/>
    <w:uiPriority w:val="0"/>
    <w:rPr>
      <w:rFonts w:ascii="Calibri" w:hAnsi="Calibri" w:eastAsia="宋体"/>
      <w:b/>
      <w:bCs/>
      <w:kern w:val="2"/>
      <w:sz w:val="32"/>
      <w:szCs w:val="32"/>
      <w:lang w:val="en-US" w:eastAsia="zh-CN" w:bidi="ar-SA"/>
    </w:rPr>
  </w:style>
  <w:style w:type="character" w:customStyle="1" w:styleId="49">
    <w:name w:val="标题 4 Char"/>
    <w:link w:val="5"/>
    <w:qFormat/>
    <w:uiPriority w:val="0"/>
    <w:rPr>
      <w:rFonts w:ascii="黑体" w:hAnsi="黑体" w:eastAsia="黑体"/>
      <w:b/>
      <w:bCs/>
      <w:kern w:val="2"/>
      <w:sz w:val="24"/>
      <w:szCs w:val="24"/>
    </w:rPr>
  </w:style>
  <w:style w:type="character" w:customStyle="1" w:styleId="50">
    <w:name w:val="正文缩进 Char"/>
    <w:link w:val="7"/>
    <w:qFormat/>
    <w:locked/>
    <w:uiPriority w:val="0"/>
    <w:rPr>
      <w:kern w:val="2"/>
      <w:sz w:val="21"/>
    </w:rPr>
  </w:style>
  <w:style w:type="character" w:customStyle="1" w:styleId="51">
    <w:name w:val="正文文本 Char"/>
    <w:link w:val="18"/>
    <w:qFormat/>
    <w:uiPriority w:val="0"/>
    <w:rPr>
      <w:kern w:val="2"/>
      <w:sz w:val="24"/>
      <w:szCs w:val="24"/>
    </w:rPr>
  </w:style>
  <w:style w:type="character" w:customStyle="1" w:styleId="52">
    <w:name w:val="正文文本缩进 Char"/>
    <w:link w:val="19"/>
    <w:qFormat/>
    <w:uiPriority w:val="0"/>
    <w:rPr>
      <w:rFonts w:ascii="仿宋_GB2312" w:eastAsia="仿宋_GB2312"/>
      <w:kern w:val="2"/>
      <w:sz w:val="32"/>
    </w:rPr>
  </w:style>
  <w:style w:type="character" w:customStyle="1" w:styleId="53">
    <w:name w:val="纯文本 Char"/>
    <w:link w:val="25"/>
    <w:qFormat/>
    <w:uiPriority w:val="0"/>
    <w:rPr>
      <w:rFonts w:ascii="宋体" w:hAnsi="Courier New" w:eastAsia="宋体" w:cs="Courier New"/>
      <w:kern w:val="2"/>
      <w:sz w:val="21"/>
      <w:szCs w:val="21"/>
      <w:lang w:val="en-US" w:eastAsia="zh-CN" w:bidi="ar-SA"/>
    </w:rPr>
  </w:style>
  <w:style w:type="character" w:customStyle="1" w:styleId="54">
    <w:name w:val="正文文本缩进 2 Char"/>
    <w:link w:val="27"/>
    <w:qFormat/>
    <w:uiPriority w:val="0"/>
    <w:rPr>
      <w:kern w:val="2"/>
      <w:sz w:val="32"/>
    </w:rPr>
  </w:style>
  <w:style w:type="character" w:customStyle="1" w:styleId="55">
    <w:name w:val="页脚 Char"/>
    <w:link w:val="29"/>
    <w:qFormat/>
    <w:uiPriority w:val="0"/>
    <w:rPr>
      <w:kern w:val="2"/>
      <w:sz w:val="18"/>
      <w:szCs w:val="18"/>
    </w:rPr>
  </w:style>
  <w:style w:type="character" w:customStyle="1" w:styleId="56">
    <w:name w:val="正文首行缩进 Char"/>
    <w:link w:val="38"/>
    <w:qFormat/>
    <w:uiPriority w:val="0"/>
    <w:rPr>
      <w:kern w:val="2"/>
      <w:sz w:val="21"/>
      <w:szCs w:val="24"/>
    </w:rPr>
  </w:style>
  <w:style w:type="character" w:customStyle="1" w:styleId="57">
    <w:name w:val="正文首行缩进 2 Char"/>
    <w:link w:val="39"/>
    <w:qFormat/>
    <w:uiPriority w:val="0"/>
    <w:rPr>
      <w:rFonts w:ascii="仿宋_GB2312" w:eastAsia="仿宋_GB2312"/>
      <w:kern w:val="2"/>
      <w:sz w:val="21"/>
      <w:szCs w:val="24"/>
    </w:rPr>
  </w:style>
  <w:style w:type="character" w:customStyle="1" w:styleId="58">
    <w:name w:val="font21"/>
    <w:qFormat/>
    <w:uiPriority w:val="0"/>
    <w:rPr>
      <w:rFonts w:hint="default" w:ascii="仿宋_GB2312" w:eastAsia="仿宋_GB2312" w:cs="仿宋_GB2312"/>
      <w:b/>
      <w:color w:val="000000"/>
      <w:sz w:val="24"/>
      <w:szCs w:val="24"/>
      <w:u w:val="none"/>
    </w:rPr>
  </w:style>
  <w:style w:type="character" w:customStyle="1" w:styleId="59">
    <w:name w:val="纯文本 Char1"/>
    <w:qFormat/>
    <w:uiPriority w:val="0"/>
    <w:rPr>
      <w:rFonts w:ascii="宋体" w:hAnsi="Courier New" w:eastAsia="宋体" w:cs="Courier New"/>
      <w:szCs w:val="21"/>
    </w:rPr>
  </w:style>
  <w:style w:type="character" w:customStyle="1" w:styleId="60">
    <w:name w:val="param-name param-explain"/>
    <w:qFormat/>
    <w:uiPriority w:val="0"/>
  </w:style>
  <w:style w:type="character" w:customStyle="1" w:styleId="61">
    <w:name w:val="1ji Char"/>
    <w:link w:val="62"/>
    <w:qFormat/>
    <w:uiPriority w:val="0"/>
    <w:rPr>
      <w:rFonts w:ascii="宋体" w:hAnsi="宋体" w:eastAsia="宋体"/>
      <w:b/>
      <w:bCs/>
      <w:kern w:val="44"/>
      <w:sz w:val="36"/>
      <w:szCs w:val="44"/>
      <w:lang w:val="en-US" w:eastAsia="zh-CN" w:bidi="ar-SA"/>
    </w:rPr>
  </w:style>
  <w:style w:type="paragraph" w:customStyle="1" w:styleId="62">
    <w:name w:val="1ji"/>
    <w:basedOn w:val="2"/>
    <w:link w:val="61"/>
    <w:qFormat/>
    <w:uiPriority w:val="0"/>
    <w:pPr>
      <w:keepLines w:val="0"/>
      <w:widowControl/>
      <w:spacing w:before="0" w:after="0" w:line="240" w:lineRule="auto"/>
      <w:jc w:val="center"/>
    </w:pPr>
    <w:rPr>
      <w:rFonts w:ascii="宋体" w:hAnsi="宋体"/>
      <w:sz w:val="36"/>
    </w:rPr>
  </w:style>
  <w:style w:type="character" w:customStyle="1" w:styleId="63">
    <w:name w:val="普通文字 Char Char2"/>
    <w:qFormat/>
    <w:uiPriority w:val="0"/>
    <w:rPr>
      <w:rFonts w:ascii="宋体" w:hAnsi="Courier New" w:eastAsia="宋体"/>
      <w:kern w:val="2"/>
      <w:sz w:val="21"/>
      <w:lang w:val="en-US" w:eastAsia="zh-CN" w:bidi="ar-SA"/>
    </w:rPr>
  </w:style>
  <w:style w:type="character" w:customStyle="1" w:styleId="64">
    <w:name w:val="10"/>
    <w:qFormat/>
    <w:uiPriority w:val="0"/>
    <w:rPr>
      <w:rFonts w:hint="default" w:ascii="Times New Roman" w:hAnsi="Times New Roman" w:cs="Times New Roman"/>
    </w:rPr>
  </w:style>
  <w:style w:type="character" w:customStyle="1" w:styleId="65">
    <w:name w:val="font11"/>
    <w:qFormat/>
    <w:uiPriority w:val="0"/>
    <w:rPr>
      <w:rFonts w:hint="eastAsia" w:ascii="宋体" w:hAnsi="宋体" w:eastAsia="宋体" w:cs="宋体"/>
      <w:color w:val="000000"/>
      <w:sz w:val="20"/>
      <w:szCs w:val="20"/>
      <w:u w:val="none"/>
    </w:rPr>
  </w:style>
  <w:style w:type="character" w:customStyle="1" w:styleId="66">
    <w:name w:val="apple-converted-space"/>
    <w:qFormat/>
    <w:uiPriority w:val="0"/>
  </w:style>
  <w:style w:type="character" w:customStyle="1" w:styleId="67">
    <w:name w:val="mark"/>
    <w:qFormat/>
    <w:uiPriority w:val="0"/>
  </w:style>
  <w:style w:type="character" w:customStyle="1" w:styleId="68">
    <w:name w:val="15"/>
    <w:qFormat/>
    <w:uiPriority w:val="0"/>
    <w:rPr>
      <w:rFonts w:hint="default" w:ascii="Times New Roman" w:hAnsi="Times New Roman" w:cs="Times New Roman"/>
    </w:rPr>
  </w:style>
  <w:style w:type="paragraph" w:customStyle="1" w:styleId="69">
    <w:name w:val="默认段落字体 Para Char Char Char Char Char Char Char Char Char1 Char Char Char Char"/>
    <w:basedOn w:val="1"/>
    <w:qFormat/>
    <w:uiPriority w:val="0"/>
    <w:rPr>
      <w:rFonts w:ascii="Tahoma" w:hAnsi="Tahoma"/>
      <w:sz w:val="24"/>
      <w:szCs w:val="20"/>
    </w:rPr>
  </w:style>
  <w:style w:type="paragraph" w:customStyle="1" w:styleId="70">
    <w:name w:val="列出段落1"/>
    <w:basedOn w:val="1"/>
    <w:qFormat/>
    <w:uiPriority w:val="0"/>
    <w:pPr>
      <w:ind w:firstLine="420" w:firstLineChars="200"/>
    </w:pPr>
    <w:rPr>
      <w:szCs w:val="20"/>
    </w:rPr>
  </w:style>
  <w:style w:type="paragraph" w:customStyle="1" w:styleId="71">
    <w:name w:val="1"/>
    <w:basedOn w:val="1"/>
    <w:next w:val="25"/>
    <w:qFormat/>
    <w:uiPriority w:val="0"/>
    <w:rPr>
      <w:rFonts w:ascii="宋体" w:hAnsi="Courier New"/>
      <w:szCs w:val="20"/>
    </w:rPr>
  </w:style>
  <w:style w:type="paragraph" w:customStyle="1" w:styleId="72">
    <w:name w:val="列出段落11"/>
    <w:qFormat/>
    <w:uiPriority w:val="34"/>
    <w:pPr>
      <w:widowControl w:val="0"/>
      <w:ind w:firstLine="420"/>
      <w:jc w:val="both"/>
    </w:pPr>
    <w:rPr>
      <w:rFonts w:ascii="Calibri" w:hAnsi="Calibri" w:eastAsia="Calibri" w:cs="Calibri"/>
      <w:color w:val="000000"/>
      <w:kern w:val="2"/>
      <w:sz w:val="21"/>
      <w:szCs w:val="21"/>
      <w:lang w:val="en-US" w:eastAsia="zh-CN" w:bidi="ar-SA"/>
    </w:rPr>
  </w:style>
  <w:style w:type="paragraph" w:customStyle="1" w:styleId="73">
    <w:name w:val="正文段"/>
    <w:basedOn w:val="1"/>
    <w:qFormat/>
    <w:uiPriority w:val="0"/>
    <w:pPr>
      <w:widowControl/>
      <w:snapToGrid w:val="0"/>
      <w:spacing w:after="50" w:afterLines="50"/>
      <w:ind w:firstLine="200" w:firstLineChars="200"/>
    </w:pPr>
    <w:rPr>
      <w:kern w:val="0"/>
      <w:sz w:val="24"/>
      <w:szCs w:val="20"/>
    </w:rPr>
  </w:style>
  <w:style w:type="paragraph" w:customStyle="1" w:styleId="7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5">
    <w:name w:val="newp"/>
    <w:basedOn w:val="1"/>
    <w:qFormat/>
    <w:uiPriority w:val="99"/>
    <w:pPr>
      <w:widowControl/>
      <w:spacing w:before="100" w:beforeAutospacing="1" w:after="100" w:afterAutospacing="1"/>
      <w:jc w:val="left"/>
    </w:pPr>
    <w:rPr>
      <w:rFonts w:ascii="宋体" w:hAnsi="宋体" w:cs="宋体"/>
      <w:kern w:val="0"/>
      <w:sz w:val="24"/>
    </w:rPr>
  </w:style>
  <w:style w:type="paragraph" w:customStyle="1" w:styleId="76">
    <w:name w:val="_Style 34"/>
    <w:basedOn w:val="15"/>
    <w:qFormat/>
    <w:uiPriority w:val="0"/>
    <w:pPr>
      <w:widowControl/>
      <w:ind w:firstLine="454"/>
      <w:jc w:val="left"/>
    </w:pPr>
  </w:style>
  <w:style w:type="paragraph" w:customStyle="1" w:styleId="77">
    <w:name w:val="样式 加粗 段前: 7.8 磅 段后: 7.8 磅 行距: 固定值 20 磅"/>
    <w:basedOn w:val="1"/>
    <w:qFormat/>
    <w:uiPriority w:val="0"/>
    <w:pPr>
      <w:spacing w:before="60" w:after="60" w:line="360" w:lineRule="exact"/>
    </w:pPr>
    <w:rPr>
      <w:rFonts w:cs="宋体"/>
      <w:b/>
      <w:bCs/>
      <w:spacing w:val="-2"/>
      <w:sz w:val="24"/>
      <w:szCs w:val="20"/>
    </w:rPr>
  </w:style>
  <w:style w:type="paragraph" w:customStyle="1" w:styleId="78">
    <w:name w:val="_Style 5"/>
    <w:basedOn w:val="1"/>
    <w:qFormat/>
    <w:uiPriority w:val="0"/>
    <w:pPr>
      <w:spacing w:after="78" w:afterLines="25"/>
    </w:pPr>
    <w:rPr>
      <w:rFonts w:ascii="Arial" w:hAnsi="Arial"/>
    </w:rPr>
  </w:style>
  <w:style w:type="paragraph" w:customStyle="1" w:styleId="79">
    <w:name w:val="Char"/>
    <w:basedOn w:val="15"/>
    <w:qFormat/>
    <w:uiPriority w:val="0"/>
    <w:pPr>
      <w:widowControl/>
      <w:ind w:firstLine="454"/>
      <w:jc w:val="left"/>
    </w:pPr>
    <w:rPr>
      <w:rFonts w:ascii="Tahoma" w:hAnsi="Tahoma" w:cs="宋体"/>
      <w:kern w:val="0"/>
      <w:sz w:val="24"/>
      <w:szCs w:val="20"/>
    </w:rPr>
  </w:style>
  <w:style w:type="paragraph" w:customStyle="1" w:styleId="80">
    <w:name w:val="msolistparagraph"/>
    <w:basedOn w:val="1"/>
    <w:qFormat/>
    <w:uiPriority w:val="0"/>
    <w:pPr>
      <w:spacing w:line="360" w:lineRule="auto"/>
      <w:ind w:firstLine="420" w:firstLineChars="200"/>
    </w:pPr>
    <w:rPr>
      <w:sz w:val="28"/>
    </w:rPr>
  </w:style>
  <w:style w:type="paragraph" w:customStyle="1" w:styleId="8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2">
    <w:name w:val="Char Char Char"/>
    <w:basedOn w:val="15"/>
    <w:qFormat/>
    <w:uiPriority w:val="0"/>
    <w:pPr>
      <w:snapToGrid w:val="0"/>
    </w:pPr>
    <w:rPr>
      <w:rFonts w:ascii="Calibri" w:hAnsi="Calibri"/>
      <w:sz w:val="28"/>
      <w:szCs w:val="20"/>
    </w:rPr>
  </w:style>
  <w:style w:type="paragraph" w:customStyle="1" w:styleId="83">
    <w:name w:val="_Style 341"/>
    <w:basedOn w:val="15"/>
    <w:qFormat/>
    <w:uiPriority w:val="0"/>
    <w:pPr>
      <w:widowControl/>
      <w:ind w:firstLine="454"/>
      <w:jc w:val="left"/>
    </w:pPr>
  </w:style>
  <w:style w:type="paragraph" w:customStyle="1" w:styleId="84">
    <w:name w:val="Char1"/>
    <w:basedOn w:val="15"/>
    <w:qFormat/>
    <w:uiPriority w:val="0"/>
    <w:pPr>
      <w:widowControl/>
      <w:ind w:firstLine="454"/>
      <w:jc w:val="left"/>
    </w:pPr>
    <w:rPr>
      <w:rFonts w:ascii="Tahoma" w:hAnsi="Tahoma" w:cs="宋体"/>
      <w:kern w:val="0"/>
      <w:sz w:val="24"/>
      <w:szCs w:val="20"/>
    </w:rPr>
  </w:style>
  <w:style w:type="paragraph" w:styleId="85">
    <w:name w:val="List Paragraph"/>
    <w:basedOn w:val="1"/>
    <w:qFormat/>
    <w:uiPriority w:val="34"/>
    <w:pPr>
      <w:ind w:firstLine="420" w:firstLineChars="200"/>
    </w:pPr>
    <w:rPr>
      <w:rFonts w:ascii="Book Antiqua" w:hAnsi="Book Antiqua" w:cs="Book Antiqua"/>
    </w:rPr>
  </w:style>
  <w:style w:type="paragraph" w:styleId="8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样式 标题 2 + 宋体"/>
    <w:basedOn w:val="3"/>
    <w:qFormat/>
    <w:uiPriority w:val="0"/>
    <w:pPr>
      <w:tabs>
        <w:tab w:val="left" w:pos="360"/>
      </w:tabs>
    </w:pPr>
    <w:rPr>
      <w:rFonts w:ascii="宋体" w:hAnsi="宋体" w:eastAsia="宋体"/>
      <w:sz w:val="30"/>
    </w:rPr>
  </w:style>
  <w:style w:type="paragraph" w:customStyle="1" w:styleId="88">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8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90">
    <w:name w:val="Table Normal"/>
    <w:unhideWhenUsed/>
    <w:qFormat/>
    <w:uiPriority w:val="0"/>
    <w:tblPr>
      <w:tblCellMar>
        <w:top w:w="0" w:type="dxa"/>
        <w:left w:w="0" w:type="dxa"/>
        <w:bottom w:w="0" w:type="dxa"/>
        <w:right w:w="0" w:type="dxa"/>
      </w:tblCellMar>
    </w:tblPr>
  </w:style>
  <w:style w:type="paragraph" w:customStyle="1" w:styleId="91">
    <w:name w:val="表格文字"/>
    <w:basedOn w:val="19"/>
    <w:next w:val="18"/>
    <w:qFormat/>
    <w:uiPriority w:val="99"/>
    <w:pPr>
      <w:spacing w:before="25" w:after="25"/>
    </w:pPr>
    <w:rPr>
      <w:rFonts w:ascii="Calibri" w:hAnsi="Calibri" w:eastAsia="Calibri"/>
      <w:bCs/>
      <w:spacing w:val="10"/>
      <w:kern w:val="0"/>
    </w:rPr>
  </w:style>
  <w:style w:type="paragraph" w:customStyle="1" w:styleId="92">
    <w:name w:val="正文2"/>
    <w:basedOn w:val="1"/>
    <w:link w:val="93"/>
    <w:qFormat/>
    <w:uiPriority w:val="0"/>
    <w:pPr>
      <w:adjustRightInd w:val="0"/>
      <w:spacing w:before="156" w:line="360" w:lineRule="auto"/>
      <w:ind w:firstLine="510" w:firstLineChars="200"/>
    </w:pPr>
    <w:rPr>
      <w:sz w:val="24"/>
      <w:szCs w:val="20"/>
    </w:rPr>
  </w:style>
  <w:style w:type="character" w:customStyle="1" w:styleId="93">
    <w:name w:val="正文2 Char Char"/>
    <w:link w:val="92"/>
    <w:qFormat/>
    <w:uiPriority w:val="0"/>
    <w:rPr>
      <w:kern w:val="2"/>
      <w:sz w:val="24"/>
    </w:rPr>
  </w:style>
  <w:style w:type="table" w:customStyle="1" w:styleId="94">
    <w:name w:val="网格型1"/>
    <w:basedOn w:val="4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5">
    <w:name w:val="网格型2"/>
    <w:basedOn w:val="40"/>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6">
    <w:name w:val="*正文 Char"/>
    <w:link w:val="97"/>
    <w:qFormat/>
    <w:locked/>
    <w:uiPriority w:val="0"/>
    <w:rPr>
      <w:rFonts w:ascii="宋体" w:hAnsi="宋体"/>
      <w:sz w:val="24"/>
    </w:rPr>
  </w:style>
  <w:style w:type="paragraph" w:customStyle="1" w:styleId="97">
    <w:name w:val="*正文"/>
    <w:basedOn w:val="1"/>
    <w:link w:val="96"/>
    <w:qFormat/>
    <w:uiPriority w:val="0"/>
    <w:pPr>
      <w:adjustRightInd w:val="0"/>
      <w:snapToGrid w:val="0"/>
      <w:spacing w:line="360" w:lineRule="auto"/>
      <w:ind w:firstLine="482"/>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9FE1FB-4655-4B35-BD7E-6AAB8BF4B5B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132</Pages>
  <Words>95</Words>
  <Characters>150</Characters>
  <Lines>163</Lines>
  <Paragraphs>142</Paragraphs>
  <TotalTime>43</TotalTime>
  <ScaleCrop>false</ScaleCrop>
  <LinksUpToDate>false</LinksUpToDate>
  <CharactersWithSpaces>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2024-10-30T08:15:00Z</dcterms:created>
  <dc:creator>北海市政府采购中心</dc:creator>
  <cp:lastModifiedBy>NTKO</cp:lastModifiedBy>
  <cp:lastPrinted>2026-01-12T07:40:00Z</cp:lastPrinted>
  <dcterms:modified xsi:type="dcterms:W3CDTF">2026-09-22T04:17:21Z</dcterms:modified>
  <dc:title>北海市政府采购中心;</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F0A4B7D03BA340A88C0BFC550E370673_13</vt:lpwstr>
  </property>
  <property fmtid="{D5CDD505-2E9C-101B-9397-08002B2CF9AE}" pid="4" name="KSOTemplateDocerSaveRecord">
    <vt:lpwstr>eyJoZGlkIjoiZGRkYzRjNWM1NDU0Njg1NWM0Y2MzOWY4ZDY4M2YxNGQiLCJ1c2VySWQiOiIyMzA3MTg5ODgifQ==</vt:lpwstr>
  </property>
</Properties>
</file>